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B2BE">
      <w:pPr>
        <w:snapToGrid w:val="0"/>
        <w:spacing w:before="0" w:beforeAutospacing="0" w:after="0" w:afterAutospacing="0" w:line="440" w:lineRule="exact"/>
        <w:jc w:val="center"/>
        <w:textAlignment w:val="baseline"/>
        <w:rPr>
          <w:rFonts w:hint="eastAsia" w:ascii="宋体" w:hAnsi="宋体" w:eastAsia="宋体" w:cs="宋体"/>
          <w:b/>
          <w:i w:val="0"/>
          <w:caps w:val="0"/>
          <w:color w:val="auto"/>
          <w:spacing w:val="0"/>
          <w:w w:val="100"/>
          <w:kern w:val="21"/>
          <w:sz w:val="36"/>
          <w:szCs w:val="36"/>
          <w:highlight w:val="none"/>
        </w:rPr>
      </w:pPr>
    </w:p>
    <w:p w14:paraId="1A61ED20">
      <w:pPr>
        <w:pStyle w:val="9"/>
        <w:snapToGrid w:val="0"/>
        <w:spacing w:before="0" w:beforeAutospacing="0" w:after="0" w:afterAutospacing="0" w:line="357" w:lineRule="atLeast"/>
        <w:ind w:left="420" w:leftChars="200"/>
        <w:jc w:val="both"/>
        <w:textAlignment w:val="baseline"/>
        <w:rPr>
          <w:rFonts w:hint="eastAsia" w:ascii="宋体" w:hAnsi="宋体" w:eastAsia="宋体" w:cs="宋体"/>
          <w:b w:val="0"/>
          <w:i w:val="0"/>
          <w:caps w:val="0"/>
          <w:color w:val="auto"/>
          <w:spacing w:val="0"/>
          <w:w w:val="100"/>
          <w:sz w:val="21"/>
          <w:highlight w:val="none"/>
        </w:rPr>
      </w:pPr>
    </w:p>
    <w:p w14:paraId="7ED2D7ED">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44"/>
          <w:szCs w:val="44"/>
          <w:highlight w:val="none"/>
        </w:rPr>
      </w:pPr>
      <w:r>
        <w:rPr>
          <w:rFonts w:hint="eastAsia" w:ascii="宋体" w:hAnsi="宋体" w:eastAsia="宋体" w:cs="宋体"/>
          <w:b/>
          <w:i w:val="0"/>
          <w:caps w:val="0"/>
          <w:color w:val="auto"/>
          <w:spacing w:val="0"/>
          <w:w w:val="100"/>
          <w:kern w:val="21"/>
          <w:sz w:val="44"/>
          <w:szCs w:val="44"/>
          <w:highlight w:val="none"/>
          <w:lang w:eastAsia="zh-CN"/>
        </w:rPr>
        <w:t>医技楼信息化专项建设项目</w:t>
      </w:r>
      <w:r>
        <w:rPr>
          <w:rFonts w:hint="eastAsia" w:ascii="宋体" w:hAnsi="宋体" w:eastAsia="宋体" w:cs="宋体"/>
          <w:b/>
          <w:i w:val="0"/>
          <w:caps w:val="0"/>
          <w:color w:val="auto"/>
          <w:spacing w:val="0"/>
          <w:w w:val="100"/>
          <w:kern w:val="21"/>
          <w:sz w:val="44"/>
          <w:szCs w:val="44"/>
          <w:highlight w:val="none"/>
        </w:rPr>
        <w:t xml:space="preserve"> </w:t>
      </w:r>
    </w:p>
    <w:p w14:paraId="287B5900">
      <w:pPr>
        <w:snapToGrid w:val="0"/>
        <w:spacing w:before="0" w:beforeAutospacing="0" w:after="0" w:afterAutospacing="0" w:line="360" w:lineRule="auto"/>
        <w:jc w:val="center"/>
        <w:textAlignment w:val="baseline"/>
        <w:rPr>
          <w:rFonts w:hint="eastAsia" w:ascii="宋体" w:hAnsi="宋体" w:eastAsia="宋体" w:cs="宋体"/>
          <w:b/>
          <w:bCs/>
          <w:color w:val="auto"/>
          <w:sz w:val="30"/>
          <w:szCs w:val="30"/>
          <w:highlight w:val="none"/>
        </w:rPr>
      </w:pPr>
    </w:p>
    <w:p w14:paraId="0F7B88E1">
      <w:pPr>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kern w:val="21"/>
          <w:sz w:val="44"/>
          <w:szCs w:val="44"/>
          <w:highlight w:val="none"/>
        </w:rPr>
      </w:pPr>
    </w:p>
    <w:p w14:paraId="6C422EC2">
      <w:pPr>
        <w:pStyle w:val="4"/>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val="0"/>
          <w:i w:val="0"/>
          <w:caps w:val="0"/>
          <w:color w:val="auto"/>
          <w:spacing w:val="0"/>
          <w:w w:val="100"/>
          <w:sz w:val="21"/>
          <w:highlight w:val="none"/>
        </w:rPr>
        <w:drawing>
          <wp:anchor distT="0" distB="0" distL="114300" distR="114300" simplePos="0" relativeHeight="251660288" behindDoc="1" locked="0" layoutInCell="1" allowOverlap="1">
            <wp:simplePos x="0" y="0"/>
            <wp:positionH relativeFrom="column">
              <wp:posOffset>2314575</wp:posOffset>
            </wp:positionH>
            <wp:positionV relativeFrom="paragraph">
              <wp:posOffset>244475</wp:posOffset>
            </wp:positionV>
            <wp:extent cx="1022985" cy="911860"/>
            <wp:effectExtent l="0" t="0" r="13335" b="2540"/>
            <wp:wrapNone/>
            <wp:docPr id="7" name="图片 2" descr="嘉翔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嘉翔图标"/>
                    <pic:cNvPicPr>
                      <a:picLocks noChangeAspect="1"/>
                    </pic:cNvPicPr>
                  </pic:nvPicPr>
                  <pic:blipFill>
                    <a:blip r:embed="rId15"/>
                    <a:stretch>
                      <a:fillRect/>
                    </a:stretch>
                  </pic:blipFill>
                  <pic:spPr>
                    <a:xfrm>
                      <a:off x="0" y="0"/>
                      <a:ext cx="1022985" cy="911860"/>
                    </a:xfrm>
                    <a:prstGeom prst="rect">
                      <a:avLst/>
                    </a:prstGeom>
                    <a:noFill/>
                    <a:ln>
                      <a:noFill/>
                    </a:ln>
                  </pic:spPr>
                </pic:pic>
              </a:graphicData>
            </a:graphic>
          </wp:anchor>
        </w:drawing>
      </w:r>
    </w:p>
    <w:p w14:paraId="04607FBA">
      <w:pPr>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1"/>
          <w:highlight w:val="none"/>
        </w:rPr>
      </w:pPr>
    </w:p>
    <w:p w14:paraId="1E9F7B60">
      <w:pPr>
        <w:pStyle w:val="4"/>
        <w:rPr>
          <w:rFonts w:hint="eastAsia" w:ascii="宋体" w:hAnsi="宋体" w:eastAsia="宋体" w:cs="宋体"/>
          <w:b w:val="0"/>
          <w:i w:val="0"/>
          <w:caps w:val="0"/>
          <w:color w:val="auto"/>
          <w:spacing w:val="0"/>
          <w:w w:val="100"/>
          <w:sz w:val="21"/>
          <w:highlight w:val="none"/>
        </w:rPr>
      </w:pPr>
    </w:p>
    <w:p w14:paraId="43B433D6">
      <w:pPr>
        <w:rPr>
          <w:rFonts w:hint="eastAsia" w:ascii="宋体" w:hAnsi="宋体" w:eastAsia="宋体" w:cs="宋体"/>
          <w:color w:val="auto"/>
          <w:highlight w:val="none"/>
        </w:rPr>
      </w:pPr>
    </w:p>
    <w:p w14:paraId="1375B249">
      <w:pPr>
        <w:pStyle w:val="4"/>
        <w:rPr>
          <w:rFonts w:hint="eastAsia" w:ascii="宋体" w:hAnsi="宋体" w:eastAsia="宋体" w:cs="宋体"/>
          <w:color w:val="auto"/>
          <w:highlight w:val="none"/>
        </w:rPr>
      </w:pPr>
    </w:p>
    <w:p w14:paraId="7585E71F">
      <w:pPr>
        <w:pStyle w:val="4"/>
        <w:jc w:val="both"/>
        <w:rPr>
          <w:rFonts w:hint="eastAsia" w:ascii="宋体" w:hAnsi="宋体" w:eastAsia="宋体" w:cs="宋体"/>
          <w:color w:val="auto"/>
          <w:highlight w:val="none"/>
        </w:rPr>
      </w:pPr>
    </w:p>
    <w:p w14:paraId="1A4F12C0">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70"/>
          <w:szCs w:val="70"/>
          <w:highlight w:val="none"/>
        </w:rPr>
      </w:pPr>
      <w:r>
        <w:rPr>
          <w:rFonts w:hint="eastAsia" w:ascii="宋体" w:hAnsi="宋体" w:eastAsia="宋体" w:cs="宋体"/>
          <w:b/>
          <w:i w:val="0"/>
          <w:caps w:val="0"/>
          <w:color w:val="auto"/>
          <w:spacing w:val="0"/>
          <w:w w:val="100"/>
          <w:kern w:val="21"/>
          <w:sz w:val="70"/>
          <w:szCs w:val="70"/>
          <w:highlight w:val="none"/>
        </w:rPr>
        <w:t>招 标 文 件</w:t>
      </w:r>
    </w:p>
    <w:p w14:paraId="7CD81F79">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30"/>
          <w:szCs w:val="30"/>
          <w:highlight w:val="none"/>
        </w:rPr>
      </w:pPr>
    </w:p>
    <w:p w14:paraId="2B14D825">
      <w:pPr>
        <w:pStyle w:val="4"/>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kern w:val="21"/>
          <w:sz w:val="30"/>
          <w:szCs w:val="30"/>
          <w:highlight w:val="none"/>
          <w:lang w:val="en-US" w:eastAsia="zh-CN"/>
        </w:rPr>
      </w:pPr>
      <w:r>
        <w:rPr>
          <w:rFonts w:hint="eastAsia" w:ascii="宋体" w:hAnsi="宋体" w:eastAsia="宋体" w:cs="宋体"/>
          <w:b/>
          <w:i w:val="0"/>
          <w:caps w:val="0"/>
          <w:color w:val="auto"/>
          <w:spacing w:val="0"/>
          <w:w w:val="100"/>
          <w:kern w:val="21"/>
          <w:sz w:val="30"/>
          <w:szCs w:val="30"/>
          <w:highlight w:val="none"/>
        </w:rPr>
        <w:t>项目编号：</w:t>
      </w:r>
      <w:r>
        <w:rPr>
          <w:rFonts w:hint="eastAsia" w:ascii="宋体" w:hAnsi="宋体" w:eastAsia="宋体" w:cs="宋体"/>
          <w:b/>
          <w:i w:val="0"/>
          <w:caps w:val="0"/>
          <w:color w:val="auto"/>
          <w:spacing w:val="0"/>
          <w:w w:val="100"/>
          <w:kern w:val="21"/>
          <w:sz w:val="30"/>
          <w:szCs w:val="30"/>
          <w:highlight w:val="none"/>
          <w:lang w:eastAsia="zh-CN"/>
        </w:rPr>
        <w:t>JXZB20</w:t>
      </w:r>
      <w:r>
        <w:rPr>
          <w:rFonts w:hint="eastAsia" w:ascii="宋体" w:hAnsi="宋体" w:eastAsia="宋体" w:cs="宋体"/>
          <w:b/>
          <w:i w:val="0"/>
          <w:caps w:val="0"/>
          <w:color w:val="auto"/>
          <w:spacing w:val="0"/>
          <w:w w:val="100"/>
          <w:kern w:val="21"/>
          <w:sz w:val="30"/>
          <w:szCs w:val="30"/>
          <w:highlight w:val="none"/>
          <w:lang w:val="en-US" w:eastAsia="zh-CN"/>
        </w:rPr>
        <w:t>25</w:t>
      </w:r>
      <w:r>
        <w:rPr>
          <w:rFonts w:hint="eastAsia" w:ascii="宋体" w:hAnsi="宋体" w:eastAsia="宋体" w:cs="宋体"/>
          <w:b/>
          <w:i w:val="0"/>
          <w:caps w:val="0"/>
          <w:color w:val="auto"/>
          <w:spacing w:val="0"/>
          <w:w w:val="100"/>
          <w:kern w:val="21"/>
          <w:sz w:val="30"/>
          <w:szCs w:val="30"/>
          <w:highlight w:val="none"/>
          <w:lang w:eastAsia="zh-CN"/>
        </w:rPr>
        <w:t>-</w:t>
      </w:r>
      <w:r>
        <w:rPr>
          <w:rFonts w:hint="eastAsia" w:ascii="宋体" w:hAnsi="宋体" w:eastAsia="宋体" w:cs="宋体"/>
          <w:b/>
          <w:i w:val="0"/>
          <w:caps w:val="0"/>
          <w:color w:val="auto"/>
          <w:spacing w:val="0"/>
          <w:w w:val="100"/>
          <w:kern w:val="21"/>
          <w:sz w:val="30"/>
          <w:szCs w:val="30"/>
          <w:highlight w:val="none"/>
          <w:lang w:val="en-US" w:eastAsia="zh-CN"/>
        </w:rPr>
        <w:t>039</w:t>
      </w:r>
    </w:p>
    <w:p w14:paraId="2D13B949">
      <w:pPr>
        <w:rPr>
          <w:rFonts w:hint="eastAsia" w:ascii="宋体" w:hAnsi="宋体" w:eastAsia="宋体" w:cs="宋体"/>
          <w:color w:val="auto"/>
          <w:highlight w:val="none"/>
          <w:lang w:eastAsia="zh-CN"/>
        </w:rPr>
      </w:pPr>
    </w:p>
    <w:p w14:paraId="73E6948B">
      <w:pPr>
        <w:pStyle w:val="9"/>
        <w:ind w:left="0" w:leftChars="0" w:firstLine="0" w:firstLineChars="0"/>
        <w:rPr>
          <w:rFonts w:hint="eastAsia" w:ascii="宋体" w:hAnsi="宋体" w:eastAsia="宋体" w:cs="宋体"/>
          <w:b w:val="0"/>
          <w:i w:val="0"/>
          <w:caps w:val="0"/>
          <w:color w:val="auto"/>
          <w:spacing w:val="0"/>
          <w:w w:val="100"/>
          <w:sz w:val="20"/>
          <w:highlight w:val="none"/>
        </w:rPr>
      </w:pPr>
    </w:p>
    <w:p w14:paraId="1BA6581D">
      <w:pPr>
        <w:rPr>
          <w:rFonts w:hint="eastAsia" w:ascii="宋体" w:hAnsi="宋体" w:eastAsia="宋体" w:cs="宋体"/>
          <w:b w:val="0"/>
          <w:i w:val="0"/>
          <w:caps w:val="0"/>
          <w:color w:val="auto"/>
          <w:spacing w:val="0"/>
          <w:w w:val="100"/>
          <w:sz w:val="20"/>
          <w:highlight w:val="none"/>
        </w:rPr>
      </w:pPr>
    </w:p>
    <w:p w14:paraId="08A9915A">
      <w:pPr>
        <w:rPr>
          <w:rFonts w:hint="eastAsia" w:ascii="宋体" w:hAnsi="宋体" w:eastAsia="宋体" w:cs="宋体"/>
          <w:color w:val="auto"/>
          <w:highlight w:val="none"/>
        </w:rPr>
      </w:pPr>
    </w:p>
    <w:p w14:paraId="137950A8">
      <w:pPr>
        <w:pStyle w:val="14"/>
        <w:rPr>
          <w:rFonts w:hint="eastAsia" w:ascii="宋体" w:hAnsi="宋体" w:eastAsia="宋体" w:cs="宋体"/>
          <w:color w:val="auto"/>
          <w:highlight w:val="none"/>
        </w:rPr>
      </w:pPr>
    </w:p>
    <w:p w14:paraId="7C6F8EAC">
      <w:pPr>
        <w:pStyle w:val="9"/>
        <w:rPr>
          <w:rFonts w:hint="eastAsia" w:ascii="宋体" w:hAnsi="宋体" w:eastAsia="宋体" w:cs="宋体"/>
          <w:b w:val="0"/>
          <w:i w:val="0"/>
          <w:caps w:val="0"/>
          <w:color w:val="auto"/>
          <w:spacing w:val="0"/>
          <w:w w:val="100"/>
          <w:sz w:val="20"/>
          <w:highlight w:val="none"/>
        </w:rPr>
      </w:pPr>
    </w:p>
    <w:p w14:paraId="1F61DC78">
      <w:pPr>
        <w:rPr>
          <w:rFonts w:hint="eastAsia" w:ascii="宋体" w:hAnsi="宋体" w:eastAsia="宋体" w:cs="宋体"/>
          <w:color w:val="auto"/>
          <w:highlight w:val="none"/>
        </w:rPr>
      </w:pPr>
    </w:p>
    <w:p w14:paraId="78001041">
      <w:pPr>
        <w:pStyle w:val="9"/>
        <w:rPr>
          <w:rFonts w:hint="eastAsia" w:ascii="宋体" w:hAnsi="宋体" w:eastAsia="宋体" w:cs="宋体"/>
          <w:color w:val="auto"/>
          <w:highlight w:val="none"/>
        </w:rPr>
      </w:pPr>
    </w:p>
    <w:p w14:paraId="5245BC82">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p>
    <w:p w14:paraId="46E6E289">
      <w:pPr>
        <w:snapToGrid w:val="0"/>
        <w:spacing w:before="0" w:beforeAutospacing="0" w:after="0" w:afterAutospacing="0" w:line="900" w:lineRule="exact"/>
        <w:ind w:firstLine="2409" w:firstLineChars="800"/>
        <w:jc w:val="both"/>
        <w:textAlignment w:val="baseline"/>
        <w:rPr>
          <w:rFonts w:hint="eastAsia" w:ascii="宋体" w:hAnsi="宋体" w:eastAsia="宋体" w:cs="宋体"/>
          <w:b/>
          <w:i w:val="0"/>
          <w:caps w:val="0"/>
          <w:color w:val="auto"/>
          <w:spacing w:val="0"/>
          <w:w w:val="100"/>
          <w:kern w:val="21"/>
          <w:sz w:val="30"/>
          <w:szCs w:val="30"/>
          <w:highlight w:val="none"/>
          <w:lang w:eastAsia="zh-CN"/>
        </w:rPr>
      </w:pPr>
      <w:r>
        <w:rPr>
          <w:rFonts w:hint="eastAsia" w:ascii="宋体" w:hAnsi="宋体" w:eastAsia="宋体" w:cs="宋体"/>
          <w:b/>
          <w:i w:val="0"/>
          <w:caps w:val="0"/>
          <w:color w:val="auto"/>
          <w:spacing w:val="0"/>
          <w:w w:val="100"/>
          <w:kern w:val="21"/>
          <w:sz w:val="30"/>
          <w:szCs w:val="30"/>
          <w:highlight w:val="none"/>
        </w:rPr>
        <w:t>采   购   人：彬州市中医医院</w:t>
      </w:r>
    </w:p>
    <w:p w14:paraId="0B826433">
      <w:pPr>
        <w:snapToGrid w:val="0"/>
        <w:spacing w:before="0" w:beforeAutospacing="0" w:after="0" w:afterAutospacing="0" w:line="900" w:lineRule="exact"/>
        <w:jc w:val="center"/>
        <w:textAlignment w:val="baseline"/>
        <w:rPr>
          <w:rFonts w:hint="eastAsia" w:ascii="宋体" w:hAnsi="宋体" w:eastAsia="宋体" w:cs="宋体"/>
          <w:b/>
          <w:i w:val="0"/>
          <w:caps w:val="0"/>
          <w:color w:val="auto"/>
          <w:spacing w:val="0"/>
          <w:w w:val="100"/>
          <w:kern w:val="21"/>
          <w:sz w:val="30"/>
          <w:szCs w:val="30"/>
          <w:highlight w:val="none"/>
        </w:rPr>
      </w:pPr>
      <w:r>
        <w:rPr>
          <w:rFonts w:hint="eastAsia" w:ascii="宋体" w:hAnsi="宋体" w:eastAsia="宋体" w:cs="宋体"/>
          <w:b/>
          <w:i w:val="0"/>
          <w:caps w:val="0"/>
          <w:color w:val="auto"/>
          <w:spacing w:val="0"/>
          <w:w w:val="100"/>
          <w:kern w:val="21"/>
          <w:sz w:val="30"/>
          <w:szCs w:val="30"/>
          <w:highlight w:val="none"/>
        </w:rPr>
        <w:t>采购代理机构：嘉翔项目管理有限公司</w:t>
      </w:r>
    </w:p>
    <w:p w14:paraId="0CDC55FC">
      <w:pPr>
        <w:snapToGrid w:val="0"/>
        <w:spacing w:before="0" w:beforeAutospacing="0" w:after="0" w:afterAutospacing="0" w:line="900" w:lineRule="exact"/>
        <w:jc w:val="center"/>
        <w:textAlignment w:val="baseline"/>
        <w:rPr>
          <w:rFonts w:hint="eastAsia" w:ascii="宋体" w:hAnsi="宋体" w:eastAsia="宋体" w:cs="宋体"/>
          <w:b/>
          <w:i w:val="0"/>
          <w:caps w:val="0"/>
          <w:color w:val="auto"/>
          <w:spacing w:val="0"/>
          <w:w w:val="100"/>
          <w:kern w:val="21"/>
          <w:sz w:val="30"/>
          <w:szCs w:val="30"/>
          <w:highlight w:val="none"/>
        </w:rPr>
      </w:pPr>
      <w:r>
        <w:rPr>
          <w:rFonts w:hint="eastAsia" w:ascii="宋体" w:hAnsi="宋体" w:eastAsia="宋体" w:cs="宋体"/>
          <w:b/>
          <w:i w:val="0"/>
          <w:caps w:val="0"/>
          <w:color w:val="auto"/>
          <w:spacing w:val="0"/>
          <w:w w:val="100"/>
          <w:kern w:val="21"/>
          <w:sz w:val="30"/>
          <w:szCs w:val="30"/>
          <w:highlight w:val="none"/>
        </w:rPr>
        <w:t>二〇二</w:t>
      </w:r>
      <w:r>
        <w:rPr>
          <w:rFonts w:hint="eastAsia" w:ascii="宋体" w:hAnsi="宋体" w:eastAsia="宋体" w:cs="宋体"/>
          <w:b/>
          <w:i w:val="0"/>
          <w:caps w:val="0"/>
          <w:color w:val="auto"/>
          <w:spacing w:val="0"/>
          <w:w w:val="100"/>
          <w:kern w:val="21"/>
          <w:sz w:val="30"/>
          <w:szCs w:val="30"/>
          <w:highlight w:val="none"/>
          <w:lang w:val="en-US" w:eastAsia="zh-CN"/>
        </w:rPr>
        <w:t>五</w:t>
      </w:r>
      <w:r>
        <w:rPr>
          <w:rFonts w:hint="eastAsia" w:ascii="宋体" w:hAnsi="宋体" w:eastAsia="宋体" w:cs="宋体"/>
          <w:b/>
          <w:i w:val="0"/>
          <w:caps w:val="0"/>
          <w:color w:val="auto"/>
          <w:spacing w:val="0"/>
          <w:w w:val="100"/>
          <w:kern w:val="21"/>
          <w:sz w:val="30"/>
          <w:szCs w:val="30"/>
          <w:highlight w:val="none"/>
        </w:rPr>
        <w:t>年</w:t>
      </w:r>
      <w:r>
        <w:rPr>
          <w:rFonts w:hint="eastAsia" w:ascii="宋体" w:hAnsi="宋体" w:eastAsia="宋体" w:cs="宋体"/>
          <w:b/>
          <w:i w:val="0"/>
          <w:caps w:val="0"/>
          <w:color w:val="auto"/>
          <w:spacing w:val="0"/>
          <w:w w:val="100"/>
          <w:kern w:val="21"/>
          <w:sz w:val="30"/>
          <w:szCs w:val="30"/>
          <w:highlight w:val="none"/>
          <w:lang w:val="en-US" w:eastAsia="zh-CN"/>
        </w:rPr>
        <w:t>十一</w:t>
      </w:r>
      <w:r>
        <w:rPr>
          <w:rFonts w:hint="eastAsia" w:ascii="宋体" w:hAnsi="宋体" w:eastAsia="宋体" w:cs="宋体"/>
          <w:b/>
          <w:i w:val="0"/>
          <w:caps w:val="0"/>
          <w:color w:val="auto"/>
          <w:spacing w:val="0"/>
          <w:w w:val="100"/>
          <w:kern w:val="21"/>
          <w:sz w:val="30"/>
          <w:szCs w:val="30"/>
          <w:highlight w:val="none"/>
        </w:rPr>
        <w:t>月</w:t>
      </w:r>
    </w:p>
    <w:p w14:paraId="38908532">
      <w:pPr>
        <w:pStyle w:val="9"/>
        <w:rPr>
          <w:rFonts w:hint="eastAsia" w:ascii="宋体" w:hAnsi="宋体" w:eastAsia="宋体" w:cs="宋体"/>
          <w:b/>
          <w:i w:val="0"/>
          <w:caps w:val="0"/>
          <w:color w:val="auto"/>
          <w:spacing w:val="0"/>
          <w:w w:val="100"/>
          <w:kern w:val="21"/>
          <w:sz w:val="30"/>
          <w:szCs w:val="30"/>
          <w:highlight w:val="none"/>
        </w:rPr>
      </w:pPr>
    </w:p>
    <w:p w14:paraId="743DD528">
      <w:pPr>
        <w:bidi w:val="0"/>
        <w:spacing w:line="600" w:lineRule="auto"/>
        <w:jc w:val="center"/>
        <w:rPr>
          <w:rFonts w:hint="eastAsia" w:ascii="宋体" w:hAnsi="宋体" w:eastAsia="宋体" w:cs="宋体"/>
          <w:color w:val="auto"/>
          <w:sz w:val="30"/>
          <w:szCs w:val="30"/>
          <w:highlight w:val="none"/>
        </w:rPr>
        <w:sectPr>
          <w:footerReference r:id="rId8" w:type="first"/>
          <w:headerReference r:id="rId5" w:type="default"/>
          <w:footerReference r:id="rId6" w:type="default"/>
          <w:footerReference r:id="rId7" w:type="even"/>
          <w:pgSz w:w="11906" w:h="16838"/>
          <w:pgMar w:top="1440" w:right="1701" w:bottom="1440" w:left="1417" w:header="850" w:footer="992" w:gutter="0"/>
          <w:pgNumType w:fmt="decimal" w:start="1"/>
          <w:cols w:space="0" w:num="1"/>
          <w:rtlGutter w:val="0"/>
          <w:docGrid w:linePitch="312" w:charSpace="0"/>
        </w:sectPr>
      </w:pPr>
    </w:p>
    <w:sdt>
      <w:sdtPr>
        <w:rPr>
          <w:rFonts w:hint="eastAsia" w:ascii="宋体" w:hAnsi="宋体" w:eastAsia="宋体" w:cs="宋体"/>
          <w:b/>
          <w:bCs/>
          <w:color w:val="auto"/>
          <w:sz w:val="30"/>
          <w:szCs w:val="30"/>
          <w:highlight w:val="none"/>
        </w:rPr>
        <w:id w:val="147459683"/>
        <w:docPartObj>
          <w:docPartGallery w:val="Table of Contents"/>
          <w:docPartUnique/>
        </w:docPartObj>
      </w:sdtPr>
      <w:sdtEndPr>
        <w:rPr>
          <w:rFonts w:hint="eastAsia" w:ascii="宋体" w:hAnsi="宋体" w:eastAsia="宋体" w:cs="宋体"/>
          <w:b/>
          <w:bCs/>
          <w:color w:val="auto"/>
          <w:sz w:val="24"/>
          <w:szCs w:val="24"/>
          <w:highlight w:val="none"/>
        </w:rPr>
      </w:sdtEndPr>
      <w:sdtContent>
        <w:p w14:paraId="2C0DB1B7">
          <w:pPr>
            <w:bidi w:val="0"/>
            <w:spacing w:line="48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录</w:t>
          </w:r>
        </w:p>
        <w:p w14:paraId="09EE40EB">
          <w:pPr>
            <w:pStyle w:val="23"/>
            <w:tabs>
              <w:tab w:val="right" w:leader="dot"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b/>
              <w:i w:val="0"/>
              <w:caps w:val="0"/>
              <w:color w:val="auto"/>
              <w:spacing w:val="0"/>
              <w:w w:val="100"/>
              <w:sz w:val="28"/>
              <w:szCs w:val="28"/>
              <w:highlight w:val="none"/>
            </w:rPr>
            <w:fldChar w:fldCharType="begin"/>
          </w:r>
          <w:r>
            <w:rPr>
              <w:rFonts w:hint="eastAsia" w:ascii="宋体" w:hAnsi="宋体" w:eastAsia="宋体" w:cs="宋体"/>
              <w:b/>
              <w:i w:val="0"/>
              <w:caps w:val="0"/>
              <w:color w:val="auto"/>
              <w:spacing w:val="0"/>
              <w:w w:val="100"/>
              <w:sz w:val="28"/>
              <w:szCs w:val="28"/>
              <w:highlight w:val="none"/>
            </w:rPr>
            <w:instrText xml:space="preserve">TOC \o "1-1" \h \u </w:instrText>
          </w:r>
          <w:r>
            <w:rPr>
              <w:rFonts w:hint="eastAsia" w:ascii="宋体" w:hAnsi="宋体" w:eastAsia="宋体" w:cs="宋体"/>
              <w:b/>
              <w:i w:val="0"/>
              <w:caps w:val="0"/>
              <w:color w:val="auto"/>
              <w:spacing w:val="0"/>
              <w:w w:val="100"/>
              <w:sz w:val="28"/>
              <w:szCs w:val="28"/>
              <w:highlight w:val="none"/>
            </w:rPr>
            <w:fldChar w:fldCharType="separate"/>
          </w:r>
          <w:r>
            <w:rPr>
              <w:rFonts w:hint="eastAsia" w:ascii="宋体" w:hAnsi="宋体" w:eastAsia="宋体" w:cs="宋体"/>
              <w:i w:val="0"/>
              <w:caps w:val="0"/>
              <w:color w:val="auto"/>
              <w:spacing w:val="0"/>
              <w:w w:val="100"/>
              <w:sz w:val="28"/>
              <w:szCs w:val="28"/>
              <w:highlight w:val="none"/>
            </w:rPr>
            <w:fldChar w:fldCharType="begin"/>
          </w:r>
          <w:r>
            <w:rPr>
              <w:rFonts w:hint="eastAsia" w:ascii="宋体" w:hAnsi="宋体" w:eastAsia="宋体" w:cs="宋体"/>
              <w:i w:val="0"/>
              <w:caps w:val="0"/>
              <w:color w:val="auto"/>
              <w:spacing w:val="0"/>
              <w:w w:val="100"/>
              <w:sz w:val="28"/>
              <w:szCs w:val="28"/>
              <w:highlight w:val="none"/>
            </w:rPr>
            <w:instrText xml:space="preserve"> HYPERLINK \l _Toc22569 </w:instrText>
          </w:r>
          <w:r>
            <w:rPr>
              <w:rFonts w:hint="eastAsia" w:ascii="宋体" w:hAnsi="宋体" w:eastAsia="宋体" w:cs="宋体"/>
              <w:i w:val="0"/>
              <w:caps w:val="0"/>
              <w:color w:val="auto"/>
              <w:spacing w:val="0"/>
              <w:w w:val="100"/>
              <w:sz w:val="28"/>
              <w:szCs w:val="28"/>
              <w:highlight w:val="none"/>
            </w:rPr>
            <w:fldChar w:fldCharType="separate"/>
          </w:r>
          <w:r>
            <w:rPr>
              <w:rFonts w:hint="eastAsia" w:ascii="宋体" w:hAnsi="宋体" w:eastAsia="宋体" w:cs="宋体"/>
              <w:i w:val="0"/>
              <w:caps w:val="0"/>
              <w:color w:val="auto"/>
              <w:spacing w:val="0"/>
              <w:w w:val="100"/>
              <w:sz w:val="28"/>
              <w:szCs w:val="28"/>
              <w:highlight w:val="none"/>
            </w:rPr>
            <w:t>第一部分</w:t>
          </w:r>
          <w:r>
            <w:rPr>
              <w:rFonts w:hint="eastAsia" w:ascii="宋体" w:hAnsi="宋体" w:eastAsia="宋体" w:cs="宋体"/>
              <w:i w:val="0"/>
              <w:caps w:val="0"/>
              <w:color w:val="auto"/>
              <w:spacing w:val="0"/>
              <w:w w:val="100"/>
              <w:sz w:val="28"/>
              <w:szCs w:val="28"/>
              <w:highlight w:val="none"/>
              <w:lang w:val="en-US" w:eastAsia="zh-CN"/>
            </w:rPr>
            <w:t xml:space="preserve"> </w:t>
          </w:r>
          <w:r>
            <w:rPr>
              <w:rFonts w:hint="eastAsia" w:ascii="宋体" w:hAnsi="宋体" w:eastAsia="宋体" w:cs="宋体"/>
              <w:i w:val="0"/>
              <w:caps w:val="0"/>
              <w:color w:val="auto"/>
              <w:spacing w:val="0"/>
              <w:w w:val="100"/>
              <w:sz w:val="28"/>
              <w:szCs w:val="28"/>
              <w:highlight w:val="none"/>
            </w:rPr>
            <w:t xml:space="preserve">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_Toc22569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i w:val="0"/>
              <w:caps w:val="0"/>
              <w:color w:val="auto"/>
              <w:spacing w:val="0"/>
              <w:w w:val="100"/>
              <w:sz w:val="28"/>
              <w:szCs w:val="28"/>
              <w:highlight w:val="none"/>
            </w:rPr>
            <w:fldChar w:fldCharType="end"/>
          </w:r>
        </w:p>
        <w:p w14:paraId="7AB35904">
          <w:pPr>
            <w:pStyle w:val="23"/>
            <w:tabs>
              <w:tab w:val="right" w:leader="dot"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i w:val="0"/>
              <w:caps w:val="0"/>
              <w:color w:val="auto"/>
              <w:spacing w:val="0"/>
              <w:w w:val="100"/>
              <w:sz w:val="28"/>
              <w:szCs w:val="28"/>
              <w:highlight w:val="none"/>
            </w:rPr>
            <w:fldChar w:fldCharType="begin"/>
          </w:r>
          <w:r>
            <w:rPr>
              <w:rFonts w:hint="eastAsia" w:ascii="宋体" w:hAnsi="宋体" w:eastAsia="宋体" w:cs="宋体"/>
              <w:i w:val="0"/>
              <w:caps w:val="0"/>
              <w:color w:val="auto"/>
              <w:spacing w:val="0"/>
              <w:w w:val="100"/>
              <w:sz w:val="28"/>
              <w:szCs w:val="28"/>
              <w:highlight w:val="none"/>
            </w:rPr>
            <w:instrText xml:space="preserve"> HYPERLINK \l _Toc16712 </w:instrText>
          </w:r>
          <w:r>
            <w:rPr>
              <w:rFonts w:hint="eastAsia" w:ascii="宋体" w:hAnsi="宋体" w:eastAsia="宋体" w:cs="宋体"/>
              <w:i w:val="0"/>
              <w:caps w:val="0"/>
              <w:color w:val="auto"/>
              <w:spacing w:val="0"/>
              <w:w w:val="100"/>
              <w:sz w:val="28"/>
              <w:szCs w:val="28"/>
              <w:highlight w:val="none"/>
            </w:rPr>
            <w:fldChar w:fldCharType="separate"/>
          </w:r>
          <w:r>
            <w:rPr>
              <w:rFonts w:hint="eastAsia" w:ascii="宋体" w:hAnsi="宋体" w:eastAsia="宋体" w:cs="宋体"/>
              <w:bCs/>
              <w:i w:val="0"/>
              <w:caps w:val="0"/>
              <w:color w:val="auto"/>
              <w:spacing w:val="0"/>
              <w:w w:val="100"/>
              <w:sz w:val="28"/>
              <w:szCs w:val="28"/>
              <w:highlight w:val="none"/>
            </w:rPr>
            <w:t xml:space="preserve">第二部分 </w:t>
          </w:r>
          <w:r>
            <w:rPr>
              <w:rFonts w:hint="eastAsia" w:ascii="宋体" w:hAnsi="宋体" w:eastAsia="宋体" w:cs="宋体"/>
              <w:bCs/>
              <w:i w:val="0"/>
              <w:caps w:val="0"/>
              <w:color w:val="auto"/>
              <w:spacing w:val="0"/>
              <w:w w:val="100"/>
              <w:sz w:val="28"/>
              <w:szCs w:val="28"/>
              <w:highlight w:val="none"/>
              <w:lang w:val="en-US" w:eastAsia="zh-CN"/>
            </w:rPr>
            <w:t xml:space="preserve"> </w:t>
          </w:r>
          <w:r>
            <w:rPr>
              <w:rFonts w:hint="eastAsia" w:ascii="宋体" w:hAnsi="宋体" w:eastAsia="宋体" w:cs="宋体"/>
              <w:i w:val="0"/>
              <w:caps w:val="0"/>
              <w:color w:val="auto"/>
              <w:spacing w:val="0"/>
              <w:w w:val="100"/>
              <w:sz w:val="28"/>
              <w:szCs w:val="28"/>
              <w:highlight w:val="none"/>
            </w:rPr>
            <w:t>供应商</w:t>
          </w:r>
          <w:r>
            <w:rPr>
              <w:rFonts w:hint="eastAsia" w:ascii="宋体" w:hAnsi="宋体" w:eastAsia="宋体" w:cs="宋体"/>
              <w:bCs/>
              <w:i w:val="0"/>
              <w:caps w:val="0"/>
              <w:color w:val="auto"/>
              <w:spacing w:val="0"/>
              <w:w w:val="100"/>
              <w:sz w:val="28"/>
              <w:szCs w:val="28"/>
              <w:highlight w:val="none"/>
            </w:rPr>
            <w:t>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_Toc16712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i w:val="0"/>
              <w:caps w:val="0"/>
              <w:color w:val="auto"/>
              <w:spacing w:val="0"/>
              <w:w w:val="100"/>
              <w:sz w:val="28"/>
              <w:szCs w:val="28"/>
              <w:highlight w:val="none"/>
            </w:rPr>
            <w:fldChar w:fldCharType="end"/>
          </w:r>
        </w:p>
        <w:p w14:paraId="2D028F2E">
          <w:pPr>
            <w:pStyle w:val="23"/>
            <w:tabs>
              <w:tab w:val="right" w:leader="dot"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i w:val="0"/>
              <w:caps w:val="0"/>
              <w:color w:val="auto"/>
              <w:spacing w:val="0"/>
              <w:w w:val="100"/>
              <w:sz w:val="28"/>
              <w:szCs w:val="28"/>
              <w:highlight w:val="none"/>
            </w:rPr>
            <w:fldChar w:fldCharType="begin"/>
          </w:r>
          <w:r>
            <w:rPr>
              <w:rFonts w:hint="eastAsia" w:ascii="宋体" w:hAnsi="宋体" w:eastAsia="宋体" w:cs="宋体"/>
              <w:i w:val="0"/>
              <w:caps w:val="0"/>
              <w:color w:val="auto"/>
              <w:spacing w:val="0"/>
              <w:w w:val="100"/>
              <w:sz w:val="28"/>
              <w:szCs w:val="28"/>
              <w:highlight w:val="none"/>
            </w:rPr>
            <w:instrText xml:space="preserve"> HYPERLINK \l _Toc747 </w:instrText>
          </w:r>
          <w:r>
            <w:rPr>
              <w:rFonts w:hint="eastAsia" w:ascii="宋体" w:hAnsi="宋体" w:eastAsia="宋体" w:cs="宋体"/>
              <w:i w:val="0"/>
              <w:caps w:val="0"/>
              <w:color w:val="auto"/>
              <w:spacing w:val="0"/>
              <w:w w:val="100"/>
              <w:sz w:val="28"/>
              <w:szCs w:val="28"/>
              <w:highlight w:val="none"/>
            </w:rPr>
            <w:fldChar w:fldCharType="separate"/>
          </w:r>
          <w:r>
            <w:rPr>
              <w:rFonts w:hint="eastAsia" w:ascii="宋体" w:hAnsi="宋体" w:eastAsia="宋体" w:cs="宋体"/>
              <w:color w:val="auto"/>
              <w:sz w:val="28"/>
              <w:szCs w:val="28"/>
              <w:highlight w:val="none"/>
            </w:rPr>
            <w:t xml:space="preserve">第三部分  </w:t>
          </w:r>
          <w:r>
            <w:rPr>
              <w:rFonts w:hint="eastAsia" w:ascii="宋体" w:hAnsi="宋体" w:eastAsia="宋体" w:cs="宋体"/>
              <w:color w:val="auto"/>
              <w:sz w:val="28"/>
              <w:szCs w:val="28"/>
              <w:highlight w:val="none"/>
              <w:lang w:eastAsia="zh-CN"/>
            </w:rPr>
            <w:t>招标</w:t>
          </w:r>
          <w:r>
            <w:rPr>
              <w:rFonts w:hint="eastAsia" w:ascii="宋体" w:hAnsi="宋体" w:eastAsia="宋体" w:cs="宋体"/>
              <w:color w:val="auto"/>
              <w:sz w:val="28"/>
              <w:szCs w:val="28"/>
              <w:highlight w:val="none"/>
              <w:lang w:val="zh-CN"/>
            </w:rPr>
            <w:t>内容及商务要求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_Toc747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i w:val="0"/>
              <w:caps w:val="0"/>
              <w:color w:val="auto"/>
              <w:spacing w:val="0"/>
              <w:w w:val="100"/>
              <w:sz w:val="28"/>
              <w:szCs w:val="28"/>
              <w:highlight w:val="none"/>
            </w:rPr>
            <w:fldChar w:fldCharType="end"/>
          </w:r>
        </w:p>
        <w:p w14:paraId="37EEB510">
          <w:pPr>
            <w:pStyle w:val="23"/>
            <w:tabs>
              <w:tab w:val="right" w:leader="dot"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i w:val="0"/>
              <w:caps w:val="0"/>
              <w:color w:val="auto"/>
              <w:spacing w:val="0"/>
              <w:w w:val="100"/>
              <w:sz w:val="28"/>
              <w:szCs w:val="28"/>
              <w:highlight w:val="none"/>
            </w:rPr>
            <w:fldChar w:fldCharType="begin"/>
          </w:r>
          <w:r>
            <w:rPr>
              <w:rFonts w:hint="eastAsia" w:ascii="宋体" w:hAnsi="宋体" w:eastAsia="宋体" w:cs="宋体"/>
              <w:i w:val="0"/>
              <w:caps w:val="0"/>
              <w:color w:val="auto"/>
              <w:spacing w:val="0"/>
              <w:w w:val="100"/>
              <w:sz w:val="28"/>
              <w:szCs w:val="28"/>
              <w:highlight w:val="none"/>
            </w:rPr>
            <w:instrText xml:space="preserve"> HYPERLINK \l _Toc7473 </w:instrText>
          </w:r>
          <w:r>
            <w:rPr>
              <w:rFonts w:hint="eastAsia" w:ascii="宋体" w:hAnsi="宋体" w:eastAsia="宋体" w:cs="宋体"/>
              <w:i w:val="0"/>
              <w:caps w:val="0"/>
              <w:color w:val="auto"/>
              <w:spacing w:val="0"/>
              <w:w w:val="100"/>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第四部分  项目采购</w:t>
          </w:r>
          <w:r>
            <w:rPr>
              <w:rFonts w:hint="eastAsia" w:ascii="宋体" w:hAnsi="宋体" w:eastAsia="宋体" w:cs="宋体"/>
              <w:color w:val="auto"/>
              <w:sz w:val="28"/>
              <w:szCs w:val="28"/>
              <w:highlight w:val="none"/>
              <w:lang w:val="en-US" w:eastAsia="zh-CN"/>
            </w:rPr>
            <w:t>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_Toc7473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i w:val="0"/>
              <w:caps w:val="0"/>
              <w:color w:val="auto"/>
              <w:spacing w:val="0"/>
              <w:w w:val="100"/>
              <w:sz w:val="28"/>
              <w:szCs w:val="28"/>
              <w:highlight w:val="none"/>
            </w:rPr>
            <w:fldChar w:fldCharType="end"/>
          </w:r>
        </w:p>
        <w:p w14:paraId="316509E8">
          <w:pPr>
            <w:pStyle w:val="23"/>
            <w:tabs>
              <w:tab w:val="right" w:leader="dot" w:pos="8788"/>
            </w:tabs>
            <w:spacing w:line="480" w:lineRule="auto"/>
            <w:rPr>
              <w:rFonts w:hint="eastAsia" w:ascii="宋体" w:hAnsi="宋体" w:eastAsia="宋体" w:cs="宋体"/>
              <w:color w:val="auto"/>
              <w:sz w:val="28"/>
              <w:szCs w:val="28"/>
              <w:highlight w:val="none"/>
            </w:rPr>
          </w:pPr>
          <w:r>
            <w:rPr>
              <w:rFonts w:hint="eastAsia" w:ascii="宋体" w:hAnsi="宋体" w:eastAsia="宋体" w:cs="宋体"/>
              <w:i w:val="0"/>
              <w:caps w:val="0"/>
              <w:color w:val="auto"/>
              <w:spacing w:val="0"/>
              <w:w w:val="100"/>
              <w:sz w:val="28"/>
              <w:szCs w:val="28"/>
              <w:highlight w:val="none"/>
            </w:rPr>
            <w:fldChar w:fldCharType="begin"/>
          </w:r>
          <w:r>
            <w:rPr>
              <w:rFonts w:hint="eastAsia" w:ascii="宋体" w:hAnsi="宋体" w:eastAsia="宋体" w:cs="宋体"/>
              <w:i w:val="0"/>
              <w:caps w:val="0"/>
              <w:color w:val="auto"/>
              <w:spacing w:val="0"/>
              <w:w w:val="100"/>
              <w:sz w:val="28"/>
              <w:szCs w:val="28"/>
              <w:highlight w:val="none"/>
            </w:rPr>
            <w:instrText xml:space="preserve"> HYPERLINK \l _Toc28221 </w:instrText>
          </w:r>
          <w:r>
            <w:rPr>
              <w:rFonts w:hint="eastAsia" w:ascii="宋体" w:hAnsi="宋体" w:eastAsia="宋体" w:cs="宋体"/>
              <w:i w:val="0"/>
              <w:caps w:val="0"/>
              <w:color w:val="auto"/>
              <w:spacing w:val="0"/>
              <w:w w:val="100"/>
              <w:sz w:val="28"/>
              <w:szCs w:val="28"/>
              <w:highlight w:val="none"/>
            </w:rPr>
            <w:fldChar w:fldCharType="separate"/>
          </w:r>
          <w:r>
            <w:rPr>
              <w:rFonts w:hint="eastAsia" w:ascii="宋体" w:hAnsi="宋体" w:eastAsia="宋体" w:cs="宋体"/>
              <w:color w:val="auto"/>
              <w:kern w:val="44"/>
              <w:sz w:val="28"/>
              <w:szCs w:val="28"/>
              <w:highlight w:val="none"/>
              <w:lang w:val="zh-CN" w:eastAsia="zh-CN" w:bidi="ar-SA"/>
            </w:rPr>
            <w:t>第五部分</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eastAsia="zh-CN"/>
            </w:rPr>
            <w:t>政府采购合同（格式）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_Toc28221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i w:val="0"/>
              <w:caps w:val="0"/>
              <w:color w:val="auto"/>
              <w:spacing w:val="0"/>
              <w:w w:val="100"/>
              <w:sz w:val="28"/>
              <w:szCs w:val="28"/>
              <w:highlight w:val="none"/>
            </w:rPr>
            <w:fldChar w:fldCharType="end"/>
          </w:r>
        </w:p>
        <w:p w14:paraId="5C7AC684">
          <w:pPr>
            <w:pStyle w:val="23"/>
            <w:tabs>
              <w:tab w:val="right" w:leader="dot" w:pos="8788"/>
            </w:tabs>
            <w:spacing w:line="480" w:lineRule="auto"/>
            <w:rPr>
              <w:rFonts w:hint="eastAsia" w:ascii="宋体" w:hAnsi="宋体" w:eastAsia="宋体" w:cs="宋体"/>
              <w:color w:val="auto"/>
              <w:highlight w:val="none"/>
            </w:rPr>
          </w:pPr>
          <w:r>
            <w:rPr>
              <w:rFonts w:hint="eastAsia" w:ascii="宋体" w:hAnsi="宋体" w:eastAsia="宋体" w:cs="宋体"/>
              <w:i w:val="0"/>
              <w:caps w:val="0"/>
              <w:color w:val="auto"/>
              <w:spacing w:val="0"/>
              <w:w w:val="100"/>
              <w:sz w:val="28"/>
              <w:szCs w:val="28"/>
              <w:highlight w:val="none"/>
            </w:rPr>
            <w:fldChar w:fldCharType="begin"/>
          </w:r>
          <w:r>
            <w:rPr>
              <w:rFonts w:hint="eastAsia" w:ascii="宋体" w:hAnsi="宋体" w:eastAsia="宋体" w:cs="宋体"/>
              <w:i w:val="0"/>
              <w:caps w:val="0"/>
              <w:color w:val="auto"/>
              <w:spacing w:val="0"/>
              <w:w w:val="100"/>
              <w:sz w:val="28"/>
              <w:szCs w:val="28"/>
              <w:highlight w:val="none"/>
            </w:rPr>
            <w:instrText xml:space="preserve"> HYPERLINK \l _Toc9007 </w:instrText>
          </w:r>
          <w:r>
            <w:rPr>
              <w:rFonts w:hint="eastAsia" w:ascii="宋体" w:hAnsi="宋体" w:eastAsia="宋体" w:cs="宋体"/>
              <w:i w:val="0"/>
              <w:caps w:val="0"/>
              <w:color w:val="auto"/>
              <w:spacing w:val="0"/>
              <w:w w:val="100"/>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第六部分</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_Toc9007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i w:val="0"/>
              <w:caps w:val="0"/>
              <w:color w:val="auto"/>
              <w:spacing w:val="0"/>
              <w:w w:val="100"/>
              <w:sz w:val="28"/>
              <w:szCs w:val="28"/>
              <w:highlight w:val="none"/>
            </w:rPr>
            <w:fldChar w:fldCharType="end"/>
          </w:r>
        </w:p>
        <w:p w14:paraId="3EBB2223">
          <w:pPr>
            <w:pStyle w:val="14"/>
            <w:snapToGrid w:val="0"/>
            <w:spacing w:before="0" w:beforeAutospacing="0" w:after="0" w:afterAutospacing="0" w:line="480" w:lineRule="auto"/>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i w:val="0"/>
              <w:caps w:val="0"/>
              <w:color w:val="auto"/>
              <w:spacing w:val="0"/>
              <w:w w:val="100"/>
              <w:szCs w:val="28"/>
              <w:highlight w:val="none"/>
            </w:rPr>
            <w:fldChar w:fldCharType="end"/>
          </w:r>
        </w:p>
      </w:sdtContent>
    </w:sdt>
    <w:p w14:paraId="67324325">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7EDAC053">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2DD81E96">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6A527AD1">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27DC8C36">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7357DBAB">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7FC934C5">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1B98C698">
      <w:pPr>
        <w:pStyle w:val="14"/>
        <w:snapToGrid w:val="0"/>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14:paraId="2B092B61">
      <w:pPr>
        <w:snapToGrid w:val="0"/>
        <w:spacing w:before="0" w:beforeAutospacing="0" w:after="0" w:afterAutospacing="0" w:line="357" w:lineRule="atLeast"/>
        <w:jc w:val="both"/>
        <w:textAlignment w:val="baseline"/>
        <w:rPr>
          <w:rFonts w:hint="eastAsia" w:ascii="宋体" w:hAnsi="宋体" w:eastAsia="宋体" w:cs="宋体"/>
          <w:b/>
          <w:i w:val="0"/>
          <w:caps w:val="0"/>
          <w:color w:val="auto"/>
          <w:spacing w:val="0"/>
          <w:w w:val="100"/>
          <w:sz w:val="32"/>
          <w:szCs w:val="32"/>
          <w:highlight w:val="none"/>
        </w:rPr>
      </w:pPr>
    </w:p>
    <w:p w14:paraId="755B0164">
      <w:pPr>
        <w:pStyle w:val="21"/>
        <w:snapToGrid w:val="0"/>
        <w:spacing w:before="0" w:beforeAutospacing="0" w:after="0" w:afterAutospacing="0" w:line="240" w:lineRule="atLeast"/>
        <w:jc w:val="left"/>
        <w:textAlignment w:val="baseline"/>
        <w:rPr>
          <w:rFonts w:hint="eastAsia" w:ascii="宋体" w:hAnsi="宋体" w:eastAsia="宋体" w:cs="宋体"/>
          <w:b w:val="0"/>
          <w:i w:val="0"/>
          <w:caps w:val="0"/>
          <w:color w:val="auto"/>
          <w:spacing w:val="0"/>
          <w:w w:val="100"/>
          <w:sz w:val="18"/>
          <w:highlight w:val="none"/>
        </w:rPr>
      </w:pPr>
    </w:p>
    <w:p w14:paraId="66899B1D">
      <w:pPr>
        <w:pStyle w:val="2"/>
        <w:snapToGrid w:val="0"/>
        <w:spacing w:before="0" w:beforeAutospacing="0" w:after="0" w:afterAutospacing="0" w:line="240" w:lineRule="auto"/>
        <w:jc w:val="center"/>
        <w:textAlignment w:val="baseline"/>
        <w:rPr>
          <w:rFonts w:hint="eastAsia" w:ascii="宋体" w:hAnsi="宋体" w:eastAsia="宋体" w:cs="宋体"/>
          <w:b/>
          <w:i w:val="0"/>
          <w:caps w:val="0"/>
          <w:color w:val="auto"/>
          <w:spacing w:val="0"/>
          <w:w w:val="100"/>
          <w:sz w:val="36"/>
          <w:highlight w:val="none"/>
        </w:rPr>
        <w:sectPr>
          <w:footerReference r:id="rId9" w:type="default"/>
          <w:pgSz w:w="11906" w:h="16838"/>
          <w:pgMar w:top="1440" w:right="1701" w:bottom="1440" w:left="1417" w:header="850" w:footer="992" w:gutter="0"/>
          <w:pgNumType w:fmt="decimal" w:start="1"/>
          <w:cols w:space="0" w:num="1"/>
          <w:rtlGutter w:val="0"/>
          <w:docGrid w:linePitch="312" w:charSpace="0"/>
        </w:sectPr>
      </w:pPr>
    </w:p>
    <w:p w14:paraId="351728D7">
      <w:pPr>
        <w:pStyle w:val="2"/>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i w:val="0"/>
          <w:caps w:val="0"/>
          <w:color w:val="auto"/>
          <w:spacing w:val="0"/>
          <w:w w:val="100"/>
          <w:sz w:val="28"/>
          <w:szCs w:val="28"/>
          <w:highlight w:val="none"/>
        </w:rPr>
      </w:pPr>
      <w:bookmarkStart w:id="0" w:name="_Toc22569"/>
      <w:r>
        <w:rPr>
          <w:rFonts w:hint="eastAsia" w:ascii="宋体" w:hAnsi="宋体" w:eastAsia="宋体" w:cs="宋体"/>
          <w:b/>
          <w:i w:val="0"/>
          <w:caps w:val="0"/>
          <w:color w:val="auto"/>
          <w:spacing w:val="0"/>
          <w:w w:val="100"/>
          <w:sz w:val="32"/>
          <w:szCs w:val="32"/>
          <w:highlight w:val="none"/>
        </w:rPr>
        <w:t>第一部分</w:t>
      </w:r>
      <w:r>
        <w:rPr>
          <w:rFonts w:hint="eastAsia" w:ascii="宋体" w:hAnsi="宋体" w:eastAsia="宋体" w:cs="宋体"/>
          <w:b/>
          <w:i w:val="0"/>
          <w:caps w:val="0"/>
          <w:color w:val="auto"/>
          <w:spacing w:val="0"/>
          <w:w w:val="100"/>
          <w:sz w:val="32"/>
          <w:szCs w:val="32"/>
          <w:highlight w:val="none"/>
          <w:lang w:val="en-US" w:eastAsia="zh-CN"/>
        </w:rPr>
        <w:t xml:space="preserve"> </w:t>
      </w:r>
      <w:r>
        <w:rPr>
          <w:rFonts w:hint="eastAsia" w:ascii="宋体" w:hAnsi="宋体" w:eastAsia="宋体" w:cs="宋体"/>
          <w:b/>
          <w:i w:val="0"/>
          <w:caps w:val="0"/>
          <w:color w:val="auto"/>
          <w:spacing w:val="0"/>
          <w:w w:val="100"/>
          <w:sz w:val="32"/>
          <w:szCs w:val="32"/>
          <w:highlight w:val="none"/>
        </w:rPr>
        <w:t xml:space="preserve"> </w:t>
      </w:r>
      <w:bookmarkStart w:id="1" w:name="_Toc19841"/>
      <w:bookmarkStart w:id="2" w:name="_Toc7956"/>
      <w:bookmarkStart w:id="3" w:name="_Toc27734"/>
      <w:r>
        <w:rPr>
          <w:rFonts w:hint="eastAsia" w:ascii="宋体" w:hAnsi="宋体" w:eastAsia="宋体" w:cs="宋体"/>
          <w:b/>
          <w:i w:val="0"/>
          <w:caps w:val="0"/>
          <w:color w:val="auto"/>
          <w:spacing w:val="0"/>
          <w:w w:val="100"/>
          <w:sz w:val="32"/>
          <w:szCs w:val="32"/>
          <w:highlight w:val="none"/>
        </w:rPr>
        <w:t>招标公告</w:t>
      </w:r>
      <w:bookmarkEnd w:id="0"/>
    </w:p>
    <w:p w14:paraId="69A873E2">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749C13A0">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医技楼信息化专项建设项目招标项目的潜在投标人应在西安曲江新区雁南五路曲江影视大厦19层获取招标文件，并于2025年11月28日14时00分（北京时间）前递交投标文件。</w:t>
      </w:r>
    </w:p>
    <w:p w14:paraId="542DEC7B">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0C8BAB26">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项目编号：JXZB2025-039</w:t>
      </w:r>
    </w:p>
    <w:p w14:paraId="5431C240">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项目名称：医技楼信息化专项建设项目</w:t>
      </w:r>
    </w:p>
    <w:p w14:paraId="0885B691">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51B223BC">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预算金额：10,719,666.31元</w:t>
      </w:r>
    </w:p>
    <w:p w14:paraId="0EE1A570">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579EBD72">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合同包1(医技楼信息化专项建设项目):</w:t>
      </w:r>
    </w:p>
    <w:p w14:paraId="0E5818AA">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合同包预算金额：10,719,666.31元</w:t>
      </w:r>
    </w:p>
    <w:p w14:paraId="68E25C4E">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合同包最高限价：10,719,666.31元</w:t>
      </w:r>
    </w:p>
    <w:tbl>
      <w:tblPr>
        <w:tblStyle w:val="29"/>
        <w:tblW w:w="8923" w:type="dxa"/>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9"/>
        <w:gridCol w:w="1853"/>
        <w:gridCol w:w="2047"/>
        <w:gridCol w:w="1092"/>
        <w:gridCol w:w="1545"/>
        <w:gridCol w:w="1557"/>
      </w:tblGrid>
      <w:tr w14:paraId="73ED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0" w:hRule="atLeast"/>
          <w:tblHeader/>
        </w:trPr>
        <w:tc>
          <w:tcPr>
            <w:tcW w:w="84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6A7A1ED">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品目号</w:t>
            </w:r>
          </w:p>
        </w:tc>
        <w:tc>
          <w:tcPr>
            <w:tcW w:w="191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7A50816">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品目名称</w:t>
            </w:r>
          </w:p>
        </w:tc>
        <w:tc>
          <w:tcPr>
            <w:tcW w:w="20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4D88AC4">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采购标的</w:t>
            </w:r>
          </w:p>
        </w:tc>
        <w:tc>
          <w:tcPr>
            <w:tcW w:w="110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274275C">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6775FADD">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w:t>
            </w:r>
          </w:p>
        </w:tc>
        <w:tc>
          <w:tcPr>
            <w:tcW w:w="15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ADD911B">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技术规格、参数及要求</w:t>
            </w:r>
          </w:p>
        </w:tc>
        <w:tc>
          <w:tcPr>
            <w:tcW w:w="140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DFA86F0">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品目预算(元)</w:t>
            </w:r>
          </w:p>
        </w:tc>
      </w:tr>
      <w:tr w14:paraId="6B99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84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CE43DC7">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p>
        </w:tc>
        <w:tc>
          <w:tcPr>
            <w:tcW w:w="191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5FC6151">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其他建筑工程</w:t>
            </w:r>
          </w:p>
        </w:tc>
        <w:tc>
          <w:tcPr>
            <w:tcW w:w="20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1E4BDD5">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10719666.31</w:t>
            </w:r>
          </w:p>
        </w:tc>
        <w:tc>
          <w:tcPr>
            <w:tcW w:w="110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F1E5BEF">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15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19CAB9A">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详见采购文件</w:t>
            </w:r>
          </w:p>
        </w:tc>
        <w:tc>
          <w:tcPr>
            <w:tcW w:w="140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EE3381A">
            <w:pPr>
              <w:keepNext w:val="0"/>
              <w:keepLines w:val="0"/>
              <w:pageBreakBefore w:val="0"/>
              <w:widowControl/>
              <w:kinsoku/>
              <w:wordWrap/>
              <w:overflowPunct/>
              <w:topLinePunct w:val="0"/>
              <w:autoSpaceDE/>
              <w:autoSpaceDN/>
              <w:bidi w:val="0"/>
              <w:adjustRightInd/>
              <w:snapToGrid/>
              <w:spacing w:line="47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10,719,666.31</w:t>
            </w:r>
          </w:p>
        </w:tc>
      </w:tr>
    </w:tbl>
    <w:p w14:paraId="0AC0D352">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本合同包不接受联合体投标</w:t>
      </w:r>
    </w:p>
    <w:p w14:paraId="7E7728DB">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合同履行期限：180日历天</w:t>
      </w:r>
    </w:p>
    <w:p w14:paraId="3F1F5A19">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651E6DF3">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3065172">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 无。</w:t>
      </w:r>
    </w:p>
    <w:p w14:paraId="2F8FDF1B">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74E0C2C4">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合同包1(医技楼信息化专项建设项目)特定资格要求如下:</w:t>
      </w:r>
    </w:p>
    <w:p w14:paraId="2E239D65">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2）财务状况报告：提供2023年度或2024年度经审计的财务报告，或提交自2025年04月01日以来其基本开户银行出具的资信证明，或信用担保机构出具的投标担保函（以上三种形式的资料提供任何一种即可）；其他组织和自然人提供银行出具的资信证明或财务报表；3）税收缴纳证明：提供供应商2025年至今任意一个月已缴纳的完税凭证或税务机关开具的完税证明（任意税种），依法免税的单位应提供相关证明材料；4）社会保障资金缴纳证明：提供供应商2025年至今任意一个月的社会保障资金缴存单据或社保机构开具的社会保险参保缴费情况证明。依法不需要缴纳社会保障资金的供应商应提供相关证明文件；5）提供具有履行本合同所必需的设备和专业技术能力的声明；6）出具参加政府采购活动前3年内在经营活动中没有重大违法记录的书面声明；7）法定代表人授权书及被授权人身份证(法定代表人直接参加投标，须提交其身份证原件、复印件及法定代表人身份证明)；8）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9）本项目不接受联合体投标。</w:t>
      </w:r>
    </w:p>
    <w:p w14:paraId="1CC836A0">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三、获取招标文件</w:t>
      </w:r>
    </w:p>
    <w:p w14:paraId="54B4E127">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时间：2025年11月07日至2025年11月13日，每天上午09:00:00至12:00:00，下午14:00:00至17:00:00（北京时间）</w:t>
      </w:r>
    </w:p>
    <w:p w14:paraId="701BFC46">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途径：西安曲江新区雁南五路曲江影视大厦19层</w:t>
      </w:r>
    </w:p>
    <w:p w14:paraId="7D8E7AFD">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方式：现场获取</w:t>
      </w:r>
    </w:p>
    <w:p w14:paraId="734831E8">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1CC4056E">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四、提交投标文件截止时间、开标时间和地点</w:t>
      </w:r>
    </w:p>
    <w:p w14:paraId="11910381">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时间：2025年11月28日 14时00分00秒（北京时间）</w:t>
      </w:r>
    </w:p>
    <w:p w14:paraId="364C041A">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提交投标文件地点：西安曲江新区雁南五路曲江影视大厦19层</w:t>
      </w:r>
    </w:p>
    <w:p w14:paraId="163FF56A">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开标地点：西安曲江新区雁南五路曲江影视大厦19层</w:t>
      </w:r>
    </w:p>
    <w:p w14:paraId="5CD7A1FE">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五、公告期限</w:t>
      </w:r>
    </w:p>
    <w:p w14:paraId="08FA3829">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7357C857">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六、其他补充事宜</w:t>
      </w:r>
    </w:p>
    <w:p w14:paraId="6DC93DC7">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谢绝邮寄，售后不退。供应商获取招标文件时请携带单位介绍信原件、经办人身份证原件及加盖公章的复印件一套。2、落实政府采购政策：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市场监管总局关于发布参与实施政府采购节能产品、环境标志产品认证机构名录的公告》—2019年第16号；8）《财政部民政部中国残疾人联合会关于促进残疾人就业政府采购政策的通知》--（财库2017〕141号）；9）《关于运用政府采购政策支持乡村产业振兴的通知》（财库〔2021〕19号）；10）陕西省财政厅关于印发《陕西省中小企业政府采购信用融资办法》（陕财办采〔2018〕23号）；11）《陕西省财政厅关于加快推进我省中小企业政府采购信用融资工作的通知》（陕财办采〔2020〕15号）；12）《关于进一步加强政府绿色采购有关问题的通知》（陕财办采〔2021〕29号）；13）《陕西省财政厅陕西省工业和信息化厅关于运用政府采购政策支持首台（套）及创新产品有关事项的通知》（陕财办采﹝2021﹞17号）；14）财办库〔2020〕123关于印发《商品包装政府采购需求标准（试行）》、《快递包装政府采购需求标准（试行）》的通知；15）政府采购扶持不发达地区和少数民族地区的政策；16）其他需要落实的政府采购政策。</w:t>
      </w:r>
    </w:p>
    <w:p w14:paraId="55619A29">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七、对本次招标提出询问，请按以下方式联系。</w:t>
      </w:r>
    </w:p>
    <w:p w14:paraId="34AF1E5E">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06B684C7">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名称：彬州市中医医院</w:t>
      </w:r>
    </w:p>
    <w:p w14:paraId="5EFFC4F5">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地址：彬州市泾河新区</w:t>
      </w:r>
    </w:p>
    <w:p w14:paraId="73C597AB">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联系方式：15319077002</w:t>
      </w:r>
    </w:p>
    <w:p w14:paraId="160136EF">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2D9AB98A">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名称：嘉翔项目管理有限公司</w:t>
      </w:r>
    </w:p>
    <w:p w14:paraId="007814F0">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地址：西安曲江新区雁南五路曲江影视大厦19层</w:t>
      </w:r>
    </w:p>
    <w:p w14:paraId="77AD3A27">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联系方式：029-85495286转8009</w:t>
      </w:r>
    </w:p>
    <w:p w14:paraId="08E70B56">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749DAEFA">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项目联系人：王勇、田凯</w:t>
      </w:r>
    </w:p>
    <w:p w14:paraId="3FF67306">
      <w:pPr>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电话：029-85495286转8009</w:t>
      </w:r>
    </w:p>
    <w:p w14:paraId="0564F157">
      <w:pPr>
        <w:keepNext w:val="0"/>
        <w:keepLines w:val="0"/>
        <w:pageBreakBefore w:val="0"/>
        <w:widowControl/>
        <w:kinsoku/>
        <w:wordWrap/>
        <w:overflowPunct/>
        <w:topLinePunct w:val="0"/>
        <w:autoSpaceDE/>
        <w:autoSpaceDN/>
        <w:bidi w:val="0"/>
        <w:adjustRightInd/>
        <w:snapToGrid/>
        <w:spacing w:line="470" w:lineRule="exact"/>
        <w:ind w:firstLine="420" w:firstLineChars="2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嘉翔项目管理有限公司</w:t>
      </w:r>
    </w:p>
    <w:p w14:paraId="4E35509B">
      <w:pPr>
        <w:keepNext w:val="0"/>
        <w:keepLines w:val="0"/>
        <w:pageBreakBefore w:val="0"/>
        <w:widowControl/>
        <w:kinsoku/>
        <w:wordWrap/>
        <w:overflowPunct/>
        <w:topLinePunct w:val="0"/>
        <w:autoSpaceDE/>
        <w:autoSpaceDN/>
        <w:bidi w:val="0"/>
        <w:adjustRightInd/>
        <w:snapToGrid/>
        <w:spacing w:line="470" w:lineRule="exact"/>
        <w:ind w:firstLine="420" w:firstLineChars="2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2025年11月06日</w:t>
      </w:r>
    </w:p>
    <w:p w14:paraId="7ADF9459">
      <w:pP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br w:type="page"/>
      </w:r>
    </w:p>
    <w:p w14:paraId="27266F78">
      <w:pPr>
        <w:pStyle w:val="2"/>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bCs/>
          <w:i w:val="0"/>
          <w:caps w:val="0"/>
          <w:color w:val="auto"/>
          <w:spacing w:val="0"/>
          <w:w w:val="100"/>
          <w:sz w:val="20"/>
          <w:highlight w:val="none"/>
        </w:rPr>
      </w:pPr>
      <w:bookmarkStart w:id="4" w:name="_Toc16712"/>
      <w:r>
        <w:rPr>
          <w:rFonts w:hint="eastAsia" w:ascii="宋体" w:hAnsi="宋体" w:eastAsia="宋体" w:cs="宋体"/>
          <w:b/>
          <w:bCs/>
          <w:i w:val="0"/>
          <w:caps w:val="0"/>
          <w:color w:val="auto"/>
          <w:spacing w:val="0"/>
          <w:w w:val="100"/>
          <w:sz w:val="32"/>
          <w:szCs w:val="32"/>
          <w:highlight w:val="none"/>
        </w:rPr>
        <w:t xml:space="preserve">第二部分 </w:t>
      </w:r>
      <w:r>
        <w:rPr>
          <w:rFonts w:hint="eastAsia" w:ascii="宋体" w:hAnsi="宋体" w:eastAsia="宋体" w:cs="宋体"/>
          <w:b/>
          <w:bCs/>
          <w:i w:val="0"/>
          <w:caps w:val="0"/>
          <w:color w:val="auto"/>
          <w:spacing w:val="0"/>
          <w:w w:val="100"/>
          <w:sz w:val="32"/>
          <w:szCs w:val="32"/>
          <w:highlight w:val="none"/>
          <w:lang w:val="en-US" w:eastAsia="zh-CN"/>
        </w:rPr>
        <w:t xml:space="preserve"> </w:t>
      </w:r>
      <w:r>
        <w:rPr>
          <w:rFonts w:hint="eastAsia" w:ascii="宋体" w:hAnsi="宋体" w:eastAsia="宋体" w:cs="宋体"/>
          <w:b/>
          <w:i w:val="0"/>
          <w:caps w:val="0"/>
          <w:color w:val="auto"/>
          <w:spacing w:val="0"/>
          <w:w w:val="100"/>
          <w:sz w:val="32"/>
          <w:szCs w:val="32"/>
          <w:highlight w:val="none"/>
        </w:rPr>
        <w:t>供应商</w:t>
      </w:r>
      <w:r>
        <w:rPr>
          <w:rFonts w:hint="eastAsia" w:ascii="宋体" w:hAnsi="宋体" w:eastAsia="宋体" w:cs="宋体"/>
          <w:b/>
          <w:bCs/>
          <w:i w:val="0"/>
          <w:caps w:val="0"/>
          <w:color w:val="auto"/>
          <w:spacing w:val="0"/>
          <w:w w:val="100"/>
          <w:sz w:val="32"/>
          <w:szCs w:val="32"/>
          <w:highlight w:val="none"/>
        </w:rPr>
        <w:t>须知</w:t>
      </w:r>
      <w:bookmarkEnd w:id="1"/>
      <w:bookmarkEnd w:id="2"/>
      <w:bookmarkEnd w:id="3"/>
      <w:bookmarkEnd w:id="4"/>
    </w:p>
    <w:p w14:paraId="5F827D0B">
      <w:pPr>
        <w:pStyle w:val="4"/>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i w:val="0"/>
          <w:caps w:val="0"/>
          <w:color w:val="auto"/>
          <w:spacing w:val="0"/>
          <w:w w:val="100"/>
          <w:kern w:val="21"/>
          <w:sz w:val="28"/>
          <w:szCs w:val="28"/>
          <w:highlight w:val="none"/>
        </w:rPr>
      </w:pPr>
      <w:bookmarkStart w:id="5" w:name="_Toc10880"/>
      <w:bookmarkStart w:id="6" w:name="_Toc450138939"/>
      <w:bookmarkStart w:id="7" w:name="_Toc449368374"/>
      <w:r>
        <w:rPr>
          <w:rFonts w:hint="eastAsia" w:ascii="宋体" w:hAnsi="宋体" w:eastAsia="宋体" w:cs="宋体"/>
          <w:b/>
          <w:i w:val="0"/>
          <w:caps w:val="0"/>
          <w:color w:val="auto"/>
          <w:spacing w:val="0"/>
          <w:w w:val="100"/>
          <w:kern w:val="21"/>
          <w:sz w:val="28"/>
          <w:szCs w:val="28"/>
          <w:highlight w:val="none"/>
        </w:rPr>
        <w:t>一、</w:t>
      </w:r>
      <w:r>
        <w:rPr>
          <w:rFonts w:hint="eastAsia" w:ascii="宋体" w:hAnsi="宋体" w:eastAsia="宋体" w:cs="宋体"/>
          <w:b/>
          <w:i w:val="0"/>
          <w:caps w:val="0"/>
          <w:color w:val="auto"/>
          <w:spacing w:val="0"/>
          <w:w w:val="100"/>
          <w:sz w:val="28"/>
          <w:szCs w:val="28"/>
          <w:highlight w:val="none"/>
        </w:rPr>
        <w:t>供应商</w:t>
      </w:r>
      <w:r>
        <w:rPr>
          <w:rFonts w:hint="eastAsia" w:ascii="宋体" w:hAnsi="宋体" w:eastAsia="宋体" w:cs="宋体"/>
          <w:b/>
          <w:i w:val="0"/>
          <w:caps w:val="0"/>
          <w:color w:val="auto"/>
          <w:spacing w:val="0"/>
          <w:w w:val="100"/>
          <w:kern w:val="21"/>
          <w:sz w:val="28"/>
          <w:szCs w:val="28"/>
          <w:highlight w:val="none"/>
        </w:rPr>
        <w:t>须知前附表</w:t>
      </w:r>
      <w:bookmarkEnd w:id="5"/>
      <w:bookmarkEnd w:id="6"/>
      <w:bookmarkEnd w:id="7"/>
    </w:p>
    <w:tbl>
      <w:tblPr>
        <w:tblStyle w:val="30"/>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715"/>
        <w:gridCol w:w="7604"/>
      </w:tblGrid>
      <w:tr w14:paraId="49AD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39" w:type="dxa"/>
            <w:vAlign w:val="center"/>
          </w:tcPr>
          <w:p w14:paraId="32345037">
            <w:pPr>
              <w:pStyle w:val="16"/>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序号</w:t>
            </w:r>
          </w:p>
        </w:tc>
        <w:tc>
          <w:tcPr>
            <w:tcW w:w="1715" w:type="dxa"/>
            <w:vAlign w:val="center"/>
          </w:tcPr>
          <w:p w14:paraId="58BB6C2B">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内容</w:t>
            </w:r>
          </w:p>
        </w:tc>
        <w:tc>
          <w:tcPr>
            <w:tcW w:w="7604" w:type="dxa"/>
            <w:vAlign w:val="center"/>
          </w:tcPr>
          <w:p w14:paraId="2282754D">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说明与要求</w:t>
            </w:r>
          </w:p>
        </w:tc>
      </w:tr>
      <w:tr w14:paraId="3752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9" w:type="dxa"/>
            <w:vAlign w:val="center"/>
          </w:tcPr>
          <w:p w14:paraId="35961DF8">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w:t>
            </w:r>
          </w:p>
        </w:tc>
        <w:tc>
          <w:tcPr>
            <w:tcW w:w="1715" w:type="dxa"/>
            <w:vAlign w:val="center"/>
          </w:tcPr>
          <w:p w14:paraId="41C87F84">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eastAsia="zh-CN"/>
              </w:rPr>
              <w:t>项目名称</w:t>
            </w:r>
          </w:p>
        </w:tc>
        <w:tc>
          <w:tcPr>
            <w:tcW w:w="7604" w:type="dxa"/>
            <w:vAlign w:val="center"/>
          </w:tcPr>
          <w:p w14:paraId="1094F2AA">
            <w:pPr>
              <w:pStyle w:val="16"/>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eastAsia="zh-CN"/>
              </w:rPr>
              <w:t>医技楼信息化专项建设项目</w:t>
            </w:r>
          </w:p>
        </w:tc>
      </w:tr>
      <w:tr w14:paraId="39E5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39" w:type="dxa"/>
            <w:vAlign w:val="center"/>
          </w:tcPr>
          <w:p w14:paraId="5EA389A7">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w:t>
            </w:r>
          </w:p>
        </w:tc>
        <w:tc>
          <w:tcPr>
            <w:tcW w:w="1715" w:type="dxa"/>
            <w:vAlign w:val="center"/>
          </w:tcPr>
          <w:p w14:paraId="38503646">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项目编号</w:t>
            </w:r>
          </w:p>
        </w:tc>
        <w:tc>
          <w:tcPr>
            <w:tcW w:w="7604" w:type="dxa"/>
            <w:vAlign w:val="center"/>
          </w:tcPr>
          <w:p w14:paraId="61513022">
            <w:pPr>
              <w:pStyle w:val="16"/>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eastAsia="zh-CN"/>
              </w:rPr>
              <w:t>JXZB2025-039</w:t>
            </w:r>
          </w:p>
        </w:tc>
      </w:tr>
      <w:tr w14:paraId="0DA2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39" w:type="dxa"/>
            <w:vAlign w:val="center"/>
          </w:tcPr>
          <w:p w14:paraId="0ED04E74">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w:t>
            </w:r>
          </w:p>
        </w:tc>
        <w:tc>
          <w:tcPr>
            <w:tcW w:w="1715" w:type="dxa"/>
            <w:vAlign w:val="center"/>
          </w:tcPr>
          <w:p w14:paraId="683E4606">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eastAsia="zh-CN"/>
              </w:rPr>
              <w:t>采购人</w:t>
            </w:r>
          </w:p>
        </w:tc>
        <w:tc>
          <w:tcPr>
            <w:tcW w:w="7604" w:type="dxa"/>
            <w:vAlign w:val="center"/>
          </w:tcPr>
          <w:p w14:paraId="6DB665CD">
            <w:pPr>
              <w:pStyle w:val="16"/>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eastAsia="zh-CN"/>
              </w:rPr>
              <w:t>采购人信息：彬州市中医医院</w:t>
            </w:r>
          </w:p>
          <w:p w14:paraId="3F364B44">
            <w:pPr>
              <w:pStyle w:val="16"/>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eastAsia="zh-CN"/>
              </w:rPr>
              <w:t>联系人：姚恒</w:t>
            </w:r>
            <w:r>
              <w:rPr>
                <w:rFonts w:hint="eastAsia" w:ascii="宋体" w:hAnsi="宋体" w:eastAsia="宋体" w:cs="宋体"/>
                <w:b w:val="0"/>
                <w:i w:val="0"/>
                <w:caps w:val="0"/>
                <w:color w:val="auto"/>
                <w:spacing w:val="0"/>
                <w:w w:val="100"/>
                <w:kern w:val="21"/>
                <w:sz w:val="21"/>
                <w:szCs w:val="21"/>
                <w:highlight w:val="none"/>
                <w:lang w:val="en-US" w:eastAsia="zh-CN"/>
              </w:rPr>
              <w:t xml:space="preserve"> </w:t>
            </w:r>
          </w:p>
          <w:p w14:paraId="4759D0EF">
            <w:pPr>
              <w:pStyle w:val="16"/>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eastAsia="zh-CN"/>
              </w:rPr>
              <w:t xml:space="preserve">联系地址：彬州市泾河新区 </w:t>
            </w:r>
            <w:r>
              <w:rPr>
                <w:rFonts w:hint="eastAsia" w:ascii="宋体" w:hAnsi="宋体" w:eastAsia="宋体" w:cs="宋体"/>
                <w:b w:val="0"/>
                <w:i w:val="0"/>
                <w:caps w:val="0"/>
                <w:color w:val="auto"/>
                <w:spacing w:val="0"/>
                <w:w w:val="100"/>
                <w:kern w:val="21"/>
                <w:sz w:val="21"/>
                <w:szCs w:val="21"/>
                <w:highlight w:val="none"/>
                <w:lang w:val="en-US" w:eastAsia="zh-CN"/>
              </w:rPr>
              <w:t xml:space="preserve"> </w:t>
            </w:r>
          </w:p>
          <w:p w14:paraId="69629698">
            <w:pPr>
              <w:pStyle w:val="16"/>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eastAsia="zh-CN"/>
              </w:rPr>
              <w:t>联系电话：</w:t>
            </w:r>
            <w:r>
              <w:rPr>
                <w:rFonts w:hint="eastAsia" w:ascii="宋体" w:hAnsi="宋体" w:eastAsia="宋体" w:cs="宋体"/>
                <w:b w:val="0"/>
                <w:i w:val="0"/>
                <w:caps w:val="0"/>
                <w:color w:val="auto"/>
                <w:spacing w:val="0"/>
                <w:w w:val="100"/>
                <w:kern w:val="21"/>
                <w:sz w:val="21"/>
                <w:szCs w:val="21"/>
                <w:highlight w:val="none"/>
                <w:lang w:val="en-US" w:eastAsia="zh-CN"/>
              </w:rPr>
              <w:t xml:space="preserve"> 15319077002 </w:t>
            </w:r>
          </w:p>
        </w:tc>
      </w:tr>
      <w:tr w14:paraId="1560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639" w:type="dxa"/>
            <w:vAlign w:val="center"/>
          </w:tcPr>
          <w:p w14:paraId="222EFF90">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w:t>
            </w:r>
          </w:p>
        </w:tc>
        <w:tc>
          <w:tcPr>
            <w:tcW w:w="1715" w:type="dxa"/>
            <w:vAlign w:val="center"/>
          </w:tcPr>
          <w:p w14:paraId="31C80A04">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采购代理机构</w:t>
            </w:r>
          </w:p>
        </w:tc>
        <w:tc>
          <w:tcPr>
            <w:tcW w:w="7604" w:type="dxa"/>
            <w:vAlign w:val="center"/>
          </w:tcPr>
          <w:p w14:paraId="751B6550">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采购代理机构：嘉翔项目管理有限公司</w:t>
            </w:r>
          </w:p>
          <w:p w14:paraId="3AF44DB0">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地址：西安曲江新区雁南五路曲江影视大厦19 层</w:t>
            </w:r>
          </w:p>
          <w:p w14:paraId="4DDC0B0A">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联系人：王勇、田凯</w:t>
            </w:r>
          </w:p>
          <w:p w14:paraId="353AEA94">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rPr>
            </w:pPr>
            <w:r>
              <w:rPr>
                <w:rFonts w:hint="eastAsia" w:ascii="宋体" w:hAnsi="宋体" w:eastAsia="宋体" w:cs="宋体"/>
                <w:b w:val="0"/>
                <w:i w:val="0"/>
                <w:caps w:val="0"/>
                <w:color w:val="auto"/>
                <w:spacing w:val="0"/>
                <w:w w:val="100"/>
                <w:kern w:val="21"/>
                <w:sz w:val="21"/>
                <w:szCs w:val="21"/>
                <w:highlight w:val="none"/>
                <w:lang w:val="zh-CN"/>
              </w:rPr>
              <w:t>电话：</w:t>
            </w:r>
            <w:r>
              <w:rPr>
                <w:rFonts w:hint="eastAsia" w:ascii="宋体" w:hAnsi="宋体" w:eastAsia="宋体" w:cs="宋体"/>
                <w:b w:val="0"/>
                <w:i w:val="0"/>
                <w:caps w:val="0"/>
                <w:color w:val="auto"/>
                <w:spacing w:val="0"/>
                <w:w w:val="100"/>
                <w:kern w:val="21"/>
                <w:sz w:val="21"/>
                <w:szCs w:val="21"/>
                <w:highlight w:val="none"/>
                <w:lang w:val="en-US" w:eastAsia="zh-CN"/>
              </w:rPr>
              <w:t xml:space="preserve">029-85495286转8009 </w:t>
            </w:r>
          </w:p>
          <w:p w14:paraId="52C4C815">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zh-CN"/>
              </w:rPr>
              <w:t>电子邮件：3363927373@qq.com</w:t>
            </w:r>
          </w:p>
        </w:tc>
      </w:tr>
      <w:tr w14:paraId="29A5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39" w:type="dxa"/>
            <w:vAlign w:val="center"/>
          </w:tcPr>
          <w:p w14:paraId="2743EB70">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sz w:val="21"/>
                <w:szCs w:val="21"/>
                <w:highlight w:val="none"/>
                <w:lang w:val="zh-CN"/>
              </w:rPr>
              <w:t>5</w:t>
            </w:r>
          </w:p>
        </w:tc>
        <w:tc>
          <w:tcPr>
            <w:tcW w:w="1715" w:type="dxa"/>
            <w:vAlign w:val="center"/>
          </w:tcPr>
          <w:p w14:paraId="4CFD787B">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sz w:val="21"/>
                <w:szCs w:val="21"/>
                <w:highlight w:val="none"/>
                <w:lang w:val="zh-CN"/>
              </w:rPr>
              <w:t>资金来源</w:t>
            </w:r>
          </w:p>
        </w:tc>
        <w:tc>
          <w:tcPr>
            <w:tcW w:w="7604" w:type="dxa"/>
            <w:vAlign w:val="center"/>
          </w:tcPr>
          <w:p w14:paraId="586E8719">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财政资金</w:t>
            </w:r>
          </w:p>
        </w:tc>
      </w:tr>
      <w:tr w14:paraId="6C6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Align w:val="center"/>
          </w:tcPr>
          <w:p w14:paraId="61AA2F3A">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6</w:t>
            </w:r>
          </w:p>
        </w:tc>
        <w:tc>
          <w:tcPr>
            <w:tcW w:w="1715" w:type="dxa"/>
            <w:vAlign w:val="center"/>
          </w:tcPr>
          <w:p w14:paraId="5770E741">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zh-CN"/>
              </w:rPr>
              <w:t>采购预算金额</w:t>
            </w:r>
          </w:p>
        </w:tc>
        <w:tc>
          <w:tcPr>
            <w:tcW w:w="7604" w:type="dxa"/>
            <w:vAlign w:val="center"/>
          </w:tcPr>
          <w:p w14:paraId="6832A35B">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采购预算金额：10719666.31元； </w:t>
            </w:r>
          </w:p>
          <w:p w14:paraId="4EB71557">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采购最高限价:</w:t>
            </w:r>
            <w:r>
              <w:rPr>
                <w:rFonts w:hint="eastAsia" w:ascii="宋体" w:hAnsi="宋体" w:eastAsia="宋体" w:cs="宋体"/>
                <w:b w:val="0"/>
                <w:i w:val="0"/>
                <w:caps w:val="0"/>
                <w:color w:val="auto"/>
                <w:spacing w:val="0"/>
                <w:w w:val="100"/>
                <w:sz w:val="21"/>
                <w:szCs w:val="21"/>
                <w:highlight w:val="none"/>
                <w:lang w:val="zh-CN"/>
              </w:rPr>
              <w:t xml:space="preserve">10719666.31元； </w:t>
            </w:r>
          </w:p>
          <w:p w14:paraId="2BFAE415">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大写：壹仟零柒拾壹万玖仟陆佰陆拾陆元叁角壹分；小写：</w:t>
            </w:r>
            <w:r>
              <w:rPr>
                <w:rFonts w:hint="eastAsia" w:ascii="宋体" w:hAnsi="宋体" w:eastAsia="宋体" w:cs="宋体"/>
                <w:b w:val="0"/>
                <w:i w:val="0"/>
                <w:caps w:val="0"/>
                <w:color w:val="auto"/>
                <w:spacing w:val="0"/>
                <w:w w:val="100"/>
                <w:sz w:val="21"/>
                <w:szCs w:val="21"/>
                <w:highlight w:val="none"/>
                <w:lang w:val="zh-CN"/>
              </w:rPr>
              <w:t>10719666.31</w:t>
            </w:r>
            <w:r>
              <w:rPr>
                <w:rFonts w:hint="eastAsia" w:ascii="宋体" w:hAnsi="宋体" w:eastAsia="宋体" w:cs="宋体"/>
                <w:b w:val="0"/>
                <w:i w:val="0"/>
                <w:caps w:val="0"/>
                <w:color w:val="auto"/>
                <w:spacing w:val="0"/>
                <w:w w:val="100"/>
                <w:sz w:val="21"/>
                <w:szCs w:val="21"/>
                <w:highlight w:val="none"/>
                <w:lang w:val="en-US" w:eastAsia="zh-CN"/>
              </w:rPr>
              <w:t>元；</w:t>
            </w:r>
          </w:p>
          <w:p w14:paraId="108075E7">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(注：供应商报价大于最高限价，作为不实质性响应招标文件，均为无效报价，按无效标处理)</w:t>
            </w:r>
          </w:p>
        </w:tc>
      </w:tr>
      <w:tr w14:paraId="6D34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9" w:type="dxa"/>
            <w:vAlign w:val="center"/>
          </w:tcPr>
          <w:p w14:paraId="4384A1B5">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7</w:t>
            </w:r>
          </w:p>
        </w:tc>
        <w:tc>
          <w:tcPr>
            <w:tcW w:w="1715" w:type="dxa"/>
            <w:vAlign w:val="center"/>
          </w:tcPr>
          <w:p w14:paraId="67815D6C">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投标有效期</w:t>
            </w:r>
          </w:p>
        </w:tc>
        <w:tc>
          <w:tcPr>
            <w:tcW w:w="7604" w:type="dxa"/>
            <w:vAlign w:val="center"/>
          </w:tcPr>
          <w:p w14:paraId="6F52A8F1">
            <w:pPr>
              <w:pStyle w:val="16"/>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投标截止之日起90天内保持有效（日历天数）</w:t>
            </w:r>
          </w:p>
        </w:tc>
      </w:tr>
      <w:tr w14:paraId="6D80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39" w:type="dxa"/>
            <w:vAlign w:val="center"/>
          </w:tcPr>
          <w:p w14:paraId="3819150E">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8</w:t>
            </w:r>
          </w:p>
        </w:tc>
        <w:tc>
          <w:tcPr>
            <w:tcW w:w="1715" w:type="dxa"/>
            <w:vAlign w:val="center"/>
          </w:tcPr>
          <w:p w14:paraId="7D0D782D">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工期</w:t>
            </w:r>
            <w:r>
              <w:rPr>
                <w:rFonts w:hint="eastAsia" w:ascii="宋体" w:hAnsi="宋体" w:eastAsia="宋体" w:cs="宋体"/>
                <w:b w:val="0"/>
                <w:i w:val="0"/>
                <w:caps w:val="0"/>
                <w:color w:val="auto"/>
                <w:spacing w:val="0"/>
                <w:w w:val="100"/>
                <w:kern w:val="21"/>
                <w:sz w:val="21"/>
                <w:szCs w:val="21"/>
                <w:highlight w:val="none"/>
              </w:rPr>
              <w:t>及</w:t>
            </w:r>
          </w:p>
          <w:p w14:paraId="0E398A57">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质量要求</w:t>
            </w:r>
          </w:p>
        </w:tc>
        <w:tc>
          <w:tcPr>
            <w:tcW w:w="7604" w:type="dxa"/>
            <w:vAlign w:val="center"/>
          </w:tcPr>
          <w:p w14:paraId="3CC75D72">
            <w:pPr>
              <w:pStyle w:val="16"/>
              <w:pageBreakBefore w:val="0"/>
              <w:numPr>
                <w:ilvl w:val="0"/>
                <w:numId w:val="0"/>
              </w:numPr>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工期</w:t>
            </w:r>
            <w:r>
              <w:rPr>
                <w:rFonts w:hint="eastAsia" w:ascii="宋体" w:hAnsi="宋体" w:eastAsia="宋体" w:cs="宋体"/>
                <w:b w:val="0"/>
                <w:i w:val="0"/>
                <w:caps w:val="0"/>
                <w:color w:val="auto"/>
                <w:spacing w:val="0"/>
                <w:w w:val="100"/>
                <w:kern w:val="21"/>
                <w:sz w:val="21"/>
                <w:szCs w:val="21"/>
                <w:highlight w:val="none"/>
                <w:lang w:val="zh-CN"/>
              </w:rPr>
              <w:t>：</w:t>
            </w:r>
            <w:r>
              <w:rPr>
                <w:rFonts w:hint="eastAsia" w:ascii="宋体" w:hAnsi="宋体" w:eastAsia="宋体" w:cs="宋体"/>
                <w:b w:val="0"/>
                <w:i w:val="0"/>
                <w:caps w:val="0"/>
                <w:color w:val="auto"/>
                <w:spacing w:val="0"/>
                <w:w w:val="100"/>
                <w:kern w:val="21"/>
                <w:sz w:val="21"/>
                <w:szCs w:val="21"/>
                <w:highlight w:val="none"/>
                <w:lang w:val="en-US" w:eastAsia="zh-CN"/>
              </w:rPr>
              <w:t>180日历天</w:t>
            </w:r>
          </w:p>
          <w:p w14:paraId="1E3F0967">
            <w:pPr>
              <w:pStyle w:val="16"/>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质量要求：合格</w:t>
            </w:r>
            <w:r>
              <w:rPr>
                <w:rFonts w:hint="eastAsia" w:ascii="宋体" w:hAnsi="宋体" w:eastAsia="宋体" w:cs="宋体"/>
                <w:b w:val="0"/>
                <w:i w:val="0"/>
                <w:caps w:val="0"/>
                <w:color w:val="auto"/>
                <w:spacing w:val="0"/>
                <w:w w:val="100"/>
                <w:kern w:val="21"/>
                <w:sz w:val="21"/>
                <w:szCs w:val="21"/>
                <w:highlight w:val="none"/>
                <w:lang w:eastAsia="zh-CN"/>
              </w:rPr>
              <w:t>，项目建成后院内信息化水平须满足电子病历（智慧医疗）四级标准功能要求。</w:t>
            </w:r>
          </w:p>
        </w:tc>
      </w:tr>
      <w:tr w14:paraId="5803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39" w:type="dxa"/>
            <w:vAlign w:val="center"/>
          </w:tcPr>
          <w:p w14:paraId="6DF89207">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9</w:t>
            </w:r>
          </w:p>
        </w:tc>
        <w:tc>
          <w:tcPr>
            <w:tcW w:w="1715" w:type="dxa"/>
            <w:vAlign w:val="center"/>
          </w:tcPr>
          <w:p w14:paraId="2E503065">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rPr>
              <w:t>供应商资质及信誉能力</w:t>
            </w:r>
          </w:p>
        </w:tc>
        <w:tc>
          <w:tcPr>
            <w:tcW w:w="7604" w:type="dxa"/>
            <w:vAlign w:val="center"/>
          </w:tcPr>
          <w:p w14:paraId="08AEAF42">
            <w:pPr>
              <w:pageBreakBefore w:val="0"/>
              <w:kinsoku/>
              <w:overflowPunct/>
              <w:topLinePunct w:val="0"/>
              <w:autoSpaceDE/>
              <w:autoSpaceDN/>
              <w:bidi w:val="0"/>
              <w:spacing w:line="480" w:lineRule="exact"/>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2）财务状况报告：提供2023年度或2024年度经审计的财务报告，或提交自2025年04月01日以来其基本开户银行出具的资信证明，或信用担保机构出具的投标担保函（以上三种形式的资料提供任何一种即可）；其他组织和自然人提供银行出具的资信证明或财务报表；3</w:t>
            </w:r>
            <w:r>
              <w:rPr>
                <w:rFonts w:hint="eastAsia" w:ascii="宋体" w:hAnsi="宋体" w:eastAsia="宋体" w:cs="宋体"/>
                <w:b w:val="0"/>
                <w:i w:val="0"/>
                <w:caps w:val="0"/>
                <w:color w:val="auto"/>
                <w:spacing w:val="0"/>
                <w:w w:val="100"/>
                <w:kern w:val="21"/>
                <w:sz w:val="21"/>
                <w:szCs w:val="21"/>
                <w:highlight w:val="none"/>
              </w:rPr>
              <w:t>）税收缴纳证明：提供供应商202</w:t>
            </w:r>
            <w:r>
              <w:rPr>
                <w:rFonts w:hint="eastAsia" w:ascii="宋体" w:hAnsi="宋体" w:eastAsia="宋体" w:cs="宋体"/>
                <w:b w:val="0"/>
                <w:i w:val="0"/>
                <w:caps w:val="0"/>
                <w:color w:val="auto"/>
                <w:spacing w:val="0"/>
                <w:w w:val="100"/>
                <w:kern w:val="21"/>
                <w:sz w:val="21"/>
                <w:szCs w:val="21"/>
                <w:highlight w:val="none"/>
                <w:lang w:val="en-US" w:eastAsia="zh-CN"/>
              </w:rPr>
              <w:t>5</w:t>
            </w:r>
            <w:r>
              <w:rPr>
                <w:rFonts w:hint="eastAsia" w:ascii="宋体" w:hAnsi="宋体" w:eastAsia="宋体" w:cs="宋体"/>
                <w:b w:val="0"/>
                <w:i w:val="0"/>
                <w:caps w:val="0"/>
                <w:color w:val="auto"/>
                <w:spacing w:val="0"/>
                <w:w w:val="100"/>
                <w:kern w:val="21"/>
                <w:sz w:val="21"/>
                <w:szCs w:val="21"/>
                <w:highlight w:val="none"/>
              </w:rPr>
              <w:t>年至今任意一个月已缴纳的完税凭证或税务机关开具的完税证明（任意税种），依法免税的单位应提供相关证明材料；</w:t>
            </w:r>
            <w:r>
              <w:rPr>
                <w:rFonts w:hint="eastAsia" w:ascii="宋体" w:hAnsi="宋体" w:eastAsia="宋体" w:cs="宋体"/>
                <w:b w:val="0"/>
                <w:i w:val="0"/>
                <w:caps w:val="0"/>
                <w:color w:val="auto"/>
                <w:spacing w:val="0"/>
                <w:w w:val="100"/>
                <w:kern w:val="21"/>
                <w:sz w:val="21"/>
                <w:szCs w:val="21"/>
                <w:highlight w:val="none"/>
                <w:lang w:val="en-US" w:eastAsia="zh-CN"/>
              </w:rPr>
              <w:t>4</w:t>
            </w:r>
            <w:r>
              <w:rPr>
                <w:rFonts w:hint="eastAsia" w:ascii="宋体" w:hAnsi="宋体" w:eastAsia="宋体" w:cs="宋体"/>
                <w:b w:val="0"/>
                <w:i w:val="0"/>
                <w:caps w:val="0"/>
                <w:color w:val="auto"/>
                <w:spacing w:val="0"/>
                <w:w w:val="100"/>
                <w:kern w:val="21"/>
                <w:sz w:val="21"/>
                <w:szCs w:val="21"/>
                <w:highlight w:val="none"/>
              </w:rPr>
              <w:t>）社会保障资金缴纳证明：提供供应商202</w:t>
            </w:r>
            <w:r>
              <w:rPr>
                <w:rFonts w:hint="eastAsia" w:ascii="宋体" w:hAnsi="宋体" w:eastAsia="宋体" w:cs="宋体"/>
                <w:b w:val="0"/>
                <w:i w:val="0"/>
                <w:caps w:val="0"/>
                <w:color w:val="auto"/>
                <w:spacing w:val="0"/>
                <w:w w:val="100"/>
                <w:kern w:val="21"/>
                <w:sz w:val="21"/>
                <w:szCs w:val="21"/>
                <w:highlight w:val="none"/>
                <w:lang w:val="en-US" w:eastAsia="zh-CN"/>
              </w:rPr>
              <w:t>5</w:t>
            </w:r>
            <w:r>
              <w:rPr>
                <w:rFonts w:hint="eastAsia" w:ascii="宋体" w:hAnsi="宋体" w:eastAsia="宋体" w:cs="宋体"/>
                <w:b w:val="0"/>
                <w:i w:val="0"/>
                <w:caps w:val="0"/>
                <w:color w:val="auto"/>
                <w:spacing w:val="0"/>
                <w:w w:val="100"/>
                <w:kern w:val="21"/>
                <w:sz w:val="21"/>
                <w:szCs w:val="21"/>
                <w:highlight w:val="none"/>
              </w:rPr>
              <w:t>年至今任意一个月的社会保障资金缴存单据或社保机构开具的社会保险参保缴费情况证明。依法不需要缴纳社会保障资金的供应商应提供相关证明文件；</w:t>
            </w:r>
            <w:r>
              <w:rPr>
                <w:rFonts w:hint="eastAsia" w:ascii="宋体" w:hAnsi="宋体" w:eastAsia="宋体" w:cs="宋体"/>
                <w:b w:val="0"/>
                <w:i w:val="0"/>
                <w:caps w:val="0"/>
                <w:color w:val="auto"/>
                <w:spacing w:val="0"/>
                <w:w w:val="100"/>
                <w:kern w:val="21"/>
                <w:sz w:val="21"/>
                <w:szCs w:val="21"/>
                <w:highlight w:val="none"/>
                <w:lang w:val="en-US" w:eastAsia="zh-CN"/>
              </w:rPr>
              <w:t>5</w:t>
            </w:r>
            <w:r>
              <w:rPr>
                <w:rFonts w:hint="eastAsia" w:ascii="宋体" w:hAnsi="宋体" w:eastAsia="宋体" w:cs="宋体"/>
                <w:b w:val="0"/>
                <w:i w:val="0"/>
                <w:caps w:val="0"/>
                <w:color w:val="auto"/>
                <w:spacing w:val="0"/>
                <w:w w:val="100"/>
                <w:kern w:val="21"/>
                <w:sz w:val="21"/>
                <w:szCs w:val="21"/>
                <w:highlight w:val="none"/>
              </w:rPr>
              <w:t>）提供具有履行本合同所必需的设备和专业技术能力的声明；</w:t>
            </w:r>
            <w:r>
              <w:rPr>
                <w:rFonts w:hint="eastAsia" w:ascii="宋体" w:hAnsi="宋体" w:eastAsia="宋体" w:cs="宋体"/>
                <w:b w:val="0"/>
                <w:i w:val="0"/>
                <w:caps w:val="0"/>
                <w:color w:val="auto"/>
                <w:spacing w:val="0"/>
                <w:w w:val="100"/>
                <w:kern w:val="21"/>
                <w:sz w:val="21"/>
                <w:szCs w:val="21"/>
                <w:highlight w:val="none"/>
                <w:lang w:val="en-US" w:eastAsia="zh-CN"/>
              </w:rPr>
              <w:t>6</w:t>
            </w:r>
            <w:r>
              <w:rPr>
                <w:rFonts w:hint="eastAsia" w:ascii="宋体" w:hAnsi="宋体" w:eastAsia="宋体" w:cs="宋体"/>
                <w:b w:val="0"/>
                <w:i w:val="0"/>
                <w:caps w:val="0"/>
                <w:color w:val="auto"/>
                <w:spacing w:val="0"/>
                <w:w w:val="100"/>
                <w:kern w:val="21"/>
                <w:sz w:val="21"/>
                <w:szCs w:val="21"/>
                <w:highlight w:val="none"/>
              </w:rPr>
              <w:t>）出具参加政府采购活动前3年内在经营活动中没有重大违法记录的书面声明；</w:t>
            </w:r>
            <w:r>
              <w:rPr>
                <w:rFonts w:hint="eastAsia" w:ascii="宋体" w:hAnsi="宋体" w:eastAsia="宋体" w:cs="宋体"/>
                <w:b w:val="0"/>
                <w:i w:val="0"/>
                <w:caps w:val="0"/>
                <w:color w:val="auto"/>
                <w:spacing w:val="0"/>
                <w:w w:val="100"/>
                <w:kern w:val="21"/>
                <w:sz w:val="21"/>
                <w:szCs w:val="21"/>
                <w:highlight w:val="none"/>
                <w:lang w:val="en-US" w:eastAsia="zh-CN"/>
              </w:rPr>
              <w:t>7</w:t>
            </w:r>
            <w:r>
              <w:rPr>
                <w:rFonts w:hint="eastAsia" w:ascii="宋体" w:hAnsi="宋体" w:eastAsia="宋体" w:cs="宋体"/>
                <w:b w:val="0"/>
                <w:i w:val="0"/>
                <w:caps w:val="0"/>
                <w:color w:val="auto"/>
                <w:spacing w:val="0"/>
                <w:w w:val="100"/>
                <w:kern w:val="21"/>
                <w:sz w:val="21"/>
                <w:szCs w:val="21"/>
                <w:highlight w:val="none"/>
              </w:rPr>
              <w:t>）法定代表人授权书及被授权人身份证(法定代表人直接参加投标，须提交其身份证原件、复印件及法定代表人身份证明)；</w:t>
            </w:r>
            <w:r>
              <w:rPr>
                <w:rFonts w:hint="eastAsia" w:ascii="宋体" w:hAnsi="宋体" w:eastAsia="宋体" w:cs="宋体"/>
                <w:b w:val="0"/>
                <w:i w:val="0"/>
                <w:caps w:val="0"/>
                <w:color w:val="auto"/>
                <w:spacing w:val="0"/>
                <w:w w:val="100"/>
                <w:kern w:val="21"/>
                <w:sz w:val="21"/>
                <w:szCs w:val="21"/>
                <w:highlight w:val="none"/>
                <w:lang w:val="en-US" w:eastAsia="zh-CN"/>
              </w:rPr>
              <w:t>8</w:t>
            </w:r>
            <w:r>
              <w:rPr>
                <w:rFonts w:hint="eastAsia" w:ascii="宋体" w:hAnsi="宋体" w:eastAsia="宋体" w:cs="宋体"/>
                <w:b w:val="0"/>
                <w:i w:val="0"/>
                <w:caps w:val="0"/>
                <w:color w:val="auto"/>
                <w:spacing w:val="0"/>
                <w:w w:val="100"/>
                <w:kern w:val="21"/>
                <w:sz w:val="21"/>
                <w:szCs w:val="21"/>
                <w:highlight w:val="none"/>
              </w:rPr>
              <w:t>）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r>
              <w:rPr>
                <w:rFonts w:hint="eastAsia" w:ascii="宋体" w:hAnsi="宋体" w:eastAsia="宋体" w:cs="宋体"/>
                <w:b w:val="0"/>
                <w:i w:val="0"/>
                <w:caps w:val="0"/>
                <w:color w:val="auto"/>
                <w:spacing w:val="0"/>
                <w:w w:val="100"/>
                <w:kern w:val="21"/>
                <w:sz w:val="21"/>
                <w:szCs w:val="21"/>
                <w:highlight w:val="none"/>
                <w:lang w:val="en-US" w:eastAsia="zh-CN"/>
              </w:rPr>
              <w:t>9</w:t>
            </w:r>
            <w:r>
              <w:rPr>
                <w:rFonts w:hint="eastAsia" w:ascii="宋体" w:hAnsi="宋体" w:eastAsia="宋体" w:cs="宋体"/>
                <w:b w:val="0"/>
                <w:i w:val="0"/>
                <w:caps w:val="0"/>
                <w:color w:val="auto"/>
                <w:spacing w:val="0"/>
                <w:w w:val="100"/>
                <w:kern w:val="21"/>
                <w:sz w:val="21"/>
                <w:szCs w:val="21"/>
                <w:highlight w:val="none"/>
              </w:rPr>
              <w:t>）本项目不接受联合体投标。</w:t>
            </w:r>
          </w:p>
        </w:tc>
      </w:tr>
      <w:tr w14:paraId="1280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39" w:type="dxa"/>
            <w:vAlign w:val="center"/>
          </w:tcPr>
          <w:p w14:paraId="42BBFA21">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10</w:t>
            </w:r>
          </w:p>
        </w:tc>
        <w:tc>
          <w:tcPr>
            <w:tcW w:w="1715" w:type="dxa"/>
            <w:vAlign w:val="center"/>
          </w:tcPr>
          <w:p w14:paraId="54ED80D0">
            <w:pPr>
              <w:pStyle w:val="16"/>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投标保证金</w:t>
            </w:r>
          </w:p>
        </w:tc>
        <w:tc>
          <w:tcPr>
            <w:tcW w:w="7604" w:type="dxa"/>
          </w:tcPr>
          <w:p w14:paraId="4FF5EEC5">
            <w:pPr>
              <w:pStyle w:val="10"/>
              <w:pageBreakBefore w:val="0"/>
              <w:kinsoku/>
              <w:overflowPunct/>
              <w:topLinePunct w:val="0"/>
              <w:autoSpaceDE/>
              <w:autoSpaceDN/>
              <w:bidi w:val="0"/>
              <w:snapToGrid w:val="0"/>
              <w:spacing w:before="0" w:beforeAutospacing="0" w:after="0" w:afterAutospacing="0" w:line="480" w:lineRule="exact"/>
              <w:ind w:firstLine="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kern w:val="21"/>
                <w:sz w:val="21"/>
                <w:szCs w:val="21"/>
                <w:highlight w:val="none"/>
                <w:lang w:val="zh-CN" w:eastAsia="zh-CN" w:bidi="ar-SA"/>
              </w:rPr>
              <w:t>本项目根据咸阳市财政局文咸财采购【2021】9号规定不收取投标保证金。</w:t>
            </w:r>
          </w:p>
        </w:tc>
      </w:tr>
      <w:tr w14:paraId="458A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vAlign w:val="center"/>
          </w:tcPr>
          <w:p w14:paraId="5711F122">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11</w:t>
            </w:r>
          </w:p>
        </w:tc>
        <w:tc>
          <w:tcPr>
            <w:tcW w:w="1715" w:type="dxa"/>
            <w:vAlign w:val="center"/>
          </w:tcPr>
          <w:p w14:paraId="793BA1B0">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zh-CN"/>
              </w:rPr>
              <w:t>投标文件</w:t>
            </w:r>
            <w:r>
              <w:rPr>
                <w:rFonts w:hint="eastAsia" w:ascii="宋体" w:hAnsi="宋体" w:eastAsia="宋体" w:cs="宋体"/>
                <w:b w:val="0"/>
                <w:i w:val="0"/>
                <w:caps w:val="0"/>
                <w:color w:val="auto"/>
                <w:spacing w:val="0"/>
                <w:w w:val="100"/>
                <w:kern w:val="21"/>
                <w:sz w:val="21"/>
                <w:szCs w:val="21"/>
                <w:highlight w:val="none"/>
              </w:rPr>
              <w:t>装订及</w:t>
            </w:r>
            <w:r>
              <w:rPr>
                <w:rFonts w:hint="eastAsia" w:ascii="宋体" w:hAnsi="宋体" w:eastAsia="宋体" w:cs="宋体"/>
                <w:b w:val="0"/>
                <w:i w:val="0"/>
                <w:caps w:val="0"/>
                <w:color w:val="auto"/>
                <w:spacing w:val="0"/>
                <w:w w:val="100"/>
                <w:kern w:val="21"/>
                <w:sz w:val="21"/>
                <w:szCs w:val="21"/>
                <w:highlight w:val="none"/>
                <w:lang w:val="zh-CN"/>
              </w:rPr>
              <w:t>份数要求</w:t>
            </w:r>
          </w:p>
        </w:tc>
        <w:tc>
          <w:tcPr>
            <w:tcW w:w="7604" w:type="dxa"/>
            <w:vAlign w:val="center"/>
          </w:tcPr>
          <w:p w14:paraId="6AB80ED0">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投标文件正本及各副本分别装订成册（不得采用活页，采用胶装方式装订，</w:t>
            </w:r>
            <w:r>
              <w:rPr>
                <w:rFonts w:hint="eastAsia" w:ascii="宋体" w:hAnsi="宋体" w:eastAsia="宋体" w:cs="宋体"/>
                <w:b w:val="0"/>
                <w:i w:val="0"/>
                <w:caps w:val="0"/>
                <w:color w:val="auto"/>
                <w:spacing w:val="0"/>
                <w:w w:val="100"/>
                <w:sz w:val="21"/>
                <w:szCs w:val="21"/>
                <w:highlight w:val="none"/>
              </w:rPr>
              <w:t>投标文件由技术部分、商务部分组成的文件，不需要分别装订</w:t>
            </w:r>
            <w:r>
              <w:rPr>
                <w:rFonts w:hint="eastAsia" w:ascii="宋体" w:hAnsi="宋体" w:eastAsia="宋体" w:cs="宋体"/>
                <w:b w:val="0"/>
                <w:i w:val="0"/>
                <w:caps w:val="0"/>
                <w:color w:val="auto"/>
                <w:spacing w:val="0"/>
                <w:w w:val="100"/>
                <w:kern w:val="21"/>
                <w:sz w:val="21"/>
                <w:szCs w:val="21"/>
                <w:highlight w:val="none"/>
                <w:lang w:val="zh-CN"/>
              </w:rPr>
              <w:t>），正本壹份，副本</w:t>
            </w:r>
            <w:r>
              <w:rPr>
                <w:rFonts w:hint="eastAsia" w:ascii="宋体" w:hAnsi="宋体" w:eastAsia="宋体" w:cs="宋体"/>
                <w:b w:val="0"/>
                <w:i w:val="0"/>
                <w:caps w:val="0"/>
                <w:color w:val="auto"/>
                <w:spacing w:val="0"/>
                <w:w w:val="100"/>
                <w:kern w:val="21"/>
                <w:sz w:val="21"/>
                <w:szCs w:val="21"/>
                <w:highlight w:val="none"/>
                <w:lang w:val="en-US" w:eastAsia="zh-CN"/>
              </w:rPr>
              <w:t>肆</w:t>
            </w:r>
            <w:r>
              <w:rPr>
                <w:rFonts w:hint="eastAsia" w:ascii="宋体" w:hAnsi="宋体" w:eastAsia="宋体" w:cs="宋体"/>
                <w:b w:val="0"/>
                <w:i w:val="0"/>
                <w:caps w:val="0"/>
                <w:color w:val="auto"/>
                <w:spacing w:val="0"/>
                <w:w w:val="100"/>
                <w:kern w:val="21"/>
                <w:sz w:val="21"/>
                <w:szCs w:val="21"/>
                <w:highlight w:val="none"/>
                <w:lang w:val="zh-CN"/>
              </w:rPr>
              <w:t>份，</w:t>
            </w:r>
            <w:r>
              <w:rPr>
                <w:rFonts w:hint="eastAsia" w:ascii="宋体" w:hAnsi="宋体" w:eastAsia="宋体" w:cs="宋体"/>
                <w:b w:val="0"/>
                <w:i w:val="0"/>
                <w:caps w:val="0"/>
                <w:color w:val="auto"/>
                <w:spacing w:val="0"/>
                <w:w w:val="100"/>
                <w:kern w:val="21"/>
                <w:sz w:val="21"/>
                <w:szCs w:val="21"/>
                <w:highlight w:val="none"/>
              </w:rPr>
              <w:t>电子</w:t>
            </w:r>
            <w:r>
              <w:rPr>
                <w:rFonts w:hint="eastAsia" w:ascii="宋体" w:hAnsi="宋体" w:eastAsia="宋体" w:cs="宋体"/>
                <w:b w:val="0"/>
                <w:i w:val="0"/>
                <w:caps w:val="0"/>
                <w:color w:val="auto"/>
                <w:spacing w:val="0"/>
                <w:w w:val="100"/>
                <w:kern w:val="21"/>
                <w:sz w:val="21"/>
                <w:szCs w:val="21"/>
                <w:highlight w:val="none"/>
                <w:lang w:eastAsia="zh-CN"/>
              </w:rPr>
              <w:t>文件叁份</w:t>
            </w:r>
            <w:r>
              <w:rPr>
                <w:rFonts w:hint="eastAsia" w:ascii="宋体" w:hAnsi="宋体" w:eastAsia="宋体" w:cs="宋体"/>
                <w:b w:val="0"/>
                <w:i w:val="0"/>
                <w:caps w:val="0"/>
                <w:color w:val="auto"/>
                <w:spacing w:val="0"/>
                <w:w w:val="100"/>
                <w:kern w:val="21"/>
                <w:sz w:val="21"/>
                <w:szCs w:val="21"/>
                <w:highlight w:val="none"/>
              </w:rPr>
              <w:t>(U盘</w:t>
            </w:r>
            <w:r>
              <w:rPr>
                <w:rFonts w:hint="eastAsia" w:ascii="宋体" w:hAnsi="宋体" w:eastAsia="宋体" w:cs="宋体"/>
                <w:b w:val="0"/>
                <w:i w:val="0"/>
                <w:caps w:val="0"/>
                <w:color w:val="auto"/>
                <w:spacing w:val="0"/>
                <w:w w:val="100"/>
                <w:kern w:val="21"/>
                <w:sz w:val="21"/>
                <w:szCs w:val="21"/>
                <w:highlight w:val="none"/>
                <w:lang w:val="en-US" w:eastAsia="zh-CN"/>
              </w:rPr>
              <w:t>3</w:t>
            </w:r>
            <w:r>
              <w:rPr>
                <w:rFonts w:hint="eastAsia" w:ascii="宋体" w:hAnsi="宋体" w:eastAsia="宋体" w:cs="宋体"/>
                <w:b w:val="0"/>
                <w:i w:val="0"/>
                <w:caps w:val="0"/>
                <w:color w:val="auto"/>
                <w:spacing w:val="0"/>
                <w:w w:val="100"/>
                <w:kern w:val="21"/>
                <w:sz w:val="21"/>
                <w:szCs w:val="21"/>
                <w:highlight w:val="none"/>
              </w:rPr>
              <w:t>个)</w:t>
            </w:r>
            <w:r>
              <w:rPr>
                <w:rFonts w:hint="eastAsia" w:ascii="宋体" w:hAnsi="宋体" w:eastAsia="宋体" w:cs="宋体"/>
                <w:b w:val="0"/>
                <w:i w:val="0"/>
                <w:caps w:val="0"/>
                <w:color w:val="auto"/>
                <w:spacing w:val="0"/>
                <w:w w:val="100"/>
                <w:kern w:val="21"/>
                <w:sz w:val="21"/>
                <w:szCs w:val="21"/>
                <w:highlight w:val="none"/>
                <w:lang w:val="zh-CN"/>
              </w:rPr>
              <w:t>。</w:t>
            </w:r>
          </w:p>
          <w:p w14:paraId="3E1F4BC5">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bCs/>
                <w:i w:val="0"/>
                <w:caps w:val="0"/>
                <w:color w:val="auto"/>
                <w:spacing w:val="0"/>
                <w:w w:val="100"/>
                <w:kern w:val="21"/>
                <w:sz w:val="21"/>
                <w:szCs w:val="21"/>
                <w:highlight w:val="none"/>
              </w:rPr>
              <w:t>注：</w:t>
            </w:r>
            <w:r>
              <w:rPr>
                <w:rFonts w:hint="eastAsia" w:ascii="宋体" w:hAnsi="宋体" w:eastAsia="宋体" w:cs="宋体"/>
                <w:b/>
                <w:bCs/>
                <w:i w:val="0"/>
                <w:caps w:val="0"/>
                <w:color w:val="auto"/>
                <w:spacing w:val="0"/>
                <w:w w:val="100"/>
                <w:sz w:val="21"/>
                <w:szCs w:val="21"/>
                <w:highlight w:val="none"/>
              </w:rPr>
              <w:t>电子文件包含：</w:t>
            </w:r>
            <w:r>
              <w:rPr>
                <w:rFonts w:hint="eastAsia" w:ascii="宋体" w:hAnsi="宋体" w:eastAsia="宋体" w:cs="宋体"/>
                <w:b/>
                <w:bCs/>
                <w:color w:val="auto"/>
                <w:sz w:val="21"/>
                <w:highlight w:val="none"/>
                <w:u w:val="none" w:color="000000"/>
                <w:lang w:val="en-US" w:eastAsia="zh-CN" w:bidi="ar-SA"/>
              </w:rPr>
              <w:t>word版投标文件及签字盖章扫描后的PDF版投标文件。</w:t>
            </w:r>
          </w:p>
        </w:tc>
      </w:tr>
      <w:tr w14:paraId="306E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9" w:type="dxa"/>
            <w:vAlign w:val="center"/>
          </w:tcPr>
          <w:p w14:paraId="598CFAEF">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12</w:t>
            </w:r>
          </w:p>
        </w:tc>
        <w:tc>
          <w:tcPr>
            <w:tcW w:w="1715" w:type="dxa"/>
            <w:vAlign w:val="center"/>
          </w:tcPr>
          <w:p w14:paraId="406DAA88">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投标文件</w:t>
            </w:r>
          </w:p>
          <w:p w14:paraId="7F0EB9CF">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密封与标识</w:t>
            </w:r>
          </w:p>
        </w:tc>
        <w:tc>
          <w:tcPr>
            <w:tcW w:w="7604" w:type="dxa"/>
            <w:vAlign w:val="center"/>
          </w:tcPr>
          <w:p w14:paraId="0D2BEC76">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所有密封包装均应符合以下要求：</w:t>
            </w:r>
          </w:p>
          <w:p w14:paraId="355802E2">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（1）封套上注明项目名称、项目编号、供应商名称、法定代表人或委托代理人签字或盖章，并加盖单位公章、合同</w:t>
            </w:r>
            <w:r>
              <w:rPr>
                <w:rFonts w:hint="eastAsia" w:ascii="宋体" w:hAnsi="宋体" w:eastAsia="宋体" w:cs="宋体"/>
                <w:b w:val="0"/>
                <w:i w:val="0"/>
                <w:caps w:val="0"/>
                <w:color w:val="auto"/>
                <w:spacing w:val="0"/>
                <w:w w:val="100"/>
                <w:kern w:val="21"/>
                <w:sz w:val="21"/>
                <w:szCs w:val="21"/>
                <w:highlight w:val="none"/>
                <w:lang w:val="en-US" w:eastAsia="zh-CN"/>
              </w:rPr>
              <w:t>包号</w:t>
            </w:r>
            <w:r>
              <w:rPr>
                <w:rFonts w:hint="eastAsia" w:ascii="宋体" w:hAnsi="宋体" w:eastAsia="宋体" w:cs="宋体"/>
                <w:b w:val="0"/>
                <w:i w:val="0"/>
                <w:caps w:val="0"/>
                <w:color w:val="auto"/>
                <w:spacing w:val="0"/>
                <w:w w:val="100"/>
                <w:kern w:val="21"/>
                <w:sz w:val="21"/>
                <w:szCs w:val="21"/>
                <w:highlight w:val="none"/>
                <w:lang w:val="zh-CN"/>
              </w:rPr>
              <w:t>（如有）、地址、年月日、“正本”或“副本”、“于</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lang w:val="zh-CN"/>
              </w:rPr>
              <w:t>年</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lang w:val="zh-CN"/>
              </w:rPr>
              <w:t>月</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lang w:val="zh-CN"/>
              </w:rPr>
              <w:t>日</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lang w:val="zh-CN"/>
              </w:rPr>
              <w:t>前不得开启”字样。</w:t>
            </w:r>
          </w:p>
          <w:p w14:paraId="11AF6319">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（2）投标文件密封要求：电子</w:t>
            </w:r>
            <w:r>
              <w:rPr>
                <w:rFonts w:hint="eastAsia" w:ascii="宋体" w:hAnsi="宋体" w:eastAsia="宋体" w:cs="宋体"/>
                <w:b w:val="0"/>
                <w:i w:val="0"/>
                <w:caps w:val="0"/>
                <w:color w:val="auto"/>
                <w:spacing w:val="0"/>
                <w:w w:val="100"/>
                <w:kern w:val="21"/>
                <w:sz w:val="21"/>
                <w:szCs w:val="21"/>
                <w:highlight w:val="none"/>
                <w:lang w:val="zh-CN" w:eastAsia="zh-CN"/>
              </w:rPr>
              <w:t>文件</w:t>
            </w:r>
            <w:r>
              <w:rPr>
                <w:rFonts w:hint="eastAsia" w:ascii="宋体" w:hAnsi="宋体" w:eastAsia="宋体" w:cs="宋体"/>
                <w:b w:val="0"/>
                <w:i w:val="0"/>
                <w:caps w:val="0"/>
                <w:color w:val="auto"/>
                <w:spacing w:val="0"/>
                <w:w w:val="100"/>
                <w:kern w:val="21"/>
                <w:sz w:val="21"/>
                <w:szCs w:val="21"/>
                <w:highlight w:val="none"/>
                <w:lang w:val="zh-CN"/>
              </w:rPr>
              <w:t>密封在投标文件正本内，正本、副本分开密封。</w:t>
            </w:r>
          </w:p>
          <w:p w14:paraId="3B89494A">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（3）供应商应按照招标文件“第六部分 投标文件格式”中指明的要求进行签署、盖章。</w:t>
            </w:r>
          </w:p>
          <w:p w14:paraId="423861B4">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bCs/>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zh-CN"/>
              </w:rPr>
              <w:t>注：投标文件如果未按上述规定密封和加写标记，采购代理机构将拒绝接收。</w:t>
            </w:r>
          </w:p>
        </w:tc>
      </w:tr>
      <w:tr w14:paraId="6C70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9" w:type="dxa"/>
            <w:vAlign w:val="center"/>
          </w:tcPr>
          <w:p w14:paraId="48C7156F">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13</w:t>
            </w:r>
          </w:p>
        </w:tc>
        <w:tc>
          <w:tcPr>
            <w:tcW w:w="1715" w:type="dxa"/>
            <w:vAlign w:val="center"/>
          </w:tcPr>
          <w:p w14:paraId="65D3DCDE">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投标时</w:t>
            </w:r>
          </w:p>
          <w:p w14:paraId="7B9D89D7">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携带的资料</w:t>
            </w:r>
          </w:p>
        </w:tc>
        <w:tc>
          <w:tcPr>
            <w:tcW w:w="7604" w:type="dxa"/>
          </w:tcPr>
          <w:p w14:paraId="5726E42B">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法定代表人授权书及被授权人身份证原件(法定代表人直接参加投标，须提交其身份证原件、复印件及法定代表人身份证明)；</w:t>
            </w:r>
            <w:r>
              <w:rPr>
                <w:rFonts w:hint="eastAsia" w:ascii="宋体" w:hAnsi="宋体" w:eastAsia="宋体" w:cs="宋体"/>
                <w:b w:val="0"/>
                <w:i w:val="0"/>
                <w:caps w:val="0"/>
                <w:color w:val="auto"/>
                <w:spacing w:val="0"/>
                <w:w w:val="100"/>
                <w:kern w:val="21"/>
                <w:sz w:val="21"/>
                <w:szCs w:val="21"/>
                <w:highlight w:val="none"/>
                <w:lang w:val="en-US" w:eastAsia="zh-CN"/>
              </w:rPr>
              <w:t>注：</w:t>
            </w:r>
            <w:r>
              <w:rPr>
                <w:rFonts w:hint="eastAsia" w:ascii="宋体" w:hAnsi="宋体" w:eastAsia="宋体" w:cs="宋体"/>
                <w:b w:val="0"/>
                <w:i w:val="0"/>
                <w:caps w:val="0"/>
                <w:color w:val="auto"/>
                <w:spacing w:val="0"/>
                <w:w w:val="100"/>
                <w:kern w:val="21"/>
                <w:sz w:val="21"/>
                <w:szCs w:val="21"/>
                <w:highlight w:val="none"/>
                <w:lang w:val="zh-CN"/>
              </w:rPr>
              <w:t>附委托代理人开标前3个月内的社会保险缴纳证明</w:t>
            </w:r>
          </w:p>
        </w:tc>
      </w:tr>
      <w:tr w14:paraId="3792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9" w:type="dxa"/>
            <w:vAlign w:val="center"/>
          </w:tcPr>
          <w:p w14:paraId="537E3E9D">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14</w:t>
            </w:r>
          </w:p>
        </w:tc>
        <w:tc>
          <w:tcPr>
            <w:tcW w:w="1715" w:type="dxa"/>
            <w:vAlign w:val="center"/>
          </w:tcPr>
          <w:p w14:paraId="34BE58D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联合体投标</w:t>
            </w:r>
          </w:p>
        </w:tc>
        <w:tc>
          <w:tcPr>
            <w:tcW w:w="7604" w:type="dxa"/>
            <w:vAlign w:val="center"/>
          </w:tcPr>
          <w:p w14:paraId="10D3EEC8">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rPr>
              <w:t>不接受</w:t>
            </w:r>
          </w:p>
        </w:tc>
      </w:tr>
      <w:tr w14:paraId="2D9A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9" w:type="dxa"/>
            <w:vAlign w:val="center"/>
          </w:tcPr>
          <w:p w14:paraId="5917CCB0">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15</w:t>
            </w:r>
          </w:p>
        </w:tc>
        <w:tc>
          <w:tcPr>
            <w:tcW w:w="1715" w:type="dxa"/>
            <w:vAlign w:val="center"/>
          </w:tcPr>
          <w:p w14:paraId="550FDE14">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踏勘现场</w:t>
            </w:r>
          </w:p>
        </w:tc>
        <w:tc>
          <w:tcPr>
            <w:tcW w:w="7604" w:type="dxa"/>
            <w:vAlign w:val="center"/>
          </w:tcPr>
          <w:p w14:paraId="0C95C073">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rPr>
              <w:t>不组织</w:t>
            </w:r>
          </w:p>
        </w:tc>
      </w:tr>
      <w:tr w14:paraId="21FB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39" w:type="dxa"/>
            <w:vAlign w:val="center"/>
          </w:tcPr>
          <w:p w14:paraId="41E5F325">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16</w:t>
            </w:r>
          </w:p>
        </w:tc>
        <w:tc>
          <w:tcPr>
            <w:tcW w:w="1715" w:type="dxa"/>
            <w:vAlign w:val="center"/>
          </w:tcPr>
          <w:p w14:paraId="6A88B103">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分包</w:t>
            </w:r>
          </w:p>
        </w:tc>
        <w:tc>
          <w:tcPr>
            <w:tcW w:w="7604" w:type="dxa"/>
            <w:vAlign w:val="center"/>
          </w:tcPr>
          <w:p w14:paraId="6DC22E77">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rPr>
              <w:t>不允许分包</w:t>
            </w:r>
          </w:p>
        </w:tc>
      </w:tr>
      <w:tr w14:paraId="204E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39" w:type="dxa"/>
            <w:vAlign w:val="center"/>
          </w:tcPr>
          <w:p w14:paraId="7C776471">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rPr>
              <w:t>1</w:t>
            </w:r>
            <w:r>
              <w:rPr>
                <w:rFonts w:hint="eastAsia" w:ascii="宋体" w:hAnsi="宋体" w:eastAsia="宋体" w:cs="宋体"/>
                <w:b w:val="0"/>
                <w:i w:val="0"/>
                <w:caps w:val="0"/>
                <w:color w:val="auto"/>
                <w:spacing w:val="0"/>
                <w:w w:val="100"/>
                <w:kern w:val="21"/>
                <w:sz w:val="21"/>
                <w:szCs w:val="21"/>
                <w:highlight w:val="none"/>
                <w:lang w:val="en-US" w:eastAsia="zh-CN"/>
              </w:rPr>
              <w:t>7</w:t>
            </w:r>
          </w:p>
        </w:tc>
        <w:tc>
          <w:tcPr>
            <w:tcW w:w="1715" w:type="dxa"/>
            <w:vAlign w:val="center"/>
          </w:tcPr>
          <w:p w14:paraId="44238AC3">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投标文件截止递交时间、地点</w:t>
            </w:r>
          </w:p>
        </w:tc>
        <w:tc>
          <w:tcPr>
            <w:tcW w:w="7604" w:type="dxa"/>
            <w:vAlign w:val="center"/>
          </w:tcPr>
          <w:p w14:paraId="5C1DBD44">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rPr>
              <w:t>投标文件截止递交时间：</w:t>
            </w:r>
            <w:r>
              <w:rPr>
                <w:rFonts w:hint="eastAsia" w:ascii="宋体" w:hAnsi="宋体" w:eastAsia="宋体" w:cs="宋体"/>
                <w:b w:val="0"/>
                <w:i w:val="0"/>
                <w:caps w:val="0"/>
                <w:color w:val="auto"/>
                <w:spacing w:val="0"/>
                <w:w w:val="100"/>
                <w:kern w:val="21"/>
                <w:sz w:val="21"/>
                <w:szCs w:val="21"/>
                <w:highlight w:val="none"/>
                <w:lang w:eastAsia="zh-CN"/>
              </w:rPr>
              <w:t>20</w:t>
            </w:r>
            <w:r>
              <w:rPr>
                <w:rFonts w:hint="eastAsia" w:ascii="宋体" w:hAnsi="宋体" w:eastAsia="宋体" w:cs="宋体"/>
                <w:b w:val="0"/>
                <w:i w:val="0"/>
                <w:caps w:val="0"/>
                <w:color w:val="auto"/>
                <w:spacing w:val="0"/>
                <w:w w:val="100"/>
                <w:kern w:val="21"/>
                <w:sz w:val="21"/>
                <w:szCs w:val="21"/>
                <w:highlight w:val="none"/>
                <w:lang w:val="en-US" w:eastAsia="zh-CN"/>
              </w:rPr>
              <w:t>25</w:t>
            </w:r>
            <w:r>
              <w:rPr>
                <w:rFonts w:hint="eastAsia" w:ascii="宋体" w:hAnsi="宋体" w:eastAsia="宋体" w:cs="宋体"/>
                <w:b w:val="0"/>
                <w:i w:val="0"/>
                <w:caps w:val="0"/>
                <w:color w:val="auto"/>
                <w:spacing w:val="0"/>
                <w:w w:val="100"/>
                <w:kern w:val="21"/>
                <w:sz w:val="21"/>
                <w:szCs w:val="21"/>
                <w:highlight w:val="none"/>
                <w:lang w:eastAsia="zh-CN"/>
              </w:rPr>
              <w:t>年</w:t>
            </w:r>
            <w:r>
              <w:rPr>
                <w:rFonts w:hint="eastAsia" w:ascii="宋体" w:hAnsi="宋体" w:eastAsia="宋体" w:cs="宋体"/>
                <w:b w:val="0"/>
                <w:i w:val="0"/>
                <w:caps w:val="0"/>
                <w:color w:val="auto"/>
                <w:spacing w:val="0"/>
                <w:w w:val="100"/>
                <w:kern w:val="21"/>
                <w:sz w:val="21"/>
                <w:szCs w:val="21"/>
                <w:highlight w:val="none"/>
                <w:lang w:val="en-US" w:eastAsia="zh-CN"/>
              </w:rPr>
              <w:t>11</w:t>
            </w:r>
            <w:r>
              <w:rPr>
                <w:rFonts w:hint="eastAsia" w:ascii="宋体" w:hAnsi="宋体" w:eastAsia="宋体" w:cs="宋体"/>
                <w:b w:val="0"/>
                <w:i w:val="0"/>
                <w:caps w:val="0"/>
                <w:color w:val="auto"/>
                <w:spacing w:val="0"/>
                <w:w w:val="100"/>
                <w:kern w:val="21"/>
                <w:sz w:val="21"/>
                <w:szCs w:val="21"/>
                <w:highlight w:val="none"/>
                <w:lang w:eastAsia="zh-CN"/>
              </w:rPr>
              <w:t>月</w:t>
            </w:r>
            <w:r>
              <w:rPr>
                <w:rFonts w:hint="eastAsia" w:ascii="宋体" w:hAnsi="宋体" w:eastAsia="宋体" w:cs="宋体"/>
                <w:b w:val="0"/>
                <w:i w:val="0"/>
                <w:caps w:val="0"/>
                <w:color w:val="auto"/>
                <w:spacing w:val="0"/>
                <w:w w:val="100"/>
                <w:kern w:val="21"/>
                <w:sz w:val="21"/>
                <w:szCs w:val="21"/>
                <w:highlight w:val="none"/>
                <w:lang w:val="en-US" w:eastAsia="zh-CN"/>
              </w:rPr>
              <w:t>28</w:t>
            </w:r>
            <w:r>
              <w:rPr>
                <w:rFonts w:hint="eastAsia" w:ascii="宋体" w:hAnsi="宋体" w:eastAsia="宋体" w:cs="宋体"/>
                <w:b w:val="0"/>
                <w:i w:val="0"/>
                <w:caps w:val="0"/>
                <w:color w:val="auto"/>
                <w:spacing w:val="0"/>
                <w:w w:val="100"/>
                <w:kern w:val="21"/>
                <w:sz w:val="21"/>
                <w:szCs w:val="21"/>
                <w:highlight w:val="none"/>
                <w:lang w:eastAsia="zh-CN"/>
              </w:rPr>
              <w:t>日14:00</w:t>
            </w:r>
          </w:p>
          <w:p w14:paraId="4EAAB992">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地点：</w:t>
            </w:r>
            <w:r>
              <w:rPr>
                <w:rFonts w:hint="eastAsia" w:ascii="宋体" w:hAnsi="宋体" w:eastAsia="宋体" w:cs="宋体"/>
                <w:b w:val="0"/>
                <w:i w:val="0"/>
                <w:caps w:val="0"/>
                <w:color w:val="auto"/>
                <w:spacing w:val="0"/>
                <w:w w:val="100"/>
                <w:sz w:val="21"/>
                <w:szCs w:val="21"/>
                <w:highlight w:val="none"/>
              </w:rPr>
              <w:t>西安曲江新区雁南五路曲江影视大厦19层会议室</w:t>
            </w:r>
          </w:p>
        </w:tc>
      </w:tr>
      <w:tr w14:paraId="038B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Align w:val="center"/>
          </w:tcPr>
          <w:p w14:paraId="36B3511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rPr>
              <w:t>1</w:t>
            </w:r>
            <w:r>
              <w:rPr>
                <w:rFonts w:hint="eastAsia" w:ascii="宋体" w:hAnsi="宋体" w:eastAsia="宋体" w:cs="宋体"/>
                <w:b w:val="0"/>
                <w:i w:val="0"/>
                <w:caps w:val="0"/>
                <w:color w:val="auto"/>
                <w:spacing w:val="0"/>
                <w:w w:val="100"/>
                <w:kern w:val="21"/>
                <w:sz w:val="21"/>
                <w:szCs w:val="21"/>
                <w:highlight w:val="none"/>
                <w:lang w:val="en-US" w:eastAsia="zh-CN"/>
              </w:rPr>
              <w:t>8</w:t>
            </w:r>
          </w:p>
        </w:tc>
        <w:tc>
          <w:tcPr>
            <w:tcW w:w="1715" w:type="dxa"/>
            <w:vAlign w:val="center"/>
          </w:tcPr>
          <w:p w14:paraId="7183A62A">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开标时间、地点</w:t>
            </w:r>
          </w:p>
        </w:tc>
        <w:tc>
          <w:tcPr>
            <w:tcW w:w="7604" w:type="dxa"/>
            <w:vAlign w:val="center"/>
          </w:tcPr>
          <w:p w14:paraId="7C1E239A">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rPr>
              <w:t>开标时间：</w:t>
            </w:r>
            <w:r>
              <w:rPr>
                <w:rFonts w:hint="eastAsia" w:ascii="宋体" w:hAnsi="宋体" w:eastAsia="宋体" w:cs="宋体"/>
                <w:b w:val="0"/>
                <w:i w:val="0"/>
                <w:caps w:val="0"/>
                <w:color w:val="auto"/>
                <w:spacing w:val="0"/>
                <w:w w:val="100"/>
                <w:kern w:val="21"/>
                <w:sz w:val="21"/>
                <w:szCs w:val="21"/>
                <w:highlight w:val="none"/>
                <w:lang w:eastAsia="zh-CN"/>
              </w:rPr>
              <w:t>20</w:t>
            </w:r>
            <w:r>
              <w:rPr>
                <w:rFonts w:hint="eastAsia" w:ascii="宋体" w:hAnsi="宋体" w:eastAsia="宋体" w:cs="宋体"/>
                <w:b w:val="0"/>
                <w:i w:val="0"/>
                <w:caps w:val="0"/>
                <w:color w:val="auto"/>
                <w:spacing w:val="0"/>
                <w:w w:val="100"/>
                <w:kern w:val="21"/>
                <w:sz w:val="21"/>
                <w:szCs w:val="21"/>
                <w:highlight w:val="none"/>
                <w:lang w:val="en-US" w:eastAsia="zh-CN"/>
              </w:rPr>
              <w:t>25</w:t>
            </w:r>
            <w:r>
              <w:rPr>
                <w:rFonts w:hint="eastAsia" w:ascii="宋体" w:hAnsi="宋体" w:eastAsia="宋体" w:cs="宋体"/>
                <w:b w:val="0"/>
                <w:i w:val="0"/>
                <w:caps w:val="0"/>
                <w:color w:val="auto"/>
                <w:spacing w:val="0"/>
                <w:w w:val="100"/>
                <w:kern w:val="21"/>
                <w:sz w:val="21"/>
                <w:szCs w:val="21"/>
                <w:highlight w:val="none"/>
                <w:lang w:eastAsia="zh-CN"/>
              </w:rPr>
              <w:t>年</w:t>
            </w:r>
            <w:r>
              <w:rPr>
                <w:rFonts w:hint="eastAsia" w:ascii="宋体" w:hAnsi="宋体" w:eastAsia="宋体" w:cs="宋体"/>
                <w:b w:val="0"/>
                <w:i w:val="0"/>
                <w:caps w:val="0"/>
                <w:color w:val="auto"/>
                <w:spacing w:val="0"/>
                <w:w w:val="100"/>
                <w:kern w:val="21"/>
                <w:sz w:val="21"/>
                <w:szCs w:val="21"/>
                <w:highlight w:val="none"/>
                <w:lang w:val="en-US" w:eastAsia="zh-CN"/>
              </w:rPr>
              <w:t>11</w:t>
            </w:r>
            <w:r>
              <w:rPr>
                <w:rFonts w:hint="eastAsia" w:ascii="宋体" w:hAnsi="宋体" w:eastAsia="宋体" w:cs="宋体"/>
                <w:b w:val="0"/>
                <w:i w:val="0"/>
                <w:caps w:val="0"/>
                <w:color w:val="auto"/>
                <w:spacing w:val="0"/>
                <w:w w:val="100"/>
                <w:kern w:val="21"/>
                <w:sz w:val="21"/>
                <w:szCs w:val="21"/>
                <w:highlight w:val="none"/>
                <w:lang w:eastAsia="zh-CN"/>
              </w:rPr>
              <w:t>月</w:t>
            </w:r>
            <w:r>
              <w:rPr>
                <w:rFonts w:hint="eastAsia" w:ascii="宋体" w:hAnsi="宋体" w:eastAsia="宋体" w:cs="宋体"/>
                <w:b w:val="0"/>
                <w:i w:val="0"/>
                <w:caps w:val="0"/>
                <w:color w:val="auto"/>
                <w:spacing w:val="0"/>
                <w:w w:val="100"/>
                <w:kern w:val="21"/>
                <w:sz w:val="21"/>
                <w:szCs w:val="21"/>
                <w:highlight w:val="none"/>
                <w:lang w:val="en-US" w:eastAsia="zh-CN"/>
              </w:rPr>
              <w:t>28</w:t>
            </w:r>
            <w:r>
              <w:rPr>
                <w:rFonts w:hint="eastAsia" w:ascii="宋体" w:hAnsi="宋体" w:eastAsia="宋体" w:cs="宋体"/>
                <w:b w:val="0"/>
                <w:i w:val="0"/>
                <w:caps w:val="0"/>
                <w:color w:val="auto"/>
                <w:spacing w:val="0"/>
                <w:w w:val="100"/>
                <w:kern w:val="21"/>
                <w:sz w:val="21"/>
                <w:szCs w:val="21"/>
                <w:highlight w:val="none"/>
                <w:lang w:eastAsia="zh-CN"/>
              </w:rPr>
              <w:t>日14:00</w:t>
            </w:r>
          </w:p>
          <w:p w14:paraId="6F20B469">
            <w:pPr>
              <w:pageBreakBefore w:val="0"/>
              <w:tabs>
                <w:tab w:val="left" w:pos="404"/>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开标地点：</w:t>
            </w:r>
            <w:r>
              <w:rPr>
                <w:rFonts w:hint="eastAsia" w:ascii="宋体" w:hAnsi="宋体" w:eastAsia="宋体" w:cs="宋体"/>
                <w:b w:val="0"/>
                <w:i w:val="0"/>
                <w:caps w:val="0"/>
                <w:color w:val="auto"/>
                <w:spacing w:val="0"/>
                <w:w w:val="100"/>
                <w:sz w:val="21"/>
                <w:szCs w:val="21"/>
                <w:highlight w:val="none"/>
              </w:rPr>
              <w:t>西安曲江新区雁南五路曲江影视大厦19层会议室</w:t>
            </w:r>
          </w:p>
        </w:tc>
      </w:tr>
      <w:tr w14:paraId="6BC9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39" w:type="dxa"/>
            <w:vAlign w:val="center"/>
          </w:tcPr>
          <w:p w14:paraId="608AD317">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19</w:t>
            </w:r>
          </w:p>
        </w:tc>
        <w:tc>
          <w:tcPr>
            <w:tcW w:w="1715" w:type="dxa"/>
            <w:vAlign w:val="center"/>
          </w:tcPr>
          <w:p w14:paraId="12BC73C7">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评审办法</w:t>
            </w:r>
          </w:p>
        </w:tc>
        <w:tc>
          <w:tcPr>
            <w:tcW w:w="7604" w:type="dxa"/>
            <w:vAlign w:val="center"/>
          </w:tcPr>
          <w:p w14:paraId="5E50F84F">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综合评分法，详见第二</w:t>
            </w:r>
            <w:r>
              <w:rPr>
                <w:rFonts w:hint="eastAsia" w:ascii="宋体" w:hAnsi="宋体" w:eastAsia="宋体" w:cs="宋体"/>
                <w:b w:val="0"/>
                <w:i w:val="0"/>
                <w:caps w:val="0"/>
                <w:color w:val="auto"/>
                <w:spacing w:val="0"/>
                <w:w w:val="100"/>
                <w:kern w:val="21"/>
                <w:sz w:val="21"/>
                <w:szCs w:val="21"/>
                <w:highlight w:val="none"/>
                <w:lang w:eastAsia="zh-CN"/>
              </w:rPr>
              <w:t>部分</w:t>
            </w:r>
            <w:r>
              <w:rPr>
                <w:rFonts w:hint="eastAsia" w:ascii="宋体" w:hAnsi="宋体" w:eastAsia="宋体" w:cs="宋体"/>
                <w:b w:val="0"/>
                <w:i w:val="0"/>
                <w:caps w:val="0"/>
                <w:color w:val="auto"/>
                <w:spacing w:val="0"/>
                <w:w w:val="100"/>
                <w:kern w:val="21"/>
                <w:sz w:val="21"/>
                <w:szCs w:val="21"/>
                <w:highlight w:val="none"/>
              </w:rPr>
              <w:t>（十三）评标办法和评标标准。</w:t>
            </w:r>
          </w:p>
        </w:tc>
      </w:tr>
      <w:tr w14:paraId="21F2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Align w:val="center"/>
          </w:tcPr>
          <w:p w14:paraId="6DCB45E9">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20</w:t>
            </w:r>
          </w:p>
        </w:tc>
        <w:tc>
          <w:tcPr>
            <w:tcW w:w="1715" w:type="dxa"/>
            <w:vAlign w:val="center"/>
          </w:tcPr>
          <w:p w14:paraId="13C0E22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kern w:val="21"/>
                <w:sz w:val="21"/>
                <w:szCs w:val="21"/>
                <w:highlight w:val="none"/>
              </w:rPr>
              <w:t>合同签订地点</w:t>
            </w:r>
          </w:p>
        </w:tc>
        <w:tc>
          <w:tcPr>
            <w:tcW w:w="7604" w:type="dxa"/>
            <w:vAlign w:val="center"/>
          </w:tcPr>
          <w:p w14:paraId="729DA3E4">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采购人与中标单位自行约定。</w:t>
            </w:r>
          </w:p>
        </w:tc>
      </w:tr>
      <w:tr w14:paraId="3B7B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639" w:type="dxa"/>
            <w:vAlign w:val="center"/>
          </w:tcPr>
          <w:p w14:paraId="3993709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bCs/>
                <w:i w:val="0"/>
                <w:caps w:val="0"/>
                <w:color w:val="auto"/>
                <w:spacing w:val="0"/>
                <w:w w:val="100"/>
                <w:kern w:val="21"/>
                <w:sz w:val="21"/>
                <w:szCs w:val="21"/>
                <w:highlight w:val="none"/>
                <w:lang w:val="en-US" w:eastAsia="zh-CN"/>
              </w:rPr>
            </w:pPr>
            <w:r>
              <w:rPr>
                <w:rFonts w:hint="eastAsia" w:ascii="宋体" w:hAnsi="宋体" w:eastAsia="宋体" w:cs="宋体"/>
                <w:b/>
                <w:bCs/>
                <w:i w:val="0"/>
                <w:caps w:val="0"/>
                <w:color w:val="auto"/>
                <w:spacing w:val="0"/>
                <w:w w:val="100"/>
                <w:kern w:val="21"/>
                <w:sz w:val="21"/>
                <w:szCs w:val="21"/>
                <w:highlight w:val="none"/>
                <w:lang w:val="en-US" w:eastAsia="zh-CN"/>
              </w:rPr>
              <w:t>21</w:t>
            </w:r>
          </w:p>
        </w:tc>
        <w:tc>
          <w:tcPr>
            <w:tcW w:w="1715" w:type="dxa"/>
            <w:vAlign w:val="center"/>
          </w:tcPr>
          <w:p w14:paraId="15C86A67">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color w:val="auto"/>
                <w:kern w:val="2"/>
                <w:szCs w:val="21"/>
                <w:highlight w:val="none"/>
              </w:rPr>
              <w:t>项目性质</w:t>
            </w:r>
          </w:p>
        </w:tc>
        <w:tc>
          <w:tcPr>
            <w:tcW w:w="7604" w:type="dxa"/>
            <w:vAlign w:val="center"/>
          </w:tcPr>
          <w:p w14:paraId="70E00A19">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left"/>
              <w:rPr>
                <w:rFonts w:hint="eastAsia" w:ascii="宋体" w:hAnsi="宋体" w:eastAsia="宋体" w:cs="宋体"/>
                <w:b/>
                <w:bCs/>
                <w:color w:val="auto"/>
                <w:kern w:val="2"/>
                <w:szCs w:val="21"/>
                <w:highlight w:val="none"/>
              </w:rPr>
            </w:pP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bCs/>
                <w:color w:val="auto"/>
                <w:kern w:val="2"/>
                <w:szCs w:val="21"/>
                <w:highlight w:val="none"/>
              </w:rPr>
              <w:t>非专门面向中小企业采购</w:t>
            </w:r>
          </w:p>
          <w:p w14:paraId="2954076F">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对符合《政府采购促进中小企业发展管理办法》(财库{2020}46号)规定的小微企业(监狱企业视同小型、微型企业)的报价给予</w:t>
            </w:r>
            <w:r>
              <w:rPr>
                <w:rFonts w:hint="eastAsia" w:ascii="宋体" w:hAnsi="宋体" w:eastAsia="宋体" w:cs="宋体"/>
                <w:b/>
                <w:bCs/>
                <w:color w:val="auto"/>
                <w:kern w:val="2"/>
                <w:szCs w:val="21"/>
                <w:highlight w:val="none"/>
                <w:u w:val="single"/>
              </w:rPr>
              <w:t xml:space="preserve"> </w:t>
            </w:r>
            <w:r>
              <w:rPr>
                <w:rFonts w:hint="eastAsia" w:ascii="宋体" w:hAnsi="宋体" w:eastAsia="宋体" w:cs="宋体"/>
                <w:b/>
                <w:bCs/>
                <w:color w:val="auto"/>
                <w:kern w:val="2"/>
                <w:szCs w:val="21"/>
                <w:highlight w:val="none"/>
                <w:u w:val="single"/>
                <w:lang w:val="en-US" w:eastAsia="zh-CN"/>
              </w:rPr>
              <w:t>10</w:t>
            </w:r>
            <w:r>
              <w:rPr>
                <w:rFonts w:hint="eastAsia" w:ascii="宋体" w:hAnsi="宋体" w:eastAsia="宋体" w:cs="宋体"/>
                <w:b/>
                <w:bCs/>
                <w:color w:val="auto"/>
                <w:kern w:val="2"/>
                <w:szCs w:val="21"/>
                <w:highlight w:val="none"/>
                <w:u w:val="single"/>
              </w:rPr>
              <w:t xml:space="preserve"> </w:t>
            </w:r>
            <w:r>
              <w:rPr>
                <w:rFonts w:hint="eastAsia" w:ascii="宋体" w:hAnsi="宋体" w:eastAsia="宋体" w:cs="宋体"/>
                <w:b/>
                <w:bCs/>
                <w:color w:val="auto"/>
                <w:kern w:val="2"/>
                <w:szCs w:val="21"/>
                <w:highlight w:val="none"/>
              </w:rPr>
              <w:t>％</w:t>
            </w:r>
            <w:r>
              <w:rPr>
                <w:rFonts w:hint="eastAsia" w:ascii="宋体" w:hAnsi="宋体" w:eastAsia="宋体" w:cs="宋体"/>
                <w:b/>
                <w:bCs/>
                <w:color w:val="auto"/>
                <w:kern w:val="2"/>
                <w:szCs w:val="21"/>
                <w:highlight w:val="none"/>
                <w:lang w:val="en-US" w:eastAsia="zh-CN"/>
              </w:rPr>
              <w:t xml:space="preserve"> </w:t>
            </w:r>
            <w:r>
              <w:rPr>
                <w:rFonts w:hint="eastAsia" w:ascii="宋体" w:hAnsi="宋体" w:eastAsia="宋体" w:cs="宋体"/>
                <w:b/>
                <w:bCs/>
                <w:color w:val="auto"/>
                <w:kern w:val="2"/>
                <w:szCs w:val="21"/>
                <w:highlight w:val="none"/>
              </w:rPr>
              <w:t>的扣除,用扣除后的价格参加评审。</w:t>
            </w:r>
          </w:p>
          <w:p w14:paraId="310278F4">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left"/>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14:paraId="457E6D5D">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left"/>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专门面向中小企业采购</w:t>
            </w:r>
          </w:p>
          <w:p w14:paraId="49826F3A">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leftChars="0" w:right="0" w:rightChars="0"/>
              <w:jc w:val="left"/>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val="0"/>
                <w:bCs w:val="0"/>
                <w:color w:val="auto"/>
                <w:kern w:val="2"/>
                <w:szCs w:val="21"/>
                <w:highlight w:val="none"/>
              </w:rPr>
              <w:t>仅允许中小企业或小型、微型企业参与投标。</w:t>
            </w:r>
          </w:p>
        </w:tc>
      </w:tr>
      <w:tr w14:paraId="7E72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Align w:val="center"/>
          </w:tcPr>
          <w:p w14:paraId="6281F76E">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bCs/>
                <w:i w:val="0"/>
                <w:caps w:val="0"/>
                <w:color w:val="auto"/>
                <w:spacing w:val="0"/>
                <w:w w:val="100"/>
                <w:kern w:val="21"/>
                <w:sz w:val="21"/>
                <w:szCs w:val="21"/>
                <w:highlight w:val="none"/>
              </w:rPr>
              <w:t>22</w:t>
            </w:r>
          </w:p>
        </w:tc>
        <w:tc>
          <w:tcPr>
            <w:tcW w:w="1715" w:type="dxa"/>
            <w:vAlign w:val="center"/>
          </w:tcPr>
          <w:p w14:paraId="1114B774">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招标代理服务费</w:t>
            </w:r>
          </w:p>
          <w:p w14:paraId="0D85ACC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（中标服务费）</w:t>
            </w:r>
          </w:p>
        </w:tc>
        <w:tc>
          <w:tcPr>
            <w:tcW w:w="7604" w:type="dxa"/>
            <w:vAlign w:val="center"/>
          </w:tcPr>
          <w:p w14:paraId="747FBC35">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i w:val="0"/>
                <w:caps w:val="0"/>
                <w:color w:val="auto"/>
                <w:spacing w:val="0"/>
                <w:w w:val="100"/>
                <w:sz w:val="21"/>
                <w:szCs w:val="21"/>
                <w:highlight w:val="none"/>
                <w:lang w:val="zh-CN"/>
              </w:rPr>
            </w:pPr>
            <w:r>
              <w:rPr>
                <w:rFonts w:hint="eastAsia" w:ascii="宋体" w:hAnsi="宋体" w:eastAsia="宋体" w:cs="宋体"/>
                <w:b/>
                <w:color w:val="auto"/>
                <w:highlight w:val="none"/>
                <w:u w:val="none" w:color="auto"/>
              </w:rPr>
              <w:t>按照“国家计委关于印发《招标代理服务收费管理暂行办法》的通知（计价格[2002]1980号）、国家发展改革委《关于降低部分建设项目收费标准规范收费行为等有关问题的通知》（发改价格[2011]534号）”规定收费标准收取。</w:t>
            </w:r>
            <w:r>
              <w:rPr>
                <w:rFonts w:hint="eastAsia" w:ascii="宋体" w:hAnsi="宋体" w:eastAsia="宋体" w:cs="宋体"/>
                <w:b/>
                <w:i w:val="0"/>
                <w:caps w:val="0"/>
                <w:color w:val="auto"/>
                <w:spacing w:val="0"/>
                <w:w w:val="100"/>
                <w:sz w:val="21"/>
                <w:szCs w:val="21"/>
                <w:highlight w:val="none"/>
                <w:lang w:val="zh-CN"/>
              </w:rPr>
              <w:t>结算时以项目中标价为基数，按照合同签订收取比例计算招标代理服务费。代理服务费由中标单位领取中标通知书前以转账或现金形式一次性付清。</w:t>
            </w:r>
          </w:p>
          <w:p w14:paraId="582A7E9E">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rPr>
              <w:t>招标代理服务费收款账户信息：</w:t>
            </w:r>
          </w:p>
          <w:p w14:paraId="11FB726F">
            <w:pPr>
              <w:pageBreakBefore w:val="0"/>
              <w:widowControl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招标代理机构开户名称：嘉翔项目管理有限公司</w:t>
            </w:r>
          </w:p>
          <w:p w14:paraId="22E47B6D">
            <w:pPr>
              <w:pageBreakBefore w:val="0"/>
              <w:widowControl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开户行名称：中国建设银行股份有限公司西安八里村支行</w:t>
            </w:r>
          </w:p>
          <w:p w14:paraId="0023736E">
            <w:pPr>
              <w:pageBreakBefore w:val="0"/>
              <w:widowControl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账号：61050172370000000288</w:t>
            </w:r>
          </w:p>
          <w:p w14:paraId="12676F8F">
            <w:pPr>
              <w:pageBreakBefore w:val="0"/>
              <w:widowControl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rPr>
              <w:t>转账附言：</w:t>
            </w:r>
            <w:r>
              <w:rPr>
                <w:rFonts w:hint="eastAsia" w:ascii="宋体" w:hAnsi="宋体" w:eastAsia="宋体" w:cs="宋体"/>
                <w:b w:val="0"/>
                <w:i w:val="0"/>
                <w:caps w:val="0"/>
                <w:color w:val="auto"/>
                <w:spacing w:val="0"/>
                <w:w w:val="100"/>
                <w:kern w:val="21"/>
                <w:sz w:val="21"/>
                <w:szCs w:val="21"/>
                <w:highlight w:val="none"/>
                <w:lang w:eastAsia="zh-CN"/>
              </w:rPr>
              <w:t>JXZB20</w:t>
            </w:r>
            <w:r>
              <w:rPr>
                <w:rFonts w:hint="eastAsia" w:ascii="宋体" w:hAnsi="宋体" w:eastAsia="宋体" w:cs="宋体"/>
                <w:b w:val="0"/>
                <w:i w:val="0"/>
                <w:caps w:val="0"/>
                <w:color w:val="auto"/>
                <w:spacing w:val="0"/>
                <w:w w:val="100"/>
                <w:kern w:val="21"/>
                <w:sz w:val="21"/>
                <w:szCs w:val="21"/>
                <w:highlight w:val="none"/>
                <w:lang w:val="en-US" w:eastAsia="zh-CN"/>
              </w:rPr>
              <w:t>25</w:t>
            </w:r>
            <w:r>
              <w:rPr>
                <w:rFonts w:hint="eastAsia" w:ascii="宋体" w:hAnsi="宋体" w:eastAsia="宋体" w:cs="宋体"/>
                <w:b w:val="0"/>
                <w:i w:val="0"/>
                <w:caps w:val="0"/>
                <w:color w:val="auto"/>
                <w:spacing w:val="0"/>
                <w:w w:val="100"/>
                <w:kern w:val="21"/>
                <w:sz w:val="21"/>
                <w:szCs w:val="21"/>
                <w:highlight w:val="none"/>
                <w:lang w:eastAsia="zh-CN"/>
              </w:rPr>
              <w:t>-</w:t>
            </w:r>
            <w:r>
              <w:rPr>
                <w:rFonts w:hint="eastAsia" w:ascii="宋体" w:hAnsi="宋体" w:eastAsia="宋体" w:cs="宋体"/>
                <w:b w:val="0"/>
                <w:i w:val="0"/>
                <w:caps w:val="0"/>
                <w:color w:val="auto"/>
                <w:spacing w:val="0"/>
                <w:w w:val="100"/>
                <w:kern w:val="21"/>
                <w:sz w:val="21"/>
                <w:szCs w:val="21"/>
                <w:highlight w:val="none"/>
                <w:lang w:val="en-US" w:eastAsia="zh-CN"/>
              </w:rPr>
              <w:t>039</w:t>
            </w:r>
            <w:r>
              <w:rPr>
                <w:rFonts w:hint="eastAsia" w:ascii="宋体" w:hAnsi="宋体" w:eastAsia="宋体" w:cs="宋体"/>
                <w:b w:val="0"/>
                <w:i w:val="0"/>
                <w:caps w:val="0"/>
                <w:color w:val="auto"/>
                <w:spacing w:val="0"/>
                <w:w w:val="100"/>
                <w:kern w:val="21"/>
                <w:sz w:val="21"/>
                <w:szCs w:val="21"/>
                <w:highlight w:val="none"/>
              </w:rPr>
              <w:t>代理服务费</w:t>
            </w:r>
          </w:p>
          <w:p w14:paraId="668C1940">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bCs/>
                <w:i w:val="0"/>
                <w:caps w:val="0"/>
                <w:color w:val="auto"/>
                <w:spacing w:val="0"/>
                <w:w w:val="100"/>
                <w:sz w:val="21"/>
                <w:szCs w:val="21"/>
                <w:highlight w:val="none"/>
              </w:rPr>
              <w:t>注：中标人支付招标代理服务费后，请将转账凭证、单位开票信息、发票收件人地址信息发至3363927373@qq.com，如有疑问，可致电</w:t>
            </w:r>
            <w:r>
              <w:rPr>
                <w:rFonts w:hint="eastAsia" w:ascii="宋体" w:hAnsi="宋体" w:eastAsia="宋体" w:cs="宋体"/>
                <w:b/>
                <w:bCs/>
                <w:i w:val="0"/>
                <w:caps w:val="0"/>
                <w:color w:val="auto"/>
                <w:spacing w:val="0"/>
                <w:w w:val="100"/>
                <w:sz w:val="21"/>
                <w:szCs w:val="21"/>
                <w:highlight w:val="none"/>
                <w:lang w:val="en-US" w:eastAsia="zh-CN"/>
              </w:rPr>
              <w:t>0</w:t>
            </w:r>
            <w:r>
              <w:rPr>
                <w:rFonts w:hint="eastAsia" w:ascii="宋体" w:hAnsi="宋体" w:eastAsia="宋体" w:cs="宋体"/>
                <w:b/>
                <w:bCs/>
                <w:i w:val="0"/>
                <w:caps w:val="0"/>
                <w:color w:val="auto"/>
                <w:spacing w:val="0"/>
                <w:w w:val="100"/>
                <w:sz w:val="21"/>
                <w:szCs w:val="21"/>
                <w:highlight w:val="none"/>
              </w:rPr>
              <w:t>29-85495286 转 8009。</w:t>
            </w:r>
          </w:p>
        </w:tc>
      </w:tr>
      <w:tr w14:paraId="1A99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39" w:type="dxa"/>
            <w:vAlign w:val="center"/>
          </w:tcPr>
          <w:p w14:paraId="66842104">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b/>
                <w:bCs/>
                <w:i w:val="0"/>
                <w:caps w:val="0"/>
                <w:color w:val="auto"/>
                <w:spacing w:val="0"/>
                <w:w w:val="100"/>
                <w:kern w:val="21"/>
                <w:sz w:val="21"/>
                <w:szCs w:val="21"/>
                <w:highlight w:val="none"/>
                <w:lang w:val="en-US" w:eastAsia="zh-CN"/>
              </w:rPr>
            </w:pPr>
            <w:r>
              <w:rPr>
                <w:rFonts w:hint="eastAsia" w:ascii="宋体" w:hAnsi="宋体" w:eastAsia="宋体" w:cs="宋体"/>
                <w:b w:val="0"/>
                <w:bCs w:val="0"/>
                <w:color w:val="auto"/>
                <w:kern w:val="2"/>
                <w:szCs w:val="21"/>
                <w:highlight w:val="none"/>
                <w:lang w:val="en-US" w:eastAsia="zh-CN"/>
              </w:rPr>
              <w:t>23</w:t>
            </w:r>
          </w:p>
        </w:tc>
        <w:tc>
          <w:tcPr>
            <w:tcW w:w="1715" w:type="dxa"/>
            <w:vAlign w:val="center"/>
          </w:tcPr>
          <w:p w14:paraId="2EFBA462">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项目类别、采购标的所属行业</w:t>
            </w:r>
          </w:p>
        </w:tc>
        <w:tc>
          <w:tcPr>
            <w:tcW w:w="7604" w:type="dxa"/>
            <w:vAlign w:val="center"/>
          </w:tcPr>
          <w:p w14:paraId="5E4BD440">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lang w:val="en-US"/>
              </w:rPr>
            </w:pPr>
            <w:r>
              <w:rPr>
                <w:rFonts w:hint="eastAsia" w:ascii="宋体" w:hAnsi="宋体" w:eastAsia="宋体" w:cs="宋体"/>
                <w:b w:val="0"/>
                <w:i w:val="0"/>
                <w:caps w:val="0"/>
                <w:color w:val="auto"/>
                <w:spacing w:val="0"/>
                <w:w w:val="100"/>
                <w:kern w:val="21"/>
                <w:sz w:val="21"/>
                <w:szCs w:val="21"/>
                <w:highlight w:val="none"/>
                <w:lang w:val="en-US" w:eastAsia="zh-CN"/>
              </w:rPr>
              <w:t>工程</w:t>
            </w:r>
            <w:r>
              <w:rPr>
                <w:rFonts w:hint="eastAsia" w:ascii="宋体" w:hAnsi="宋体" w:eastAsia="宋体" w:cs="宋体"/>
                <w:b w:val="0"/>
                <w:i w:val="0"/>
                <w:caps w:val="0"/>
                <w:color w:val="auto"/>
                <w:spacing w:val="0"/>
                <w:w w:val="100"/>
                <w:kern w:val="21"/>
                <w:sz w:val="21"/>
                <w:szCs w:val="21"/>
                <w:highlight w:val="none"/>
                <w:lang w:eastAsia="zh-CN"/>
              </w:rPr>
              <w:t>；软件和信息技术服务业</w:t>
            </w:r>
          </w:p>
        </w:tc>
      </w:tr>
      <w:tr w14:paraId="398F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Align w:val="center"/>
          </w:tcPr>
          <w:p w14:paraId="4763F2A0">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bCs/>
                <w:i w:val="0"/>
                <w:caps w:val="0"/>
                <w:color w:val="auto"/>
                <w:spacing w:val="0"/>
                <w:w w:val="100"/>
                <w:kern w:val="21"/>
                <w:sz w:val="21"/>
                <w:szCs w:val="21"/>
                <w:highlight w:val="none"/>
                <w:lang w:val="en-US" w:eastAsia="zh-CN"/>
              </w:rPr>
              <w:t>24</w:t>
            </w:r>
          </w:p>
        </w:tc>
        <w:tc>
          <w:tcPr>
            <w:tcW w:w="1715" w:type="dxa"/>
            <w:vAlign w:val="center"/>
          </w:tcPr>
          <w:p w14:paraId="285BADF5">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bCs/>
                <w:i w:val="0"/>
                <w:caps w:val="0"/>
                <w:color w:val="auto"/>
                <w:spacing w:val="0"/>
                <w:w w:val="100"/>
                <w:sz w:val="21"/>
                <w:szCs w:val="21"/>
                <w:highlight w:val="none"/>
              </w:rPr>
              <w:t>补充说明</w:t>
            </w:r>
            <w:r>
              <w:rPr>
                <w:rFonts w:hint="eastAsia" w:ascii="宋体" w:hAnsi="宋体" w:eastAsia="宋体" w:cs="宋体"/>
                <w:b/>
                <w:bCs/>
                <w:i w:val="0"/>
                <w:caps w:val="0"/>
                <w:color w:val="auto"/>
                <w:spacing w:val="0"/>
                <w:w w:val="100"/>
                <w:sz w:val="21"/>
                <w:szCs w:val="21"/>
                <w:highlight w:val="none"/>
                <w:lang w:val="en-US" w:eastAsia="zh-CN"/>
              </w:rPr>
              <w:t>1</w:t>
            </w:r>
          </w:p>
        </w:tc>
        <w:tc>
          <w:tcPr>
            <w:tcW w:w="7604" w:type="dxa"/>
            <w:vAlign w:val="center"/>
          </w:tcPr>
          <w:p w14:paraId="68AA4287">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bCs/>
                <w:i w:val="0"/>
                <w:caps w:val="0"/>
                <w:color w:val="auto"/>
                <w:spacing w:val="0"/>
                <w:w w:val="100"/>
                <w:sz w:val="21"/>
                <w:szCs w:val="21"/>
                <w:highlight w:val="none"/>
              </w:rPr>
              <w:t>致各供应商：陕西省政府采购网于2018年12月27日发布《陕西省财政厅关于政府采购供应商注册登记有关事项的通知》，请各供应商尽快完善在陕西省政府采购平台注册或及其它信息（公示期需5个工作日）。如中标后还未入库，导致采购结果无法录入的，后果自行承担。</w:t>
            </w:r>
          </w:p>
        </w:tc>
      </w:tr>
      <w:tr w14:paraId="6FA0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Align w:val="center"/>
          </w:tcPr>
          <w:p w14:paraId="47824E24">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bCs/>
                <w:i w:val="0"/>
                <w:caps w:val="0"/>
                <w:color w:val="auto"/>
                <w:spacing w:val="0"/>
                <w:w w:val="100"/>
                <w:kern w:val="21"/>
                <w:sz w:val="21"/>
                <w:szCs w:val="21"/>
                <w:highlight w:val="none"/>
                <w:lang w:val="en-US" w:eastAsia="zh-CN"/>
              </w:rPr>
            </w:pPr>
            <w:bookmarkStart w:id="8" w:name="_Toc16686"/>
            <w:bookmarkStart w:id="9" w:name="_Toc450138940"/>
            <w:bookmarkStart w:id="10" w:name="_Toc449368375"/>
            <w:r>
              <w:rPr>
                <w:rFonts w:hint="eastAsia" w:ascii="宋体" w:hAnsi="宋体" w:eastAsia="宋体" w:cs="宋体"/>
                <w:b/>
                <w:bCs/>
                <w:i w:val="0"/>
                <w:caps w:val="0"/>
                <w:color w:val="auto"/>
                <w:spacing w:val="0"/>
                <w:w w:val="100"/>
                <w:kern w:val="21"/>
                <w:sz w:val="21"/>
                <w:szCs w:val="21"/>
                <w:highlight w:val="none"/>
                <w:lang w:val="en-US" w:eastAsia="zh-CN"/>
              </w:rPr>
              <w:t>25</w:t>
            </w:r>
          </w:p>
        </w:tc>
        <w:tc>
          <w:tcPr>
            <w:tcW w:w="1715" w:type="dxa"/>
            <w:vAlign w:val="center"/>
          </w:tcPr>
          <w:p w14:paraId="388B7E88">
            <w:pPr>
              <w:pageBreakBefore w:val="0"/>
              <w:tabs>
                <w:tab w:val="left" w:pos="342"/>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bCs/>
                <w:i w:val="0"/>
                <w:caps w:val="0"/>
                <w:color w:val="auto"/>
                <w:spacing w:val="0"/>
                <w:w w:val="100"/>
                <w:sz w:val="21"/>
                <w:szCs w:val="21"/>
                <w:highlight w:val="none"/>
                <w:lang w:eastAsia="zh-CN"/>
              </w:rPr>
            </w:pPr>
            <w:r>
              <w:rPr>
                <w:rFonts w:hint="eastAsia" w:ascii="宋体" w:hAnsi="宋体" w:eastAsia="宋体" w:cs="宋体"/>
                <w:b/>
                <w:bCs/>
                <w:i w:val="0"/>
                <w:caps w:val="0"/>
                <w:color w:val="auto"/>
                <w:spacing w:val="0"/>
                <w:w w:val="100"/>
                <w:sz w:val="21"/>
                <w:szCs w:val="21"/>
                <w:highlight w:val="none"/>
                <w:lang w:eastAsia="zh-CN"/>
              </w:rPr>
              <w:tab/>
            </w:r>
            <w:r>
              <w:rPr>
                <w:rFonts w:hint="eastAsia" w:ascii="宋体" w:hAnsi="宋体" w:eastAsia="宋体" w:cs="宋体"/>
                <w:b/>
                <w:bCs/>
                <w:i w:val="0"/>
                <w:caps w:val="0"/>
                <w:color w:val="auto"/>
                <w:spacing w:val="0"/>
                <w:w w:val="100"/>
                <w:sz w:val="21"/>
                <w:szCs w:val="21"/>
                <w:highlight w:val="none"/>
              </w:rPr>
              <w:t>补充说明</w:t>
            </w:r>
            <w:r>
              <w:rPr>
                <w:rFonts w:hint="eastAsia" w:ascii="宋体" w:hAnsi="宋体" w:eastAsia="宋体" w:cs="宋体"/>
                <w:b/>
                <w:bCs/>
                <w:i w:val="0"/>
                <w:caps w:val="0"/>
                <w:color w:val="auto"/>
                <w:spacing w:val="0"/>
                <w:w w:val="100"/>
                <w:sz w:val="21"/>
                <w:szCs w:val="21"/>
                <w:highlight w:val="none"/>
                <w:lang w:val="en-US" w:eastAsia="zh-CN"/>
              </w:rPr>
              <w:t>2</w:t>
            </w:r>
          </w:p>
        </w:tc>
        <w:tc>
          <w:tcPr>
            <w:tcW w:w="7604" w:type="dxa"/>
            <w:vAlign w:val="center"/>
          </w:tcPr>
          <w:p w14:paraId="30C9963A">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rPr>
              <w:t>关于弃标的说明：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14:paraId="21C6D237">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rPr>
              <w:t>若您因为一些特殊原因不能参加本次采购活动，请您务必以书面形式加盖单位公章，扫描后发送至邮箱：3363927373@qq.com告知我们，以便我们正常开展后期工作，同时也避免再次打扰您，感谢您的配合。</w:t>
            </w:r>
          </w:p>
        </w:tc>
      </w:tr>
    </w:tbl>
    <w:p w14:paraId="6FE0BC63">
      <w:pPr>
        <w:pStyle w:val="4"/>
        <w:pageBreakBefore w:val="0"/>
        <w:kinsoku/>
        <w:overflowPunct/>
        <w:topLinePunct w:val="0"/>
        <w:autoSpaceDE/>
        <w:autoSpaceDN/>
        <w:bidi w:val="0"/>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二、供应商须知</w:t>
      </w:r>
      <w:bookmarkEnd w:id="8"/>
      <w:bookmarkEnd w:id="9"/>
      <w:bookmarkEnd w:id="10"/>
    </w:p>
    <w:p w14:paraId="33D8CB9E">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1" w:name="_Toc29456"/>
      <w:r>
        <w:rPr>
          <w:rFonts w:hint="eastAsia" w:ascii="宋体" w:hAnsi="宋体" w:eastAsia="宋体" w:cs="宋体"/>
          <w:b/>
          <w:i w:val="0"/>
          <w:caps w:val="0"/>
          <w:color w:val="auto"/>
          <w:spacing w:val="0"/>
          <w:w w:val="100"/>
          <w:kern w:val="21"/>
          <w:sz w:val="21"/>
          <w:szCs w:val="21"/>
          <w:highlight w:val="none"/>
        </w:rPr>
        <w:t>（一）总  则</w:t>
      </w:r>
      <w:bookmarkEnd w:id="11"/>
    </w:p>
    <w:p w14:paraId="59B625FD">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1、本项目采用公开招标方式。</w:t>
      </w:r>
    </w:p>
    <w:p w14:paraId="70825146">
      <w:pPr>
        <w:pStyle w:val="14"/>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2、名词解释</w:t>
      </w:r>
    </w:p>
    <w:p w14:paraId="561338F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（1）采购人：彬州市中医医院</w:t>
      </w:r>
    </w:p>
    <w:p w14:paraId="2220D58D">
      <w:pPr>
        <w:pStyle w:val="14"/>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（2）采购代理机构：嘉翔项目管理有限公司</w:t>
      </w:r>
    </w:p>
    <w:p w14:paraId="4BC4F877">
      <w:pPr>
        <w:pStyle w:val="14"/>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（3）供应商：是指响应和符合招标文件规定资格条件要求，且参加公开招标的供应商。</w:t>
      </w:r>
    </w:p>
    <w:p w14:paraId="2E7C36D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rPr>
        <w:t>3、投标费用。供应商应自行承担所有与参加本次投标有关的费用。不论投标的结果如何，嘉翔项目管理有限公司和采购人在任何情况下均无义务和责任承担这些费用。</w:t>
      </w:r>
    </w:p>
    <w:p w14:paraId="5B7036B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4、适用法律。本次招标活动及由本次招标产生的合同受中华人民共和国相关法律法规的制约和保护。</w:t>
      </w:r>
    </w:p>
    <w:p w14:paraId="0469C1B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5、招标文件的约束力。供应商一旦购买了本招标文件并参加投标，即被认为接受了本招标文件中的所有条件和规定。</w:t>
      </w:r>
    </w:p>
    <w:p w14:paraId="314C706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6、法定代表人为同一个人的两个及两个以上法人，母公司、全资子公司及其控股公司，都不得同时参加本项目同一标段的投标。</w:t>
      </w:r>
    </w:p>
    <w:p w14:paraId="76E8ADB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在信息系统建设中，受托为整体采购项目或者其中分项目的前期工作提供设计、编制规范、进行管理等服务的供应商，对于理解及把握采购内容具有一定的优势，其再参加该项目的采购活动，存在违反公平竞争原则的可能性。为保证政府采购公平、公正，凡为整体采购项目提供上述服务的法人及其附属机构（单位），不得再参加该整体采购项目及其所有分项目的采购活动；凡为分项目提供上述服务的法人及其附属机构（单位），不得再参加该分项目的采购活动。</w:t>
      </w:r>
    </w:p>
    <w:p w14:paraId="4C4D80B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7、供应商应认真阅读招标文件中所有的章节、条款、格式、规范和附件等要求。如果没有按照招标文件要求编制投标文件及提供相关资料，其风险由供应商自行承担。</w:t>
      </w:r>
    </w:p>
    <w:p w14:paraId="5E66C9D0">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8、供应商所提供的所有资料（包括复印件）必须清晰，如因提供的资料难以辨认，其风险由供应商自负。</w:t>
      </w:r>
    </w:p>
    <w:p w14:paraId="17D8C6C3">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9、本次招标不接受联合体投标。</w:t>
      </w:r>
    </w:p>
    <w:p w14:paraId="1D173328">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10、分包</w:t>
      </w:r>
    </w:p>
    <w:p w14:paraId="38239AA6">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不允许，见</w:t>
      </w:r>
      <w:r>
        <w:rPr>
          <w:rFonts w:hint="eastAsia" w:ascii="宋体" w:hAnsi="宋体" w:eastAsia="宋体" w:cs="宋体"/>
          <w:b w:val="0"/>
          <w:i w:val="0"/>
          <w:caps w:val="0"/>
          <w:color w:val="auto"/>
          <w:spacing w:val="0"/>
          <w:w w:val="100"/>
          <w:kern w:val="21"/>
          <w:sz w:val="21"/>
          <w:szCs w:val="21"/>
          <w:highlight w:val="none"/>
        </w:rPr>
        <w:t>供应商</w:t>
      </w:r>
      <w:r>
        <w:rPr>
          <w:rFonts w:hint="eastAsia" w:ascii="宋体" w:hAnsi="宋体" w:eastAsia="宋体" w:cs="宋体"/>
          <w:b w:val="0"/>
          <w:i w:val="0"/>
          <w:caps w:val="0"/>
          <w:color w:val="auto"/>
          <w:spacing w:val="0"/>
          <w:w w:val="100"/>
          <w:sz w:val="21"/>
          <w:szCs w:val="21"/>
          <w:highlight w:val="none"/>
        </w:rPr>
        <w:t>须知前附表。</w:t>
      </w:r>
    </w:p>
    <w:p w14:paraId="23C40B3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w:t>
      </w:r>
      <w:r>
        <w:rPr>
          <w:rFonts w:hint="eastAsia" w:ascii="宋体" w:hAnsi="宋体" w:eastAsia="宋体" w:cs="宋体"/>
          <w:b w:val="0"/>
          <w:i w:val="0"/>
          <w:caps w:val="0"/>
          <w:color w:val="auto"/>
          <w:spacing w:val="0"/>
          <w:w w:val="100"/>
          <w:kern w:val="21"/>
          <w:sz w:val="21"/>
          <w:szCs w:val="21"/>
          <w:highlight w:val="none"/>
          <w:lang w:val="en-US" w:eastAsia="zh-CN"/>
        </w:rPr>
        <w:t>1</w:t>
      </w:r>
      <w:r>
        <w:rPr>
          <w:rFonts w:hint="eastAsia" w:ascii="宋体" w:hAnsi="宋体" w:eastAsia="宋体" w:cs="宋体"/>
          <w:b w:val="0"/>
          <w:i w:val="0"/>
          <w:caps w:val="0"/>
          <w:color w:val="auto"/>
          <w:spacing w:val="0"/>
          <w:w w:val="100"/>
          <w:kern w:val="21"/>
          <w:sz w:val="21"/>
          <w:szCs w:val="21"/>
          <w:highlight w:val="none"/>
        </w:rPr>
        <w:t>、代理机构对采购人拖欠中标人合同款不承担任何连带或非连带的责任，任何情况下，中标人若主张或要求其合同款相关的民事权利均只能直接针对采购人主张或要求。</w:t>
      </w:r>
    </w:p>
    <w:p w14:paraId="7EA59812">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w:t>
      </w:r>
      <w:r>
        <w:rPr>
          <w:rFonts w:hint="eastAsia" w:ascii="宋体" w:hAnsi="宋体" w:eastAsia="宋体" w:cs="宋体"/>
          <w:b w:val="0"/>
          <w:i w:val="0"/>
          <w:caps w:val="0"/>
          <w:color w:val="auto"/>
          <w:spacing w:val="0"/>
          <w:w w:val="100"/>
          <w:kern w:val="21"/>
          <w:sz w:val="21"/>
          <w:szCs w:val="21"/>
          <w:highlight w:val="none"/>
          <w:lang w:val="en-US" w:eastAsia="zh-CN"/>
        </w:rPr>
        <w:t>2</w:t>
      </w:r>
      <w:r>
        <w:rPr>
          <w:rFonts w:hint="eastAsia" w:ascii="宋体" w:hAnsi="宋体" w:eastAsia="宋体" w:cs="宋体"/>
          <w:b w:val="0"/>
          <w:i w:val="0"/>
          <w:caps w:val="0"/>
          <w:color w:val="auto"/>
          <w:spacing w:val="0"/>
          <w:w w:val="100"/>
          <w:kern w:val="21"/>
          <w:sz w:val="21"/>
          <w:szCs w:val="21"/>
          <w:highlight w:val="none"/>
        </w:rPr>
        <w:t>、因本次招投标活动产生的一切纠纷（包括合同纠纷），有关各方应友好协商解决，协商不成，则向</w:t>
      </w:r>
      <w:r>
        <w:rPr>
          <w:rFonts w:hint="eastAsia" w:ascii="宋体" w:hAnsi="宋体" w:eastAsia="宋体" w:cs="宋体"/>
          <w:b w:val="0"/>
          <w:i w:val="0"/>
          <w:caps w:val="0"/>
          <w:color w:val="auto"/>
          <w:spacing w:val="0"/>
          <w:w w:val="100"/>
          <w:kern w:val="21"/>
          <w:sz w:val="21"/>
          <w:szCs w:val="21"/>
          <w:highlight w:val="none"/>
          <w:lang w:val="en-US" w:eastAsia="zh-CN"/>
        </w:rPr>
        <w:t>咸阳市</w:t>
      </w:r>
      <w:r>
        <w:rPr>
          <w:rFonts w:hint="eastAsia" w:ascii="宋体" w:hAnsi="宋体" w:eastAsia="宋体" w:cs="宋体"/>
          <w:b w:val="0"/>
          <w:i w:val="0"/>
          <w:caps w:val="0"/>
          <w:color w:val="auto"/>
          <w:spacing w:val="0"/>
          <w:w w:val="100"/>
          <w:kern w:val="21"/>
          <w:sz w:val="21"/>
          <w:szCs w:val="21"/>
          <w:highlight w:val="none"/>
        </w:rPr>
        <w:t xml:space="preserve">仲裁委员会申请仲裁。 </w:t>
      </w:r>
    </w:p>
    <w:p w14:paraId="13AE708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w:t>
      </w:r>
      <w:r>
        <w:rPr>
          <w:rFonts w:hint="eastAsia" w:ascii="宋体" w:hAnsi="宋体" w:eastAsia="宋体" w:cs="宋体"/>
          <w:b w:val="0"/>
          <w:i w:val="0"/>
          <w:caps w:val="0"/>
          <w:color w:val="auto"/>
          <w:spacing w:val="0"/>
          <w:w w:val="100"/>
          <w:kern w:val="21"/>
          <w:sz w:val="21"/>
          <w:szCs w:val="21"/>
          <w:highlight w:val="none"/>
          <w:lang w:val="en-US" w:eastAsia="zh-CN"/>
        </w:rPr>
        <w:t>3</w:t>
      </w:r>
      <w:r>
        <w:rPr>
          <w:rFonts w:hint="eastAsia" w:ascii="宋体" w:hAnsi="宋体" w:eastAsia="宋体" w:cs="宋体"/>
          <w:b w:val="0"/>
          <w:i w:val="0"/>
          <w:caps w:val="0"/>
          <w:color w:val="auto"/>
          <w:spacing w:val="0"/>
          <w:w w:val="100"/>
          <w:kern w:val="21"/>
          <w:sz w:val="21"/>
          <w:szCs w:val="21"/>
          <w:highlight w:val="none"/>
        </w:rPr>
        <w:t>、招标代理服务费：</w:t>
      </w:r>
    </w:p>
    <w:p w14:paraId="7F21630E">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按照“国家计委关于印发《招标代理服务收费管理暂行办法》的通知（计价格[2002]1980号）、国家发展改革委《关于降低部分建设项目收费标准规范收费行为等有关问题的通知》（发改价格[2011]534号）”规定收费标准收取。结算时以项目中标价为基数，按照合同签订收取比例计算招标代理服务费。代理服务费由中标单位领取中标通知书前以转账或现金形式一次性付清。</w:t>
      </w:r>
    </w:p>
    <w:p w14:paraId="734C4463">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w:t>
      </w:r>
      <w:r>
        <w:rPr>
          <w:rFonts w:hint="eastAsia" w:ascii="宋体" w:hAnsi="宋体" w:eastAsia="宋体" w:cs="宋体"/>
          <w:b w:val="0"/>
          <w:i w:val="0"/>
          <w:caps w:val="0"/>
          <w:color w:val="auto"/>
          <w:spacing w:val="0"/>
          <w:w w:val="100"/>
          <w:kern w:val="21"/>
          <w:sz w:val="21"/>
          <w:szCs w:val="21"/>
          <w:highlight w:val="none"/>
          <w:lang w:val="en-US" w:eastAsia="zh-CN"/>
        </w:rPr>
        <w:t>4</w:t>
      </w:r>
      <w:r>
        <w:rPr>
          <w:rFonts w:hint="eastAsia" w:ascii="宋体" w:hAnsi="宋体" w:eastAsia="宋体" w:cs="宋体"/>
          <w:b w:val="0"/>
          <w:i w:val="0"/>
          <w:caps w:val="0"/>
          <w:color w:val="auto"/>
          <w:spacing w:val="0"/>
          <w:w w:val="100"/>
          <w:kern w:val="21"/>
          <w:sz w:val="21"/>
          <w:szCs w:val="21"/>
          <w:highlight w:val="none"/>
        </w:rPr>
        <w:t>、本招标文件不接受电子签名。</w:t>
      </w:r>
    </w:p>
    <w:p w14:paraId="3F3917A2">
      <w:pPr>
        <w:pageBreakBefore w:val="0"/>
        <w:kinsoku/>
        <w:overflowPunct/>
        <w:topLinePunct w:val="0"/>
        <w:autoSpaceDE/>
        <w:autoSpaceDN/>
        <w:bidi w:val="0"/>
        <w:snapToGrid w:val="0"/>
        <w:spacing w:before="0" w:beforeAutospacing="0" w:after="0" w:afterAutospacing="0" w:line="480" w:lineRule="exact"/>
        <w:ind w:firstLine="449" w:firstLineChars="214"/>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15</w:t>
      </w:r>
      <w:r>
        <w:rPr>
          <w:rFonts w:hint="eastAsia" w:ascii="宋体" w:hAnsi="宋体" w:eastAsia="宋体" w:cs="宋体"/>
          <w:b w:val="0"/>
          <w:i w:val="0"/>
          <w:caps w:val="0"/>
          <w:color w:val="auto"/>
          <w:spacing w:val="0"/>
          <w:w w:val="100"/>
          <w:kern w:val="21"/>
          <w:sz w:val="21"/>
          <w:szCs w:val="21"/>
          <w:highlight w:val="none"/>
        </w:rPr>
        <w:t>、本招标文件的解释权属采购代理机构。</w:t>
      </w:r>
    </w:p>
    <w:p w14:paraId="6B92F980">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2" w:name="_Toc32595"/>
      <w:r>
        <w:rPr>
          <w:rFonts w:hint="eastAsia" w:ascii="宋体" w:hAnsi="宋体" w:eastAsia="宋体" w:cs="宋体"/>
          <w:b/>
          <w:i w:val="0"/>
          <w:caps w:val="0"/>
          <w:color w:val="auto"/>
          <w:spacing w:val="0"/>
          <w:w w:val="100"/>
          <w:kern w:val="21"/>
          <w:sz w:val="21"/>
          <w:szCs w:val="21"/>
          <w:highlight w:val="none"/>
        </w:rPr>
        <w:t>（二）招标文件的澄清、补充及修改</w:t>
      </w:r>
      <w:bookmarkEnd w:id="12"/>
    </w:p>
    <w:p w14:paraId="7784C2AC">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采购人或者采购代理机构对已发出的招标文件如果进行澄清或修改(澄清或者修改的内容可能影响投标文件编制的)，必须在投标截止时间至少15日前以书面形式通知所有获取招标文件的潜在供应商，不足15日的，采购人或者采购代理机构应当顺延提交投标文件的截止时间。</w:t>
      </w:r>
    </w:p>
    <w:p w14:paraId="42BBC9B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任何要求对招标文件进行澄清的供应商，均应按招标公告中的通讯地址以书面（盖供应商公章）形式通知代理机构和采购人。对在质疑有效期收到的对招标文件的澄清要求，代理机构和采购人对于需要澄清的问题，将以书面形式予以答复，同时将书面答复发给每个购买招标文件的供应商，但不说明问题的来源。</w:t>
      </w:r>
    </w:p>
    <w:p w14:paraId="508E61B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3、如果上述答复涉及对招标文件的修改或补充，则它将被视为招标文件的一部分。凡原先所发招标文件中的内容与答复中的内容不一致之处，应以后形成的书面答复为准。</w:t>
      </w:r>
    </w:p>
    <w:p w14:paraId="59159142">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4、在投标截止期前的任何时候，无论出于何种原因，（代理机构名称）可主动地或在解答供应商提出的澄清问题时对招标文件进行修改。</w:t>
      </w:r>
    </w:p>
    <w:p w14:paraId="5DCB366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5、对招标文件的修改是招标文件的组成部分，将以书面形式通知所有购买招标文件的供应商，并对其具有约束力。供应商在收到上述通知后，应毫不延误地以书面形式向代理机构确认；无论供应商是否及时地以书面形式向代理机构确认，代理机构都将依据发出信函、传真的相关凭据或电话记录等认定供应商已经收到上述通知。</w:t>
      </w:r>
    </w:p>
    <w:p w14:paraId="2D6934AE">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6、为使供应商有充分时间对招标文件的修改部分进行研究或由于其他原因，可以延长投标截止日期和开标日期、改变开标地点，并以书面形式通知供应商。</w:t>
      </w:r>
    </w:p>
    <w:p w14:paraId="14C7DE05">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7、供应商认为采购文件、采购过程和中标、成交结果使自己的权益受到损害的，可以在知道或者应知其权益受到损害之日起七个工作日内，以书面形式向采购人提出质疑。</w:t>
      </w:r>
    </w:p>
    <w:p w14:paraId="5727460B">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 xml:space="preserve"> 采购人应当在收到供应商的书面质疑后七个工作日内作出答复，并以书面形式通知质疑供应商和其他有关供应商，但答复的内容不得涉及商业秘密。</w:t>
      </w:r>
    </w:p>
    <w:p w14:paraId="67567538">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8、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5BD9F8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供应商提出质疑应当提交质疑函和必要的证明材料。质疑函应当包括下列内容：</w:t>
      </w:r>
    </w:p>
    <w:p w14:paraId="404DFB2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（一）供应商的姓名或者名称、地址、邮编、联系人及联系电话；</w:t>
      </w:r>
    </w:p>
    <w:p w14:paraId="6A4ACAC3">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（二）质疑项目的名称、编号、</w:t>
      </w:r>
      <w:r>
        <w:rPr>
          <w:rFonts w:hint="eastAsia" w:ascii="宋体" w:hAnsi="宋体" w:eastAsia="宋体" w:cs="宋体"/>
          <w:b w:val="0"/>
          <w:i w:val="0"/>
          <w:caps w:val="0"/>
          <w:color w:val="auto"/>
          <w:spacing w:val="0"/>
          <w:w w:val="100"/>
          <w:kern w:val="21"/>
          <w:sz w:val="21"/>
          <w:szCs w:val="21"/>
          <w:highlight w:val="none"/>
          <w:lang w:val="en-US" w:eastAsia="zh-CN"/>
        </w:rPr>
        <w:t>包</w:t>
      </w:r>
      <w:r>
        <w:rPr>
          <w:rFonts w:hint="eastAsia" w:ascii="宋体" w:hAnsi="宋体" w:eastAsia="宋体" w:cs="宋体"/>
          <w:b w:val="0"/>
          <w:i w:val="0"/>
          <w:caps w:val="0"/>
          <w:color w:val="auto"/>
          <w:spacing w:val="0"/>
          <w:w w:val="100"/>
          <w:sz w:val="21"/>
          <w:szCs w:val="21"/>
          <w:highlight w:val="none"/>
        </w:rPr>
        <w:t>号；</w:t>
      </w:r>
    </w:p>
    <w:p w14:paraId="434EAB88">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（三）具体、明确的质疑事项和与质疑事项相关的请求；</w:t>
      </w:r>
    </w:p>
    <w:p w14:paraId="1F16C50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（四）事实依据；</w:t>
      </w:r>
    </w:p>
    <w:p w14:paraId="015AEAF6">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（五）必要的法律依据；</w:t>
      </w:r>
    </w:p>
    <w:p w14:paraId="3FAD55B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（六）提出质疑的日期。</w:t>
      </w:r>
    </w:p>
    <w:p w14:paraId="3C88828E">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供应商为自然人的，应当由本人签字；供应商为法人或者其他组织的，应当由法定代表人、主要负责人，或者其授权代表签字或者盖章，并加盖公章。</w:t>
      </w:r>
    </w:p>
    <w:p w14:paraId="518F38C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备注：1）供应商须在法定质疑期内一次性提出针对同一采购程序环节的质疑。</w:t>
      </w:r>
    </w:p>
    <w:p w14:paraId="76A35A2D">
      <w:pPr>
        <w:pageBreakBefore w:val="0"/>
        <w:kinsoku/>
        <w:overflowPunct/>
        <w:topLinePunct w:val="0"/>
        <w:autoSpaceDE/>
        <w:autoSpaceDN/>
        <w:bidi w:val="0"/>
        <w:snapToGrid w:val="0"/>
        <w:spacing w:before="0" w:beforeAutospacing="0" w:after="0" w:afterAutospacing="0" w:line="480" w:lineRule="exact"/>
        <w:ind w:firstLine="1050" w:firstLineChars="5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供应商提出质疑应当提交质疑函和必要的证明材料，并按财政部《质疑函范本》给定的格式进行填写，范本下载详见【财政部国库司（gks.mof.gov.cn）】网站〖首页•〉政府采购管理〗栏目中的《政府采购供应商质疑函范本》。</w:t>
      </w:r>
    </w:p>
    <w:p w14:paraId="2D8EA5DF">
      <w:pPr>
        <w:pStyle w:val="5"/>
        <w:pageBreakBefore w:val="0"/>
        <w:kinsoku/>
        <w:overflowPunct/>
        <w:topLinePunct w:val="0"/>
        <w:autoSpaceDE/>
        <w:autoSpaceDN/>
        <w:bidi w:val="0"/>
        <w:snapToGrid w:val="0"/>
        <w:spacing w:before="26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3" w:name="_Toc10690"/>
      <w:r>
        <w:rPr>
          <w:rFonts w:hint="eastAsia" w:ascii="宋体" w:hAnsi="宋体" w:eastAsia="宋体" w:cs="宋体"/>
          <w:b/>
          <w:i w:val="0"/>
          <w:caps w:val="0"/>
          <w:color w:val="auto"/>
          <w:spacing w:val="0"/>
          <w:w w:val="100"/>
          <w:kern w:val="21"/>
          <w:sz w:val="21"/>
          <w:szCs w:val="21"/>
          <w:highlight w:val="none"/>
        </w:rPr>
        <w:t>（三）投标文件的组成及编制</w:t>
      </w:r>
      <w:bookmarkEnd w:id="13"/>
    </w:p>
    <w:p w14:paraId="70431DB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bCs/>
          <w:i w:val="0"/>
          <w:caps w:val="0"/>
          <w:color w:val="auto"/>
          <w:spacing w:val="0"/>
          <w:w w:val="100"/>
          <w:kern w:val="21"/>
          <w:sz w:val="21"/>
          <w:szCs w:val="21"/>
          <w:highlight w:val="none"/>
        </w:rPr>
      </w:pPr>
      <w:r>
        <w:rPr>
          <w:rFonts w:hint="eastAsia" w:ascii="宋体" w:hAnsi="宋体" w:eastAsia="宋体" w:cs="宋体"/>
          <w:b w:val="0"/>
          <w:bCs/>
          <w:i w:val="0"/>
          <w:caps w:val="0"/>
          <w:color w:val="auto"/>
          <w:spacing w:val="0"/>
          <w:w w:val="100"/>
          <w:kern w:val="21"/>
          <w:sz w:val="21"/>
          <w:szCs w:val="21"/>
          <w:highlight w:val="none"/>
        </w:rPr>
        <w:t>1、投标文件由技术部分、商务部分组成的文件。</w:t>
      </w:r>
    </w:p>
    <w:p w14:paraId="3A4909A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bCs/>
          <w:i w:val="0"/>
          <w:caps w:val="0"/>
          <w:color w:val="auto"/>
          <w:spacing w:val="0"/>
          <w:w w:val="100"/>
          <w:kern w:val="21"/>
          <w:sz w:val="21"/>
          <w:szCs w:val="21"/>
          <w:highlight w:val="none"/>
        </w:rPr>
        <w:t>2、</w:t>
      </w:r>
      <w:r>
        <w:rPr>
          <w:rFonts w:hint="eastAsia" w:ascii="宋体" w:hAnsi="宋体" w:eastAsia="宋体" w:cs="宋体"/>
          <w:b w:val="0"/>
          <w:i w:val="0"/>
          <w:caps w:val="0"/>
          <w:color w:val="auto"/>
          <w:spacing w:val="0"/>
          <w:w w:val="100"/>
          <w:kern w:val="21"/>
          <w:sz w:val="21"/>
          <w:szCs w:val="21"/>
          <w:highlight w:val="none"/>
        </w:rPr>
        <w:t>投标文件必须使用简体中文,投标文件中若有英文或其他语言文字的资料，应翻译成中文。</w:t>
      </w:r>
    </w:p>
    <w:p w14:paraId="7179DA83">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3、度量衡单位除招标文件技术规格中另有规定外均采用中华人民共和国法定的计量单位。</w:t>
      </w:r>
    </w:p>
    <w:p w14:paraId="77789987">
      <w:pPr>
        <w:pageBreakBefore w:val="0"/>
        <w:widowControl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4、投标文件应以A4规格的纸张打印。</w:t>
      </w:r>
    </w:p>
    <w:p w14:paraId="4051629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5、供应商应将投标文件装订成册，并编排目录、标明页码。</w:t>
      </w:r>
    </w:p>
    <w:p w14:paraId="758C601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6、投标文件应按照招标文件给出的投标文件格式按顺序编制。</w:t>
      </w:r>
    </w:p>
    <w:p w14:paraId="12857BDE">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4" w:name="_Toc24064"/>
      <w:r>
        <w:rPr>
          <w:rFonts w:hint="eastAsia" w:ascii="宋体" w:hAnsi="宋体" w:eastAsia="宋体" w:cs="宋体"/>
          <w:b/>
          <w:i w:val="0"/>
          <w:caps w:val="0"/>
          <w:color w:val="auto"/>
          <w:spacing w:val="0"/>
          <w:w w:val="100"/>
          <w:kern w:val="21"/>
          <w:sz w:val="21"/>
          <w:szCs w:val="21"/>
          <w:highlight w:val="none"/>
        </w:rPr>
        <w:t>（四）投标报价</w:t>
      </w:r>
      <w:bookmarkEnd w:id="14"/>
    </w:p>
    <w:p w14:paraId="0CC9D841">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 xml:space="preserve">1、投标报价以人民币报价，供应商在填写投标报价时，金额单位要统一，数字、文字要清晰。  </w:t>
      </w:r>
    </w:p>
    <w:p w14:paraId="47EEECB2">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2、总投标价等于各分项报价与各项费用之和，不得采用总价下浮的方式。</w:t>
      </w:r>
    </w:p>
    <w:p w14:paraId="4CFBCD37">
      <w:pPr>
        <w:pageBreakBefore w:val="0"/>
        <w:kinsoku/>
        <w:overflowPunct/>
        <w:topLinePunct w:val="0"/>
        <w:autoSpaceDE/>
        <w:autoSpaceDN/>
        <w:bidi w:val="0"/>
        <w:snapToGrid w:val="0"/>
        <w:spacing w:before="0" w:beforeAutospacing="0" w:after="0" w:afterAutospacing="0" w:line="480" w:lineRule="exact"/>
        <w:ind w:firstLine="422" w:firstLineChars="200"/>
        <w:jc w:val="both"/>
        <w:textAlignment w:val="baseline"/>
        <w:rPr>
          <w:rFonts w:hint="eastAsia" w:ascii="宋体" w:hAnsi="宋体" w:eastAsia="宋体" w:cs="宋体"/>
          <w:b/>
          <w:i w:val="0"/>
          <w:caps w:val="0"/>
          <w:color w:val="auto"/>
          <w:spacing w:val="0"/>
          <w:w w:val="100"/>
          <w:kern w:val="21"/>
          <w:sz w:val="21"/>
          <w:szCs w:val="21"/>
          <w:highlight w:val="none"/>
        </w:rPr>
      </w:pPr>
      <w:r>
        <w:rPr>
          <w:rFonts w:hint="eastAsia" w:ascii="宋体" w:hAnsi="宋体" w:eastAsia="宋体" w:cs="宋体"/>
          <w:b/>
          <w:i w:val="0"/>
          <w:caps w:val="0"/>
          <w:color w:val="auto"/>
          <w:spacing w:val="0"/>
          <w:w w:val="100"/>
          <w:kern w:val="21"/>
          <w:sz w:val="21"/>
          <w:szCs w:val="21"/>
          <w:highlight w:val="none"/>
        </w:rPr>
        <w:t>3、招标最高限价</w:t>
      </w:r>
    </w:p>
    <w:p w14:paraId="5EC7DDFC">
      <w:pPr>
        <w:pageBreakBefore w:val="0"/>
        <w:kinsoku/>
        <w:overflowPunct/>
        <w:topLinePunct w:val="0"/>
        <w:autoSpaceDE/>
        <w:autoSpaceDN/>
        <w:bidi w:val="0"/>
        <w:snapToGrid w:val="0"/>
        <w:spacing w:before="0" w:beforeAutospacing="0" w:after="0" w:afterAutospacing="0" w:line="480" w:lineRule="exact"/>
        <w:ind w:firstLine="422" w:firstLineChars="200"/>
        <w:jc w:val="both"/>
        <w:textAlignment w:val="baseline"/>
        <w:rPr>
          <w:rFonts w:hint="eastAsia" w:ascii="宋体" w:hAnsi="宋体" w:eastAsia="宋体" w:cs="宋体"/>
          <w:b/>
          <w:bCs/>
          <w:color w:val="auto"/>
          <w:highlight w:val="none"/>
          <w:lang w:val="en-US" w:eastAsia="zh-CN"/>
        </w:rPr>
      </w:pPr>
      <w:r>
        <w:rPr>
          <w:rFonts w:hint="eastAsia" w:ascii="宋体" w:hAnsi="宋体" w:eastAsia="宋体" w:cs="宋体"/>
          <w:b/>
          <w:bCs/>
          <w:i w:val="0"/>
          <w:caps w:val="0"/>
          <w:color w:val="auto"/>
          <w:spacing w:val="0"/>
          <w:w w:val="100"/>
          <w:sz w:val="21"/>
          <w:szCs w:val="21"/>
          <w:highlight w:val="none"/>
          <w:lang w:val="en-US" w:eastAsia="zh-CN"/>
        </w:rPr>
        <w:t>大写：壹仟零柒拾壹万玖仟陆佰陆拾陆元叁角壹分；小写：</w:t>
      </w:r>
      <w:r>
        <w:rPr>
          <w:rFonts w:hint="eastAsia" w:ascii="宋体" w:hAnsi="宋体" w:eastAsia="宋体" w:cs="宋体"/>
          <w:b/>
          <w:bCs/>
          <w:i w:val="0"/>
          <w:caps w:val="0"/>
          <w:color w:val="auto"/>
          <w:spacing w:val="0"/>
          <w:w w:val="100"/>
          <w:sz w:val="21"/>
          <w:szCs w:val="21"/>
          <w:highlight w:val="none"/>
          <w:lang w:val="zh-CN"/>
        </w:rPr>
        <w:t>10719666.31</w:t>
      </w:r>
      <w:r>
        <w:rPr>
          <w:rFonts w:hint="eastAsia" w:ascii="宋体" w:hAnsi="宋体" w:eastAsia="宋体" w:cs="宋体"/>
          <w:b/>
          <w:bCs/>
          <w:i w:val="0"/>
          <w:caps w:val="0"/>
          <w:color w:val="auto"/>
          <w:spacing w:val="0"/>
          <w:w w:val="100"/>
          <w:sz w:val="21"/>
          <w:szCs w:val="21"/>
          <w:highlight w:val="none"/>
          <w:lang w:val="en-US" w:eastAsia="zh-CN"/>
        </w:rPr>
        <w:t>元；</w:t>
      </w:r>
    </w:p>
    <w:p w14:paraId="1A532BD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i w:val="0"/>
          <w:caps w:val="0"/>
          <w:color w:val="auto"/>
          <w:spacing w:val="0"/>
          <w:w w:val="100"/>
          <w:kern w:val="21"/>
          <w:sz w:val="21"/>
          <w:szCs w:val="21"/>
          <w:highlight w:val="none"/>
          <w:lang w:val="zh-CN"/>
        </w:rPr>
      </w:pPr>
      <w:r>
        <w:rPr>
          <w:rFonts w:hint="eastAsia" w:ascii="宋体" w:hAnsi="宋体" w:eastAsia="宋体" w:cs="宋体"/>
          <w:b w:val="0"/>
          <w:i w:val="0"/>
          <w:caps w:val="0"/>
          <w:color w:val="auto"/>
          <w:spacing w:val="0"/>
          <w:w w:val="100"/>
          <w:sz w:val="21"/>
          <w:szCs w:val="21"/>
          <w:highlight w:val="none"/>
          <w:lang w:val="en-US" w:eastAsia="zh-CN"/>
        </w:rPr>
        <w:t>(注：供应商报价大于最高限价，作为不实质性响应招标文件，均为无效报价，按无效标处理)</w:t>
      </w:r>
    </w:p>
    <w:p w14:paraId="79196E0A">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4、投标报价中不得包含招标文件要求以外的内容，否则，在评标时不予核减，但在授予合同时，采购人有权将这部分价格从其中标价格中扣除。</w:t>
      </w:r>
    </w:p>
    <w:p w14:paraId="774FF8AF">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5、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484260D">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5" w:name="_Toc785"/>
      <w:r>
        <w:rPr>
          <w:rFonts w:hint="eastAsia" w:ascii="宋体" w:hAnsi="宋体" w:eastAsia="宋体" w:cs="宋体"/>
          <w:b/>
          <w:i w:val="0"/>
          <w:caps w:val="0"/>
          <w:color w:val="auto"/>
          <w:spacing w:val="0"/>
          <w:w w:val="100"/>
          <w:kern w:val="21"/>
          <w:sz w:val="21"/>
          <w:szCs w:val="21"/>
          <w:highlight w:val="none"/>
        </w:rPr>
        <w:t>（五）投标保证金</w:t>
      </w:r>
      <w:bookmarkEnd w:id="15"/>
    </w:p>
    <w:p w14:paraId="0F782B25">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kern w:val="21"/>
          <w:sz w:val="21"/>
          <w:szCs w:val="21"/>
          <w:highlight w:val="none"/>
        </w:rPr>
        <w:t>1、</w:t>
      </w:r>
      <w:r>
        <w:rPr>
          <w:rFonts w:hint="eastAsia" w:ascii="宋体" w:hAnsi="宋体" w:eastAsia="宋体" w:cs="宋体"/>
          <w:b w:val="0"/>
          <w:i w:val="0"/>
          <w:caps w:val="0"/>
          <w:color w:val="auto"/>
          <w:spacing w:val="0"/>
          <w:w w:val="100"/>
          <w:kern w:val="21"/>
          <w:sz w:val="21"/>
          <w:szCs w:val="21"/>
          <w:highlight w:val="none"/>
          <w:lang w:val="zh-CN" w:eastAsia="zh-CN"/>
        </w:rPr>
        <w:t>本项目根据咸阳市财政局文咸财采购【2021】9号规定不收取投标保证金</w:t>
      </w:r>
    </w:p>
    <w:p w14:paraId="3DD8A6DE">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6" w:name="_Toc31023"/>
      <w:r>
        <w:rPr>
          <w:rFonts w:hint="eastAsia" w:ascii="宋体" w:hAnsi="宋体" w:eastAsia="宋体" w:cs="宋体"/>
          <w:b/>
          <w:i w:val="0"/>
          <w:caps w:val="0"/>
          <w:color w:val="auto"/>
          <w:spacing w:val="0"/>
          <w:w w:val="100"/>
          <w:kern w:val="21"/>
          <w:sz w:val="21"/>
          <w:szCs w:val="21"/>
          <w:highlight w:val="none"/>
        </w:rPr>
        <w:t>（六）投标有效期</w:t>
      </w:r>
      <w:bookmarkEnd w:id="16"/>
    </w:p>
    <w:p w14:paraId="2E7A4A8D">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1、供应商的投标从投标截止之日起，在90日历天内保持有效。</w:t>
      </w:r>
    </w:p>
    <w:p w14:paraId="6CC6E50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2、在特殊情况下，在原投标有效期届满之前，采购人可征得供应商的同意延长投标有效期。这种要求与答复均应采用书面形式。</w:t>
      </w:r>
    </w:p>
    <w:p w14:paraId="2481CF1F">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7" w:name="_Toc9942"/>
      <w:r>
        <w:rPr>
          <w:rFonts w:hint="eastAsia" w:ascii="宋体" w:hAnsi="宋体" w:eastAsia="宋体" w:cs="宋体"/>
          <w:b/>
          <w:i w:val="0"/>
          <w:caps w:val="0"/>
          <w:color w:val="auto"/>
          <w:spacing w:val="0"/>
          <w:w w:val="100"/>
          <w:kern w:val="21"/>
          <w:sz w:val="21"/>
          <w:szCs w:val="21"/>
          <w:highlight w:val="none"/>
        </w:rPr>
        <w:t>（七）投标文件的正本和副本要求</w:t>
      </w:r>
      <w:bookmarkEnd w:id="17"/>
    </w:p>
    <w:p w14:paraId="67A105F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1、供应商应按照要求，准备正本一份、副本</w:t>
      </w:r>
      <w:r>
        <w:rPr>
          <w:rFonts w:hint="eastAsia" w:ascii="宋体" w:hAnsi="宋体" w:eastAsia="宋体" w:cs="宋体"/>
          <w:b w:val="0"/>
          <w:i w:val="0"/>
          <w:caps w:val="0"/>
          <w:color w:val="auto"/>
          <w:spacing w:val="0"/>
          <w:w w:val="100"/>
          <w:kern w:val="21"/>
          <w:sz w:val="21"/>
          <w:szCs w:val="21"/>
          <w:highlight w:val="none"/>
          <w:lang w:val="en-US" w:eastAsia="zh-CN"/>
        </w:rPr>
        <w:t>四</w:t>
      </w:r>
      <w:r>
        <w:rPr>
          <w:rFonts w:hint="eastAsia" w:ascii="宋体" w:hAnsi="宋体" w:eastAsia="宋体" w:cs="宋体"/>
          <w:b w:val="0"/>
          <w:i w:val="0"/>
          <w:caps w:val="0"/>
          <w:color w:val="auto"/>
          <w:spacing w:val="0"/>
          <w:w w:val="100"/>
          <w:kern w:val="21"/>
          <w:sz w:val="21"/>
          <w:szCs w:val="21"/>
          <w:highlight w:val="none"/>
        </w:rPr>
        <w:t>份，电子版(U盘</w:t>
      </w:r>
      <w:r>
        <w:rPr>
          <w:rFonts w:hint="eastAsia" w:ascii="宋体" w:hAnsi="宋体" w:eastAsia="宋体" w:cs="宋体"/>
          <w:b w:val="0"/>
          <w:i w:val="0"/>
          <w:caps w:val="0"/>
          <w:color w:val="auto"/>
          <w:spacing w:val="0"/>
          <w:w w:val="100"/>
          <w:kern w:val="21"/>
          <w:sz w:val="21"/>
          <w:szCs w:val="21"/>
          <w:highlight w:val="none"/>
          <w:lang w:val="en-US" w:eastAsia="zh-CN"/>
        </w:rPr>
        <w:t>3</w:t>
      </w:r>
      <w:r>
        <w:rPr>
          <w:rFonts w:hint="eastAsia" w:ascii="宋体" w:hAnsi="宋体" w:eastAsia="宋体" w:cs="宋体"/>
          <w:b w:val="0"/>
          <w:i w:val="0"/>
          <w:caps w:val="0"/>
          <w:color w:val="auto"/>
          <w:spacing w:val="0"/>
          <w:w w:val="100"/>
          <w:kern w:val="21"/>
          <w:sz w:val="21"/>
          <w:szCs w:val="21"/>
          <w:highlight w:val="none"/>
        </w:rPr>
        <w:t>个)，每份投标文件须清楚地标明“正本”或“副本”字样。一旦正本和副本不符，以正本为准。</w:t>
      </w:r>
    </w:p>
    <w:p w14:paraId="0E736BE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2、投标文件的正本按照要求签署和盖章后，投标文件的副本可以</w:t>
      </w:r>
      <w:r>
        <w:rPr>
          <w:rFonts w:hint="eastAsia" w:ascii="宋体" w:hAnsi="宋体" w:eastAsia="宋体" w:cs="宋体"/>
          <w:b w:val="0"/>
          <w:i w:val="0"/>
          <w:caps w:val="0"/>
          <w:color w:val="auto"/>
          <w:spacing w:val="0"/>
          <w:w w:val="100"/>
          <w:kern w:val="21"/>
          <w:sz w:val="21"/>
          <w:szCs w:val="21"/>
          <w:highlight w:val="none"/>
          <w:lang w:val="en-US" w:eastAsia="zh-CN"/>
        </w:rPr>
        <w:t>是正本的</w:t>
      </w:r>
      <w:r>
        <w:rPr>
          <w:rFonts w:hint="eastAsia" w:ascii="宋体" w:hAnsi="宋体" w:eastAsia="宋体" w:cs="宋体"/>
          <w:b w:val="0"/>
          <w:i w:val="0"/>
          <w:caps w:val="0"/>
          <w:color w:val="auto"/>
          <w:spacing w:val="0"/>
          <w:w w:val="100"/>
          <w:kern w:val="21"/>
          <w:sz w:val="21"/>
          <w:szCs w:val="21"/>
          <w:highlight w:val="none"/>
        </w:rPr>
        <w:t>复印</w:t>
      </w:r>
      <w:r>
        <w:rPr>
          <w:rFonts w:hint="eastAsia" w:ascii="宋体" w:hAnsi="宋体" w:eastAsia="宋体" w:cs="宋体"/>
          <w:b w:val="0"/>
          <w:i w:val="0"/>
          <w:caps w:val="0"/>
          <w:color w:val="auto"/>
          <w:spacing w:val="0"/>
          <w:w w:val="100"/>
          <w:kern w:val="21"/>
          <w:sz w:val="21"/>
          <w:szCs w:val="21"/>
          <w:highlight w:val="none"/>
          <w:lang w:eastAsia="zh-CN"/>
        </w:rPr>
        <w:t>，</w:t>
      </w:r>
      <w:r>
        <w:rPr>
          <w:rFonts w:hint="eastAsia" w:ascii="宋体" w:hAnsi="宋体" w:eastAsia="宋体" w:cs="宋体"/>
          <w:b w:val="0"/>
          <w:i w:val="0"/>
          <w:caps w:val="0"/>
          <w:color w:val="auto"/>
          <w:spacing w:val="0"/>
          <w:w w:val="100"/>
          <w:kern w:val="21"/>
          <w:sz w:val="21"/>
          <w:szCs w:val="21"/>
          <w:highlight w:val="none"/>
          <w:lang w:val="en-US" w:eastAsia="zh-CN"/>
        </w:rPr>
        <w:t>但副本必须封面加盖公章和骑缝章</w:t>
      </w:r>
      <w:r>
        <w:rPr>
          <w:rFonts w:hint="eastAsia" w:ascii="宋体" w:hAnsi="宋体" w:eastAsia="宋体" w:cs="宋体"/>
          <w:b w:val="0"/>
          <w:i w:val="0"/>
          <w:caps w:val="0"/>
          <w:color w:val="auto"/>
          <w:spacing w:val="0"/>
          <w:w w:val="100"/>
          <w:kern w:val="21"/>
          <w:sz w:val="21"/>
          <w:szCs w:val="21"/>
          <w:highlight w:val="none"/>
        </w:rPr>
        <w:t>，但正本和副本的内容必须相同。否则，评委误读误评的风险供应商必须自行承担。</w:t>
      </w:r>
    </w:p>
    <w:p w14:paraId="78A728F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3、投标文件不论是书写、打印或复制，均应做到清晰、整洁、规范。</w:t>
      </w:r>
    </w:p>
    <w:p w14:paraId="6C7C85F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4、供应商递交的投标文件（包括正本、所有副本）均不退还，请供应商自行做好备份。</w:t>
      </w:r>
    </w:p>
    <w:p w14:paraId="70CABED0">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5、投标文件正副本分开密封包装。</w:t>
      </w:r>
    </w:p>
    <w:p w14:paraId="27019ECA">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8" w:name="_Toc28172"/>
      <w:r>
        <w:rPr>
          <w:rFonts w:hint="eastAsia" w:ascii="宋体" w:hAnsi="宋体" w:eastAsia="宋体" w:cs="宋体"/>
          <w:b/>
          <w:i w:val="0"/>
          <w:caps w:val="0"/>
          <w:color w:val="auto"/>
          <w:spacing w:val="0"/>
          <w:w w:val="100"/>
          <w:kern w:val="21"/>
          <w:sz w:val="21"/>
          <w:szCs w:val="21"/>
          <w:highlight w:val="none"/>
        </w:rPr>
        <w:t>（八）投标文件的签署、盖章</w:t>
      </w:r>
      <w:bookmarkEnd w:id="18"/>
    </w:p>
    <w:p w14:paraId="079C5C4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1、在招标文件给出的投标文件格式中，凡是标明由供应商盖章的地方，投标文件都必须加盖供应商统一对外的公章，投标文件加盖骑缝章；凡是标明由法定代表人</w:t>
      </w:r>
      <w:r>
        <w:rPr>
          <w:rFonts w:hint="eastAsia" w:ascii="宋体" w:hAnsi="宋体" w:eastAsia="宋体" w:cs="宋体"/>
          <w:b w:val="0"/>
          <w:i w:val="0"/>
          <w:caps w:val="0"/>
          <w:color w:val="auto"/>
          <w:spacing w:val="0"/>
          <w:w w:val="100"/>
          <w:kern w:val="21"/>
          <w:sz w:val="21"/>
          <w:szCs w:val="21"/>
          <w:highlight w:val="none"/>
          <w:lang w:val="en-US" w:eastAsia="zh-CN"/>
        </w:rPr>
        <w:t>或</w:t>
      </w:r>
      <w:r>
        <w:rPr>
          <w:rFonts w:hint="eastAsia" w:ascii="宋体" w:hAnsi="宋体" w:eastAsia="宋体" w:cs="宋体"/>
          <w:b w:val="0"/>
          <w:i w:val="0"/>
          <w:caps w:val="0"/>
          <w:color w:val="auto"/>
          <w:spacing w:val="0"/>
          <w:w w:val="100"/>
          <w:kern w:val="21"/>
          <w:sz w:val="21"/>
          <w:szCs w:val="21"/>
          <w:highlight w:val="none"/>
        </w:rPr>
        <w:t>委托代理人签字</w:t>
      </w:r>
      <w:r>
        <w:rPr>
          <w:rFonts w:hint="eastAsia" w:ascii="宋体" w:hAnsi="宋体" w:eastAsia="宋体" w:cs="宋体"/>
          <w:b w:val="0"/>
          <w:i w:val="0"/>
          <w:caps w:val="0"/>
          <w:color w:val="auto"/>
          <w:spacing w:val="0"/>
          <w:w w:val="100"/>
          <w:kern w:val="21"/>
          <w:sz w:val="21"/>
          <w:szCs w:val="21"/>
          <w:highlight w:val="none"/>
          <w:lang w:val="en-US" w:eastAsia="zh-CN"/>
        </w:rPr>
        <w:t>或</w:t>
      </w:r>
      <w:r>
        <w:rPr>
          <w:rFonts w:hint="eastAsia" w:ascii="宋体" w:hAnsi="宋体" w:eastAsia="宋体" w:cs="宋体"/>
          <w:b w:val="0"/>
          <w:i w:val="0"/>
          <w:caps w:val="0"/>
          <w:color w:val="auto"/>
          <w:spacing w:val="0"/>
          <w:w w:val="100"/>
          <w:kern w:val="21"/>
          <w:sz w:val="21"/>
          <w:szCs w:val="21"/>
          <w:highlight w:val="none"/>
        </w:rPr>
        <w:t>盖章的，必须签署姓名全称</w:t>
      </w:r>
      <w:r>
        <w:rPr>
          <w:rFonts w:hint="eastAsia" w:ascii="宋体" w:hAnsi="宋体" w:eastAsia="宋体" w:cs="宋体"/>
          <w:b w:val="0"/>
          <w:i w:val="0"/>
          <w:caps w:val="0"/>
          <w:color w:val="auto"/>
          <w:spacing w:val="0"/>
          <w:w w:val="100"/>
          <w:kern w:val="21"/>
          <w:sz w:val="21"/>
          <w:szCs w:val="21"/>
          <w:highlight w:val="none"/>
          <w:lang w:val="en-US" w:eastAsia="zh-CN"/>
        </w:rPr>
        <w:t>或</w:t>
      </w:r>
      <w:r>
        <w:rPr>
          <w:rFonts w:hint="eastAsia" w:ascii="宋体" w:hAnsi="宋体" w:eastAsia="宋体" w:cs="宋体"/>
          <w:b w:val="0"/>
          <w:i w:val="0"/>
          <w:caps w:val="0"/>
          <w:color w:val="auto"/>
          <w:spacing w:val="0"/>
          <w:w w:val="100"/>
          <w:kern w:val="21"/>
          <w:sz w:val="21"/>
          <w:szCs w:val="21"/>
          <w:highlight w:val="none"/>
        </w:rPr>
        <w:t xml:space="preserve">加盖私章。投标文件封套上有明确规定的必须由法定代表人或委托代理人签字盖章。        </w:t>
      </w:r>
    </w:p>
    <w:p w14:paraId="2D16533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2、投标文件不得行间插字、涂改或增删。如有修改错漏处，必须由供应商的法定代表人或其委托代理人签字并加盖供应商公章。</w:t>
      </w:r>
    </w:p>
    <w:p w14:paraId="28A99E46">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19" w:name="_Toc26462"/>
      <w:r>
        <w:rPr>
          <w:rFonts w:hint="eastAsia" w:ascii="宋体" w:hAnsi="宋体" w:eastAsia="宋体" w:cs="宋体"/>
          <w:b/>
          <w:i w:val="0"/>
          <w:caps w:val="0"/>
          <w:color w:val="auto"/>
          <w:spacing w:val="0"/>
          <w:w w:val="100"/>
          <w:kern w:val="21"/>
          <w:sz w:val="21"/>
          <w:szCs w:val="21"/>
          <w:highlight w:val="none"/>
        </w:rPr>
        <w:t>（九）投标文件的密封</w:t>
      </w:r>
      <w:bookmarkEnd w:id="19"/>
    </w:p>
    <w:p w14:paraId="15AC2F03">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1、供应商应将投标文件正本、副本标明“正本”、“副本”的字样，并正副本分开密封包装，不论供应商中标与否，投标文件均不退回。</w:t>
      </w:r>
    </w:p>
    <w:p w14:paraId="43A55E4D">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①封套上注明</w:t>
      </w:r>
      <w:r>
        <w:rPr>
          <w:rFonts w:hint="eastAsia" w:ascii="宋体" w:hAnsi="宋体" w:eastAsia="宋体" w:cs="宋体"/>
          <w:b w:val="0"/>
          <w:i w:val="0"/>
          <w:caps w:val="0"/>
          <w:color w:val="auto"/>
          <w:spacing w:val="0"/>
          <w:w w:val="100"/>
          <w:kern w:val="21"/>
          <w:sz w:val="21"/>
          <w:szCs w:val="21"/>
          <w:highlight w:val="none"/>
          <w:lang w:val="zh-CN"/>
        </w:rPr>
        <w:t>项目名称、项目编号、</w:t>
      </w:r>
      <w:r>
        <w:rPr>
          <w:rFonts w:hint="eastAsia" w:ascii="宋体" w:hAnsi="宋体" w:eastAsia="宋体" w:cs="宋体"/>
          <w:b w:val="0"/>
          <w:i w:val="0"/>
          <w:caps w:val="0"/>
          <w:color w:val="auto"/>
          <w:spacing w:val="0"/>
          <w:w w:val="100"/>
          <w:kern w:val="21"/>
          <w:sz w:val="21"/>
          <w:szCs w:val="21"/>
          <w:highlight w:val="none"/>
        </w:rPr>
        <w:t>供应商</w:t>
      </w:r>
      <w:r>
        <w:rPr>
          <w:rFonts w:hint="eastAsia" w:ascii="宋体" w:hAnsi="宋体" w:eastAsia="宋体" w:cs="宋体"/>
          <w:b w:val="0"/>
          <w:i w:val="0"/>
          <w:caps w:val="0"/>
          <w:color w:val="auto"/>
          <w:spacing w:val="0"/>
          <w:w w:val="100"/>
          <w:kern w:val="21"/>
          <w:sz w:val="21"/>
          <w:szCs w:val="21"/>
          <w:highlight w:val="none"/>
          <w:lang w:val="zh-CN"/>
        </w:rPr>
        <w:t>名称、法定代表人或委托代理人签字或盖章，并加盖单位公章、</w:t>
      </w:r>
      <w:r>
        <w:rPr>
          <w:rFonts w:hint="eastAsia" w:ascii="宋体" w:hAnsi="宋体" w:eastAsia="宋体" w:cs="宋体"/>
          <w:b w:val="0"/>
          <w:i w:val="0"/>
          <w:caps w:val="0"/>
          <w:color w:val="auto"/>
          <w:spacing w:val="0"/>
          <w:w w:val="100"/>
          <w:kern w:val="21"/>
          <w:sz w:val="21"/>
          <w:szCs w:val="21"/>
          <w:highlight w:val="none"/>
          <w:lang w:val="zh-CN" w:eastAsia="zh-CN"/>
        </w:rPr>
        <w:t>合同</w:t>
      </w:r>
      <w:r>
        <w:rPr>
          <w:rFonts w:hint="eastAsia" w:ascii="宋体" w:hAnsi="宋体" w:eastAsia="宋体" w:cs="宋体"/>
          <w:b w:val="0"/>
          <w:i w:val="0"/>
          <w:caps w:val="0"/>
          <w:color w:val="auto"/>
          <w:spacing w:val="0"/>
          <w:w w:val="100"/>
          <w:kern w:val="21"/>
          <w:sz w:val="21"/>
          <w:szCs w:val="21"/>
          <w:highlight w:val="none"/>
          <w:lang w:val="en-US" w:eastAsia="zh-CN"/>
        </w:rPr>
        <w:t>包号</w:t>
      </w:r>
      <w:r>
        <w:rPr>
          <w:rFonts w:hint="eastAsia" w:ascii="宋体" w:hAnsi="宋体" w:eastAsia="宋体" w:cs="宋体"/>
          <w:b w:val="0"/>
          <w:i w:val="0"/>
          <w:caps w:val="0"/>
          <w:color w:val="auto"/>
          <w:spacing w:val="0"/>
          <w:w w:val="100"/>
          <w:kern w:val="21"/>
          <w:sz w:val="21"/>
          <w:szCs w:val="21"/>
          <w:highlight w:val="none"/>
          <w:lang w:val="zh-CN"/>
        </w:rPr>
        <w:t>（如有）、地址、年月日、“正本”或“副本”、</w:t>
      </w:r>
      <w:r>
        <w:rPr>
          <w:rFonts w:hint="eastAsia" w:ascii="宋体" w:hAnsi="宋体" w:eastAsia="宋体" w:cs="宋体"/>
          <w:b w:val="0"/>
          <w:i w:val="0"/>
          <w:caps w:val="0"/>
          <w:color w:val="auto"/>
          <w:spacing w:val="0"/>
          <w:w w:val="100"/>
          <w:kern w:val="21"/>
          <w:sz w:val="21"/>
          <w:szCs w:val="21"/>
          <w:highlight w:val="none"/>
        </w:rPr>
        <w:t>“于</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日</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前不得开启”字样。</w:t>
      </w:r>
    </w:p>
    <w:p w14:paraId="16A9174C">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②投标文件密封要求：</w:t>
      </w:r>
      <w:r>
        <w:rPr>
          <w:rFonts w:hint="eastAsia" w:ascii="宋体" w:hAnsi="宋体" w:eastAsia="宋体" w:cs="宋体"/>
          <w:b w:val="0"/>
          <w:i w:val="0"/>
          <w:caps w:val="0"/>
          <w:color w:val="auto"/>
          <w:spacing w:val="0"/>
          <w:w w:val="100"/>
          <w:kern w:val="21"/>
          <w:sz w:val="21"/>
          <w:szCs w:val="21"/>
          <w:highlight w:val="none"/>
          <w:lang w:val="en-US" w:eastAsia="zh-CN"/>
        </w:rPr>
        <w:t>电子文件</w:t>
      </w:r>
      <w:r>
        <w:rPr>
          <w:rFonts w:hint="eastAsia" w:ascii="宋体" w:hAnsi="宋体" w:eastAsia="宋体" w:cs="宋体"/>
          <w:b w:val="0"/>
          <w:i w:val="0"/>
          <w:caps w:val="0"/>
          <w:color w:val="auto"/>
          <w:spacing w:val="0"/>
          <w:w w:val="100"/>
          <w:kern w:val="21"/>
          <w:sz w:val="21"/>
          <w:szCs w:val="21"/>
          <w:highlight w:val="none"/>
        </w:rPr>
        <w:t>密封在投标文件正本内，正本、副本分开密封。</w:t>
      </w:r>
    </w:p>
    <w:p w14:paraId="033F4B18">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2、如果封袋（盒）未按上述要求密封、加写标记或标注不清，采购人对误投或过早启封概不负责。未按上述规定提交的投标文件，一切后果由供应商负责。</w:t>
      </w:r>
    </w:p>
    <w:p w14:paraId="2758879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3、在投标截止时间后递交的投标文件将被拒绝。</w:t>
      </w:r>
    </w:p>
    <w:p w14:paraId="4D793AC3">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20" w:name="_Toc4152"/>
      <w:r>
        <w:rPr>
          <w:rFonts w:hint="eastAsia" w:ascii="宋体" w:hAnsi="宋体" w:eastAsia="宋体" w:cs="宋体"/>
          <w:b/>
          <w:i w:val="0"/>
          <w:caps w:val="0"/>
          <w:color w:val="auto"/>
          <w:spacing w:val="0"/>
          <w:w w:val="100"/>
          <w:kern w:val="21"/>
          <w:sz w:val="21"/>
          <w:szCs w:val="21"/>
          <w:highlight w:val="none"/>
        </w:rPr>
        <w:t>（十）投标文件的递交</w:t>
      </w:r>
      <w:bookmarkEnd w:id="20"/>
    </w:p>
    <w:p w14:paraId="780C71F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1、供应商应在规定的时间和地点递交投标文件。</w:t>
      </w:r>
    </w:p>
    <w:p w14:paraId="7AE0417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2、代理机构将拒绝迟交的投标文件。</w:t>
      </w:r>
    </w:p>
    <w:p w14:paraId="5810B33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3、未按规定进行密封的投标文件，代理机构将拒绝接受。</w:t>
      </w:r>
    </w:p>
    <w:p w14:paraId="0D6DDC0C">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供应商在递交投标文件后，如果有修改和撤回要求，必须以书面形式通知代理机构名称，使代理机构能在投标截止时间前收到。其修改书或撤回通知书，应由法定代表人（负责人）或其委托代理人签署，并在信封上注明“修改”或“撤回”字样。</w:t>
      </w:r>
    </w:p>
    <w:p w14:paraId="459B079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5、在投标有效期内，供应商不得撤回投标文件。</w:t>
      </w:r>
    </w:p>
    <w:p w14:paraId="6EF68A46">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21" w:name="_Toc4645"/>
      <w:r>
        <w:rPr>
          <w:rFonts w:hint="eastAsia" w:ascii="宋体" w:hAnsi="宋体" w:eastAsia="宋体" w:cs="宋体"/>
          <w:b/>
          <w:i w:val="0"/>
          <w:caps w:val="0"/>
          <w:color w:val="auto"/>
          <w:spacing w:val="0"/>
          <w:w w:val="100"/>
          <w:kern w:val="21"/>
          <w:sz w:val="21"/>
          <w:szCs w:val="21"/>
          <w:highlight w:val="none"/>
        </w:rPr>
        <w:t>（十一）开 标</w:t>
      </w:r>
      <w:bookmarkEnd w:id="21"/>
    </w:p>
    <w:p w14:paraId="0C1F452F">
      <w:pPr>
        <w:pageBreakBefore w:val="0"/>
        <w:kinsoku/>
        <w:overflowPunct/>
        <w:topLinePunct w:val="0"/>
        <w:autoSpaceDE/>
        <w:autoSpaceDN/>
        <w:bidi w:val="0"/>
        <w:snapToGrid w:val="0"/>
        <w:spacing w:before="0" w:beforeAutospacing="0" w:after="0" w:afterAutospacing="0" w:line="480" w:lineRule="exact"/>
        <w:ind w:firstLine="210" w:firstLineChars="100"/>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 xml:space="preserve">  1、采购人将按规定的时间和地点组织公开开标，供应商应委派授权投标代表（携带有效证件）准时参加，参加开标的投标代表须签名以证明其出席。</w:t>
      </w:r>
    </w:p>
    <w:p w14:paraId="012E293D">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2、开标仪式由代理公司主持，采购人、采购人代表、监督代表、供应商代表以及有关工作人员参加。</w:t>
      </w:r>
    </w:p>
    <w:p w14:paraId="06433052">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3、同意撤回的投标将不予开封。</w:t>
      </w:r>
    </w:p>
    <w:p w14:paraId="1073915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bCs/>
          <w:i w:val="0"/>
          <w:caps w:val="0"/>
          <w:color w:val="auto"/>
          <w:spacing w:val="0"/>
          <w:w w:val="100"/>
          <w:kern w:val="21"/>
          <w:sz w:val="21"/>
          <w:szCs w:val="21"/>
          <w:highlight w:val="none"/>
          <w:lang w:val="zh-CN" w:eastAsia="zh-CN"/>
        </w:rPr>
      </w:pPr>
      <w:r>
        <w:rPr>
          <w:rFonts w:hint="eastAsia" w:ascii="宋体" w:hAnsi="宋体" w:eastAsia="宋体" w:cs="宋体"/>
          <w:b w:val="0"/>
          <w:i w:val="0"/>
          <w:caps w:val="0"/>
          <w:color w:val="auto"/>
          <w:spacing w:val="0"/>
          <w:w w:val="100"/>
          <w:kern w:val="21"/>
          <w:sz w:val="21"/>
          <w:szCs w:val="21"/>
          <w:highlight w:val="none"/>
        </w:rPr>
        <w:t>4、开标时，</w:t>
      </w:r>
      <w:r>
        <w:rPr>
          <w:rFonts w:hint="eastAsia" w:ascii="宋体" w:hAnsi="宋体" w:eastAsia="宋体" w:cs="宋体"/>
          <w:color w:val="auto"/>
          <w:sz w:val="21"/>
          <w:szCs w:val="21"/>
          <w:highlight w:val="none"/>
        </w:rPr>
        <w:t>采购人（或监标人）核查供应商是否授权合法的人员参加</w:t>
      </w:r>
      <w:r>
        <w:rPr>
          <w:rFonts w:hint="eastAsia" w:ascii="宋体" w:hAnsi="宋体" w:eastAsia="宋体" w:cs="宋体"/>
          <w:color w:val="auto"/>
          <w:sz w:val="21"/>
          <w:szCs w:val="21"/>
          <w:highlight w:val="none"/>
          <w:lang w:val="en-US" w:eastAsia="zh-CN"/>
        </w:rPr>
        <w:t>开标会议</w:t>
      </w:r>
      <w:r>
        <w:rPr>
          <w:rFonts w:hint="eastAsia" w:ascii="宋体" w:hAnsi="宋体" w:eastAsia="宋体" w:cs="宋体"/>
          <w:color w:val="auto"/>
          <w:sz w:val="21"/>
          <w:szCs w:val="21"/>
          <w:highlight w:val="none"/>
        </w:rPr>
        <w:t>。未通过审查的将作为无效响应处理。</w:t>
      </w:r>
    </w:p>
    <w:p w14:paraId="24D93B0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5、请监标人、</w:t>
      </w:r>
      <w:r>
        <w:rPr>
          <w:rFonts w:hint="eastAsia" w:ascii="宋体" w:hAnsi="宋体" w:eastAsia="宋体" w:cs="宋体"/>
          <w:b w:val="0"/>
          <w:i w:val="0"/>
          <w:caps w:val="0"/>
          <w:color w:val="auto"/>
          <w:spacing w:val="0"/>
          <w:w w:val="100"/>
          <w:kern w:val="21"/>
          <w:sz w:val="21"/>
          <w:szCs w:val="21"/>
          <w:highlight w:val="none"/>
          <w:lang w:val="zh-CN" w:eastAsia="zh-CN"/>
        </w:rPr>
        <w:t>供应商</w:t>
      </w:r>
      <w:r>
        <w:rPr>
          <w:rFonts w:hint="eastAsia" w:ascii="宋体" w:hAnsi="宋体" w:eastAsia="宋体" w:cs="宋体"/>
          <w:b w:val="0"/>
          <w:i w:val="0"/>
          <w:caps w:val="0"/>
          <w:color w:val="auto"/>
          <w:spacing w:val="0"/>
          <w:w w:val="100"/>
          <w:kern w:val="21"/>
          <w:sz w:val="21"/>
          <w:szCs w:val="21"/>
          <w:highlight w:val="none"/>
          <w:lang w:val="en-US" w:eastAsia="zh-CN"/>
        </w:rPr>
        <w:t>代表查验投标文件密封情况，确认无误后，主持人将当众宣读投标</w:t>
      </w:r>
      <w:r>
        <w:rPr>
          <w:rFonts w:hint="eastAsia" w:ascii="宋体" w:hAnsi="宋体" w:eastAsia="宋体" w:cs="宋体"/>
          <w:b w:val="0"/>
          <w:i w:val="0"/>
          <w:caps w:val="0"/>
          <w:color w:val="auto"/>
          <w:spacing w:val="0"/>
          <w:w w:val="100"/>
          <w:kern w:val="21"/>
          <w:sz w:val="21"/>
          <w:szCs w:val="21"/>
          <w:highlight w:val="none"/>
        </w:rPr>
        <w:t>文件中“开标一览表”的各项内容，以及采购人认为合适的其他详细内容。</w:t>
      </w:r>
    </w:p>
    <w:p w14:paraId="3E40C0A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6、采购人做好开标记录并存档备查，开标记录应包括开标时宣读的主要内容。</w:t>
      </w:r>
    </w:p>
    <w:p w14:paraId="242D991B">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bCs/>
          <w:i w:val="0"/>
          <w:caps w:val="0"/>
          <w:color w:val="auto"/>
          <w:spacing w:val="0"/>
          <w:w w:val="100"/>
          <w:kern w:val="21"/>
          <w:sz w:val="21"/>
          <w:szCs w:val="21"/>
          <w:highlight w:val="none"/>
        </w:rPr>
      </w:pPr>
      <w:r>
        <w:rPr>
          <w:rFonts w:hint="eastAsia" w:ascii="宋体" w:hAnsi="宋体" w:eastAsia="宋体" w:cs="宋体"/>
          <w:b w:val="0"/>
          <w:bCs/>
          <w:i w:val="0"/>
          <w:caps w:val="0"/>
          <w:color w:val="auto"/>
          <w:spacing w:val="0"/>
          <w:w w:val="100"/>
          <w:kern w:val="21"/>
          <w:sz w:val="21"/>
          <w:szCs w:val="21"/>
          <w:highlight w:val="none"/>
        </w:rPr>
        <w:t>7、</w:t>
      </w:r>
      <w:r>
        <w:rPr>
          <w:rFonts w:hint="eastAsia" w:ascii="宋体" w:hAnsi="宋体" w:eastAsia="宋体" w:cs="宋体"/>
          <w:b w:val="0"/>
          <w:i w:val="0"/>
          <w:caps w:val="0"/>
          <w:color w:val="auto"/>
          <w:spacing w:val="0"/>
          <w:w w:val="100"/>
          <w:kern w:val="21"/>
          <w:sz w:val="21"/>
          <w:szCs w:val="21"/>
          <w:highlight w:val="none"/>
          <w:lang w:val="zh-CN"/>
        </w:rPr>
        <w:t>供应商</w:t>
      </w:r>
      <w:r>
        <w:rPr>
          <w:rFonts w:hint="eastAsia" w:ascii="宋体" w:hAnsi="宋体" w:eastAsia="宋体" w:cs="宋体"/>
          <w:b w:val="0"/>
          <w:bCs/>
          <w:i w:val="0"/>
          <w:caps w:val="0"/>
          <w:color w:val="auto"/>
          <w:spacing w:val="0"/>
          <w:w w:val="100"/>
          <w:kern w:val="21"/>
          <w:sz w:val="21"/>
          <w:szCs w:val="21"/>
          <w:highlight w:val="none"/>
        </w:rPr>
        <w:t>在报价时不允许采用选择性报价，否则将被视为无效投标。</w:t>
      </w:r>
    </w:p>
    <w:p w14:paraId="6B733F72">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bookmarkStart w:id="22" w:name="_Toc9761"/>
      <w:r>
        <w:rPr>
          <w:rFonts w:hint="eastAsia" w:ascii="宋体" w:hAnsi="宋体" w:eastAsia="宋体" w:cs="宋体"/>
          <w:b/>
          <w:i w:val="0"/>
          <w:caps w:val="0"/>
          <w:color w:val="auto"/>
          <w:spacing w:val="0"/>
          <w:w w:val="100"/>
          <w:kern w:val="21"/>
          <w:sz w:val="21"/>
          <w:szCs w:val="21"/>
          <w:highlight w:val="none"/>
        </w:rPr>
        <w:t>（十二）评 标</w:t>
      </w:r>
      <w:bookmarkEnd w:id="22"/>
    </w:p>
    <w:p w14:paraId="647295F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kern w:val="21"/>
          <w:sz w:val="21"/>
          <w:szCs w:val="21"/>
          <w:highlight w:val="none"/>
        </w:rPr>
        <w:t>1、评审工作由为该项目专门组织的评标委员会（简称评委会）进行。</w:t>
      </w:r>
      <w:r>
        <w:rPr>
          <w:rFonts w:hint="eastAsia" w:ascii="宋体" w:hAnsi="宋体" w:eastAsia="宋体" w:cs="宋体"/>
          <w:b w:val="0"/>
          <w:i w:val="0"/>
          <w:caps w:val="0"/>
          <w:color w:val="auto"/>
          <w:spacing w:val="0"/>
          <w:w w:val="100"/>
          <w:sz w:val="21"/>
          <w:szCs w:val="21"/>
          <w:highlight w:val="none"/>
        </w:rPr>
        <w:t>为确保评标工作公平、公正，根据《中华人民共和国政府采购法》的有关规定成立评标委员会。评标委员会（有关专家）在政府采购专家库中随机抽取。开标后，采购人会将首先对供应商进行资格审查，当发现供应商或其投标文件存在下列情况时，将直接判定供应商的资格不符合要求：</w:t>
      </w:r>
    </w:p>
    <w:p w14:paraId="7E59A165">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（1）供应商与采购人或采购代理机构有利害关系的</w:t>
      </w:r>
    </w:p>
    <w:p w14:paraId="2D87F5D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（2）供应商资格不满足规定的</w:t>
      </w:r>
    </w:p>
    <w:p w14:paraId="2DB742A6">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（3）供应商正受到重大未决诉讼案件影响的</w:t>
      </w:r>
    </w:p>
    <w:p w14:paraId="44C4DD9E">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2、未通过符合性及有效性审查的供应商，将不再进入后续评标程序。</w:t>
      </w:r>
    </w:p>
    <w:p w14:paraId="3E2FA25F">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3、符合性及有效性审查时，评委会将审查投标文件是否完整，有无计算上的错误，文件的签署是否符合要求等。如果发现投标报价存在计算或表述上错误，则将按下列原则进行修改：</w:t>
      </w:r>
    </w:p>
    <w:p w14:paraId="1605B890">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①开标一览表内容与投标文件中明细表内容不一致的，以开标一览表为准；</w:t>
      </w:r>
    </w:p>
    <w:p w14:paraId="2CF4957B">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②投标文件的大写金额和小写金额不一致的，以大写金额为准；</w:t>
      </w:r>
    </w:p>
    <w:p w14:paraId="0FC63A5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③合价金额与按单价汇总金额不一致的，以单价金额计算结果为准；</w:t>
      </w:r>
    </w:p>
    <w:p w14:paraId="78ABFCD1">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④分项合价之和与总价不符时，以分项合价之和为准；</w:t>
      </w:r>
    </w:p>
    <w:p w14:paraId="043ED441">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⑤单价金额小数点有明显错位的，应以总价为准，并修改单价。</w:t>
      </w:r>
    </w:p>
    <w:p w14:paraId="0ED368AC">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评委会将按上述修正错误的方法调整投标文件中的投标报价，调整后的价格应对供应商具有约束力。如果供应商不接受调整后的价格，则其投标将被拒绝。无论供应商是接受或是拒绝调整后的价格，都应当由法定代表人或委托代理人签字予以书面确认。</w:t>
      </w:r>
    </w:p>
    <w:p w14:paraId="16A1F391">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5、在详细评标之前，评委会将审查每份投标文件是否实质上响应了招标文件的要求。实质上响应的投标应该是与招标文件要求的全部条款、条件和规格相符，没有重大偏离或保留的投标。所谓重大偏离或保留是指实质上影响合同的服务范围、质量和性能，或者实质上与招标文件的要求不一致，而且限制了采购人的权利或减轻了</w:t>
      </w:r>
      <w:r>
        <w:rPr>
          <w:rFonts w:hint="eastAsia" w:ascii="宋体" w:hAnsi="宋体" w:eastAsia="宋体" w:cs="宋体"/>
          <w:b w:val="0"/>
          <w:i w:val="0"/>
          <w:caps w:val="0"/>
          <w:color w:val="auto"/>
          <w:spacing w:val="0"/>
          <w:w w:val="100"/>
          <w:kern w:val="2"/>
          <w:sz w:val="21"/>
          <w:szCs w:val="21"/>
          <w:highlight w:val="none"/>
        </w:rPr>
        <w:t>供应商</w:t>
      </w:r>
      <w:r>
        <w:rPr>
          <w:rFonts w:hint="eastAsia" w:ascii="宋体" w:hAnsi="宋体" w:eastAsia="宋体" w:cs="宋体"/>
          <w:b w:val="0"/>
          <w:i w:val="0"/>
          <w:caps w:val="0"/>
          <w:color w:val="auto"/>
          <w:spacing w:val="0"/>
          <w:w w:val="100"/>
          <w:sz w:val="21"/>
          <w:szCs w:val="21"/>
          <w:highlight w:val="none"/>
        </w:rPr>
        <w:t>的义务。纠正这些偏离或保留将会对其他实质上响应要求的供应商的竞争地位产生不公正的影响。</w:t>
      </w:r>
    </w:p>
    <w:p w14:paraId="117C6F42">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6、评委会判定投标文件的响应性只根据投标文件本身的内容，而不寻求外部的证据，但投标有不真实不正确的内容时除外。</w:t>
      </w:r>
    </w:p>
    <w:p w14:paraId="35E24020">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7、如果投标文件实质上没有响应招标文件的要求，评委会将予以拒绝，</w:t>
      </w:r>
      <w:r>
        <w:rPr>
          <w:rFonts w:hint="eastAsia" w:ascii="宋体" w:hAnsi="宋体" w:eastAsia="宋体" w:cs="宋体"/>
          <w:b w:val="0"/>
          <w:i w:val="0"/>
          <w:caps w:val="0"/>
          <w:color w:val="auto"/>
          <w:spacing w:val="0"/>
          <w:w w:val="100"/>
          <w:kern w:val="2"/>
          <w:sz w:val="21"/>
          <w:szCs w:val="21"/>
          <w:highlight w:val="none"/>
        </w:rPr>
        <w:t>供应商</w:t>
      </w:r>
      <w:r>
        <w:rPr>
          <w:rFonts w:hint="eastAsia" w:ascii="宋体" w:hAnsi="宋体" w:eastAsia="宋体" w:cs="宋体"/>
          <w:b w:val="0"/>
          <w:i w:val="0"/>
          <w:caps w:val="0"/>
          <w:color w:val="auto"/>
          <w:spacing w:val="0"/>
          <w:w w:val="100"/>
          <w:sz w:val="21"/>
          <w:szCs w:val="21"/>
          <w:highlight w:val="none"/>
        </w:rPr>
        <w:t>不得通过修正或撤销不符合要求的偏离或保留，而使其投标成为实质上响应的投标。</w:t>
      </w:r>
    </w:p>
    <w:p w14:paraId="4E50417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8、</w:t>
      </w:r>
      <w:r>
        <w:rPr>
          <w:rFonts w:hint="eastAsia" w:ascii="宋体" w:hAnsi="宋体" w:eastAsia="宋体" w:cs="宋体"/>
          <w:b w:val="0"/>
          <w:i w:val="0"/>
          <w:caps w:val="0"/>
          <w:color w:val="auto"/>
          <w:spacing w:val="0"/>
          <w:w w:val="100"/>
          <w:kern w:val="2"/>
          <w:sz w:val="21"/>
          <w:szCs w:val="21"/>
          <w:highlight w:val="none"/>
        </w:rPr>
        <w:t>供应商</w:t>
      </w:r>
      <w:r>
        <w:rPr>
          <w:rFonts w:hint="eastAsia" w:ascii="宋体" w:hAnsi="宋体" w:eastAsia="宋体" w:cs="宋体"/>
          <w:b w:val="0"/>
          <w:i w:val="0"/>
          <w:caps w:val="0"/>
          <w:color w:val="auto"/>
          <w:spacing w:val="0"/>
          <w:w w:val="100"/>
          <w:sz w:val="21"/>
          <w:szCs w:val="21"/>
          <w:highlight w:val="none"/>
        </w:rPr>
        <w:t>简单地复印或照搬招标文件中的技术规格作为其投标文件的一部分,将有可能导致其投标无效。</w:t>
      </w:r>
    </w:p>
    <w:p w14:paraId="3E037481">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9、评委会可以要求供应商通过澄清说明修正其投标文件中含义不明确的内容，但是澄清说明不得超出投标文件的范围或改变投标文件的实质性内容</w:t>
      </w:r>
    </w:p>
    <w:p w14:paraId="68896230">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10、无效投标</w:t>
      </w:r>
    </w:p>
    <w:p w14:paraId="50307B7B">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投标文件属下列情况之一的，按照无效投标处理：</w:t>
      </w:r>
    </w:p>
    <w:p w14:paraId="106D28F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（1）未按照招标文件规定密封、签署、盖章的；</w:t>
      </w:r>
    </w:p>
    <w:p w14:paraId="6AB53EED">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（2）不具备招标文件中规定资格要求的；</w:t>
      </w:r>
    </w:p>
    <w:p w14:paraId="78C6BC2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（3）投标文件未按招标文件格式要求签字、盖章的。</w:t>
      </w:r>
    </w:p>
    <w:p w14:paraId="034FA280">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（4）投标单位所提供的资质证件名称、名字与投标文件中所提交的资格资料证件名称、名字不符或在投标中弄虚作假的。</w:t>
      </w:r>
    </w:p>
    <w:p w14:paraId="57E6EBC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（5）投标文件正本缺页的，投标文件实质性内容字迹辨认不清的。</w:t>
      </w:r>
    </w:p>
    <w:p w14:paraId="2C8B8D12">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（6）质量、</w:t>
      </w:r>
      <w:r>
        <w:rPr>
          <w:rFonts w:hint="eastAsia" w:ascii="宋体" w:hAnsi="宋体" w:eastAsia="宋体" w:cs="宋体"/>
          <w:b w:val="0"/>
          <w:i w:val="0"/>
          <w:caps w:val="0"/>
          <w:color w:val="auto"/>
          <w:spacing w:val="0"/>
          <w:w w:val="100"/>
          <w:sz w:val="21"/>
          <w:szCs w:val="21"/>
          <w:highlight w:val="none"/>
          <w:lang w:val="en-US" w:eastAsia="zh-CN"/>
        </w:rPr>
        <w:t>工期</w:t>
      </w:r>
      <w:r>
        <w:rPr>
          <w:rFonts w:hint="eastAsia" w:ascii="宋体" w:hAnsi="宋体" w:eastAsia="宋体" w:cs="宋体"/>
          <w:b w:val="0"/>
          <w:i w:val="0"/>
          <w:caps w:val="0"/>
          <w:color w:val="auto"/>
          <w:spacing w:val="0"/>
          <w:w w:val="100"/>
          <w:sz w:val="21"/>
          <w:szCs w:val="21"/>
          <w:highlight w:val="none"/>
        </w:rPr>
        <w:t>、付款方式、合同条款任何一项不满足招标文件要求的，但不含优于招标文件要求的。</w:t>
      </w:r>
    </w:p>
    <w:p w14:paraId="22415FCE">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（7）未按招标文件要求提交投标文件资料的。</w:t>
      </w:r>
    </w:p>
    <w:p w14:paraId="3D86D510">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（8）供应商组成联合体投标的。</w:t>
      </w:r>
    </w:p>
    <w:p w14:paraId="182C0930">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（9）供应商未按要求提供相应证件资料（开标现场所验证件）的。</w:t>
      </w:r>
    </w:p>
    <w:p w14:paraId="6A13B2C6">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（10）根据评标委员会的评定，投标文件中明显使用不平衡报价恶意竞标的。</w:t>
      </w:r>
    </w:p>
    <w:p w14:paraId="1A7F93F3">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（11）专家评审过程中，专家要求审查投标文件电子版内容时，电子版文件无法正常打开或投标文件电子版内容与文字书面投标文件（正本）内容不一致的。</w:t>
      </w:r>
    </w:p>
    <w:p w14:paraId="509FBED1">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（12）</w:t>
      </w:r>
      <w:r>
        <w:rPr>
          <w:rFonts w:hint="eastAsia" w:ascii="宋体" w:hAnsi="宋体" w:eastAsia="宋体" w:cs="宋体"/>
          <w:b w:val="0"/>
          <w:i w:val="0"/>
          <w:caps w:val="0"/>
          <w:color w:val="auto"/>
          <w:spacing w:val="0"/>
          <w:w w:val="100"/>
          <w:kern w:val="2"/>
          <w:sz w:val="21"/>
          <w:szCs w:val="21"/>
          <w:highlight w:val="none"/>
        </w:rPr>
        <w:t>供应商</w:t>
      </w:r>
      <w:r>
        <w:rPr>
          <w:rFonts w:hint="eastAsia" w:ascii="宋体" w:hAnsi="宋体" w:eastAsia="宋体" w:cs="宋体"/>
          <w:b w:val="0"/>
          <w:i w:val="0"/>
          <w:caps w:val="0"/>
          <w:color w:val="auto"/>
          <w:spacing w:val="0"/>
          <w:w w:val="100"/>
          <w:sz w:val="21"/>
          <w:szCs w:val="21"/>
          <w:highlight w:val="none"/>
        </w:rPr>
        <w:t>在报价时采用选择性报价；</w:t>
      </w:r>
    </w:p>
    <w:p w14:paraId="2452C585">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（13）投标证明文件或服务不满足招标文件的实质性要求；</w:t>
      </w:r>
    </w:p>
    <w:p w14:paraId="1F809DCC">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（14）不符合法律、法规和招标文件中规定的其他实质性要求的。</w:t>
      </w:r>
    </w:p>
    <w:p w14:paraId="16D2643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（15）投标中出现串标、围标的。</w:t>
      </w:r>
    </w:p>
    <w:p w14:paraId="65BE2E15">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（16）投标总价高于最高限价的。</w:t>
      </w:r>
    </w:p>
    <w:p w14:paraId="7A2A6127">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11、比较与评价。评委会按招标文件规定的评标方法和标准，对实质性响应的投标文件进行评分。</w:t>
      </w:r>
    </w:p>
    <w:p w14:paraId="714D7F13">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12、评标过程的保密。评委会成员或者参加评标的其他人员均不得向他人透露对投标文件的评审和比较以及与评标有关的其他情况。</w:t>
      </w:r>
    </w:p>
    <w:p w14:paraId="02A38362">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13、评委会有权否决全部投标。</w:t>
      </w:r>
    </w:p>
    <w:p w14:paraId="236808DD">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lang w:val="en-US" w:eastAsia="zh-CN"/>
        </w:rPr>
      </w:pPr>
      <w:bookmarkStart w:id="23" w:name="_Toc12118"/>
      <w:r>
        <w:rPr>
          <w:rFonts w:hint="eastAsia" w:ascii="宋体" w:hAnsi="宋体" w:eastAsia="宋体" w:cs="宋体"/>
          <w:b/>
          <w:i w:val="0"/>
          <w:caps w:val="0"/>
          <w:color w:val="auto"/>
          <w:spacing w:val="0"/>
          <w:w w:val="100"/>
          <w:kern w:val="21"/>
          <w:sz w:val="21"/>
          <w:szCs w:val="21"/>
          <w:highlight w:val="none"/>
          <w:lang w:eastAsia="zh-CN"/>
        </w:rPr>
        <w:t>（</w:t>
      </w:r>
      <w:r>
        <w:rPr>
          <w:rFonts w:hint="eastAsia" w:ascii="宋体" w:hAnsi="宋体" w:eastAsia="宋体" w:cs="宋体"/>
          <w:b/>
          <w:i w:val="0"/>
          <w:caps w:val="0"/>
          <w:color w:val="auto"/>
          <w:spacing w:val="0"/>
          <w:w w:val="100"/>
          <w:kern w:val="21"/>
          <w:sz w:val="21"/>
          <w:szCs w:val="21"/>
          <w:highlight w:val="none"/>
          <w:lang w:val="en-US" w:eastAsia="zh-CN"/>
        </w:rPr>
        <w:t>十三</w:t>
      </w:r>
      <w:r>
        <w:rPr>
          <w:rFonts w:hint="eastAsia" w:ascii="宋体" w:hAnsi="宋体" w:eastAsia="宋体" w:cs="宋体"/>
          <w:b/>
          <w:i w:val="0"/>
          <w:caps w:val="0"/>
          <w:color w:val="auto"/>
          <w:spacing w:val="0"/>
          <w:w w:val="100"/>
          <w:kern w:val="21"/>
          <w:sz w:val="21"/>
          <w:szCs w:val="21"/>
          <w:highlight w:val="none"/>
          <w:lang w:eastAsia="zh-CN"/>
        </w:rPr>
        <w:t>）</w:t>
      </w:r>
      <w:r>
        <w:rPr>
          <w:rFonts w:hint="eastAsia" w:ascii="宋体" w:hAnsi="宋体" w:eastAsia="宋体" w:cs="宋体"/>
          <w:b/>
          <w:i w:val="0"/>
          <w:caps w:val="0"/>
          <w:color w:val="auto"/>
          <w:spacing w:val="0"/>
          <w:w w:val="100"/>
          <w:kern w:val="21"/>
          <w:sz w:val="21"/>
          <w:szCs w:val="21"/>
          <w:highlight w:val="none"/>
          <w:lang w:val="en-US" w:eastAsia="zh-CN"/>
        </w:rPr>
        <w:t>资格审查</w:t>
      </w:r>
    </w:p>
    <w:p w14:paraId="522B1789">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1、开标后，采购人按照招标文件规定的资格条件对供应商进行资格审查，审查合格的供应商方可进入下一评审阶段。缺项或一项不符合要求即不合格。</w:t>
      </w:r>
    </w:p>
    <w:p w14:paraId="278E4B7E">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2、</w:t>
      </w:r>
      <w:r>
        <w:rPr>
          <w:rFonts w:hint="eastAsia" w:ascii="宋体" w:hAnsi="宋体" w:eastAsia="宋体" w:cs="宋体"/>
          <w:b w:val="0"/>
          <w:i w:val="0"/>
          <w:caps w:val="0"/>
          <w:color w:val="auto"/>
          <w:spacing w:val="0"/>
          <w:w w:val="100"/>
          <w:sz w:val="21"/>
          <w:szCs w:val="21"/>
          <w:highlight w:val="none"/>
        </w:rPr>
        <w:t>资格审查标准及要求如下：</w:t>
      </w:r>
    </w:p>
    <w:tbl>
      <w:tblPr>
        <w:tblStyle w:val="29"/>
        <w:tblpPr w:leftFromText="180" w:rightFromText="180" w:vertAnchor="text" w:horzAnchor="page" w:tblpXSpec="center" w:tblpY="179"/>
        <w:tblOverlap w:val="neve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429"/>
        <w:gridCol w:w="1575"/>
      </w:tblGrid>
      <w:tr w14:paraId="1A2A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85E338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序号</w:t>
            </w:r>
          </w:p>
        </w:tc>
        <w:tc>
          <w:tcPr>
            <w:tcW w:w="6429" w:type="dxa"/>
            <w:vAlign w:val="center"/>
          </w:tcPr>
          <w:p w14:paraId="1B33C8E3">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审查内容</w:t>
            </w:r>
          </w:p>
        </w:tc>
        <w:tc>
          <w:tcPr>
            <w:tcW w:w="1575" w:type="dxa"/>
            <w:vAlign w:val="center"/>
          </w:tcPr>
          <w:p w14:paraId="6E5DCE5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审查标准</w:t>
            </w:r>
          </w:p>
        </w:tc>
      </w:tr>
      <w:tr w14:paraId="05D9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E7E570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w:t>
            </w:r>
          </w:p>
        </w:tc>
        <w:tc>
          <w:tcPr>
            <w:tcW w:w="6429" w:type="dxa"/>
            <w:vAlign w:val="center"/>
          </w:tcPr>
          <w:p w14:paraId="49FA115A">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满足《中华人民共和国政府采购法》第二十二条规定；</w:t>
            </w:r>
          </w:p>
        </w:tc>
        <w:tc>
          <w:tcPr>
            <w:tcW w:w="1575" w:type="dxa"/>
            <w:vAlign w:val="center"/>
          </w:tcPr>
          <w:p w14:paraId="342D09F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提供承诺函合格有效</w:t>
            </w:r>
          </w:p>
        </w:tc>
      </w:tr>
      <w:tr w14:paraId="553D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157C1CEE">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2</w:t>
            </w:r>
          </w:p>
        </w:tc>
        <w:tc>
          <w:tcPr>
            <w:tcW w:w="6429" w:type="dxa"/>
            <w:vAlign w:val="center"/>
          </w:tcPr>
          <w:p w14:paraId="6271DBA7">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c>
          <w:tcPr>
            <w:tcW w:w="1575" w:type="dxa"/>
            <w:vAlign w:val="center"/>
          </w:tcPr>
          <w:p w14:paraId="172739F8">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证书合格有效</w:t>
            </w:r>
          </w:p>
        </w:tc>
      </w:tr>
      <w:tr w14:paraId="7D95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205C482">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3</w:t>
            </w:r>
          </w:p>
        </w:tc>
        <w:tc>
          <w:tcPr>
            <w:tcW w:w="6429" w:type="dxa"/>
            <w:vAlign w:val="center"/>
          </w:tcPr>
          <w:p w14:paraId="195DC6F8">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财务状况报告：提供2023年度或2024年度经审计的财务报告，或提交自2025年04月01日以来其基本开户银行出具的资信证明，或信用担保机构出具的投标担保函（以上三种形式的资料提供任何一种即可）；其他组织和自然人提供银行出具的资信证明或财务报表；</w:t>
            </w:r>
          </w:p>
        </w:tc>
        <w:tc>
          <w:tcPr>
            <w:tcW w:w="1575" w:type="dxa"/>
            <w:vAlign w:val="center"/>
          </w:tcPr>
          <w:p w14:paraId="1D91229B">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r w14:paraId="286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154D2484">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4</w:t>
            </w:r>
          </w:p>
        </w:tc>
        <w:tc>
          <w:tcPr>
            <w:tcW w:w="6429" w:type="dxa"/>
            <w:vAlign w:val="center"/>
          </w:tcPr>
          <w:p w14:paraId="0F1CF92E">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税收缴纳证明：提供供应商2025年至今任意一个月已缴纳的完税凭证或税务机关开具的完税证明（任意税种），依法免税的单位应提供相关证明材料；</w:t>
            </w:r>
          </w:p>
        </w:tc>
        <w:tc>
          <w:tcPr>
            <w:tcW w:w="1575" w:type="dxa"/>
            <w:vAlign w:val="center"/>
          </w:tcPr>
          <w:p w14:paraId="5086AE69">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r w14:paraId="320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021EACB">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5</w:t>
            </w:r>
          </w:p>
        </w:tc>
        <w:tc>
          <w:tcPr>
            <w:tcW w:w="6429" w:type="dxa"/>
            <w:vAlign w:val="center"/>
          </w:tcPr>
          <w:p w14:paraId="5E38C38F">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社会保障资金缴纳证明：提供供应商2025年至今任意一个月的社会保障资金缴存单据或社保机构开具的社会保险参保缴费情况证明。依法不需要缴纳社会保障资金的供应商应提供相关证明文件；</w:t>
            </w:r>
          </w:p>
        </w:tc>
        <w:tc>
          <w:tcPr>
            <w:tcW w:w="1575" w:type="dxa"/>
            <w:vAlign w:val="center"/>
          </w:tcPr>
          <w:p w14:paraId="3363968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r w14:paraId="43A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163A0B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6</w:t>
            </w:r>
          </w:p>
        </w:tc>
        <w:tc>
          <w:tcPr>
            <w:tcW w:w="6429" w:type="dxa"/>
            <w:vAlign w:val="center"/>
          </w:tcPr>
          <w:p w14:paraId="40BC86E1">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提供具有履行本合同所必需的设备和专业技术能力的声明；</w:t>
            </w:r>
          </w:p>
        </w:tc>
        <w:tc>
          <w:tcPr>
            <w:tcW w:w="1575" w:type="dxa"/>
            <w:vAlign w:val="center"/>
          </w:tcPr>
          <w:p w14:paraId="41AE2CD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r w14:paraId="4C69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6039725">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7</w:t>
            </w:r>
          </w:p>
        </w:tc>
        <w:tc>
          <w:tcPr>
            <w:tcW w:w="6429" w:type="dxa"/>
            <w:vAlign w:val="center"/>
          </w:tcPr>
          <w:p w14:paraId="33184DC7">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出具参加政府采购活动前3年内在经营活动中没有重大违法记录的书面声明；</w:t>
            </w:r>
          </w:p>
        </w:tc>
        <w:tc>
          <w:tcPr>
            <w:tcW w:w="1575" w:type="dxa"/>
            <w:vAlign w:val="center"/>
          </w:tcPr>
          <w:p w14:paraId="06B227F0">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r w14:paraId="493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11313A48">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8</w:t>
            </w:r>
          </w:p>
        </w:tc>
        <w:tc>
          <w:tcPr>
            <w:tcW w:w="6429" w:type="dxa"/>
            <w:vAlign w:val="center"/>
          </w:tcPr>
          <w:p w14:paraId="12D8A108">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法定代表人授权书及被授权人身份证(法定代表人直接参加投标，须提交其身份证原件、复印件及法定代表人身份证明)；</w:t>
            </w:r>
          </w:p>
        </w:tc>
        <w:tc>
          <w:tcPr>
            <w:tcW w:w="1575" w:type="dxa"/>
            <w:vAlign w:val="center"/>
          </w:tcPr>
          <w:p w14:paraId="08DF958E">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r w14:paraId="3DE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378FA5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9</w:t>
            </w:r>
          </w:p>
        </w:tc>
        <w:tc>
          <w:tcPr>
            <w:tcW w:w="6429" w:type="dxa"/>
            <w:vAlign w:val="center"/>
          </w:tcPr>
          <w:p w14:paraId="7D9450B1">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tc>
        <w:tc>
          <w:tcPr>
            <w:tcW w:w="1575" w:type="dxa"/>
            <w:vAlign w:val="center"/>
          </w:tcPr>
          <w:p w14:paraId="1997E6D3">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r w14:paraId="4D3A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0B2E477">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10</w:t>
            </w:r>
          </w:p>
        </w:tc>
        <w:tc>
          <w:tcPr>
            <w:tcW w:w="6429" w:type="dxa"/>
            <w:vAlign w:val="center"/>
          </w:tcPr>
          <w:p w14:paraId="57ED7F05">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本项目不接受联合体投标。</w:t>
            </w:r>
          </w:p>
        </w:tc>
        <w:tc>
          <w:tcPr>
            <w:tcW w:w="1575" w:type="dxa"/>
            <w:vAlign w:val="center"/>
          </w:tcPr>
          <w:p w14:paraId="3C087AF2">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合格有效</w:t>
            </w:r>
          </w:p>
        </w:tc>
      </w:tr>
    </w:tbl>
    <w:p w14:paraId="426D7D2E">
      <w:pPr>
        <w:pStyle w:val="5"/>
        <w:pageBreakBefore w:val="0"/>
        <w:kinsoku/>
        <w:overflowPunct/>
        <w:topLinePunct w:val="0"/>
        <w:autoSpaceDE/>
        <w:autoSpaceDN/>
        <w:bidi w:val="0"/>
        <w:snapToGrid w:val="0"/>
        <w:spacing w:before="140" w:beforeAutospacing="0" w:after="14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r>
        <w:rPr>
          <w:rFonts w:hint="eastAsia" w:ascii="宋体" w:hAnsi="宋体" w:eastAsia="宋体" w:cs="宋体"/>
          <w:b/>
          <w:i w:val="0"/>
          <w:caps w:val="0"/>
          <w:color w:val="auto"/>
          <w:spacing w:val="0"/>
          <w:w w:val="100"/>
          <w:kern w:val="21"/>
          <w:sz w:val="21"/>
          <w:szCs w:val="21"/>
          <w:highlight w:val="none"/>
        </w:rPr>
        <w:t>（十</w:t>
      </w:r>
      <w:r>
        <w:rPr>
          <w:rFonts w:hint="eastAsia" w:ascii="宋体" w:hAnsi="宋体" w:eastAsia="宋体" w:cs="宋体"/>
          <w:b/>
          <w:i w:val="0"/>
          <w:caps w:val="0"/>
          <w:color w:val="auto"/>
          <w:spacing w:val="0"/>
          <w:w w:val="100"/>
          <w:kern w:val="21"/>
          <w:sz w:val="21"/>
          <w:szCs w:val="21"/>
          <w:highlight w:val="none"/>
          <w:lang w:val="en-US" w:eastAsia="zh-CN"/>
        </w:rPr>
        <w:t>四</w:t>
      </w:r>
      <w:r>
        <w:rPr>
          <w:rFonts w:hint="eastAsia" w:ascii="宋体" w:hAnsi="宋体" w:eastAsia="宋体" w:cs="宋体"/>
          <w:b/>
          <w:i w:val="0"/>
          <w:caps w:val="0"/>
          <w:color w:val="auto"/>
          <w:spacing w:val="0"/>
          <w:w w:val="100"/>
          <w:kern w:val="21"/>
          <w:sz w:val="21"/>
          <w:szCs w:val="21"/>
          <w:highlight w:val="none"/>
        </w:rPr>
        <w:t>）评标办法和评标标准</w:t>
      </w:r>
      <w:bookmarkEnd w:id="23"/>
    </w:p>
    <w:p w14:paraId="6AF95A80">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i w:val="0"/>
          <w:caps w:val="0"/>
          <w:color w:val="auto"/>
          <w:spacing w:val="0"/>
          <w:w w:val="100"/>
          <w:kern w:val="21"/>
          <w:sz w:val="21"/>
          <w:szCs w:val="21"/>
          <w:highlight w:val="none"/>
        </w:rPr>
      </w:pPr>
      <w:r>
        <w:rPr>
          <w:rFonts w:hint="eastAsia" w:ascii="宋体" w:hAnsi="宋体" w:eastAsia="宋体" w:cs="宋体"/>
          <w:b/>
          <w:i w:val="0"/>
          <w:caps w:val="0"/>
          <w:color w:val="auto"/>
          <w:spacing w:val="0"/>
          <w:w w:val="100"/>
          <w:kern w:val="21"/>
          <w:sz w:val="21"/>
          <w:szCs w:val="21"/>
          <w:highlight w:val="none"/>
        </w:rPr>
        <w:t>一、评标原则</w:t>
      </w:r>
    </w:p>
    <w:p w14:paraId="05751FB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（1）公平、公正、科学择优；</w:t>
      </w:r>
    </w:p>
    <w:p w14:paraId="46352B6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（2）质量符合国家各项规定规范标准，</w:t>
      </w:r>
      <w:r>
        <w:rPr>
          <w:rFonts w:hint="eastAsia" w:ascii="宋体" w:hAnsi="宋体" w:eastAsia="宋体" w:cs="宋体"/>
          <w:b w:val="0"/>
          <w:i w:val="0"/>
          <w:caps w:val="0"/>
          <w:color w:val="auto"/>
          <w:spacing w:val="0"/>
          <w:w w:val="100"/>
          <w:kern w:val="21"/>
          <w:sz w:val="21"/>
          <w:szCs w:val="21"/>
          <w:highlight w:val="none"/>
          <w:lang w:val="en-US" w:eastAsia="zh-CN"/>
        </w:rPr>
        <w:t>工期</w:t>
      </w:r>
      <w:r>
        <w:rPr>
          <w:rFonts w:hint="eastAsia" w:ascii="宋体" w:hAnsi="宋体" w:eastAsia="宋体" w:cs="宋体"/>
          <w:b w:val="0"/>
          <w:i w:val="0"/>
          <w:caps w:val="0"/>
          <w:color w:val="auto"/>
          <w:spacing w:val="0"/>
          <w:w w:val="100"/>
          <w:kern w:val="21"/>
          <w:sz w:val="21"/>
          <w:szCs w:val="21"/>
          <w:highlight w:val="none"/>
        </w:rPr>
        <w:t>满足招标文件要求，项目实施方案合理可行；</w:t>
      </w:r>
    </w:p>
    <w:p w14:paraId="2C24DBD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（3）报价为合理低价，且不低于成本价；本项目不保证最低投标报价人中标；</w:t>
      </w:r>
    </w:p>
    <w:p w14:paraId="523A581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（4）禁止不正当竞争。</w:t>
      </w:r>
    </w:p>
    <w:p w14:paraId="4634B9EE">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i w:val="0"/>
          <w:caps w:val="0"/>
          <w:color w:val="auto"/>
          <w:spacing w:val="0"/>
          <w:w w:val="100"/>
          <w:sz w:val="21"/>
          <w:szCs w:val="21"/>
          <w:highlight w:val="none"/>
        </w:rPr>
        <w:t>二、评标办法</w:t>
      </w:r>
    </w:p>
    <w:p w14:paraId="2A83E826">
      <w:pPr>
        <w:pageBreakBefore w:val="0"/>
        <w:kinsoku/>
        <w:overflowPunct/>
        <w:topLinePunct w:val="0"/>
        <w:autoSpaceDE/>
        <w:autoSpaceDN/>
        <w:bidi w:val="0"/>
        <w:snapToGrid w:val="0"/>
        <w:spacing w:before="0" w:beforeAutospacing="0" w:after="0" w:afterAutospacing="0" w:line="480" w:lineRule="exact"/>
        <w:ind w:firstLine="422" w:firstLineChars="200"/>
        <w:jc w:val="both"/>
        <w:textAlignment w:val="baseline"/>
        <w:rPr>
          <w:rFonts w:hint="eastAsia" w:ascii="宋体" w:hAnsi="宋体" w:eastAsia="宋体" w:cs="宋体"/>
          <w:b/>
          <w:bCs/>
          <w:i w:val="0"/>
          <w:caps w:val="0"/>
          <w:color w:val="auto"/>
          <w:spacing w:val="0"/>
          <w:w w:val="100"/>
          <w:kern w:val="21"/>
          <w:sz w:val="21"/>
          <w:szCs w:val="21"/>
          <w:highlight w:val="none"/>
        </w:rPr>
      </w:pPr>
      <w:r>
        <w:rPr>
          <w:rFonts w:hint="eastAsia" w:ascii="宋体" w:hAnsi="宋体" w:eastAsia="宋体" w:cs="宋体"/>
          <w:b/>
          <w:bCs/>
          <w:i w:val="0"/>
          <w:caps w:val="0"/>
          <w:color w:val="auto"/>
          <w:spacing w:val="0"/>
          <w:w w:val="100"/>
          <w:kern w:val="21"/>
          <w:sz w:val="21"/>
          <w:szCs w:val="21"/>
          <w:highlight w:val="none"/>
        </w:rPr>
        <w:t>1、评分内容及步骤</w:t>
      </w:r>
    </w:p>
    <w:p w14:paraId="0E62CE5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（1）符合性及有效性审查内容：</w:t>
      </w:r>
    </w:p>
    <w:tbl>
      <w:tblPr>
        <w:tblStyle w:val="29"/>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154"/>
        <w:gridCol w:w="5919"/>
      </w:tblGrid>
      <w:tr w14:paraId="645C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727A258C">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r>
              <w:rPr>
                <w:rFonts w:hint="eastAsia" w:ascii="宋体" w:hAnsi="宋体" w:eastAsia="宋体" w:cs="宋体"/>
                <w:b/>
                <w:i w:val="0"/>
                <w:caps w:val="0"/>
                <w:color w:val="auto"/>
                <w:spacing w:val="0"/>
                <w:w w:val="100"/>
                <w:kern w:val="21"/>
                <w:sz w:val="21"/>
                <w:szCs w:val="21"/>
                <w:highlight w:val="none"/>
              </w:rPr>
              <w:t>序号</w:t>
            </w:r>
          </w:p>
        </w:tc>
        <w:tc>
          <w:tcPr>
            <w:tcW w:w="2154" w:type="dxa"/>
            <w:vAlign w:val="center"/>
          </w:tcPr>
          <w:p w14:paraId="6704F4DB">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r>
              <w:rPr>
                <w:rFonts w:hint="eastAsia" w:ascii="宋体" w:hAnsi="宋体" w:eastAsia="宋体" w:cs="宋体"/>
                <w:b/>
                <w:i w:val="0"/>
                <w:caps w:val="0"/>
                <w:color w:val="auto"/>
                <w:spacing w:val="0"/>
                <w:w w:val="100"/>
                <w:kern w:val="21"/>
                <w:sz w:val="21"/>
                <w:szCs w:val="21"/>
                <w:highlight w:val="none"/>
              </w:rPr>
              <w:t>评审因素</w:t>
            </w:r>
          </w:p>
        </w:tc>
        <w:tc>
          <w:tcPr>
            <w:tcW w:w="5919" w:type="dxa"/>
            <w:vAlign w:val="center"/>
          </w:tcPr>
          <w:p w14:paraId="4C78A602">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i w:val="0"/>
                <w:caps w:val="0"/>
                <w:color w:val="auto"/>
                <w:spacing w:val="0"/>
                <w:w w:val="100"/>
                <w:kern w:val="21"/>
                <w:sz w:val="21"/>
                <w:szCs w:val="21"/>
                <w:highlight w:val="none"/>
              </w:rPr>
            </w:pPr>
            <w:r>
              <w:rPr>
                <w:rFonts w:hint="eastAsia" w:ascii="宋体" w:hAnsi="宋体" w:eastAsia="宋体" w:cs="宋体"/>
                <w:b/>
                <w:i w:val="0"/>
                <w:caps w:val="0"/>
                <w:color w:val="auto"/>
                <w:spacing w:val="0"/>
                <w:w w:val="100"/>
                <w:kern w:val="21"/>
                <w:sz w:val="21"/>
                <w:szCs w:val="21"/>
                <w:highlight w:val="none"/>
              </w:rPr>
              <w:t>评审标准</w:t>
            </w:r>
          </w:p>
        </w:tc>
      </w:tr>
      <w:tr w14:paraId="6B06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4909F637">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cs="宋体"/>
                <w:b w:val="0"/>
                <w:i w:val="0"/>
                <w:caps w:val="0"/>
                <w:color w:val="auto"/>
                <w:spacing w:val="0"/>
                <w:w w:val="100"/>
                <w:kern w:val="21"/>
                <w:sz w:val="21"/>
                <w:szCs w:val="21"/>
                <w:highlight w:val="none"/>
                <w:lang w:val="en-US" w:eastAsia="zh-CN"/>
              </w:rPr>
              <w:t>1</w:t>
            </w:r>
          </w:p>
        </w:tc>
        <w:tc>
          <w:tcPr>
            <w:tcW w:w="2154" w:type="dxa"/>
            <w:vAlign w:val="center"/>
          </w:tcPr>
          <w:p w14:paraId="07ADF665">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投标文件的签署盖章</w:t>
            </w:r>
          </w:p>
        </w:tc>
        <w:tc>
          <w:tcPr>
            <w:tcW w:w="5919" w:type="dxa"/>
            <w:vAlign w:val="center"/>
          </w:tcPr>
          <w:p w14:paraId="7C58CB12">
            <w:pPr>
              <w:pageBreakBefore w:val="0"/>
              <w:tabs>
                <w:tab w:val="left" w:pos="0"/>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投标文件按照招标文件规定盖章签字齐全</w:t>
            </w:r>
          </w:p>
        </w:tc>
      </w:tr>
      <w:tr w14:paraId="4AF6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64E8995B">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cs="宋体"/>
                <w:b w:val="0"/>
                <w:i w:val="0"/>
                <w:caps w:val="0"/>
                <w:color w:val="auto"/>
                <w:spacing w:val="0"/>
                <w:w w:val="100"/>
                <w:kern w:val="21"/>
                <w:sz w:val="21"/>
                <w:szCs w:val="21"/>
                <w:highlight w:val="none"/>
                <w:lang w:val="en-US" w:eastAsia="zh-CN"/>
              </w:rPr>
              <w:t>2</w:t>
            </w:r>
          </w:p>
        </w:tc>
        <w:tc>
          <w:tcPr>
            <w:tcW w:w="2154" w:type="dxa"/>
            <w:vAlign w:val="center"/>
          </w:tcPr>
          <w:p w14:paraId="0834709E">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投标文件格式</w:t>
            </w:r>
          </w:p>
        </w:tc>
        <w:tc>
          <w:tcPr>
            <w:tcW w:w="5919" w:type="dxa"/>
            <w:vAlign w:val="center"/>
          </w:tcPr>
          <w:p w14:paraId="79D83DCA">
            <w:pPr>
              <w:pageBreakBefore w:val="0"/>
              <w:tabs>
                <w:tab w:val="left" w:pos="0"/>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应符合“第</w:t>
            </w:r>
            <w:r>
              <w:rPr>
                <w:rFonts w:hint="eastAsia" w:ascii="宋体" w:hAnsi="宋体" w:eastAsia="宋体" w:cs="宋体"/>
                <w:b w:val="0"/>
                <w:i w:val="0"/>
                <w:caps w:val="0"/>
                <w:color w:val="auto"/>
                <w:spacing w:val="0"/>
                <w:w w:val="100"/>
                <w:kern w:val="21"/>
                <w:sz w:val="21"/>
                <w:szCs w:val="21"/>
                <w:highlight w:val="none"/>
                <w:lang w:eastAsia="zh-CN"/>
              </w:rPr>
              <w:t>六</w:t>
            </w:r>
            <w:r>
              <w:rPr>
                <w:rFonts w:hint="eastAsia" w:ascii="宋体" w:hAnsi="宋体" w:eastAsia="宋体" w:cs="宋体"/>
                <w:b w:val="0"/>
                <w:i w:val="0"/>
                <w:caps w:val="0"/>
                <w:color w:val="auto"/>
                <w:spacing w:val="0"/>
                <w:w w:val="100"/>
                <w:kern w:val="21"/>
                <w:sz w:val="21"/>
                <w:szCs w:val="21"/>
                <w:highlight w:val="none"/>
              </w:rPr>
              <w:t>部分 投标文件格式”要求</w:t>
            </w:r>
          </w:p>
        </w:tc>
      </w:tr>
      <w:tr w14:paraId="1B65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7DCC67D8">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cs="宋体"/>
                <w:b w:val="0"/>
                <w:i w:val="0"/>
                <w:caps w:val="0"/>
                <w:color w:val="auto"/>
                <w:spacing w:val="0"/>
                <w:w w:val="100"/>
                <w:kern w:val="21"/>
                <w:sz w:val="21"/>
                <w:szCs w:val="21"/>
                <w:highlight w:val="none"/>
                <w:lang w:val="en-US" w:eastAsia="zh-CN"/>
              </w:rPr>
              <w:t>3</w:t>
            </w:r>
          </w:p>
        </w:tc>
        <w:tc>
          <w:tcPr>
            <w:tcW w:w="2154" w:type="dxa"/>
            <w:vAlign w:val="center"/>
          </w:tcPr>
          <w:p w14:paraId="1E2A7D12">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投标文件份数</w:t>
            </w:r>
          </w:p>
        </w:tc>
        <w:tc>
          <w:tcPr>
            <w:tcW w:w="5919" w:type="dxa"/>
            <w:vAlign w:val="center"/>
          </w:tcPr>
          <w:p w14:paraId="4DD08C00">
            <w:pPr>
              <w:pageBreakBefore w:val="0"/>
              <w:tabs>
                <w:tab w:val="left" w:pos="0"/>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应符合“供应商须知前附表”11条规定的正本、副本、电子文件数量</w:t>
            </w:r>
          </w:p>
        </w:tc>
      </w:tr>
      <w:tr w14:paraId="33DA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79C5239A">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cs="宋体"/>
                <w:b w:val="0"/>
                <w:i w:val="0"/>
                <w:caps w:val="0"/>
                <w:color w:val="auto"/>
                <w:spacing w:val="0"/>
                <w:w w:val="100"/>
                <w:kern w:val="21"/>
                <w:sz w:val="21"/>
                <w:szCs w:val="21"/>
                <w:highlight w:val="none"/>
                <w:lang w:val="en-US" w:eastAsia="zh-CN"/>
              </w:rPr>
              <w:t>4</w:t>
            </w:r>
          </w:p>
        </w:tc>
        <w:tc>
          <w:tcPr>
            <w:tcW w:w="2154" w:type="dxa"/>
            <w:vAlign w:val="center"/>
          </w:tcPr>
          <w:p w14:paraId="7630EB9E">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投标有效期</w:t>
            </w:r>
          </w:p>
        </w:tc>
        <w:tc>
          <w:tcPr>
            <w:tcW w:w="5919" w:type="dxa"/>
            <w:vAlign w:val="center"/>
          </w:tcPr>
          <w:p w14:paraId="0714D6A4">
            <w:pPr>
              <w:pageBreakBefore w:val="0"/>
              <w:tabs>
                <w:tab w:val="left" w:pos="0"/>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应满足招标文件中规定</w:t>
            </w:r>
          </w:p>
        </w:tc>
      </w:tr>
      <w:tr w14:paraId="0BA2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5D117934">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cs="宋体"/>
                <w:b w:val="0"/>
                <w:i w:val="0"/>
                <w:caps w:val="0"/>
                <w:color w:val="auto"/>
                <w:spacing w:val="0"/>
                <w:w w:val="100"/>
                <w:kern w:val="21"/>
                <w:sz w:val="21"/>
                <w:szCs w:val="21"/>
                <w:highlight w:val="none"/>
                <w:lang w:val="en-US" w:eastAsia="zh-CN"/>
              </w:rPr>
              <w:t>5</w:t>
            </w:r>
          </w:p>
        </w:tc>
        <w:tc>
          <w:tcPr>
            <w:tcW w:w="2154" w:type="dxa"/>
            <w:vAlign w:val="center"/>
          </w:tcPr>
          <w:p w14:paraId="68B35863">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工期</w:t>
            </w:r>
          </w:p>
        </w:tc>
        <w:tc>
          <w:tcPr>
            <w:tcW w:w="5919" w:type="dxa"/>
            <w:vAlign w:val="center"/>
          </w:tcPr>
          <w:p w14:paraId="6775C0D4">
            <w:pPr>
              <w:pageBreakBefore w:val="0"/>
              <w:tabs>
                <w:tab w:val="left" w:pos="0"/>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应满足招标文件中规定</w:t>
            </w:r>
          </w:p>
        </w:tc>
      </w:tr>
      <w:tr w14:paraId="504D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25CE3AF9">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cs="宋体"/>
                <w:b w:val="0"/>
                <w:i w:val="0"/>
                <w:caps w:val="0"/>
                <w:color w:val="auto"/>
                <w:spacing w:val="0"/>
                <w:w w:val="100"/>
                <w:kern w:val="21"/>
                <w:sz w:val="21"/>
                <w:szCs w:val="21"/>
                <w:highlight w:val="none"/>
                <w:lang w:val="en-US" w:eastAsia="zh-CN"/>
              </w:rPr>
              <w:t>6</w:t>
            </w:r>
          </w:p>
        </w:tc>
        <w:tc>
          <w:tcPr>
            <w:tcW w:w="2154" w:type="dxa"/>
            <w:vAlign w:val="center"/>
          </w:tcPr>
          <w:p w14:paraId="3F40E675">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报价</w:t>
            </w:r>
          </w:p>
        </w:tc>
        <w:tc>
          <w:tcPr>
            <w:tcW w:w="5919" w:type="dxa"/>
            <w:vAlign w:val="center"/>
          </w:tcPr>
          <w:p w14:paraId="021057A7">
            <w:pPr>
              <w:pageBreakBefore w:val="0"/>
              <w:tabs>
                <w:tab w:val="left" w:pos="0"/>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满足招标最高限价要求的</w:t>
            </w:r>
          </w:p>
        </w:tc>
      </w:tr>
      <w:tr w14:paraId="4BB5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8" w:type="dxa"/>
            <w:vAlign w:val="center"/>
          </w:tcPr>
          <w:p w14:paraId="3C13D170">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cs="宋体"/>
                <w:b w:val="0"/>
                <w:i w:val="0"/>
                <w:caps w:val="0"/>
                <w:color w:val="auto"/>
                <w:spacing w:val="0"/>
                <w:w w:val="100"/>
                <w:kern w:val="21"/>
                <w:sz w:val="21"/>
                <w:szCs w:val="21"/>
                <w:highlight w:val="none"/>
                <w:lang w:val="en-US" w:eastAsia="zh-CN"/>
              </w:rPr>
              <w:t>7</w:t>
            </w:r>
          </w:p>
        </w:tc>
        <w:tc>
          <w:tcPr>
            <w:tcW w:w="2154" w:type="dxa"/>
            <w:vAlign w:val="center"/>
          </w:tcPr>
          <w:p w14:paraId="4FA7BD7B">
            <w:pPr>
              <w:pageBreakBefore w:val="0"/>
              <w:tabs>
                <w:tab w:val="left" w:pos="0"/>
              </w:tabs>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响应情况</w:t>
            </w:r>
          </w:p>
        </w:tc>
        <w:tc>
          <w:tcPr>
            <w:tcW w:w="5919" w:type="dxa"/>
            <w:vAlign w:val="top"/>
          </w:tcPr>
          <w:p w14:paraId="59961BDF">
            <w:pPr>
              <w:pageBreakBefore w:val="0"/>
              <w:tabs>
                <w:tab w:val="left" w:pos="0"/>
              </w:tabs>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应满足招标要求，响应文件未含有采购人不能接受的附加条件，且无其他无效标的情形。</w:t>
            </w:r>
          </w:p>
        </w:tc>
      </w:tr>
    </w:tbl>
    <w:p w14:paraId="19D516E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注：符合性及有效性审查时，当任何一项不符合招标文件要求时，其投标文件即为不合格，不得参加详细评审，不能作为中标候选单位。</w:t>
      </w:r>
    </w:p>
    <w:p w14:paraId="57034BF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评标委员会认为供应商的报价明显低于其他通过符合性审查供应商的报价，有可能影响服务质量或者不能诚信履约的，应当要求其在评标现场合理的时间内提供书面说明，必要时提交相关证明材料；</w:t>
      </w:r>
      <w:r>
        <w:rPr>
          <w:rFonts w:hint="eastAsia" w:ascii="宋体" w:hAnsi="宋体" w:eastAsia="宋体" w:cs="宋体"/>
          <w:b w:val="0"/>
          <w:i w:val="0"/>
          <w:caps w:val="0"/>
          <w:color w:val="auto"/>
          <w:spacing w:val="0"/>
          <w:w w:val="100"/>
          <w:kern w:val="2"/>
          <w:sz w:val="21"/>
          <w:szCs w:val="21"/>
          <w:highlight w:val="none"/>
        </w:rPr>
        <w:t>供应商</w:t>
      </w:r>
      <w:r>
        <w:rPr>
          <w:rFonts w:hint="eastAsia" w:ascii="宋体" w:hAnsi="宋体" w:eastAsia="宋体" w:cs="宋体"/>
          <w:b w:val="0"/>
          <w:i w:val="0"/>
          <w:caps w:val="0"/>
          <w:color w:val="auto"/>
          <w:spacing w:val="0"/>
          <w:w w:val="100"/>
          <w:kern w:val="21"/>
          <w:sz w:val="21"/>
          <w:szCs w:val="21"/>
          <w:highlight w:val="none"/>
        </w:rPr>
        <w:t>不能证明其报价合理性的，评标委员会应当将其作为无效投标处理。</w:t>
      </w:r>
    </w:p>
    <w:p w14:paraId="4BC5A97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②投标文件评审内容为：价格、</w:t>
      </w:r>
      <w:r>
        <w:rPr>
          <w:rFonts w:hint="eastAsia" w:ascii="宋体" w:hAnsi="宋体" w:eastAsia="宋体" w:cs="宋体"/>
          <w:b w:val="0"/>
          <w:i w:val="0"/>
          <w:caps w:val="0"/>
          <w:color w:val="auto"/>
          <w:spacing w:val="0"/>
          <w:w w:val="100"/>
          <w:sz w:val="21"/>
          <w:szCs w:val="21"/>
          <w:highlight w:val="none"/>
          <w:lang w:val="en-US" w:eastAsia="zh-CN"/>
        </w:rPr>
        <w:t>平台</w:t>
      </w:r>
      <w:r>
        <w:rPr>
          <w:rFonts w:hint="eastAsia" w:ascii="宋体" w:hAnsi="宋体" w:eastAsia="宋体" w:cs="宋体"/>
          <w:b w:val="0"/>
          <w:i w:val="0"/>
          <w:caps w:val="0"/>
          <w:color w:val="auto"/>
          <w:spacing w:val="0"/>
          <w:w w:val="100"/>
          <w:sz w:val="21"/>
          <w:szCs w:val="21"/>
          <w:highlight w:val="none"/>
          <w:lang w:val="zh-CN" w:eastAsia="zh-CN"/>
        </w:rPr>
        <w:t>整体技术方案、技术参数、项目组织实施方案、售后服务</w:t>
      </w:r>
      <w:r>
        <w:rPr>
          <w:rFonts w:hint="eastAsia" w:ascii="宋体" w:hAnsi="宋体" w:eastAsia="宋体" w:cs="宋体"/>
          <w:b w:val="0"/>
          <w:i w:val="0"/>
          <w:caps w:val="0"/>
          <w:color w:val="auto"/>
          <w:spacing w:val="0"/>
          <w:w w:val="100"/>
          <w:sz w:val="21"/>
          <w:szCs w:val="21"/>
          <w:highlight w:val="none"/>
          <w:lang w:val="en-US" w:eastAsia="zh-CN"/>
        </w:rPr>
        <w:t>方</w:t>
      </w:r>
      <w:r>
        <w:rPr>
          <w:rFonts w:hint="eastAsia" w:ascii="宋体" w:hAnsi="宋体" w:eastAsia="宋体" w:cs="宋体"/>
          <w:b w:val="0"/>
          <w:i w:val="0"/>
          <w:caps w:val="0"/>
          <w:color w:val="auto"/>
          <w:spacing w:val="0"/>
          <w:w w:val="100"/>
          <w:sz w:val="21"/>
          <w:szCs w:val="21"/>
          <w:highlight w:val="none"/>
          <w:lang w:val="zh-CN" w:eastAsia="zh-CN"/>
        </w:rPr>
        <w:t>案、</w:t>
      </w:r>
      <w:r>
        <w:rPr>
          <w:rFonts w:hint="eastAsia" w:ascii="宋体" w:hAnsi="宋体" w:eastAsia="宋体" w:cs="宋体"/>
          <w:b w:val="0"/>
          <w:i w:val="0"/>
          <w:caps w:val="0"/>
          <w:color w:val="auto"/>
          <w:spacing w:val="0"/>
          <w:w w:val="100"/>
          <w:sz w:val="21"/>
          <w:szCs w:val="21"/>
          <w:highlight w:val="none"/>
          <w:lang w:val="en-US" w:eastAsia="zh-CN"/>
        </w:rPr>
        <w:t>培训方案、项目团队、综合实力、业绩</w:t>
      </w:r>
      <w:r>
        <w:rPr>
          <w:rFonts w:hint="eastAsia" w:ascii="宋体" w:hAnsi="宋体" w:eastAsia="宋体" w:cs="宋体"/>
          <w:b w:val="0"/>
          <w:i w:val="0"/>
          <w:caps w:val="0"/>
          <w:color w:val="auto"/>
          <w:spacing w:val="0"/>
          <w:w w:val="100"/>
          <w:sz w:val="21"/>
          <w:szCs w:val="21"/>
          <w:highlight w:val="none"/>
        </w:rPr>
        <w:t>；</w:t>
      </w:r>
    </w:p>
    <w:p w14:paraId="7B5AF760">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（2）评审步骤：</w:t>
      </w:r>
    </w:p>
    <w:p w14:paraId="39EA5560">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 xml:space="preserve">①符合性及有效性审查； </w:t>
      </w:r>
    </w:p>
    <w:p w14:paraId="24B10E9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②投标文件评审；</w:t>
      </w:r>
    </w:p>
    <w:p w14:paraId="3B0B99F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③确定入评单位。</w:t>
      </w:r>
    </w:p>
    <w:p w14:paraId="159168A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（3）入评单位条件</w:t>
      </w:r>
    </w:p>
    <w:p w14:paraId="49200953">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①符合性及有效性审查合格单位；</w:t>
      </w:r>
    </w:p>
    <w:p w14:paraId="3D127AC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②供应商服务质量符合采购质量要求；</w:t>
      </w:r>
    </w:p>
    <w:p w14:paraId="1DC4EE5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③供应商完全响应招标文件和合同条款的全部内容。</w:t>
      </w:r>
    </w:p>
    <w:p w14:paraId="7A73DAFB">
      <w:pPr>
        <w:pageBreakBefore w:val="0"/>
        <w:numPr>
          <w:ilvl w:val="0"/>
          <w:numId w:val="0"/>
        </w:numPr>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u w:color="000000"/>
          <w:lang w:val="en-US" w:eastAsia="zh-CN" w:bidi="ar-SA"/>
        </w:rPr>
        <w:t>（4）</w:t>
      </w:r>
      <w:r>
        <w:rPr>
          <w:rFonts w:hint="eastAsia" w:ascii="宋体" w:hAnsi="宋体" w:eastAsia="宋体" w:cs="宋体"/>
          <w:b w:val="0"/>
          <w:i w:val="0"/>
          <w:caps w:val="0"/>
          <w:color w:val="auto"/>
          <w:spacing w:val="0"/>
          <w:w w:val="100"/>
          <w:sz w:val="21"/>
          <w:szCs w:val="21"/>
          <w:highlight w:val="none"/>
        </w:rPr>
        <w:t>入评单位确定</w:t>
      </w:r>
    </w:p>
    <w:p w14:paraId="0C5948C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全部符合入评单位条件的</w:t>
      </w:r>
      <w:r>
        <w:rPr>
          <w:rFonts w:hint="eastAsia" w:ascii="宋体" w:hAnsi="宋体" w:eastAsia="宋体" w:cs="宋体"/>
          <w:b w:val="0"/>
          <w:i w:val="0"/>
          <w:caps w:val="0"/>
          <w:color w:val="auto"/>
          <w:spacing w:val="0"/>
          <w:w w:val="100"/>
          <w:kern w:val="2"/>
          <w:sz w:val="21"/>
          <w:szCs w:val="21"/>
          <w:highlight w:val="none"/>
        </w:rPr>
        <w:t>供应商</w:t>
      </w:r>
      <w:r>
        <w:rPr>
          <w:rFonts w:hint="eastAsia" w:ascii="宋体" w:hAnsi="宋体" w:eastAsia="宋体" w:cs="宋体"/>
          <w:b w:val="0"/>
          <w:i w:val="0"/>
          <w:caps w:val="0"/>
          <w:color w:val="auto"/>
          <w:spacing w:val="0"/>
          <w:w w:val="100"/>
          <w:sz w:val="21"/>
          <w:szCs w:val="21"/>
          <w:highlight w:val="none"/>
        </w:rPr>
        <w:t>才能成为入评单位；未成为入评单位的</w:t>
      </w:r>
      <w:r>
        <w:rPr>
          <w:rFonts w:hint="eastAsia" w:ascii="宋体" w:hAnsi="宋体" w:eastAsia="宋体" w:cs="宋体"/>
          <w:b w:val="0"/>
          <w:i w:val="0"/>
          <w:caps w:val="0"/>
          <w:color w:val="auto"/>
          <w:spacing w:val="0"/>
          <w:w w:val="100"/>
          <w:kern w:val="2"/>
          <w:sz w:val="21"/>
          <w:szCs w:val="21"/>
          <w:highlight w:val="none"/>
        </w:rPr>
        <w:t>供应商</w:t>
      </w:r>
      <w:r>
        <w:rPr>
          <w:rFonts w:hint="eastAsia" w:ascii="宋体" w:hAnsi="宋体" w:eastAsia="宋体" w:cs="宋体"/>
          <w:b w:val="0"/>
          <w:i w:val="0"/>
          <w:caps w:val="0"/>
          <w:color w:val="auto"/>
          <w:spacing w:val="0"/>
          <w:w w:val="100"/>
          <w:sz w:val="21"/>
          <w:szCs w:val="21"/>
          <w:highlight w:val="none"/>
        </w:rPr>
        <w:t>,不得进入评审。</w:t>
      </w:r>
    </w:p>
    <w:p w14:paraId="10C46099">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①评审投标文件。</w:t>
      </w:r>
    </w:p>
    <w:p w14:paraId="29CE32D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②确定中标候选人。</w:t>
      </w:r>
    </w:p>
    <w:p w14:paraId="3F917E34">
      <w:pPr>
        <w:pageBreakBefore w:val="0"/>
        <w:numPr>
          <w:ilvl w:val="0"/>
          <w:numId w:val="0"/>
        </w:numPr>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u w:color="000000"/>
          <w:lang w:val="en-US" w:eastAsia="zh-CN" w:bidi="ar-SA"/>
        </w:rPr>
        <w:t>（5）</w:t>
      </w:r>
      <w:r>
        <w:rPr>
          <w:rFonts w:hint="eastAsia" w:ascii="宋体" w:hAnsi="宋体" w:eastAsia="宋体" w:cs="宋体"/>
          <w:b w:val="0"/>
          <w:i w:val="0"/>
          <w:caps w:val="0"/>
          <w:color w:val="auto"/>
          <w:spacing w:val="0"/>
          <w:w w:val="100"/>
          <w:sz w:val="21"/>
          <w:szCs w:val="21"/>
          <w:highlight w:val="none"/>
        </w:rPr>
        <w:t>投标文件评审项评分标准：总分100分</w:t>
      </w:r>
    </w:p>
    <w:p w14:paraId="564344BB">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lang w:val="en-US" w:eastAsia="zh-CN"/>
        </w:rPr>
        <w:t>价格</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30</w:t>
      </w:r>
      <w:r>
        <w:rPr>
          <w:rFonts w:hint="eastAsia" w:ascii="宋体" w:hAnsi="宋体" w:eastAsia="宋体" w:cs="宋体"/>
          <w:b w:val="0"/>
          <w:i w:val="0"/>
          <w:caps w:val="0"/>
          <w:color w:val="auto"/>
          <w:spacing w:val="0"/>
          <w:w w:val="100"/>
          <w:sz w:val="21"/>
          <w:szCs w:val="21"/>
          <w:highlight w:val="none"/>
        </w:rPr>
        <w:t>分</w:t>
      </w:r>
    </w:p>
    <w:p w14:paraId="04D710F9">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平台整体技术方案</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20分</w:t>
      </w:r>
    </w:p>
    <w:p w14:paraId="52DCF733">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技术参数</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15分</w:t>
      </w:r>
    </w:p>
    <w:p w14:paraId="7824C866">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项目组织实施方案</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18分</w:t>
      </w:r>
    </w:p>
    <w:p w14:paraId="782D0F39">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售后服务方案</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4分</w:t>
      </w:r>
    </w:p>
    <w:p w14:paraId="2D632702">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培训方案</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4分</w:t>
      </w:r>
    </w:p>
    <w:p w14:paraId="035920EA">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项目团队</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6分</w:t>
      </w:r>
    </w:p>
    <w:p w14:paraId="6040BF84">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综合实力                                  1分</w:t>
      </w:r>
    </w:p>
    <w:p w14:paraId="378505F6">
      <w:pPr>
        <w:pageBreakBefore w:val="0"/>
        <w:tabs>
          <w:tab w:val="right" w:leader="dot" w:pos="8526"/>
        </w:tabs>
        <w:kinsoku/>
        <w:overflowPunct/>
        <w:topLinePunct w:val="0"/>
        <w:autoSpaceDE/>
        <w:autoSpaceDN/>
        <w:bidi w:val="0"/>
        <w:snapToGrid w:val="0"/>
        <w:spacing w:before="0" w:beforeAutospacing="0" w:after="0" w:afterAutospacing="0" w:line="480" w:lineRule="exact"/>
        <w:ind w:firstLine="630" w:firstLineChars="300"/>
        <w:jc w:val="left"/>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业绩</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2分</w:t>
      </w:r>
    </w:p>
    <w:p w14:paraId="05555BB3">
      <w:pPr>
        <w:pStyle w:val="4"/>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i w:val="0"/>
          <w:caps w:val="0"/>
          <w:color w:val="auto"/>
          <w:spacing w:val="0"/>
          <w:w w:val="100"/>
          <w:sz w:val="21"/>
          <w:szCs w:val="21"/>
          <w:highlight w:val="none"/>
        </w:rPr>
        <w:t>2、详细评审办法（综合评分法）：</w:t>
      </w:r>
    </w:p>
    <w:tbl>
      <w:tblPr>
        <w:tblStyle w:val="29"/>
        <w:tblW w:w="98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6"/>
        <w:gridCol w:w="1347"/>
        <w:gridCol w:w="690"/>
        <w:gridCol w:w="7135"/>
      </w:tblGrid>
      <w:tr w14:paraId="2B6C0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46" w:hRule="atLeast"/>
          <w:tblHeader/>
          <w:jc w:val="center"/>
        </w:trPr>
        <w:tc>
          <w:tcPr>
            <w:tcW w:w="706" w:type="dxa"/>
            <w:noWrap w:val="0"/>
            <w:vAlign w:val="center"/>
          </w:tcPr>
          <w:p w14:paraId="712795C9">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1</w:t>
            </w:r>
          </w:p>
        </w:tc>
        <w:tc>
          <w:tcPr>
            <w:tcW w:w="1347" w:type="dxa"/>
            <w:noWrap w:val="0"/>
            <w:vAlign w:val="center"/>
          </w:tcPr>
          <w:p w14:paraId="6AF79615">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价格</w:t>
            </w:r>
          </w:p>
        </w:tc>
        <w:tc>
          <w:tcPr>
            <w:tcW w:w="690" w:type="dxa"/>
            <w:noWrap w:val="0"/>
            <w:vAlign w:val="center"/>
          </w:tcPr>
          <w:p w14:paraId="4ADD4D26">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30</w:t>
            </w:r>
            <w:r>
              <w:rPr>
                <w:rFonts w:hint="eastAsia" w:ascii="宋体" w:hAnsi="宋体" w:eastAsia="宋体" w:cs="宋体"/>
                <w:color w:val="auto"/>
                <w:kern w:val="2"/>
                <w:szCs w:val="22"/>
                <w:highlight w:val="none"/>
              </w:rPr>
              <w:t xml:space="preserve">分 </w:t>
            </w:r>
          </w:p>
        </w:tc>
        <w:tc>
          <w:tcPr>
            <w:tcW w:w="7135" w:type="dxa"/>
            <w:noWrap w:val="0"/>
            <w:vAlign w:val="center"/>
          </w:tcPr>
          <w:p w14:paraId="7EF30962">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价格分采用低价优先法计算，即满足招标文件要求的最低报价为基准价,价格分为满分</w:t>
            </w:r>
            <w:r>
              <w:rPr>
                <w:rFonts w:hint="eastAsia" w:ascii="宋体" w:hAnsi="宋体" w:eastAsia="宋体" w:cs="宋体"/>
                <w:b w:val="0"/>
                <w:i w:val="0"/>
                <w:caps w:val="0"/>
                <w:color w:val="auto"/>
                <w:spacing w:val="0"/>
                <w:w w:val="100"/>
                <w:kern w:val="21"/>
                <w:sz w:val="21"/>
                <w:szCs w:val="21"/>
                <w:highlight w:val="none"/>
                <w:lang w:val="en-US" w:eastAsia="zh-CN"/>
              </w:rPr>
              <w:t>30</w:t>
            </w:r>
            <w:r>
              <w:rPr>
                <w:rFonts w:hint="eastAsia" w:ascii="宋体" w:hAnsi="宋体" w:eastAsia="宋体" w:cs="宋体"/>
                <w:b w:val="0"/>
                <w:i w:val="0"/>
                <w:caps w:val="0"/>
                <w:color w:val="auto"/>
                <w:spacing w:val="0"/>
                <w:w w:val="100"/>
                <w:kern w:val="21"/>
                <w:sz w:val="21"/>
                <w:szCs w:val="21"/>
                <w:highlight w:val="none"/>
              </w:rPr>
              <w:t>分，其他供应商的价格得分：报价得分=(基准价/投标报价)×</w:t>
            </w:r>
            <w:r>
              <w:rPr>
                <w:rFonts w:hint="eastAsia" w:ascii="宋体" w:hAnsi="宋体" w:eastAsia="宋体" w:cs="宋体"/>
                <w:b w:val="0"/>
                <w:i w:val="0"/>
                <w:caps w:val="0"/>
                <w:color w:val="auto"/>
                <w:spacing w:val="0"/>
                <w:w w:val="100"/>
                <w:kern w:val="21"/>
                <w:sz w:val="21"/>
                <w:szCs w:val="21"/>
                <w:highlight w:val="none"/>
                <w:lang w:val="en-US" w:eastAsia="zh-CN"/>
              </w:rPr>
              <w:t>30</w:t>
            </w:r>
            <w:r>
              <w:rPr>
                <w:rFonts w:hint="eastAsia" w:ascii="宋体" w:hAnsi="宋体" w:eastAsia="宋体" w:cs="宋体"/>
                <w:b w:val="0"/>
                <w:i w:val="0"/>
                <w:caps w:val="0"/>
                <w:color w:val="auto"/>
                <w:spacing w:val="0"/>
                <w:w w:val="100"/>
                <w:kern w:val="21"/>
                <w:sz w:val="21"/>
                <w:szCs w:val="21"/>
                <w:highlight w:val="none"/>
              </w:rPr>
              <w:t>，报价大于限价的按无效标处理。</w:t>
            </w:r>
            <w:r>
              <w:rPr>
                <w:rFonts w:hint="eastAsia" w:ascii="宋体" w:hAnsi="宋体" w:eastAsia="宋体" w:cs="宋体"/>
                <w:b w:val="0"/>
                <w:i w:val="0"/>
                <w:caps w:val="0"/>
                <w:color w:val="auto"/>
                <w:spacing w:val="0"/>
                <w:w w:val="100"/>
                <w:kern w:val="21"/>
                <w:sz w:val="21"/>
                <w:szCs w:val="21"/>
                <w:highlight w:val="none"/>
                <w:lang w:val="en-US" w:eastAsia="zh-CN"/>
              </w:rPr>
              <w:t>（因落实政府采购政策进行价格调整的，以调整后的价格计算评标基准价和投标报价）</w:t>
            </w:r>
          </w:p>
        </w:tc>
      </w:tr>
      <w:tr w14:paraId="6E23C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06" w:type="dxa"/>
            <w:noWrap w:val="0"/>
            <w:vAlign w:val="center"/>
          </w:tcPr>
          <w:p w14:paraId="6074517C">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2</w:t>
            </w:r>
          </w:p>
        </w:tc>
        <w:tc>
          <w:tcPr>
            <w:tcW w:w="1347" w:type="dxa"/>
            <w:noWrap w:val="0"/>
            <w:vAlign w:val="center"/>
          </w:tcPr>
          <w:p w14:paraId="4F671B13">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平台整体</w:t>
            </w:r>
          </w:p>
          <w:p w14:paraId="61AD3F5B">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技术方案</w:t>
            </w:r>
          </w:p>
        </w:tc>
        <w:tc>
          <w:tcPr>
            <w:tcW w:w="690" w:type="dxa"/>
            <w:noWrap w:val="0"/>
            <w:vAlign w:val="center"/>
          </w:tcPr>
          <w:p w14:paraId="1392D00D">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20分</w:t>
            </w:r>
          </w:p>
        </w:tc>
        <w:tc>
          <w:tcPr>
            <w:tcW w:w="7135" w:type="dxa"/>
            <w:noWrap w:val="0"/>
            <w:vAlign w:val="center"/>
          </w:tcPr>
          <w:p w14:paraId="6F4AEA56">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val="en-US" w:eastAsia="zh-CN"/>
              </w:rPr>
              <w:t>供应商</w:t>
            </w:r>
            <w:r>
              <w:rPr>
                <w:rFonts w:hint="eastAsia" w:ascii="宋体" w:hAnsi="宋体" w:eastAsia="宋体" w:cs="宋体"/>
                <w:b w:val="0"/>
                <w:i w:val="0"/>
                <w:caps w:val="0"/>
                <w:color w:val="auto"/>
                <w:spacing w:val="0"/>
                <w:w w:val="100"/>
                <w:kern w:val="21"/>
                <w:sz w:val="21"/>
                <w:szCs w:val="21"/>
                <w:highlight w:val="none"/>
                <w:lang w:eastAsia="zh-CN"/>
              </w:rPr>
              <w:t>针对本项目提供整体方案设计，包含但不限于（①项目背景</w:t>
            </w:r>
            <w:r>
              <w:rPr>
                <w:rFonts w:hint="eastAsia" w:ascii="宋体" w:hAnsi="宋体" w:eastAsia="宋体" w:cs="宋体"/>
                <w:b w:val="0"/>
                <w:i w:val="0"/>
                <w:caps w:val="0"/>
                <w:color w:val="auto"/>
                <w:spacing w:val="0"/>
                <w:w w:val="100"/>
                <w:kern w:val="21"/>
                <w:sz w:val="21"/>
                <w:szCs w:val="21"/>
                <w:highlight w:val="none"/>
                <w:lang w:val="en-US" w:eastAsia="zh-CN"/>
              </w:rPr>
              <w:t>及需求分析</w:t>
            </w:r>
            <w:r>
              <w:rPr>
                <w:rFonts w:hint="eastAsia" w:ascii="宋体" w:hAnsi="宋体" w:eastAsia="宋体" w:cs="宋体"/>
                <w:b w:val="0"/>
                <w:i w:val="0"/>
                <w:caps w:val="0"/>
                <w:color w:val="auto"/>
                <w:spacing w:val="0"/>
                <w:w w:val="100"/>
                <w:kern w:val="21"/>
                <w:sz w:val="21"/>
                <w:szCs w:val="21"/>
                <w:highlight w:val="none"/>
                <w:lang w:eastAsia="zh-CN"/>
              </w:rPr>
              <w:t>；②总体架构设计；③系统安全设计；④数据</w:t>
            </w:r>
            <w:r>
              <w:rPr>
                <w:rFonts w:hint="eastAsia" w:ascii="宋体" w:hAnsi="宋体" w:eastAsia="宋体" w:cs="宋体"/>
                <w:b w:val="0"/>
                <w:i w:val="0"/>
                <w:caps w:val="0"/>
                <w:color w:val="auto"/>
                <w:spacing w:val="0"/>
                <w:w w:val="100"/>
                <w:kern w:val="21"/>
                <w:sz w:val="21"/>
                <w:szCs w:val="21"/>
                <w:highlight w:val="none"/>
                <w:lang w:val="en-US" w:eastAsia="zh-CN"/>
              </w:rPr>
              <w:t>及</w:t>
            </w:r>
            <w:r>
              <w:rPr>
                <w:rFonts w:hint="eastAsia" w:ascii="宋体" w:hAnsi="宋体" w:eastAsia="宋体" w:cs="宋体"/>
                <w:b w:val="0"/>
                <w:i w:val="0"/>
                <w:caps w:val="0"/>
                <w:color w:val="auto"/>
                <w:spacing w:val="0"/>
                <w:w w:val="100"/>
                <w:kern w:val="21"/>
                <w:sz w:val="21"/>
                <w:szCs w:val="21"/>
                <w:highlight w:val="none"/>
                <w:lang w:eastAsia="zh-CN"/>
              </w:rPr>
              <w:t>技术架构设计；⑤</w:t>
            </w:r>
            <w:r>
              <w:rPr>
                <w:rFonts w:hint="eastAsia" w:ascii="宋体" w:hAnsi="宋体" w:eastAsia="宋体" w:cs="宋体"/>
                <w:b w:val="0"/>
                <w:i w:val="0"/>
                <w:caps w:val="0"/>
                <w:color w:val="auto"/>
                <w:spacing w:val="0"/>
                <w:w w:val="100"/>
                <w:kern w:val="21"/>
                <w:sz w:val="21"/>
                <w:szCs w:val="21"/>
                <w:highlight w:val="none"/>
                <w:lang w:val="en-US" w:eastAsia="zh-CN"/>
              </w:rPr>
              <w:t>软件</w:t>
            </w:r>
            <w:r>
              <w:rPr>
                <w:rFonts w:hint="eastAsia" w:ascii="宋体" w:hAnsi="宋体" w:eastAsia="宋体" w:cs="宋体"/>
                <w:b w:val="0"/>
                <w:i w:val="0"/>
                <w:caps w:val="0"/>
                <w:color w:val="auto"/>
                <w:spacing w:val="0"/>
                <w:w w:val="100"/>
                <w:kern w:val="21"/>
                <w:sz w:val="21"/>
                <w:szCs w:val="21"/>
                <w:highlight w:val="none"/>
                <w:lang w:eastAsia="zh-CN"/>
              </w:rPr>
              <w:t>功能设计等。） 方案各部分内容全面详细、阐述条理清晰详尽、符合本项目采购需求，能有效保障本项目实施的计</w:t>
            </w:r>
            <w:r>
              <w:rPr>
                <w:rFonts w:hint="eastAsia" w:ascii="宋体" w:hAnsi="宋体" w:eastAsia="宋体" w:cs="宋体"/>
                <w:b w:val="0"/>
                <w:i w:val="0"/>
                <w:caps w:val="0"/>
                <w:color w:val="auto"/>
                <w:spacing w:val="0"/>
                <w:w w:val="100"/>
                <w:kern w:val="21"/>
                <w:sz w:val="21"/>
                <w:szCs w:val="21"/>
                <w:highlight w:val="none"/>
                <w:lang w:val="en-US" w:eastAsia="zh-CN"/>
              </w:rPr>
              <w:t>20</w:t>
            </w:r>
            <w:r>
              <w:rPr>
                <w:rFonts w:hint="eastAsia" w:ascii="宋体" w:hAnsi="宋体" w:eastAsia="宋体" w:cs="宋体"/>
                <w:b w:val="0"/>
                <w:i w:val="0"/>
                <w:caps w:val="0"/>
                <w:color w:val="auto"/>
                <w:spacing w:val="0"/>
                <w:w w:val="100"/>
                <w:kern w:val="21"/>
                <w:sz w:val="21"/>
                <w:szCs w:val="21"/>
                <w:highlight w:val="none"/>
                <w:lang w:eastAsia="zh-CN"/>
              </w:rPr>
              <w:t>分，每有一个缺项扣</w:t>
            </w:r>
            <w:r>
              <w:rPr>
                <w:rFonts w:hint="eastAsia" w:ascii="宋体" w:hAnsi="宋体" w:eastAsia="宋体" w:cs="宋体"/>
                <w:b w:val="0"/>
                <w:i w:val="0"/>
                <w:caps w:val="0"/>
                <w:color w:val="auto"/>
                <w:spacing w:val="0"/>
                <w:w w:val="100"/>
                <w:kern w:val="21"/>
                <w:sz w:val="21"/>
                <w:szCs w:val="21"/>
                <w:highlight w:val="none"/>
                <w:lang w:val="en-US" w:eastAsia="zh-CN"/>
              </w:rPr>
              <w:t>4</w:t>
            </w:r>
            <w:r>
              <w:rPr>
                <w:rFonts w:hint="eastAsia" w:ascii="宋体" w:hAnsi="宋体" w:eastAsia="宋体" w:cs="宋体"/>
                <w:b w:val="0"/>
                <w:i w:val="0"/>
                <w:caps w:val="0"/>
                <w:color w:val="auto"/>
                <w:spacing w:val="0"/>
                <w:w w:val="100"/>
                <w:kern w:val="21"/>
                <w:sz w:val="21"/>
                <w:szCs w:val="21"/>
                <w:highlight w:val="none"/>
                <w:lang w:eastAsia="zh-CN"/>
              </w:rPr>
              <w:t>分，每有一项内容不完整或有缺陷或与项目不匹配的，扣1分，扣完为止。 说明:内容不完整或有缺陷或与项目不匹配是指:非专门针对本项目或不适用项目特性的情形、内容不完整或缺少关键节点、套用其他项目方案、内容前后矛盾、涉及的规范。</w:t>
            </w:r>
          </w:p>
        </w:tc>
      </w:tr>
      <w:tr w14:paraId="7A1B2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06" w:type="dxa"/>
            <w:noWrap w:val="0"/>
            <w:vAlign w:val="center"/>
          </w:tcPr>
          <w:p w14:paraId="3249E996">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3</w:t>
            </w:r>
          </w:p>
        </w:tc>
        <w:tc>
          <w:tcPr>
            <w:tcW w:w="1347" w:type="dxa"/>
            <w:noWrap w:val="0"/>
            <w:vAlign w:val="center"/>
          </w:tcPr>
          <w:p w14:paraId="6BD39DC5">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技术参数</w:t>
            </w:r>
          </w:p>
        </w:tc>
        <w:tc>
          <w:tcPr>
            <w:tcW w:w="690" w:type="dxa"/>
            <w:noWrap w:val="0"/>
            <w:vAlign w:val="center"/>
          </w:tcPr>
          <w:p w14:paraId="318B94E4">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15分</w:t>
            </w:r>
          </w:p>
        </w:tc>
        <w:tc>
          <w:tcPr>
            <w:tcW w:w="7135" w:type="dxa"/>
            <w:noWrap w:val="0"/>
            <w:vAlign w:val="center"/>
          </w:tcPr>
          <w:p w14:paraId="429290DC">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eastAsia="zh-CN"/>
              </w:rPr>
            </w:pPr>
            <w:r>
              <w:rPr>
                <w:rFonts w:hint="eastAsia" w:ascii="宋体" w:hAnsi="宋体" w:eastAsia="宋体" w:cs="宋体"/>
                <w:b w:val="0"/>
                <w:i w:val="0"/>
                <w:caps w:val="0"/>
                <w:color w:val="auto"/>
                <w:spacing w:val="0"/>
                <w:w w:val="100"/>
                <w:kern w:val="21"/>
                <w:sz w:val="21"/>
                <w:szCs w:val="21"/>
                <w:highlight w:val="none"/>
                <w:lang w:eastAsia="zh-CN"/>
              </w:rPr>
              <w:t>1、技术指标及产品功能全部满足招标文件要求，计</w:t>
            </w:r>
            <w:r>
              <w:rPr>
                <w:rFonts w:hint="eastAsia" w:ascii="宋体" w:hAnsi="宋体" w:eastAsia="宋体" w:cs="宋体"/>
                <w:b w:val="0"/>
                <w:i w:val="0"/>
                <w:caps w:val="0"/>
                <w:color w:val="auto"/>
                <w:spacing w:val="0"/>
                <w:w w:val="100"/>
                <w:kern w:val="21"/>
                <w:sz w:val="21"/>
                <w:szCs w:val="21"/>
                <w:highlight w:val="none"/>
                <w:lang w:val="en-US" w:eastAsia="zh-CN"/>
              </w:rPr>
              <w:t>15</w:t>
            </w:r>
            <w:r>
              <w:rPr>
                <w:rFonts w:hint="eastAsia" w:ascii="宋体" w:hAnsi="宋体" w:eastAsia="宋体" w:cs="宋体"/>
                <w:b w:val="0"/>
                <w:i w:val="0"/>
                <w:caps w:val="0"/>
                <w:color w:val="auto"/>
                <w:spacing w:val="0"/>
                <w:w w:val="100"/>
                <w:kern w:val="21"/>
                <w:sz w:val="21"/>
                <w:szCs w:val="21"/>
                <w:highlight w:val="none"/>
                <w:lang w:eastAsia="zh-CN"/>
              </w:rPr>
              <w:t xml:space="preserve">分； </w:t>
            </w:r>
          </w:p>
          <w:p w14:paraId="27EF6B5D">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eastAsia="zh-CN"/>
              </w:rPr>
              <w:t>2、技术指标及产品功能，任何一项低于招标要求或不具备，扣1分，不计负分。</w:t>
            </w:r>
          </w:p>
        </w:tc>
      </w:tr>
      <w:tr w14:paraId="595AF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06" w:type="dxa"/>
            <w:noWrap w:val="0"/>
            <w:vAlign w:val="center"/>
          </w:tcPr>
          <w:p w14:paraId="449B363F">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4</w:t>
            </w:r>
          </w:p>
        </w:tc>
        <w:tc>
          <w:tcPr>
            <w:tcW w:w="1347" w:type="dxa"/>
            <w:noWrap w:val="0"/>
            <w:vAlign w:val="center"/>
          </w:tcPr>
          <w:p w14:paraId="35EED1D0">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项目组织</w:t>
            </w:r>
          </w:p>
          <w:p w14:paraId="06FCF623">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实施方案</w:t>
            </w:r>
          </w:p>
        </w:tc>
        <w:tc>
          <w:tcPr>
            <w:tcW w:w="690" w:type="dxa"/>
            <w:noWrap w:val="0"/>
            <w:vAlign w:val="center"/>
          </w:tcPr>
          <w:p w14:paraId="246D67B8">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kern w:val="2"/>
                <w:sz w:val="21"/>
                <w:szCs w:val="22"/>
                <w:highlight w:val="none"/>
                <w:u w:val="none" w:color="000000"/>
                <w:lang w:val="en-US" w:eastAsia="zh-CN" w:bidi="ar-SA"/>
              </w:rPr>
            </w:pPr>
            <w:r>
              <w:rPr>
                <w:rFonts w:hint="eastAsia" w:ascii="宋体" w:hAnsi="宋体" w:eastAsia="宋体" w:cs="宋体"/>
                <w:color w:val="auto"/>
                <w:kern w:val="2"/>
                <w:sz w:val="21"/>
                <w:szCs w:val="22"/>
                <w:highlight w:val="none"/>
                <w:u w:val="none" w:color="000000"/>
                <w:lang w:val="en-US" w:eastAsia="zh-CN" w:bidi="ar-SA"/>
              </w:rPr>
              <w:t>18分</w:t>
            </w:r>
          </w:p>
        </w:tc>
        <w:tc>
          <w:tcPr>
            <w:tcW w:w="7135" w:type="dxa"/>
            <w:noWrap w:val="0"/>
            <w:vAlign w:val="center"/>
          </w:tcPr>
          <w:p w14:paraId="1E6D7F85">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供应商依据项目需求提供实施方案，包括但不限于（①项目实施进度计划；②项目质量保证措施；③项目文档管理；④项目保密管理；⑤项目测试运行管理；⑥项目验收管理等）。 方案各部分内容全面详细、阐述条理清晰详尽、符合本项目采购需求，能有效保障本项目实施的计18分，每有一个缺项扣3分，每有一项内容不完整或有缺陷或与项目不匹配的，扣1分，扣完为止。 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49F96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06" w:type="dxa"/>
            <w:noWrap w:val="0"/>
            <w:vAlign w:val="center"/>
          </w:tcPr>
          <w:p w14:paraId="6A0DC38A">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5</w:t>
            </w:r>
          </w:p>
        </w:tc>
        <w:tc>
          <w:tcPr>
            <w:tcW w:w="1347" w:type="dxa"/>
            <w:noWrap w:val="0"/>
            <w:vAlign w:val="center"/>
          </w:tcPr>
          <w:p w14:paraId="00947C18">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售后服务方案</w:t>
            </w:r>
          </w:p>
        </w:tc>
        <w:tc>
          <w:tcPr>
            <w:tcW w:w="690" w:type="dxa"/>
            <w:noWrap w:val="0"/>
            <w:vAlign w:val="center"/>
          </w:tcPr>
          <w:p w14:paraId="77D6CD20">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4分</w:t>
            </w:r>
          </w:p>
        </w:tc>
        <w:tc>
          <w:tcPr>
            <w:tcW w:w="7135" w:type="dxa"/>
            <w:noWrap w:val="0"/>
            <w:vAlign w:val="center"/>
          </w:tcPr>
          <w:p w14:paraId="3B54C388">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供应商提供售后服务方案（包括但不限于以下内容：①售后服务承诺；②服务管理策略及售后团队人员；③维护响应方式及技术支持；④应急服务措施）。方案各部分内容全面详细、阐述条理清晰详尽、符合本项目采购需求，能有效保障本项目实施的计4分，每有一个缺项扣1分，每有一项内容不完整或有缺陷或与项目不匹配的，扣0.5分，扣完为止。 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67303E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06" w:type="dxa"/>
            <w:noWrap w:val="0"/>
            <w:vAlign w:val="center"/>
          </w:tcPr>
          <w:p w14:paraId="2715C151">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eastAsia="zh-CN"/>
              </w:rPr>
            </w:pPr>
            <w:r>
              <w:rPr>
                <w:rFonts w:hint="eastAsia" w:ascii="宋体" w:hAnsi="宋体" w:eastAsia="宋体" w:cs="宋体"/>
                <w:color w:val="auto"/>
                <w:kern w:val="2"/>
                <w:szCs w:val="22"/>
                <w:highlight w:val="none"/>
                <w:lang w:val="en-US" w:eastAsia="zh-CN"/>
              </w:rPr>
              <w:t>6</w:t>
            </w:r>
          </w:p>
        </w:tc>
        <w:tc>
          <w:tcPr>
            <w:tcW w:w="1347" w:type="dxa"/>
            <w:noWrap w:val="0"/>
            <w:vAlign w:val="center"/>
          </w:tcPr>
          <w:p w14:paraId="30E95310">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培训方案</w:t>
            </w:r>
          </w:p>
        </w:tc>
        <w:tc>
          <w:tcPr>
            <w:tcW w:w="690" w:type="dxa"/>
            <w:noWrap w:val="0"/>
            <w:vAlign w:val="center"/>
          </w:tcPr>
          <w:p w14:paraId="64847829">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4分</w:t>
            </w:r>
          </w:p>
        </w:tc>
        <w:tc>
          <w:tcPr>
            <w:tcW w:w="7135" w:type="dxa"/>
            <w:noWrap w:val="0"/>
            <w:vAlign w:val="center"/>
          </w:tcPr>
          <w:p w14:paraId="1956DFE9">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供应商提供培训方案（包括但不限于以下内容：①培训课程计划表；②具体的培训时间、地点及方式；③培训实施流程讲解；④培训质量保障）方案各部分内容全面详细、阐述条理清晰详尽、符合本项目采购需求，能有效保障本项目实施的计4分，每有一个缺项扣1分，每有一项内容不完整或有缺陷或与项目不匹配的，扣0.5分，扣完为止。 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0CD50A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06" w:type="dxa"/>
            <w:noWrap w:val="0"/>
            <w:vAlign w:val="center"/>
          </w:tcPr>
          <w:p w14:paraId="1F88686C">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7</w:t>
            </w:r>
          </w:p>
        </w:tc>
        <w:tc>
          <w:tcPr>
            <w:tcW w:w="1347" w:type="dxa"/>
            <w:noWrap w:val="0"/>
            <w:vAlign w:val="center"/>
          </w:tcPr>
          <w:p w14:paraId="5FA9A07F">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项目团队</w:t>
            </w:r>
          </w:p>
        </w:tc>
        <w:tc>
          <w:tcPr>
            <w:tcW w:w="690" w:type="dxa"/>
            <w:noWrap w:val="0"/>
            <w:vAlign w:val="center"/>
          </w:tcPr>
          <w:p w14:paraId="6FAE74EA">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6分</w:t>
            </w:r>
          </w:p>
        </w:tc>
        <w:tc>
          <w:tcPr>
            <w:tcW w:w="7135" w:type="dxa"/>
            <w:noWrap w:val="0"/>
            <w:vAlign w:val="center"/>
          </w:tcPr>
          <w:p w14:paraId="063C0E77">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 xml:space="preserve">1）供应商针对本项目有专业的实施团队，各岗位职责分工明确，团队人数达到10人以上得2分，10-5人得1.5分，5人以下得1分。 </w:t>
            </w:r>
          </w:p>
          <w:p w14:paraId="3505B190">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2）供应商拟派项目负责人具备人力资源和社会保障部门或工业和信息化部门认证的信息系统项目管理师（高级）得1分，信息系统管理工程师（中级）得0.5分；</w:t>
            </w:r>
            <w:r>
              <w:rPr>
                <w:rFonts w:hint="eastAsia" w:ascii="宋体" w:hAnsi="宋体" w:eastAsia="宋体" w:cs="宋体"/>
                <w:b/>
                <w:bCs/>
                <w:i w:val="0"/>
                <w:caps w:val="0"/>
                <w:color w:val="auto"/>
                <w:spacing w:val="0"/>
                <w:w w:val="100"/>
                <w:kern w:val="21"/>
                <w:sz w:val="21"/>
                <w:szCs w:val="21"/>
                <w:highlight w:val="none"/>
                <w:lang w:val="en-US" w:eastAsia="zh-CN"/>
              </w:rPr>
              <w:t>（注：需提供相关证书复印件以及供应商近3个月内（任意一个月）为该人员缴纳的社保证明材料，未提供相关证明材料不得分。）</w:t>
            </w:r>
          </w:p>
          <w:p w14:paraId="434F1527">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3）供应商拟派项目人员中具有计算机技术与软件相关专业中级及以上职称证书，每提供一个得0.5分，满分3分。</w:t>
            </w:r>
            <w:r>
              <w:rPr>
                <w:rFonts w:hint="eastAsia" w:ascii="宋体" w:hAnsi="宋体" w:eastAsia="宋体" w:cs="宋体"/>
                <w:b/>
                <w:bCs/>
                <w:i w:val="0"/>
                <w:caps w:val="0"/>
                <w:color w:val="auto"/>
                <w:spacing w:val="0"/>
                <w:w w:val="100"/>
                <w:kern w:val="21"/>
                <w:sz w:val="21"/>
                <w:szCs w:val="21"/>
                <w:highlight w:val="none"/>
                <w:lang w:val="en-US" w:eastAsia="zh-CN"/>
              </w:rPr>
              <w:t>（注：需提供相关证书复印件以及供应商近3个月内（任意一个月）为该人员缴纳的社保证明材料，未提供相关证明材料不得分。）</w:t>
            </w:r>
          </w:p>
        </w:tc>
      </w:tr>
      <w:tr w14:paraId="70224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06" w:type="dxa"/>
            <w:noWrap w:val="0"/>
            <w:vAlign w:val="center"/>
          </w:tcPr>
          <w:p w14:paraId="45741F88">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1347" w:type="dxa"/>
            <w:noWrap w:val="0"/>
            <w:vAlign w:val="center"/>
          </w:tcPr>
          <w:p w14:paraId="3DFF687A">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综合实力</w:t>
            </w:r>
          </w:p>
        </w:tc>
        <w:tc>
          <w:tcPr>
            <w:tcW w:w="690" w:type="dxa"/>
            <w:noWrap w:val="0"/>
            <w:vAlign w:val="center"/>
          </w:tcPr>
          <w:p w14:paraId="3E2B6C73">
            <w:pPr>
              <w:keepNext w:val="0"/>
              <w:keepLines w:val="0"/>
              <w:pageBreakBefore w:val="0"/>
              <w:widowControl/>
              <w:numPr>
                <w:ilvl w:val="0"/>
                <w:numId w:val="0"/>
              </w:numPr>
              <w:suppressLineNumbers w:val="0"/>
              <w:kinsoku/>
              <w:overflowPunct/>
              <w:topLinePunct w:val="0"/>
              <w:autoSpaceDE/>
              <w:autoSpaceDN/>
              <w:bidi w:val="0"/>
              <w:spacing w:before="0" w:beforeAutospacing="0" w:after="0" w:afterAutospacing="0" w:line="480" w:lineRule="exact"/>
              <w:ind w:left="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kern w:val="2"/>
                <w:szCs w:val="22"/>
                <w:highlight w:val="none"/>
                <w:lang w:val="en-US" w:eastAsia="zh-CN"/>
              </w:rPr>
              <w:t>分</w:t>
            </w:r>
          </w:p>
        </w:tc>
        <w:tc>
          <w:tcPr>
            <w:tcW w:w="7135" w:type="dxa"/>
            <w:noWrap w:val="0"/>
            <w:vAlign w:val="center"/>
          </w:tcPr>
          <w:p w14:paraId="17FCED13">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供应商需提供ISO9001质量管理体系认证，提供得1分，不提供不得分。</w:t>
            </w:r>
          </w:p>
        </w:tc>
      </w:tr>
      <w:tr w14:paraId="55E3F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14" w:hRule="atLeast"/>
          <w:tblHeader/>
          <w:jc w:val="center"/>
        </w:trPr>
        <w:tc>
          <w:tcPr>
            <w:tcW w:w="706" w:type="dxa"/>
            <w:noWrap w:val="0"/>
            <w:vAlign w:val="center"/>
          </w:tcPr>
          <w:p w14:paraId="75469D6E">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9</w:t>
            </w:r>
          </w:p>
        </w:tc>
        <w:tc>
          <w:tcPr>
            <w:tcW w:w="1347" w:type="dxa"/>
            <w:noWrap w:val="0"/>
            <w:vAlign w:val="center"/>
          </w:tcPr>
          <w:p w14:paraId="48F48F1D">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eastAsia="zh-CN"/>
              </w:rPr>
            </w:pPr>
            <w:r>
              <w:rPr>
                <w:rFonts w:hint="eastAsia" w:ascii="宋体" w:hAnsi="宋体" w:eastAsia="宋体" w:cs="宋体"/>
                <w:color w:val="auto"/>
                <w:sz w:val="21"/>
                <w:szCs w:val="21"/>
                <w:highlight w:val="none"/>
                <w:shd w:val="clear" w:color="auto" w:fill="auto"/>
                <w:lang w:eastAsia="zh-CN"/>
              </w:rPr>
              <w:t>业绩</w:t>
            </w:r>
          </w:p>
        </w:tc>
        <w:tc>
          <w:tcPr>
            <w:tcW w:w="690" w:type="dxa"/>
            <w:noWrap w:val="0"/>
            <w:vAlign w:val="center"/>
          </w:tcPr>
          <w:p w14:paraId="377AF6F9">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eastAsia="zh-CN"/>
              </w:rPr>
              <w:t>分</w:t>
            </w:r>
          </w:p>
        </w:tc>
        <w:tc>
          <w:tcPr>
            <w:tcW w:w="7135" w:type="dxa"/>
            <w:noWrap w:val="0"/>
            <w:vAlign w:val="center"/>
          </w:tcPr>
          <w:p w14:paraId="47B12B81">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为保障医院本项目的信息化目标达成，投标人具有高等级电子病历评级信息化建设与服务能力。</w:t>
            </w:r>
          </w:p>
          <w:p w14:paraId="3BEFDE83">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评委根据案例的电子病历应用水平级别的高低进行排名打分。第一名得2分，第二名得1分，第三名得0.5分，其余不得分、不提供不得分。</w:t>
            </w:r>
          </w:p>
          <w:p w14:paraId="411FAEB5">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注：国家电子病历评级分为0级到8级，0级最低，8级最高。按各投标人提供案例的最高等级进行排名，如投标人提供的案例级别相同，则并列排名。</w:t>
            </w:r>
          </w:p>
          <w:p w14:paraId="20BC5AEF">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投标人需提供①项目合同（合同内容需包含HIS或医生工作站/电子病历，且合同乙方须为投标供应商）；②测评通过等级相关证明文件（证书/牌照照片/卫健委发布过级名单任意一项均可）。</w:t>
            </w:r>
          </w:p>
        </w:tc>
      </w:tr>
      <w:tr w14:paraId="2778C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2053" w:type="dxa"/>
            <w:gridSpan w:val="2"/>
            <w:noWrap w:val="0"/>
            <w:vAlign w:val="center"/>
          </w:tcPr>
          <w:p w14:paraId="16A91E26">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合计</w:t>
            </w:r>
          </w:p>
        </w:tc>
        <w:tc>
          <w:tcPr>
            <w:tcW w:w="690" w:type="dxa"/>
            <w:noWrap w:val="0"/>
            <w:vAlign w:val="center"/>
          </w:tcPr>
          <w:p w14:paraId="10E80F9C">
            <w:pPr>
              <w:keepNext w:val="0"/>
              <w:keepLines w:val="0"/>
              <w:pageBreakBefore w:val="0"/>
              <w:widowControl/>
              <w:suppressLineNumbers w:val="0"/>
              <w:kinsoku/>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100分</w:t>
            </w:r>
          </w:p>
        </w:tc>
        <w:tc>
          <w:tcPr>
            <w:tcW w:w="7135" w:type="dxa"/>
            <w:noWrap w:val="0"/>
            <w:vAlign w:val="center"/>
          </w:tcPr>
          <w:p w14:paraId="22AFFA5A">
            <w:pPr>
              <w:pageBreakBefore w:val="0"/>
              <w:tabs>
                <w:tab w:val="left" w:pos="0"/>
              </w:tabs>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总得分=1至</w:t>
            </w:r>
            <w:r>
              <w:rPr>
                <w:rFonts w:hint="eastAsia" w:ascii="宋体" w:hAnsi="宋体" w:eastAsia="宋体" w:cs="宋体"/>
                <w:b w:val="0"/>
                <w:i w:val="0"/>
                <w:caps w:val="0"/>
                <w:color w:val="auto"/>
                <w:spacing w:val="0"/>
                <w:w w:val="100"/>
                <w:kern w:val="21"/>
                <w:sz w:val="21"/>
                <w:szCs w:val="21"/>
                <w:highlight w:val="none"/>
                <w:lang w:val="en-US" w:eastAsia="zh-CN"/>
              </w:rPr>
              <w:t>9</w:t>
            </w:r>
            <w:r>
              <w:rPr>
                <w:rFonts w:hint="eastAsia" w:ascii="宋体" w:hAnsi="宋体" w:eastAsia="宋体" w:cs="宋体"/>
                <w:b w:val="0"/>
                <w:i w:val="0"/>
                <w:caps w:val="0"/>
                <w:color w:val="auto"/>
                <w:spacing w:val="0"/>
                <w:w w:val="100"/>
                <w:kern w:val="21"/>
                <w:sz w:val="21"/>
                <w:szCs w:val="21"/>
                <w:highlight w:val="none"/>
              </w:rPr>
              <w:t>项所含内容</w:t>
            </w:r>
          </w:p>
        </w:tc>
      </w:tr>
    </w:tbl>
    <w:p w14:paraId="6DDDCE78">
      <w:pPr>
        <w:rPr>
          <w:rFonts w:hint="eastAsia" w:ascii="宋体" w:hAnsi="宋体" w:eastAsia="宋体" w:cs="宋体"/>
          <w:color w:val="auto"/>
          <w:highlight w:val="none"/>
        </w:rPr>
      </w:pPr>
    </w:p>
    <w:p w14:paraId="3269F78D">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3、供应商得分相同时，按投标文件</w:t>
      </w:r>
      <w:r>
        <w:rPr>
          <w:rFonts w:hint="eastAsia" w:ascii="宋体" w:hAnsi="宋体" w:eastAsia="宋体" w:cs="宋体"/>
          <w:b w:val="0"/>
          <w:i w:val="0"/>
          <w:caps w:val="0"/>
          <w:color w:val="auto"/>
          <w:spacing w:val="0"/>
          <w:w w:val="100"/>
          <w:sz w:val="21"/>
          <w:szCs w:val="21"/>
          <w:highlight w:val="none"/>
          <w:lang w:val="en-US" w:eastAsia="zh-CN"/>
        </w:rPr>
        <w:t>平台</w:t>
      </w:r>
      <w:r>
        <w:rPr>
          <w:rFonts w:hint="eastAsia" w:ascii="宋体" w:hAnsi="宋体" w:eastAsia="宋体" w:cs="宋体"/>
          <w:b w:val="0"/>
          <w:i w:val="0"/>
          <w:caps w:val="0"/>
          <w:color w:val="auto"/>
          <w:spacing w:val="0"/>
          <w:w w:val="100"/>
          <w:sz w:val="21"/>
          <w:szCs w:val="21"/>
          <w:highlight w:val="none"/>
          <w:lang w:val="zh-CN"/>
        </w:rPr>
        <w:t>整体技术方案、技术参数、项目组织实施方案、售后服务方案、培训方案、项目团队、综合实力、业绩，依次对比得分高者优先，决定中标候选顺序。</w:t>
      </w:r>
    </w:p>
    <w:p w14:paraId="029A124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4、本项目落实政府采购政策</w:t>
      </w:r>
    </w:p>
    <w:p w14:paraId="0935BEAD">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4.1、投标企业政府采购政策</w:t>
      </w:r>
    </w:p>
    <w:p w14:paraId="53853D0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（1）中小企业落实政府采购政策</w:t>
      </w:r>
    </w:p>
    <w:p w14:paraId="63743B9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lang w:val="zh-CN"/>
        </w:rPr>
        <w:t>①采购活动执行《政府采购促进中小企业发展管理办法》的通知财库〔2020〕46号的规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w:t>
      </w:r>
      <w:r>
        <w:rPr>
          <w:rFonts w:hint="eastAsia" w:ascii="宋体" w:hAnsi="宋体" w:eastAsia="宋体" w:cs="宋体"/>
          <w:b w:val="0"/>
          <w:i w:val="0"/>
          <w:caps w:val="0"/>
          <w:color w:val="auto"/>
          <w:spacing w:val="0"/>
          <w:w w:val="100"/>
          <w:sz w:val="21"/>
          <w:szCs w:val="21"/>
          <w:highlight w:val="none"/>
        </w:rPr>
        <w:t>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4E3F8868">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②中小企业参加政府采购活动，应当出具本办法规定的《中小企业声明函》，否则不得享受相关中小企业扶持政策。任何单位和个人不得要求供应商提供《中小企业声明函》之外的中小企业身份证明文件。</w:t>
      </w:r>
    </w:p>
    <w:p w14:paraId="42D7B57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w:t>
      </w:r>
      <w:r>
        <w:rPr>
          <w:rFonts w:hint="eastAsia" w:ascii="宋体" w:hAnsi="宋体" w:eastAsia="宋体" w:cs="宋体"/>
          <w:b w:val="0"/>
          <w:i w:val="0"/>
          <w:caps w:val="0"/>
          <w:color w:val="auto"/>
          <w:spacing w:val="0"/>
          <w:w w:val="100"/>
          <w:sz w:val="21"/>
          <w:szCs w:val="21"/>
          <w:highlight w:val="none"/>
          <w:lang w:val="zh-CN"/>
        </w:rPr>
        <w:t>监狱和戒毒企业</w:t>
      </w:r>
      <w:r>
        <w:rPr>
          <w:rFonts w:hint="eastAsia" w:ascii="宋体" w:hAnsi="宋体" w:eastAsia="宋体" w:cs="宋体"/>
          <w:b w:val="0"/>
          <w:i w:val="0"/>
          <w:caps w:val="0"/>
          <w:color w:val="auto"/>
          <w:spacing w:val="0"/>
          <w:w w:val="100"/>
          <w:sz w:val="21"/>
          <w:szCs w:val="21"/>
          <w:highlight w:val="none"/>
        </w:rPr>
        <w:t>落实政府采购政策</w:t>
      </w:r>
    </w:p>
    <w:p w14:paraId="1EB88BA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lang w:val="zh-CN"/>
        </w:rPr>
        <w:t>监狱和戒毒企业应符合《财政部</w:t>
      </w:r>
      <w:r>
        <w:rPr>
          <w:rFonts w:hint="eastAsia" w:ascii="宋体" w:hAnsi="宋体" w:eastAsia="宋体" w:cs="宋体"/>
          <w:b w:val="0"/>
          <w:i w:val="0"/>
          <w:caps w:val="0"/>
          <w:color w:val="auto"/>
          <w:spacing w:val="0"/>
          <w:w w:val="100"/>
          <w:sz w:val="21"/>
          <w:szCs w:val="21"/>
          <w:highlight w:val="none"/>
        </w:rPr>
        <w:t>、司法部关于政府采购支持监狱企业发展有关问题的通知》--财库[2014]68号</w:t>
      </w:r>
      <w:r>
        <w:rPr>
          <w:rFonts w:hint="eastAsia" w:ascii="宋体" w:hAnsi="宋体" w:eastAsia="宋体" w:cs="宋体"/>
          <w:b w:val="0"/>
          <w:i w:val="0"/>
          <w:caps w:val="0"/>
          <w:color w:val="auto"/>
          <w:spacing w:val="0"/>
          <w:w w:val="100"/>
          <w:sz w:val="21"/>
          <w:szCs w:val="21"/>
          <w:highlight w:val="none"/>
          <w:lang w:val="zh-CN"/>
        </w:rPr>
        <w:t>，并提供由省级以上监狱管理局、戒毒管理局(含新疆生产建设兵团)出具的属于监狱企业的证明，</w:t>
      </w:r>
      <w:r>
        <w:rPr>
          <w:rFonts w:hint="eastAsia" w:ascii="宋体" w:hAnsi="宋体" w:eastAsia="宋体" w:cs="宋体"/>
          <w:b w:val="0"/>
          <w:i w:val="0"/>
          <w:caps w:val="0"/>
          <w:color w:val="auto"/>
          <w:spacing w:val="0"/>
          <w:w w:val="100"/>
          <w:sz w:val="21"/>
          <w:szCs w:val="21"/>
          <w:highlight w:val="none"/>
        </w:rPr>
        <w:t>开标时提供原件备查。</w:t>
      </w:r>
    </w:p>
    <w:p w14:paraId="1FA8FC93">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（3）残疾人福利性单位落实政府采购政策</w:t>
      </w:r>
    </w:p>
    <w:p w14:paraId="36027A0E">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①省民政厅、省财政厅和省残联联合出台《关于政府采购优先购买福利性企业产品和服务的意见》（陕民发（2015）1号），要求进一步促进福利性企业（福利性企业指社会福利企业和集中安排残疾人就业单位）持续健康发展，有效解决残疾人集中就业问题，充分发挥政府采购政策功能。</w:t>
      </w:r>
    </w:p>
    <w:p w14:paraId="439A9F5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②残疾人福利性单位应符合财库〔2017〕141号规定，提供本单位制造的货物、承担的项目或者服务（以下简称产品），或者提供其他残疾人福利性单位制造的货物（不包括使用非残疾人福利性单位注册商标的货物）。</w:t>
      </w:r>
    </w:p>
    <w:p w14:paraId="58A473E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③投标供应商须按照财库〔2017〕141号规定，提供《残疾人福利性单位声明函》，并对声明的真实性负责。以此为依据享受政府采购政策。</w:t>
      </w:r>
    </w:p>
    <w:p w14:paraId="1FAA1D3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④中标、中标供应商为残疾人福利性单位的，采购人或者其委托的采购代理机构应当随中标、中标结果同时公告其《残疾人福利性单位声明函》，接受社会监督。</w:t>
      </w:r>
    </w:p>
    <w:p w14:paraId="5F61D74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（4）投标供应商应如实提供以上证明文件，如存在虚假应标，将取消其投标资格。</w:t>
      </w:r>
    </w:p>
    <w:p w14:paraId="2083350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4.</w:t>
      </w:r>
      <w:r>
        <w:rPr>
          <w:rFonts w:hint="eastAsia" w:ascii="宋体" w:hAnsi="宋体" w:eastAsia="宋体" w:cs="宋体"/>
          <w:b w:val="0"/>
          <w:i w:val="0"/>
          <w:caps w:val="0"/>
          <w:color w:val="auto"/>
          <w:spacing w:val="0"/>
          <w:w w:val="100"/>
          <w:sz w:val="21"/>
          <w:szCs w:val="21"/>
          <w:highlight w:val="none"/>
          <w:lang w:val="zh-CN"/>
        </w:rPr>
        <w:t>2、投标产品政府采购政策</w:t>
      </w:r>
    </w:p>
    <w:p w14:paraId="51B7F2F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（1）节能产品</w:t>
      </w:r>
      <w:r>
        <w:rPr>
          <w:rFonts w:hint="eastAsia" w:ascii="宋体" w:hAnsi="宋体" w:eastAsia="宋体" w:cs="宋体"/>
          <w:b w:val="0"/>
          <w:i w:val="0"/>
          <w:caps w:val="0"/>
          <w:color w:val="auto"/>
          <w:spacing w:val="0"/>
          <w:w w:val="100"/>
          <w:sz w:val="21"/>
          <w:szCs w:val="21"/>
          <w:highlight w:val="none"/>
          <w:lang w:val="zh-CN"/>
        </w:rPr>
        <w:t>根据《国务院办公厅关于建立政府强制采购节能产品制度的通知》</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国办发[2007] 51号</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的规定</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以中国政府采购网</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http://www.ccgp.gov.cn/</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公布的最新一期节能产品政府采购清单为准。</w:t>
      </w:r>
    </w:p>
    <w:p w14:paraId="626F412A">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（2）环境标志产品</w:t>
      </w:r>
      <w:r>
        <w:rPr>
          <w:rFonts w:hint="eastAsia" w:ascii="宋体" w:hAnsi="宋体" w:eastAsia="宋体" w:cs="宋体"/>
          <w:b w:val="0"/>
          <w:i w:val="0"/>
          <w:caps w:val="0"/>
          <w:color w:val="auto"/>
          <w:spacing w:val="0"/>
          <w:w w:val="100"/>
          <w:sz w:val="21"/>
          <w:szCs w:val="21"/>
          <w:highlight w:val="none"/>
          <w:lang w:val="zh-CN"/>
        </w:rPr>
        <w:t>根据《环境标志产品政府采购实施的意见》</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财库</w:t>
      </w:r>
      <w:r>
        <w:rPr>
          <w:rFonts w:hint="eastAsia" w:ascii="宋体" w:hAnsi="宋体" w:eastAsia="宋体" w:cs="宋体"/>
          <w:b w:val="0"/>
          <w:i w:val="0"/>
          <w:caps w:val="0"/>
          <w:color w:val="auto"/>
          <w:spacing w:val="0"/>
          <w:w w:val="100"/>
          <w:sz w:val="21"/>
          <w:szCs w:val="21"/>
          <w:highlight w:val="none"/>
        </w:rPr>
        <w:t>[2006]90</w:t>
      </w:r>
      <w:r>
        <w:rPr>
          <w:rFonts w:hint="eastAsia" w:ascii="宋体" w:hAnsi="宋体" w:eastAsia="宋体" w:cs="宋体"/>
          <w:b w:val="0"/>
          <w:i w:val="0"/>
          <w:caps w:val="0"/>
          <w:color w:val="auto"/>
          <w:spacing w:val="0"/>
          <w:w w:val="100"/>
          <w:sz w:val="21"/>
          <w:szCs w:val="21"/>
          <w:highlight w:val="none"/>
          <w:lang w:val="zh-CN"/>
        </w:rPr>
        <w:t>号</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的规定</w:t>
      </w:r>
      <w:r>
        <w:rPr>
          <w:rFonts w:hint="eastAsia" w:ascii="宋体" w:hAnsi="宋体" w:eastAsia="宋体" w:cs="宋体"/>
          <w:b w:val="0"/>
          <w:i w:val="0"/>
          <w:caps w:val="0"/>
          <w:color w:val="auto"/>
          <w:spacing w:val="0"/>
          <w:w w:val="100"/>
          <w:sz w:val="21"/>
          <w:szCs w:val="21"/>
          <w:highlight w:val="none"/>
        </w:rPr>
        <w:t>，</w:t>
      </w:r>
      <w:r>
        <w:rPr>
          <w:rFonts w:hint="eastAsia" w:ascii="宋体" w:hAnsi="宋体" w:eastAsia="宋体" w:cs="宋体"/>
          <w:b w:val="0"/>
          <w:i w:val="0"/>
          <w:caps w:val="0"/>
          <w:color w:val="auto"/>
          <w:spacing w:val="0"/>
          <w:w w:val="100"/>
          <w:sz w:val="21"/>
          <w:szCs w:val="21"/>
          <w:highlight w:val="none"/>
          <w:lang w:val="zh-CN"/>
        </w:rPr>
        <w:t>以中国政府采购网</w:t>
      </w:r>
      <w:r>
        <w:rPr>
          <w:rFonts w:hint="eastAsia" w:ascii="宋体" w:hAnsi="宋体" w:eastAsia="宋体" w:cs="宋体"/>
          <w:b w:val="0"/>
          <w:i w:val="0"/>
          <w:caps w:val="0"/>
          <w:color w:val="auto"/>
          <w:spacing w:val="0"/>
          <w:w w:val="100"/>
          <w:sz w:val="21"/>
          <w:szCs w:val="21"/>
          <w:highlight w:val="none"/>
        </w:rPr>
        <w:t>（http://www.ccgp.gov.cn/）</w:t>
      </w:r>
      <w:r>
        <w:rPr>
          <w:rFonts w:hint="eastAsia" w:ascii="宋体" w:hAnsi="宋体" w:eastAsia="宋体" w:cs="宋体"/>
          <w:b w:val="0"/>
          <w:i w:val="0"/>
          <w:caps w:val="0"/>
          <w:color w:val="auto"/>
          <w:spacing w:val="0"/>
          <w:w w:val="100"/>
          <w:sz w:val="21"/>
          <w:szCs w:val="21"/>
          <w:highlight w:val="none"/>
          <w:lang w:val="zh-CN"/>
        </w:rPr>
        <w:t>公布的最新一期环境标志产品政府采购清单为准。</w:t>
      </w:r>
    </w:p>
    <w:p w14:paraId="6CCC2A0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（3）</w:t>
      </w:r>
      <w:r>
        <w:rPr>
          <w:rFonts w:hint="eastAsia" w:ascii="宋体" w:hAnsi="宋体" w:eastAsia="宋体" w:cs="宋体"/>
          <w:b w:val="0"/>
          <w:i w:val="0"/>
          <w:caps w:val="0"/>
          <w:color w:val="auto"/>
          <w:spacing w:val="0"/>
          <w:w w:val="100"/>
          <w:sz w:val="21"/>
          <w:szCs w:val="21"/>
          <w:highlight w:val="none"/>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DFFB2A4">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（4）</w:t>
      </w:r>
      <w:r>
        <w:rPr>
          <w:rFonts w:hint="eastAsia" w:ascii="宋体" w:hAnsi="宋体" w:eastAsia="宋体" w:cs="宋体"/>
          <w:b w:val="0"/>
          <w:i w:val="0"/>
          <w:caps w:val="0"/>
          <w:color w:val="auto"/>
          <w:spacing w:val="0"/>
          <w:w w:val="100"/>
          <w:sz w:val="21"/>
          <w:szCs w:val="21"/>
          <w:highlight w:val="none"/>
          <w:lang w:val="zh-CN"/>
        </w:rPr>
        <w:t>若节能、环保、环境标志清单内的产品仅是构成投标产品的部件、组件或零件的，则该投标产品不享受鼓励优惠政策。</w:t>
      </w:r>
    </w:p>
    <w:p w14:paraId="1DC6DADF">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（5）</w:t>
      </w:r>
      <w:r>
        <w:rPr>
          <w:rFonts w:hint="eastAsia" w:ascii="宋体" w:hAnsi="宋体" w:eastAsia="宋体" w:cs="宋体"/>
          <w:b w:val="0"/>
          <w:i w:val="0"/>
          <w:caps w:val="0"/>
          <w:color w:val="auto"/>
          <w:spacing w:val="0"/>
          <w:w w:val="100"/>
          <w:sz w:val="21"/>
          <w:szCs w:val="21"/>
          <w:highlight w:val="none"/>
          <w:lang w:val="zh-CN"/>
        </w:rPr>
        <w:t>同一标段的节能、环保、环境标志产品部分优惠只对属于清单内的非强制类产品进行优惠，强制类产品不给予优惠。</w:t>
      </w:r>
    </w:p>
    <w:p w14:paraId="5EB105C2">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（6）</w:t>
      </w:r>
      <w:r>
        <w:rPr>
          <w:rFonts w:hint="eastAsia" w:ascii="宋体" w:hAnsi="宋体" w:eastAsia="宋体" w:cs="宋体"/>
          <w:b w:val="0"/>
          <w:i w:val="0"/>
          <w:caps w:val="0"/>
          <w:color w:val="auto"/>
          <w:spacing w:val="0"/>
          <w:w w:val="100"/>
          <w:sz w:val="21"/>
          <w:szCs w:val="21"/>
          <w:highlight w:val="none"/>
          <w:lang w:val="zh-CN"/>
        </w:rPr>
        <w:t>节能、环保、环境标志产品不重复优惠；同时列入国家级清单和省级清单的产品不重复优惠。</w:t>
      </w:r>
    </w:p>
    <w:p w14:paraId="53ECDBA5">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（7）</w:t>
      </w:r>
      <w:r>
        <w:rPr>
          <w:rFonts w:hint="eastAsia" w:ascii="宋体" w:hAnsi="宋体" w:eastAsia="宋体" w:cs="宋体"/>
          <w:b w:val="0"/>
          <w:i w:val="0"/>
          <w:caps w:val="0"/>
          <w:color w:val="auto"/>
          <w:spacing w:val="0"/>
          <w:w w:val="100"/>
          <w:sz w:val="21"/>
          <w:szCs w:val="21"/>
          <w:highlight w:val="none"/>
          <w:lang w:val="zh-CN"/>
        </w:rPr>
        <w:t>获得上述认证的产品在投标时应提供有效证明材料。以上所有证明文件复印件须加盖供应商公章并注明“与原件一致”，否则不予优惠。</w:t>
      </w:r>
    </w:p>
    <w:p w14:paraId="31840131">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4.</w:t>
      </w:r>
      <w:r>
        <w:rPr>
          <w:rFonts w:hint="eastAsia" w:ascii="宋体" w:hAnsi="宋体" w:eastAsia="宋体" w:cs="宋体"/>
          <w:b w:val="0"/>
          <w:i w:val="0"/>
          <w:caps w:val="0"/>
          <w:color w:val="auto"/>
          <w:spacing w:val="0"/>
          <w:w w:val="100"/>
          <w:sz w:val="21"/>
          <w:szCs w:val="21"/>
          <w:highlight w:val="none"/>
          <w:lang w:val="zh-CN"/>
        </w:rPr>
        <w:t>3、价格优惠比例</w:t>
      </w:r>
    </w:p>
    <w:p w14:paraId="63FAD606">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w:t>
      </w:r>
      <w:r>
        <w:rPr>
          <w:rFonts w:hint="eastAsia" w:ascii="宋体" w:hAnsi="宋体" w:eastAsia="宋体" w:cs="宋体"/>
          <w:b w:val="0"/>
          <w:i w:val="0"/>
          <w:caps w:val="0"/>
          <w:color w:val="auto"/>
          <w:spacing w:val="0"/>
          <w:w w:val="100"/>
          <w:sz w:val="21"/>
          <w:szCs w:val="21"/>
          <w:highlight w:val="none"/>
          <w:lang w:val="zh-CN"/>
        </w:rPr>
        <w:t>投标企业优惠比例</w:t>
      </w:r>
    </w:p>
    <w:p w14:paraId="6DE0152D">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本项目非专门面向中小企业采购，</w:t>
      </w:r>
      <w:r>
        <w:rPr>
          <w:rFonts w:hint="eastAsia" w:ascii="宋体" w:hAnsi="宋体" w:eastAsia="宋体" w:cs="宋体"/>
          <w:b/>
          <w:bCs/>
          <w:color w:val="auto"/>
          <w:szCs w:val="21"/>
          <w:highlight w:val="none"/>
        </w:rPr>
        <w:t>对符合《政府采购促进中小企业发展管理办法》(财库{2020}46号)规定的小微企业(监狱企业视同小型、微型企业)的报价给予</w:t>
      </w:r>
      <w:r>
        <w:rPr>
          <w:rFonts w:hint="eastAsia" w:ascii="宋体" w:hAnsi="宋体" w:eastAsia="宋体" w:cs="宋体"/>
          <w:b/>
          <w:bCs/>
          <w:color w:val="auto"/>
          <w:szCs w:val="21"/>
          <w:highlight w:val="none"/>
          <w:u w:val="single" w:color="auto"/>
        </w:rPr>
        <w:t xml:space="preserve"> </w:t>
      </w:r>
      <w:r>
        <w:rPr>
          <w:rFonts w:hint="eastAsia" w:ascii="宋体" w:hAnsi="宋体" w:eastAsia="宋体" w:cs="宋体"/>
          <w:b/>
          <w:bCs/>
          <w:color w:val="auto"/>
          <w:szCs w:val="21"/>
          <w:highlight w:val="none"/>
          <w:u w:val="single" w:color="auto"/>
          <w:lang w:val="en-US" w:eastAsia="zh-CN"/>
        </w:rPr>
        <w:t>10</w:t>
      </w:r>
      <w:r>
        <w:rPr>
          <w:rFonts w:hint="eastAsia" w:ascii="宋体" w:hAnsi="宋体" w:eastAsia="宋体" w:cs="宋体"/>
          <w:b/>
          <w:bCs/>
          <w:color w:val="auto"/>
          <w:szCs w:val="21"/>
          <w:highlight w:val="none"/>
          <w:u w:val="single" w:color="auto"/>
        </w:rPr>
        <w:t xml:space="preserve"> </w:t>
      </w:r>
      <w:r>
        <w:rPr>
          <w:rFonts w:hint="eastAsia" w:ascii="宋体" w:hAnsi="宋体" w:eastAsia="宋体" w:cs="宋体"/>
          <w:b/>
          <w:bCs/>
          <w:color w:val="auto"/>
          <w:szCs w:val="21"/>
          <w:highlight w:val="none"/>
        </w:rPr>
        <w:t>％的扣除,用扣除后的价格参加评审。</w:t>
      </w:r>
    </w:p>
    <w:p w14:paraId="25A4BC10">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14:paraId="4DADF187">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rPr>
        <w:t>（2）</w:t>
      </w:r>
      <w:r>
        <w:rPr>
          <w:rFonts w:hint="eastAsia" w:ascii="宋体" w:hAnsi="宋体" w:eastAsia="宋体" w:cs="宋体"/>
          <w:b w:val="0"/>
          <w:i w:val="0"/>
          <w:caps w:val="0"/>
          <w:color w:val="auto"/>
          <w:spacing w:val="0"/>
          <w:w w:val="100"/>
          <w:sz w:val="21"/>
          <w:szCs w:val="21"/>
          <w:highlight w:val="none"/>
          <w:lang w:val="zh-CN"/>
        </w:rPr>
        <w:t>投标产品优惠比例</w:t>
      </w:r>
    </w:p>
    <w:p w14:paraId="10A053BC">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
          <w:sz w:val="21"/>
          <w:szCs w:val="21"/>
          <w:highlight w:val="none"/>
        </w:rPr>
      </w:pPr>
      <w:r>
        <w:rPr>
          <w:rFonts w:hint="eastAsia" w:ascii="宋体" w:hAnsi="宋体" w:eastAsia="宋体" w:cs="宋体"/>
          <w:b w:val="0"/>
          <w:i w:val="0"/>
          <w:caps w:val="0"/>
          <w:color w:val="auto"/>
          <w:spacing w:val="0"/>
          <w:w w:val="100"/>
          <w:sz w:val="21"/>
          <w:szCs w:val="21"/>
          <w:highlight w:val="none"/>
          <w:lang w:val="zh-CN"/>
        </w:rPr>
        <w:t>投标产品为节能、环保、环境标志产品清单中的产品，符合招标文件要求的，价格给予6%的扣除（不重复优惠，最高为6%），用扣除后的价格参与评审。</w:t>
      </w:r>
    </w:p>
    <w:p w14:paraId="21C9D696">
      <w:pPr>
        <w:pageBreakBefore w:val="0"/>
        <w:kinsoku/>
        <w:overflowPunct/>
        <w:topLinePunct w:val="0"/>
        <w:autoSpaceDE/>
        <w:autoSpaceDN/>
        <w:bidi w:val="0"/>
        <w:snapToGrid w:val="0"/>
        <w:spacing w:before="312" w:beforeAutospacing="0" w:after="312" w:afterAutospacing="0" w:line="480" w:lineRule="exact"/>
        <w:ind w:firstLine="405" w:firstLineChars="192"/>
        <w:jc w:val="center"/>
        <w:textAlignment w:val="baseline"/>
        <w:rPr>
          <w:rFonts w:hint="eastAsia" w:ascii="宋体" w:hAnsi="宋体" w:eastAsia="宋体" w:cs="宋体"/>
          <w:b/>
          <w:i w:val="0"/>
          <w:caps w:val="0"/>
          <w:color w:val="auto"/>
          <w:spacing w:val="0"/>
          <w:w w:val="100"/>
          <w:sz w:val="21"/>
          <w:szCs w:val="21"/>
          <w:highlight w:val="none"/>
        </w:rPr>
      </w:pPr>
      <w:r>
        <w:rPr>
          <w:rFonts w:hint="eastAsia" w:ascii="宋体" w:hAnsi="宋体" w:eastAsia="宋体" w:cs="宋体"/>
          <w:b/>
          <w:i w:val="0"/>
          <w:caps w:val="0"/>
          <w:color w:val="auto"/>
          <w:spacing w:val="0"/>
          <w:w w:val="100"/>
          <w:sz w:val="21"/>
          <w:szCs w:val="21"/>
          <w:highlight w:val="none"/>
        </w:rPr>
        <w:t>（十四）推荐中标候选人</w:t>
      </w:r>
    </w:p>
    <w:p w14:paraId="273336D7">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1、评委会将向采购人推荐1-3名中标候选人。</w:t>
      </w:r>
    </w:p>
    <w:p w14:paraId="26D7BA3E">
      <w:pPr>
        <w:pageBreakBefore w:val="0"/>
        <w:kinsoku/>
        <w:overflowPunct/>
        <w:topLinePunct w:val="0"/>
        <w:autoSpaceDE/>
        <w:autoSpaceDN/>
        <w:bidi w:val="0"/>
        <w:snapToGrid w:val="0"/>
        <w:spacing w:before="0" w:beforeAutospacing="0" w:after="0" w:afterAutospacing="0" w:line="480" w:lineRule="exact"/>
        <w:ind w:firstLine="420" w:firstLineChars="200"/>
        <w:jc w:val="both"/>
        <w:textAlignment w:val="baseline"/>
        <w:rPr>
          <w:rFonts w:hint="eastAsia" w:ascii="宋体" w:hAnsi="宋体" w:eastAsia="宋体" w:cs="宋体"/>
          <w:b w:val="0"/>
          <w:i w:val="0"/>
          <w:caps w:val="0"/>
          <w:color w:val="auto"/>
          <w:spacing w:val="0"/>
          <w:w w:val="100"/>
          <w:kern w:val="2"/>
          <w:sz w:val="21"/>
          <w:szCs w:val="21"/>
          <w:highlight w:val="none"/>
        </w:rPr>
      </w:pPr>
      <w:r>
        <w:rPr>
          <w:rFonts w:hint="eastAsia" w:ascii="宋体" w:hAnsi="宋体" w:eastAsia="宋体" w:cs="宋体"/>
          <w:b w:val="0"/>
          <w:i w:val="0"/>
          <w:caps w:val="0"/>
          <w:color w:val="auto"/>
          <w:spacing w:val="0"/>
          <w:w w:val="100"/>
          <w:kern w:val="2"/>
          <w:sz w:val="21"/>
          <w:szCs w:val="21"/>
          <w:highlight w:val="none"/>
        </w:rPr>
        <w:t>2、供应商得分相同时，按投标文件综合响应程度得分高者优先，决定中标候选顺序。</w:t>
      </w:r>
    </w:p>
    <w:p w14:paraId="563FC11D">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3、采购人对中标候选人进行确认，签订合同等事宜。</w:t>
      </w:r>
    </w:p>
    <w:p w14:paraId="5392EB42">
      <w:pPr>
        <w:pageBreakBefore w:val="0"/>
        <w:kinsoku/>
        <w:overflowPunct/>
        <w:topLinePunct w:val="0"/>
        <w:autoSpaceDE/>
        <w:autoSpaceDN/>
        <w:bidi w:val="0"/>
        <w:snapToGrid w:val="0"/>
        <w:spacing w:before="312" w:beforeAutospacing="0" w:after="312" w:afterAutospacing="0" w:line="480" w:lineRule="exact"/>
        <w:ind w:firstLine="405" w:firstLineChars="192"/>
        <w:jc w:val="center"/>
        <w:textAlignment w:val="baseline"/>
        <w:rPr>
          <w:rFonts w:hint="eastAsia" w:ascii="宋体" w:hAnsi="宋体" w:eastAsia="宋体" w:cs="宋体"/>
          <w:b/>
          <w:i w:val="0"/>
          <w:caps w:val="0"/>
          <w:color w:val="auto"/>
          <w:spacing w:val="0"/>
          <w:w w:val="100"/>
          <w:sz w:val="21"/>
          <w:szCs w:val="21"/>
          <w:highlight w:val="none"/>
        </w:rPr>
      </w:pPr>
      <w:r>
        <w:rPr>
          <w:rFonts w:hint="eastAsia" w:ascii="宋体" w:hAnsi="宋体" w:eastAsia="宋体" w:cs="宋体"/>
          <w:b/>
          <w:i w:val="0"/>
          <w:caps w:val="0"/>
          <w:color w:val="auto"/>
          <w:spacing w:val="0"/>
          <w:w w:val="100"/>
          <w:sz w:val="21"/>
          <w:szCs w:val="21"/>
          <w:highlight w:val="none"/>
        </w:rPr>
        <w:t>（十五）确定中标人及签订合同</w:t>
      </w:r>
    </w:p>
    <w:p w14:paraId="4067814B">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1、确定中标人。代理机构将于采购人依法确定中标人后发布中标公告，并向中标人发出中标通知书。中标人在接到通知后，必须在5个工作日内领取中标通知书并交纳招标代理服务费。</w:t>
      </w:r>
    </w:p>
    <w:p w14:paraId="022F25E8">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2、采购人在签订合同时，保留根据项目实际情况在合法范围内进行调整的权力，包括对货物数量及服务予以增加或减少。</w:t>
      </w:r>
    </w:p>
    <w:p w14:paraId="5BC82746">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3、签订合同。</w:t>
      </w:r>
    </w:p>
    <w:p w14:paraId="51BF2E8B">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（1）中标人应及时与采购人签订合同，代理机构作为见证方见证。</w:t>
      </w:r>
    </w:p>
    <w:p w14:paraId="4B7D23FF">
      <w:pPr>
        <w:pageBreakBefore w:val="0"/>
        <w:kinsoku/>
        <w:overflowPunct/>
        <w:topLinePunct w:val="0"/>
        <w:autoSpaceDE/>
        <w:autoSpaceDN/>
        <w:bidi w:val="0"/>
        <w:snapToGrid w:val="0"/>
        <w:spacing w:before="0" w:beforeAutospacing="0" w:after="0" w:afterAutospacing="0" w:line="480" w:lineRule="exact"/>
        <w:ind w:left="210" w:leftChars="100" w:firstLine="191" w:firstLineChars="91"/>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（2）如果中标人未能按规定领取中标通知书并签约，</w:t>
      </w:r>
      <w:r>
        <w:rPr>
          <w:rFonts w:hint="eastAsia" w:ascii="宋体" w:hAnsi="宋体" w:eastAsia="宋体" w:cs="宋体"/>
          <w:b w:val="0"/>
          <w:i w:val="0"/>
          <w:caps w:val="0"/>
          <w:color w:val="auto"/>
          <w:spacing w:val="-4"/>
          <w:w w:val="100"/>
          <w:sz w:val="21"/>
          <w:szCs w:val="21"/>
          <w:highlight w:val="none"/>
        </w:rPr>
        <w:t>经监管部门同意后，</w:t>
      </w:r>
      <w:r>
        <w:rPr>
          <w:rFonts w:hint="eastAsia" w:ascii="宋体" w:hAnsi="宋体" w:eastAsia="宋体" w:cs="宋体"/>
          <w:b w:val="0"/>
          <w:i w:val="0"/>
          <w:caps w:val="0"/>
          <w:color w:val="auto"/>
          <w:spacing w:val="0"/>
          <w:w w:val="100"/>
          <w:sz w:val="21"/>
          <w:szCs w:val="21"/>
          <w:highlight w:val="none"/>
        </w:rPr>
        <w:t>采购人将取消其中标资格，在此情况下将另选中标人或重新招标。</w:t>
      </w:r>
    </w:p>
    <w:p w14:paraId="7E922794">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8"/>
          <w:szCs w:val="28"/>
          <w:highlight w:val="none"/>
        </w:rPr>
        <w:sectPr>
          <w:footerReference r:id="rId11" w:type="first"/>
          <w:footerReference r:id="rId10" w:type="default"/>
          <w:pgSz w:w="11906" w:h="16838"/>
          <w:pgMar w:top="1440" w:right="1701" w:bottom="1440" w:left="1417" w:header="850" w:footer="992" w:gutter="0"/>
          <w:pgNumType w:fmt="decimal" w:start="1"/>
          <w:cols w:space="0" w:num="1"/>
          <w:rtlGutter w:val="0"/>
          <w:docGrid w:linePitch="312" w:charSpace="0"/>
        </w:sectPr>
      </w:pPr>
      <w:r>
        <w:rPr>
          <w:rFonts w:hint="eastAsia" w:ascii="宋体" w:hAnsi="宋体" w:eastAsia="宋体" w:cs="宋体"/>
          <w:b w:val="0"/>
          <w:i w:val="0"/>
          <w:caps w:val="0"/>
          <w:color w:val="auto"/>
          <w:spacing w:val="0"/>
          <w:w w:val="100"/>
          <w:sz w:val="21"/>
          <w:szCs w:val="21"/>
          <w:highlight w:val="none"/>
        </w:rPr>
        <w:t>4、招标文件、中标人的投标文件、对投标文件的书面澄清、中标通知书等均作为合同的附件，是合同的组成部分。</w:t>
      </w:r>
    </w:p>
    <w:p w14:paraId="0925DE97">
      <w:pPr>
        <w:pStyle w:val="2"/>
        <w:pageBreakBefore w:val="0"/>
        <w:kinsoku/>
        <w:overflowPunct/>
        <w:topLinePunct w:val="0"/>
        <w:autoSpaceDE/>
        <w:autoSpaceDN/>
        <w:bidi w:val="0"/>
        <w:spacing w:line="480" w:lineRule="exact"/>
        <w:rPr>
          <w:rFonts w:hint="eastAsia" w:ascii="宋体" w:hAnsi="宋体" w:eastAsia="宋体" w:cs="宋体"/>
          <w:color w:val="auto"/>
          <w:sz w:val="32"/>
          <w:szCs w:val="32"/>
          <w:highlight w:val="none"/>
        </w:rPr>
      </w:pPr>
      <w:bookmarkStart w:id="24" w:name="_Toc4151"/>
      <w:bookmarkStart w:id="25" w:name="_Toc15502"/>
      <w:bookmarkStart w:id="26" w:name="_Toc2266"/>
      <w:bookmarkStart w:id="27" w:name="_Toc747"/>
      <w:bookmarkStart w:id="28" w:name="_Toc8746"/>
      <w:bookmarkStart w:id="29" w:name="_Toc25569"/>
      <w:bookmarkStart w:id="30" w:name="_Toc25323"/>
      <w:bookmarkStart w:id="31" w:name="_Toc8585"/>
      <w:bookmarkStart w:id="32" w:name="_Toc18476"/>
      <w:bookmarkStart w:id="33" w:name="_Toc13892"/>
      <w:bookmarkStart w:id="34" w:name="_Toc13443"/>
      <w:bookmarkStart w:id="35" w:name="_Toc26038"/>
      <w:bookmarkStart w:id="36" w:name="_Toc31245"/>
      <w:bookmarkStart w:id="37" w:name="_Toc8598"/>
      <w:bookmarkStart w:id="38" w:name="_Toc15115"/>
      <w:r>
        <w:rPr>
          <w:rFonts w:hint="eastAsia" w:ascii="宋体" w:hAnsi="宋体" w:eastAsia="宋体" w:cs="宋体"/>
          <w:color w:val="auto"/>
          <w:sz w:val="32"/>
          <w:szCs w:val="32"/>
          <w:highlight w:val="none"/>
        </w:rPr>
        <w:t xml:space="preserve">第三部分  </w:t>
      </w:r>
      <w:bookmarkEnd w:id="24"/>
      <w:r>
        <w:rPr>
          <w:rFonts w:hint="eastAsia" w:ascii="宋体" w:hAnsi="宋体" w:eastAsia="宋体" w:cs="宋体"/>
          <w:color w:val="auto"/>
          <w:sz w:val="32"/>
          <w:szCs w:val="32"/>
          <w:highlight w:val="none"/>
          <w:lang w:eastAsia="zh-CN"/>
        </w:rPr>
        <w:t>招标</w:t>
      </w:r>
      <w:r>
        <w:rPr>
          <w:rFonts w:hint="eastAsia" w:ascii="宋体" w:hAnsi="宋体" w:eastAsia="宋体" w:cs="宋体"/>
          <w:color w:val="auto"/>
          <w:sz w:val="32"/>
          <w:szCs w:val="32"/>
          <w:highlight w:val="none"/>
          <w:lang w:val="zh-CN"/>
        </w:rPr>
        <w:t>内容及商务要求</w:t>
      </w:r>
      <w:bookmarkEnd w:id="25"/>
      <w:bookmarkEnd w:id="26"/>
      <w:bookmarkEnd w:id="27"/>
      <w:bookmarkEnd w:id="28"/>
    </w:p>
    <w:p w14:paraId="7C2AE74F">
      <w:pPr>
        <w:pageBreakBefore w:val="0"/>
        <w:kinsoku/>
        <w:overflowPunct/>
        <w:topLinePunct w:val="0"/>
        <w:autoSpaceDE/>
        <w:autoSpaceDN/>
        <w:bidi w:val="0"/>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bookmarkStart w:id="39" w:name="_Toc17264"/>
      <w:r>
        <w:rPr>
          <w:rFonts w:hint="eastAsia" w:ascii="宋体" w:hAnsi="宋体" w:eastAsia="宋体" w:cs="宋体"/>
          <w:b/>
          <w:bCs/>
          <w:i w:val="0"/>
          <w:caps w:val="0"/>
          <w:color w:val="auto"/>
          <w:spacing w:val="0"/>
          <w:w w:val="100"/>
          <w:sz w:val="21"/>
          <w:szCs w:val="21"/>
          <w:highlight w:val="none"/>
          <w:lang w:val="en-US" w:eastAsia="zh-CN"/>
        </w:rPr>
        <w:t>1、</w:t>
      </w:r>
      <w:r>
        <w:rPr>
          <w:rFonts w:hint="eastAsia" w:ascii="宋体" w:hAnsi="宋体" w:eastAsia="宋体" w:cs="宋体"/>
          <w:b/>
          <w:bCs/>
          <w:i w:val="0"/>
          <w:caps w:val="0"/>
          <w:color w:val="auto"/>
          <w:spacing w:val="0"/>
          <w:w w:val="100"/>
          <w:sz w:val="21"/>
          <w:szCs w:val="21"/>
          <w:highlight w:val="none"/>
        </w:rPr>
        <w:t>项目概述</w:t>
      </w:r>
    </w:p>
    <w:p w14:paraId="2497569A">
      <w:pPr>
        <w:pageBreakBefore w:val="0"/>
        <w:kinsoku/>
        <w:overflowPunct/>
        <w:topLinePunct w:val="0"/>
        <w:autoSpaceDE/>
        <w:autoSpaceDN/>
        <w:bidi w:val="0"/>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1.1</w:t>
      </w:r>
      <w:r>
        <w:rPr>
          <w:rFonts w:hint="eastAsia" w:ascii="宋体" w:hAnsi="宋体" w:eastAsia="宋体" w:cs="宋体"/>
          <w:b/>
          <w:bCs/>
          <w:i w:val="0"/>
          <w:caps w:val="0"/>
          <w:color w:val="auto"/>
          <w:spacing w:val="0"/>
          <w:w w:val="100"/>
          <w:sz w:val="21"/>
          <w:szCs w:val="21"/>
          <w:highlight w:val="none"/>
        </w:rPr>
        <w:t>建设背景</w:t>
      </w:r>
    </w:p>
    <w:p w14:paraId="138F5E6D">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彬州市中医医院信息化于2015年12月正式上线投入使用，截止目前已稳定运行10年。现用核心系统HIS、EMR、LIS、PACS为2016年版本，以上医院核心信息系统各功能运行稳定，但应用功能已不能适应现阶段的信息技术发展、惠民便民及其他医疗政策类要求。在机房硬件配备方面，核心网络设备采用2015年购置的华为S12708核心交换机、AR3260路由器、S5720交换机，服务器为2023年购置的由三台联想SR650服务器组建的深信服超融合平台，安全设备及系统方面为2023年购置的明御安全网关、明御数据库审计与风险控制系统、明御综合日志审计分析平台、明御运维审计与风险控制系统及明御主机安全与审计系统（EDR V3.0 R22C33），同时医院信息系统通过了等保3.0测评。但随着业务量的不断积累，机房硬件设备面临较大压力，且数据可用性及稳定性存在一定风险，亟需新增扩容。</w:t>
      </w:r>
    </w:p>
    <w:p w14:paraId="7E26287A">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基于医院信息化现状，结合医院各科室业务需求、管理需求及外部政策要求，医院信息系统亟需进行全面升级及功能填平补齐，以适应医院发展、惠民便民及政策要求，助力医院高质量发展。</w:t>
      </w:r>
    </w:p>
    <w:p w14:paraId="2A32FEB8">
      <w:pPr>
        <w:pageBreakBefore w:val="0"/>
        <w:kinsoku/>
        <w:overflowPunct/>
        <w:topLinePunct w:val="0"/>
        <w:autoSpaceDE/>
        <w:autoSpaceDN/>
        <w:bidi w:val="0"/>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1.2</w:t>
      </w:r>
      <w:r>
        <w:rPr>
          <w:rFonts w:hint="eastAsia" w:ascii="宋体" w:hAnsi="宋体" w:eastAsia="宋体" w:cs="宋体"/>
          <w:b/>
          <w:bCs/>
          <w:i w:val="0"/>
          <w:caps w:val="0"/>
          <w:color w:val="auto"/>
          <w:spacing w:val="0"/>
          <w:w w:val="100"/>
          <w:sz w:val="21"/>
          <w:szCs w:val="21"/>
          <w:highlight w:val="none"/>
        </w:rPr>
        <w:t>建设目标</w:t>
      </w:r>
    </w:p>
    <w:p w14:paraId="0A5B546C">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通过升级/重构医院管理信息系统（HIS）、电子病历系统（EMR）、实验室信息系统（LIS）、影像信息系统（PACS），并且参照电子病历应用水平分级评价标准，作为医院信息化建设的标准和指南，以提升医院信息化整体水平。本次建设将围绕“电子病历应用水平分级评价”四级，对标达到电子病历应用水平分级评价（智慧医疗）四级的标准，并将医院信息化系统建设成为彬州市内高水准、新标杆。</w:t>
      </w:r>
    </w:p>
    <w:p w14:paraId="3BF87F6B">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本项目建设内容中所有信息系统全部对标电子病历（智慧医疗）四级标准要求建设，项目建成后院内信息化水平须满足电子病历（智慧医疗）四级标准功能要求。</w:t>
      </w:r>
    </w:p>
    <w:p w14:paraId="0DB94C1B">
      <w:pPr>
        <w:pageBreakBefore w:val="0"/>
        <w:kinsoku/>
        <w:overflowPunct/>
        <w:topLinePunct w:val="0"/>
        <w:autoSpaceDE/>
        <w:autoSpaceDN/>
        <w:bidi w:val="0"/>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2、</w:t>
      </w:r>
      <w:r>
        <w:rPr>
          <w:rFonts w:hint="eastAsia" w:ascii="宋体" w:hAnsi="宋体" w:eastAsia="宋体" w:cs="宋体"/>
          <w:b/>
          <w:bCs/>
          <w:i w:val="0"/>
          <w:caps w:val="0"/>
          <w:color w:val="auto"/>
          <w:spacing w:val="0"/>
          <w:w w:val="100"/>
          <w:sz w:val="21"/>
          <w:szCs w:val="21"/>
          <w:highlight w:val="none"/>
        </w:rPr>
        <w:t>项目建设要求</w:t>
      </w:r>
    </w:p>
    <w:p w14:paraId="18A966AD">
      <w:pPr>
        <w:pageBreakBefore w:val="0"/>
        <w:kinsoku/>
        <w:overflowPunct/>
        <w:topLinePunct w:val="0"/>
        <w:autoSpaceDE/>
        <w:autoSpaceDN/>
        <w:bidi w:val="0"/>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2.1</w:t>
      </w:r>
      <w:r>
        <w:rPr>
          <w:rFonts w:hint="eastAsia" w:ascii="宋体" w:hAnsi="宋体" w:eastAsia="宋体" w:cs="宋体"/>
          <w:b/>
          <w:bCs/>
          <w:i w:val="0"/>
          <w:caps w:val="0"/>
          <w:color w:val="auto"/>
          <w:spacing w:val="0"/>
          <w:w w:val="100"/>
          <w:sz w:val="21"/>
          <w:szCs w:val="21"/>
          <w:highlight w:val="none"/>
        </w:rPr>
        <w:t>总体要求</w:t>
      </w:r>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240"/>
      </w:tblGrid>
      <w:tr w14:paraId="5D42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auto" w:fill="BEBEBE" w:themeFill="background1" w:themeFillShade="BF"/>
            <w:vAlign w:val="center"/>
          </w:tcPr>
          <w:p w14:paraId="10DA914E">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序号</w:t>
            </w:r>
          </w:p>
        </w:tc>
        <w:tc>
          <w:tcPr>
            <w:tcW w:w="4576" w:type="pct"/>
            <w:shd w:val="clear" w:color="auto" w:fill="BEBEBE" w:themeFill="background1" w:themeFillShade="BF"/>
            <w:vAlign w:val="center"/>
          </w:tcPr>
          <w:p w14:paraId="2C052AA7">
            <w:pPr>
              <w:pageBreakBefore w:val="0"/>
              <w:kinsoku/>
              <w:overflowPunct/>
              <w:topLinePunct w:val="0"/>
              <w:autoSpaceDE/>
              <w:autoSpaceDN/>
              <w:bidi w:val="0"/>
              <w:snapToGrid w:val="0"/>
              <w:spacing w:before="0" w:beforeAutospacing="0" w:after="0" w:afterAutospacing="0" w:line="480" w:lineRule="exact"/>
              <w:ind w:firstLine="403" w:firstLineChars="192"/>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应用系统总体要求</w:t>
            </w:r>
          </w:p>
        </w:tc>
      </w:tr>
      <w:tr w14:paraId="7A93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4D84933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w:t>
            </w:r>
          </w:p>
        </w:tc>
        <w:tc>
          <w:tcPr>
            <w:tcW w:w="4576" w:type="pct"/>
            <w:vAlign w:val="center"/>
          </w:tcPr>
          <w:p w14:paraId="721068DD">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软件研发必须严格执行国际软件工程的标准（CMM、ISO），符合国际医疗软件的规范（ICD-9/10、IHE、XML），符合《医院信息系统基本功能规范》要求,符合《电子病历基本架构与数据标准》要求。软件数据字典应遵循数据字典标准规范，应遵从国家和地方政府的相关法规，满足医疗保险政策和医疗改革政策，满足信息化建设相关标准规范要求。</w:t>
            </w:r>
          </w:p>
        </w:tc>
      </w:tr>
      <w:tr w14:paraId="2E45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147FF7DF">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w:t>
            </w:r>
          </w:p>
        </w:tc>
        <w:tc>
          <w:tcPr>
            <w:tcW w:w="4576" w:type="pct"/>
            <w:vAlign w:val="center"/>
          </w:tcPr>
          <w:p w14:paraId="0C54DA3D">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本次提供软件产品为最新版本产品。承诺软件产品没有侵权问题。如有，中标厂商承担相应法律责任。</w:t>
            </w:r>
          </w:p>
        </w:tc>
      </w:tr>
      <w:tr w14:paraId="3D83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2D07BBED">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w:t>
            </w:r>
          </w:p>
        </w:tc>
        <w:tc>
          <w:tcPr>
            <w:tcW w:w="4576" w:type="pct"/>
            <w:vAlign w:val="center"/>
          </w:tcPr>
          <w:p w14:paraId="1CC14512">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历史业务基础数据需导入新系统，确保系统上线数据不间断。承建厂商需出具数据迁移和导入、导出承诺，且历史数据导入新系统所需的工作量及相关费用，由本项目承建厂商承担。</w:t>
            </w:r>
          </w:p>
        </w:tc>
      </w:tr>
      <w:tr w14:paraId="3E20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7B95B6CA">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w:t>
            </w:r>
          </w:p>
        </w:tc>
        <w:tc>
          <w:tcPr>
            <w:tcW w:w="4576" w:type="pct"/>
            <w:vAlign w:val="center"/>
          </w:tcPr>
          <w:p w14:paraId="399256FF">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在项目实施过程中需提供相关系统的数据库应用层面技术支持服务，包括数据库的运行情况巡检、数据迁移以及数据库性能调优。</w:t>
            </w:r>
          </w:p>
        </w:tc>
      </w:tr>
      <w:tr w14:paraId="7E67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7A01DDE2">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5</w:t>
            </w:r>
          </w:p>
        </w:tc>
        <w:tc>
          <w:tcPr>
            <w:tcW w:w="4576" w:type="pct"/>
            <w:vAlign w:val="center"/>
          </w:tcPr>
          <w:p w14:paraId="34AA255B">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本项目建设内容（系统）之间所有接口均在此次建设内容和任务内，承建厂商不得另行收取费用。</w:t>
            </w:r>
          </w:p>
        </w:tc>
      </w:tr>
      <w:tr w14:paraId="4CC5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74801DD4">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6</w:t>
            </w:r>
          </w:p>
        </w:tc>
        <w:tc>
          <w:tcPr>
            <w:tcW w:w="4576" w:type="pct"/>
            <w:vAlign w:val="center"/>
          </w:tcPr>
          <w:p w14:paraId="720534BD">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项目建设期内，遇上级主管、相关部门要求开发和对接的接口服务，承建厂商需无条件配合院方实现。</w:t>
            </w:r>
          </w:p>
        </w:tc>
      </w:tr>
      <w:tr w14:paraId="2016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45048BF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7</w:t>
            </w:r>
          </w:p>
        </w:tc>
        <w:tc>
          <w:tcPr>
            <w:tcW w:w="4576" w:type="pct"/>
            <w:vAlign w:val="center"/>
          </w:tcPr>
          <w:p w14:paraId="5A7A4783">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项目建设期及软件免费质保期内，如医院新购入医疗设备（检验、放射、B超、内镜、心电），承建厂商需无条件配合医院予以接入系统。</w:t>
            </w:r>
          </w:p>
        </w:tc>
      </w:tr>
      <w:tr w14:paraId="7E2C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15E2CA3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8</w:t>
            </w:r>
          </w:p>
        </w:tc>
        <w:tc>
          <w:tcPr>
            <w:tcW w:w="4576" w:type="pct"/>
            <w:vAlign w:val="center"/>
          </w:tcPr>
          <w:p w14:paraId="3875117A">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HIS、医生工作站、电子病历系统，承建厂商不能限制院内终端使用数量。</w:t>
            </w:r>
          </w:p>
        </w:tc>
      </w:tr>
      <w:tr w14:paraId="4F58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019B6F77">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9</w:t>
            </w:r>
          </w:p>
        </w:tc>
        <w:tc>
          <w:tcPr>
            <w:tcW w:w="4576" w:type="pct"/>
            <w:vAlign w:val="center"/>
          </w:tcPr>
          <w:p w14:paraId="430FC72D">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软件系统承建厂商需配合、协助医院完成3级等保测评，测评过程中凡遇需要软件完善的，不可另行收费。</w:t>
            </w:r>
          </w:p>
        </w:tc>
      </w:tr>
      <w:tr w14:paraId="5AB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202A6469">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10</w:t>
            </w:r>
          </w:p>
        </w:tc>
        <w:tc>
          <w:tcPr>
            <w:tcW w:w="4576" w:type="pct"/>
            <w:vAlign w:val="center"/>
          </w:tcPr>
          <w:p w14:paraId="155AE2CB">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软件产品成熟稳定，功能模块齐全，符合应用场景，满足业务需求。</w:t>
            </w:r>
          </w:p>
        </w:tc>
      </w:tr>
      <w:tr w14:paraId="04E0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5D919A3A">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11</w:t>
            </w:r>
          </w:p>
        </w:tc>
        <w:tc>
          <w:tcPr>
            <w:tcW w:w="4576" w:type="pct"/>
            <w:vAlign w:val="center"/>
          </w:tcPr>
          <w:p w14:paraId="35D69A0F">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具备科学、合理、先进的软件系统架构，并具有高度的灵活性和扩展性，充分考虑当业务高峰期数据库访问量巨大的情况下，整个业务系统的性能，并能满足未来十年的发展和信息技术发展的需要，满足可持续的流程优化和系统集成优化的需要。</w:t>
            </w:r>
          </w:p>
        </w:tc>
      </w:tr>
      <w:tr w14:paraId="5CB9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454A8C48">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12</w:t>
            </w:r>
          </w:p>
        </w:tc>
        <w:tc>
          <w:tcPr>
            <w:tcW w:w="4576" w:type="pct"/>
            <w:vAlign w:val="center"/>
          </w:tcPr>
          <w:p w14:paraId="57F49307">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要求承建厂商针对信息管理需求提供一体化解决方案，软件系统流程应“以病人为中心、以临床信息为主线，以提高经济、社会效益，提高科学管理水平，提高医生医疗水平提高医疗、服务质量为基本点”为设计思想，为医院提供人、财、物的相关信息化管理工具，并能对医、护、技、检方面的业务处理具备足够信息化管理支撑能力，最大限度的满足实际工作的需要。</w:t>
            </w:r>
          </w:p>
        </w:tc>
      </w:tr>
      <w:tr w14:paraId="4966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4B6A5F51">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13</w:t>
            </w:r>
          </w:p>
        </w:tc>
        <w:tc>
          <w:tcPr>
            <w:tcW w:w="4576" w:type="pct"/>
            <w:vAlign w:val="center"/>
          </w:tcPr>
          <w:p w14:paraId="4AD78715">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所有软件系统均采用网络版，要求为模块化设计，可拆分组装，分步实施；要求系统功能齐全，覆盖面包括医疗、护理、医技、临床、经济、材料、医保等全流程信息化管理，流程设计规范合理，符合医疗信息化行业相关标准和规范的要求，并做到各模块间有机集成、无缝连接；严格管理权限设置，医疗信息高度安全保密；要求系统运行稳定可靠，易学易用，操作简便。</w:t>
            </w:r>
          </w:p>
        </w:tc>
      </w:tr>
      <w:tr w14:paraId="548B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6C7E1A50">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14</w:t>
            </w:r>
          </w:p>
        </w:tc>
        <w:tc>
          <w:tcPr>
            <w:tcW w:w="4576" w:type="pct"/>
            <w:vAlign w:val="center"/>
          </w:tcPr>
          <w:p w14:paraId="3CC45F61">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软件设计应满足医院合理化的要求和本地业务特色。</w:t>
            </w:r>
          </w:p>
        </w:tc>
      </w:tr>
      <w:tr w14:paraId="3611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17A44C51">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15</w:t>
            </w:r>
          </w:p>
        </w:tc>
        <w:tc>
          <w:tcPr>
            <w:tcW w:w="4576" w:type="pct"/>
            <w:vAlign w:val="center"/>
          </w:tcPr>
          <w:p w14:paraId="151086D6">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承建厂商须确保软件系统的稳定性和安全性；应用层与基础数据层有访问限制，保密信息与公开信息有严密隔离安全管理体系。</w:t>
            </w:r>
          </w:p>
        </w:tc>
      </w:tr>
      <w:tr w14:paraId="4C7C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57165629">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16</w:t>
            </w:r>
          </w:p>
        </w:tc>
        <w:tc>
          <w:tcPr>
            <w:tcW w:w="4576" w:type="pct"/>
            <w:vAlign w:val="center"/>
          </w:tcPr>
          <w:p w14:paraId="0EF4480D">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建立严格的软件审核、测试、验收制度，建立反应机敏的BUG追踪和系统优化级的软质量管理机制。按照项目管理的国际规范，在确保质量的前提下，按期完成项目交付。</w:t>
            </w:r>
          </w:p>
        </w:tc>
      </w:tr>
      <w:tr w14:paraId="1888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6C3B7DF9">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17</w:t>
            </w:r>
          </w:p>
        </w:tc>
        <w:tc>
          <w:tcPr>
            <w:tcW w:w="4576" w:type="pct"/>
            <w:vAlign w:val="center"/>
          </w:tcPr>
          <w:p w14:paraId="415C99E4">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承建厂商需提供覆盖多角色、各层次的项目培训服务，包括系统操作培训、信息安全培训等。</w:t>
            </w:r>
          </w:p>
        </w:tc>
      </w:tr>
      <w:tr w14:paraId="3642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4A2E95CB">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18</w:t>
            </w:r>
          </w:p>
        </w:tc>
        <w:tc>
          <w:tcPr>
            <w:tcW w:w="4576" w:type="pct"/>
            <w:vAlign w:val="center"/>
          </w:tcPr>
          <w:p w14:paraId="783577D1">
            <w:pPr>
              <w:pageBreakBefore w:val="0"/>
              <w:kinsoku/>
              <w:overflowPunct/>
              <w:topLinePunct w:val="0"/>
              <w:autoSpaceDE/>
              <w:autoSpaceDN/>
              <w:bidi w:val="0"/>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项目建设期内，承建方需配合医院完成电子病历系统功能分级评价数据填报和实证材料准备工作，直至医院通过电子病历（智慧医疗）四级分级评价工作。</w:t>
            </w:r>
          </w:p>
        </w:tc>
      </w:tr>
    </w:tbl>
    <w:p w14:paraId="6BAA34A3">
      <w:pPr>
        <w:pageBreakBefore w:val="0"/>
        <w:kinsoku/>
        <w:overflowPunct/>
        <w:topLinePunct w:val="0"/>
        <w:autoSpaceDE/>
        <w:autoSpaceDN/>
        <w:bidi w:val="0"/>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2.2</w:t>
      </w:r>
      <w:r>
        <w:rPr>
          <w:rFonts w:hint="eastAsia" w:ascii="宋体" w:hAnsi="宋体" w:eastAsia="宋体" w:cs="宋体"/>
          <w:b/>
          <w:bCs/>
          <w:i w:val="0"/>
          <w:caps w:val="0"/>
          <w:color w:val="auto"/>
          <w:spacing w:val="0"/>
          <w:w w:val="100"/>
          <w:sz w:val="21"/>
          <w:szCs w:val="21"/>
          <w:highlight w:val="none"/>
        </w:rPr>
        <w:t>规范依据</w:t>
      </w:r>
    </w:p>
    <w:p w14:paraId="7BB23EAF">
      <w:pPr>
        <w:pageBreakBefore w:val="0"/>
        <w:kinsoku/>
        <w:overflowPunct/>
        <w:topLinePunct w:val="0"/>
        <w:autoSpaceDE/>
        <w:autoSpaceDN/>
        <w:bidi w:val="0"/>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系统应符合并遵循相关标准，包括但不限于：</w:t>
      </w:r>
    </w:p>
    <w:tbl>
      <w:tblPr>
        <w:tblStyle w:val="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161"/>
      </w:tblGrid>
      <w:tr w14:paraId="6538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BEBEBE" w:themeFill="background1" w:themeFillShade="BF"/>
            <w:vAlign w:val="center"/>
          </w:tcPr>
          <w:p w14:paraId="001BA7F4">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序号</w:t>
            </w:r>
          </w:p>
        </w:tc>
        <w:tc>
          <w:tcPr>
            <w:tcW w:w="8161" w:type="dxa"/>
            <w:shd w:val="clear" w:color="auto" w:fill="BEBEBE" w:themeFill="background1" w:themeFillShade="BF"/>
            <w:vAlign w:val="center"/>
          </w:tcPr>
          <w:p w14:paraId="4006F02A">
            <w:pPr>
              <w:pageBreakBefore w:val="0"/>
              <w:kinsoku/>
              <w:overflowPunct/>
              <w:topLinePunct w:val="0"/>
              <w:autoSpaceDE/>
              <w:autoSpaceDN/>
              <w:bidi w:val="0"/>
              <w:snapToGrid w:val="0"/>
              <w:spacing w:before="0" w:beforeAutospacing="0" w:after="0" w:afterAutospacing="0" w:line="480" w:lineRule="exact"/>
              <w:ind w:firstLine="403" w:firstLineChars="192"/>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规范依据</w:t>
            </w:r>
          </w:p>
        </w:tc>
      </w:tr>
      <w:tr w14:paraId="048D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3F0B4A49">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w:t>
            </w:r>
          </w:p>
        </w:tc>
        <w:tc>
          <w:tcPr>
            <w:tcW w:w="8161" w:type="dxa"/>
            <w:vAlign w:val="center"/>
          </w:tcPr>
          <w:p w14:paraId="2F2DA132">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《全国卫生信息化发展规划纲要（2003-2010年）》</w:t>
            </w:r>
          </w:p>
        </w:tc>
      </w:tr>
      <w:tr w14:paraId="02D9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4E992B6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w:t>
            </w:r>
          </w:p>
        </w:tc>
        <w:tc>
          <w:tcPr>
            <w:tcW w:w="8161" w:type="dxa"/>
            <w:vAlign w:val="center"/>
          </w:tcPr>
          <w:p w14:paraId="6522CB2F">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《医院信息系统基本功能规范》</w:t>
            </w:r>
          </w:p>
        </w:tc>
      </w:tr>
      <w:tr w14:paraId="0AC0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743B251D">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w:t>
            </w:r>
          </w:p>
        </w:tc>
        <w:tc>
          <w:tcPr>
            <w:tcW w:w="8161" w:type="dxa"/>
            <w:vAlign w:val="center"/>
          </w:tcPr>
          <w:p w14:paraId="1C0BC638">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《基于电子病历的医院信息平台建设技术解决方案》</w:t>
            </w:r>
          </w:p>
        </w:tc>
      </w:tr>
      <w:tr w14:paraId="5288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08916294">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w:t>
            </w:r>
          </w:p>
        </w:tc>
        <w:tc>
          <w:tcPr>
            <w:tcW w:w="8161" w:type="dxa"/>
            <w:vAlign w:val="center"/>
          </w:tcPr>
          <w:p w14:paraId="4C7F8116">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《处方管理办法》</w:t>
            </w:r>
          </w:p>
        </w:tc>
      </w:tr>
      <w:tr w14:paraId="3ABF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469F5A06">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5</w:t>
            </w:r>
          </w:p>
        </w:tc>
        <w:tc>
          <w:tcPr>
            <w:tcW w:w="8161" w:type="dxa"/>
            <w:vAlign w:val="center"/>
          </w:tcPr>
          <w:p w14:paraId="6A4D83A0">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《医疗机构病历管理规定》</w:t>
            </w:r>
          </w:p>
        </w:tc>
      </w:tr>
      <w:tr w14:paraId="6334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5F2EF81B">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6</w:t>
            </w:r>
          </w:p>
        </w:tc>
        <w:tc>
          <w:tcPr>
            <w:tcW w:w="8161" w:type="dxa"/>
            <w:vAlign w:val="center"/>
          </w:tcPr>
          <w:p w14:paraId="27F0FD5A">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《卫生系统电子认证服务管理办法（试行）》</w:t>
            </w:r>
          </w:p>
        </w:tc>
      </w:tr>
      <w:tr w14:paraId="2F5D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610F9AA5">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7</w:t>
            </w:r>
          </w:p>
        </w:tc>
        <w:tc>
          <w:tcPr>
            <w:tcW w:w="8161" w:type="dxa"/>
            <w:vAlign w:val="center"/>
          </w:tcPr>
          <w:p w14:paraId="2EAC9F08">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《医疗事故处理条例》</w:t>
            </w:r>
          </w:p>
        </w:tc>
      </w:tr>
      <w:tr w14:paraId="3BBC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3CF7A40F">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8</w:t>
            </w:r>
          </w:p>
        </w:tc>
        <w:tc>
          <w:tcPr>
            <w:tcW w:w="8161" w:type="dxa"/>
            <w:vAlign w:val="center"/>
          </w:tcPr>
          <w:p w14:paraId="035DACD8">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《医疗事故技术鉴定暂行办法》</w:t>
            </w:r>
          </w:p>
        </w:tc>
      </w:tr>
      <w:tr w14:paraId="2702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49E0C2A2">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9</w:t>
            </w:r>
          </w:p>
        </w:tc>
        <w:tc>
          <w:tcPr>
            <w:tcW w:w="8161" w:type="dxa"/>
            <w:vAlign w:val="center"/>
          </w:tcPr>
          <w:p w14:paraId="4E978CD4">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《门诊诊疗基本数据集标准（试行）》</w:t>
            </w:r>
          </w:p>
        </w:tc>
      </w:tr>
      <w:tr w14:paraId="45BB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263E2913">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10</w:t>
            </w:r>
          </w:p>
        </w:tc>
        <w:tc>
          <w:tcPr>
            <w:tcW w:w="8161" w:type="dxa"/>
            <w:vAlign w:val="center"/>
          </w:tcPr>
          <w:p w14:paraId="39BA938C">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《住院诊疗基本数据集标准（试行）》</w:t>
            </w:r>
          </w:p>
        </w:tc>
      </w:tr>
      <w:tr w14:paraId="0848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38B7CD2D">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11</w:t>
            </w:r>
          </w:p>
        </w:tc>
        <w:tc>
          <w:tcPr>
            <w:tcW w:w="8161" w:type="dxa"/>
            <w:vAlign w:val="center"/>
          </w:tcPr>
          <w:p w14:paraId="7E4716F4">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《住院病案首页基本数据集标准（试行）》</w:t>
            </w:r>
          </w:p>
        </w:tc>
      </w:tr>
      <w:tr w14:paraId="7AEA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614F5537">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12</w:t>
            </w:r>
          </w:p>
        </w:tc>
        <w:tc>
          <w:tcPr>
            <w:tcW w:w="8161" w:type="dxa"/>
            <w:vAlign w:val="center"/>
          </w:tcPr>
          <w:p w14:paraId="3B851106">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《电子病历功能规范标准》</w:t>
            </w:r>
          </w:p>
        </w:tc>
      </w:tr>
      <w:tr w14:paraId="482F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1E748E71">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13</w:t>
            </w:r>
          </w:p>
        </w:tc>
        <w:tc>
          <w:tcPr>
            <w:tcW w:w="8161" w:type="dxa"/>
            <w:vAlign w:val="center"/>
          </w:tcPr>
          <w:p w14:paraId="78895931">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GB/T 21052-2007信息安全等级保护 信息系统物理安全技术要求</w:t>
            </w:r>
          </w:p>
        </w:tc>
      </w:tr>
      <w:tr w14:paraId="60F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67F2F259">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14</w:t>
            </w:r>
          </w:p>
        </w:tc>
        <w:tc>
          <w:tcPr>
            <w:tcW w:w="8161" w:type="dxa"/>
            <w:vAlign w:val="center"/>
          </w:tcPr>
          <w:p w14:paraId="6E482662">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信息安全技术 信息系统安全等级保护基本要求</w:t>
            </w:r>
          </w:p>
        </w:tc>
      </w:tr>
      <w:tr w14:paraId="4DE8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416D01AD">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15</w:t>
            </w:r>
          </w:p>
        </w:tc>
        <w:tc>
          <w:tcPr>
            <w:tcW w:w="8161" w:type="dxa"/>
            <w:vAlign w:val="center"/>
          </w:tcPr>
          <w:p w14:paraId="0DE60F62">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信息安全技术 信息系统安全保护等级定级指南</w:t>
            </w:r>
          </w:p>
        </w:tc>
      </w:tr>
      <w:tr w14:paraId="5B4F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7BA569B0">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16</w:t>
            </w:r>
          </w:p>
        </w:tc>
        <w:tc>
          <w:tcPr>
            <w:tcW w:w="8161" w:type="dxa"/>
            <w:vAlign w:val="center"/>
          </w:tcPr>
          <w:p w14:paraId="13D48717">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符合HL7数据交换标准，支持ICD10，SNOMED等标准</w:t>
            </w:r>
          </w:p>
        </w:tc>
      </w:tr>
      <w:tr w14:paraId="1888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0B024B2C">
            <w:pPr>
              <w:pageBreakBefore w:val="0"/>
              <w:kinsoku/>
              <w:overflowPunct/>
              <w:topLinePunct w:val="0"/>
              <w:autoSpaceDE/>
              <w:autoSpaceDN/>
              <w:bidi w:val="0"/>
              <w:snapToGrid w:val="0"/>
              <w:spacing w:before="0" w:beforeAutospacing="0" w:after="0" w:afterAutospacing="0" w:line="480" w:lineRule="exact"/>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17</w:t>
            </w:r>
          </w:p>
        </w:tc>
        <w:tc>
          <w:tcPr>
            <w:tcW w:w="8161" w:type="dxa"/>
            <w:vAlign w:val="center"/>
          </w:tcPr>
          <w:p w14:paraId="720A8477">
            <w:pPr>
              <w:pageBreakBefore w:val="0"/>
              <w:kinsoku/>
              <w:overflowPunct/>
              <w:topLinePunct w:val="0"/>
              <w:autoSpaceDE/>
              <w:autoSpaceDN/>
              <w:bidi w:val="0"/>
              <w:snapToGrid w:val="0"/>
              <w:spacing w:before="0" w:beforeAutospacing="0" w:after="0" w:afterAutospacing="0" w:line="480" w:lineRule="exact"/>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符合HL7 2.4以上数据交换标准，支持DICOM3.0、ICD-10、SNOMED等标准</w:t>
            </w:r>
          </w:p>
        </w:tc>
      </w:tr>
    </w:tbl>
    <w:p w14:paraId="283C164E">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lang w:val="en-US" w:eastAsia="zh-CN"/>
        </w:rPr>
      </w:pPr>
      <w:r>
        <w:rPr>
          <w:rFonts w:hint="eastAsia" w:ascii="宋体" w:hAnsi="宋体" w:eastAsia="宋体" w:cs="宋体"/>
          <w:b/>
          <w:bCs/>
          <w:i w:val="0"/>
          <w:caps w:val="0"/>
          <w:color w:val="auto"/>
          <w:spacing w:val="0"/>
          <w:w w:val="100"/>
          <w:sz w:val="21"/>
          <w:szCs w:val="21"/>
          <w:highlight w:val="none"/>
          <w:lang w:val="en-US" w:eastAsia="zh-CN"/>
        </w:rPr>
        <w:t>3、应用系统功能要求</w:t>
      </w:r>
    </w:p>
    <w:p w14:paraId="36109A4D">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详见附件《医技楼信息化专项建设项目功能参数及相</w:t>
      </w:r>
      <w:r>
        <w:rPr>
          <w:rFonts w:hint="eastAsia" w:ascii="宋体" w:hAnsi="宋体" w:cs="宋体"/>
          <w:b w:val="0"/>
          <w:i w:val="0"/>
          <w:caps w:val="0"/>
          <w:color w:val="auto"/>
          <w:spacing w:val="0"/>
          <w:w w:val="100"/>
          <w:sz w:val="21"/>
          <w:szCs w:val="21"/>
          <w:highlight w:val="none"/>
          <w:lang w:val="en-US" w:eastAsia="zh-CN"/>
        </w:rPr>
        <w:t>关</w:t>
      </w:r>
      <w:r>
        <w:rPr>
          <w:rFonts w:hint="eastAsia" w:ascii="宋体" w:hAnsi="宋体" w:eastAsia="宋体" w:cs="宋体"/>
          <w:b w:val="0"/>
          <w:i w:val="0"/>
          <w:caps w:val="0"/>
          <w:color w:val="auto"/>
          <w:spacing w:val="0"/>
          <w:w w:val="100"/>
          <w:sz w:val="21"/>
          <w:szCs w:val="21"/>
          <w:highlight w:val="none"/>
          <w:lang w:val="en-US" w:eastAsia="zh-CN"/>
        </w:rPr>
        <w:t>要求》</w:t>
      </w:r>
    </w:p>
    <w:p w14:paraId="30E80A52">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lang w:val="en-US" w:eastAsia="zh-CN"/>
        </w:rPr>
      </w:pPr>
      <w:r>
        <w:rPr>
          <w:rFonts w:hint="eastAsia" w:ascii="宋体" w:hAnsi="宋体" w:eastAsia="宋体" w:cs="宋体"/>
          <w:b/>
          <w:bCs/>
          <w:i w:val="0"/>
          <w:caps w:val="0"/>
          <w:color w:val="auto"/>
          <w:spacing w:val="0"/>
          <w:w w:val="100"/>
          <w:sz w:val="21"/>
          <w:szCs w:val="21"/>
          <w:highlight w:val="none"/>
          <w:lang w:val="en-US" w:eastAsia="zh-CN"/>
        </w:rPr>
        <w:t>4、硬件配套规格要求</w:t>
      </w:r>
    </w:p>
    <w:p w14:paraId="7B8AEA59">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lang w:val="en-US" w:eastAsia="zh-CN"/>
        </w:rPr>
      </w:pPr>
      <w:r>
        <w:rPr>
          <w:rFonts w:hint="eastAsia" w:ascii="宋体" w:hAnsi="宋体" w:eastAsia="宋体" w:cs="宋体"/>
          <w:b w:val="0"/>
          <w:i w:val="0"/>
          <w:caps w:val="0"/>
          <w:color w:val="auto"/>
          <w:spacing w:val="0"/>
          <w:w w:val="100"/>
          <w:sz w:val="21"/>
          <w:szCs w:val="21"/>
          <w:highlight w:val="none"/>
          <w:lang w:val="en-US" w:eastAsia="zh-CN"/>
        </w:rPr>
        <w:t>详见附件《医技楼信息化专项建设项目功能参数及相</w:t>
      </w:r>
      <w:r>
        <w:rPr>
          <w:rFonts w:hint="eastAsia" w:ascii="宋体" w:hAnsi="宋体" w:cs="宋体"/>
          <w:b w:val="0"/>
          <w:i w:val="0"/>
          <w:caps w:val="0"/>
          <w:color w:val="auto"/>
          <w:spacing w:val="0"/>
          <w:w w:val="100"/>
          <w:sz w:val="21"/>
          <w:szCs w:val="21"/>
          <w:highlight w:val="none"/>
          <w:lang w:val="en-US" w:eastAsia="zh-CN"/>
        </w:rPr>
        <w:t>关</w:t>
      </w:r>
      <w:r>
        <w:rPr>
          <w:rFonts w:hint="eastAsia" w:ascii="宋体" w:hAnsi="宋体" w:eastAsia="宋体" w:cs="宋体"/>
          <w:b w:val="0"/>
          <w:i w:val="0"/>
          <w:caps w:val="0"/>
          <w:color w:val="auto"/>
          <w:spacing w:val="0"/>
          <w:w w:val="100"/>
          <w:sz w:val="21"/>
          <w:szCs w:val="21"/>
          <w:highlight w:val="none"/>
          <w:lang w:val="en-US" w:eastAsia="zh-CN"/>
        </w:rPr>
        <w:t>要求》</w:t>
      </w:r>
    </w:p>
    <w:p w14:paraId="3EFF7B84">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5、商务要求</w:t>
      </w:r>
    </w:p>
    <w:p w14:paraId="4E394E06">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color w:val="auto"/>
          <w:szCs w:val="21"/>
          <w:highlight w:val="none"/>
          <w:lang w:val="en-US" w:eastAsia="zh-CN"/>
        </w:rPr>
        <w:t>5.1工期及质量要求</w:t>
      </w:r>
    </w:p>
    <w:p w14:paraId="3C205B0B">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lang w:val="en-US" w:eastAsia="zh-CN"/>
        </w:rPr>
        <w:t>5.1.1</w:t>
      </w:r>
      <w:r>
        <w:rPr>
          <w:rFonts w:hint="eastAsia" w:ascii="宋体" w:hAnsi="宋体" w:eastAsia="宋体" w:cs="宋体"/>
          <w:b w:val="0"/>
          <w:bCs w:val="0"/>
          <w:i w:val="0"/>
          <w:caps w:val="0"/>
          <w:color w:val="auto"/>
          <w:spacing w:val="0"/>
          <w:w w:val="100"/>
          <w:sz w:val="21"/>
          <w:szCs w:val="21"/>
          <w:highlight w:val="none"/>
        </w:rPr>
        <w:t>工期</w:t>
      </w:r>
      <w:r>
        <w:rPr>
          <w:rFonts w:hint="eastAsia" w:ascii="宋体" w:hAnsi="宋体" w:eastAsia="宋体" w:cs="宋体"/>
          <w:b w:val="0"/>
          <w:bCs w:val="0"/>
          <w:i w:val="0"/>
          <w:caps w:val="0"/>
          <w:color w:val="auto"/>
          <w:spacing w:val="0"/>
          <w:w w:val="100"/>
          <w:sz w:val="21"/>
          <w:szCs w:val="21"/>
          <w:highlight w:val="none"/>
          <w:lang w:eastAsia="zh-CN"/>
        </w:rPr>
        <w:t>：</w:t>
      </w:r>
      <w:r>
        <w:rPr>
          <w:rFonts w:hint="eastAsia" w:ascii="宋体" w:hAnsi="宋体" w:eastAsia="宋体" w:cs="宋体"/>
          <w:b w:val="0"/>
          <w:bCs w:val="0"/>
          <w:i w:val="0"/>
          <w:caps w:val="0"/>
          <w:color w:val="auto"/>
          <w:spacing w:val="0"/>
          <w:w w:val="100"/>
          <w:sz w:val="21"/>
          <w:szCs w:val="21"/>
          <w:highlight w:val="none"/>
        </w:rPr>
        <w:t>180天。</w:t>
      </w:r>
    </w:p>
    <w:p w14:paraId="01A13AFD">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bCs w:val="0"/>
          <w:color w:val="auto"/>
          <w:szCs w:val="21"/>
          <w:highlight w:val="none"/>
          <w:lang w:val="en-US" w:eastAsia="zh-CN"/>
        </w:rPr>
      </w:pPr>
      <w:r>
        <w:rPr>
          <w:rFonts w:hint="eastAsia" w:ascii="宋体" w:hAnsi="宋体" w:cs="宋体"/>
          <w:b w:val="0"/>
          <w:bCs w:val="0"/>
          <w:i w:val="0"/>
          <w:caps w:val="0"/>
          <w:color w:val="auto"/>
          <w:spacing w:val="0"/>
          <w:w w:val="100"/>
          <w:sz w:val="21"/>
          <w:szCs w:val="21"/>
          <w:highlight w:val="none"/>
          <w:lang w:val="en-US" w:eastAsia="zh-CN"/>
        </w:rPr>
        <w:t>说明：</w:t>
      </w:r>
      <w:r>
        <w:rPr>
          <w:rFonts w:hint="eastAsia" w:ascii="宋体" w:hAnsi="宋体" w:eastAsia="宋体" w:cs="宋体"/>
          <w:b w:val="0"/>
          <w:bCs w:val="0"/>
          <w:i w:val="0"/>
          <w:caps w:val="0"/>
          <w:color w:val="auto"/>
          <w:spacing w:val="0"/>
          <w:w w:val="100"/>
          <w:sz w:val="21"/>
          <w:szCs w:val="21"/>
          <w:highlight w:val="none"/>
        </w:rPr>
        <w:t>中标人需确保按时保质完成系统上线、硬件安装等工作，特别是保证与政府部门的相关应用顺畅，例如与医保的收费接口。</w:t>
      </w:r>
    </w:p>
    <w:p w14:paraId="2CC298BC">
      <w:pPr>
        <w:keepNext w:val="0"/>
        <w:keepLines w:val="0"/>
        <w:pageBreakBefore w:val="0"/>
        <w:widowControl/>
        <w:suppressLineNumbers w:val="0"/>
        <w:kinsoku/>
        <w:wordWrap/>
        <w:overflowPunct/>
        <w:topLinePunct w:val="0"/>
        <w:autoSpaceDE/>
        <w:autoSpaceDN/>
        <w:bidi w:val="0"/>
        <w:adjustRightInd/>
        <w:spacing w:line="480" w:lineRule="exact"/>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5.1.2质量要求：合格，项目建成后院内信息化水平须满足电子病历（智慧医疗）四级标准功能要求。</w:t>
      </w:r>
    </w:p>
    <w:p w14:paraId="220CA2B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jc w:val="left"/>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5.2项目地点：彬州市</w:t>
      </w:r>
    </w:p>
    <w:p w14:paraId="7D0B9149">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5.3质保期</w:t>
      </w:r>
    </w:p>
    <w:p w14:paraId="231810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所有软件系统的技术支持服务质保期（即免费维护期）为一年（自项目终验合格之日起算），硬件产品的技术支持服务质保期（即免费维护期）为三年（自硬件货到签收、开箱、正式上线后初验通过之日起计算），原厂商对保修期</w:t>
      </w:r>
      <w:r>
        <w:rPr>
          <w:rFonts w:hint="eastAsia" w:ascii="宋体" w:hAnsi="宋体" w:cs="宋体"/>
          <w:color w:val="auto"/>
          <w:highlight w:val="none"/>
          <w:lang w:val="en-US" w:eastAsia="zh-CN"/>
        </w:rPr>
        <w:t>的</w:t>
      </w:r>
      <w:r>
        <w:rPr>
          <w:rFonts w:hint="eastAsia" w:ascii="宋体" w:hAnsi="宋体" w:eastAsia="宋体" w:cs="宋体"/>
          <w:color w:val="auto"/>
          <w:highlight w:val="none"/>
        </w:rPr>
        <w:t>规定</w:t>
      </w:r>
      <w:r>
        <w:rPr>
          <w:rFonts w:hint="eastAsia" w:ascii="宋体" w:hAnsi="宋体" w:cs="宋体"/>
          <w:color w:val="auto"/>
          <w:highlight w:val="none"/>
          <w:lang w:val="en-US" w:eastAsia="zh-CN"/>
        </w:rPr>
        <w:t>优于招标文件</w:t>
      </w:r>
      <w:r>
        <w:rPr>
          <w:rFonts w:hint="eastAsia" w:ascii="宋体" w:hAnsi="宋体" w:eastAsia="宋体" w:cs="宋体"/>
          <w:color w:val="auto"/>
          <w:highlight w:val="none"/>
        </w:rPr>
        <w:t>的，按原厂商承诺的保修期执行。</w:t>
      </w:r>
    </w:p>
    <w:p w14:paraId="59D7A6F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jc w:val="left"/>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5.4考核（验收）标准和方法</w:t>
      </w:r>
    </w:p>
    <w:p w14:paraId="3C25CAA9">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符合国家现行技术规范合格标准。</w:t>
      </w:r>
      <w:r>
        <w:rPr>
          <w:rFonts w:hint="eastAsia" w:ascii="宋体" w:hAnsi="宋体" w:eastAsia="宋体" w:cs="宋体"/>
          <w:b w:val="0"/>
          <w:i w:val="0"/>
          <w:caps w:val="0"/>
          <w:color w:val="auto"/>
          <w:spacing w:val="0"/>
          <w:w w:val="100"/>
          <w:sz w:val="21"/>
          <w:szCs w:val="21"/>
          <w:highlight w:val="none"/>
        </w:rPr>
        <w:t>分为初验和终验两个阶段，具体验收流程按照相关验收规定和合同内容开展。</w:t>
      </w:r>
    </w:p>
    <w:p w14:paraId="6869270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jc w:val="left"/>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5.5支付方式及支付约定</w:t>
      </w:r>
    </w:p>
    <w:p w14:paraId="536B9A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5.5.1</w:t>
      </w:r>
      <w:r>
        <w:rPr>
          <w:rFonts w:hint="eastAsia" w:ascii="宋体" w:hAnsi="宋体" w:eastAsia="宋体" w:cs="宋体"/>
          <w:color w:val="auto"/>
          <w:kern w:val="2"/>
          <w:szCs w:val="21"/>
          <w:highlight w:val="none"/>
        </w:rPr>
        <w:t>在甲乙双方正式签订本合同起10个工作日内，甲方向乙方支付合同总额的50%，即￥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 （大写人民币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元整），甲方支付前乙方须提供对应项目支付款项比例的正规发票。</w:t>
      </w:r>
    </w:p>
    <w:p w14:paraId="5FCFCB73">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5.5.2</w:t>
      </w:r>
      <w:r>
        <w:rPr>
          <w:rFonts w:hint="eastAsia" w:ascii="宋体" w:hAnsi="宋体" w:eastAsia="宋体" w:cs="宋体"/>
          <w:color w:val="auto"/>
          <w:highlight w:val="none"/>
        </w:rPr>
        <w:t>本项目采用分项目验收方式，本项目验收分初验和终验，合同中所有软件系统、硬件进行分项初验，硬件初验：合同分项中的硬件设备到货签收完毕，安装上架运行后，经乙方申请由甲方组织硬件初验；软件初验：乙方开发、调试、测试、培训、部署完成合同分项中的软件系统并自检合格，经乙方申请由甲方组织软件系统初验，初验合格出具初验报告后10个工作日内（甲方支付前乙方须提供对应项目支付款项比例的正规发票），甲方向乙方支付分项系统对应合</w:t>
      </w:r>
      <w:r>
        <w:rPr>
          <w:rFonts w:hint="eastAsia" w:ascii="宋体" w:hAnsi="宋体" w:eastAsia="宋体" w:cs="宋体"/>
          <w:color w:val="auto"/>
          <w:kern w:val="2"/>
          <w:szCs w:val="21"/>
          <w:highlight w:val="none"/>
        </w:rPr>
        <w:t>同额的30%，即￥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r>
        <w:rPr>
          <w:rFonts w:hint="eastAsia" w:ascii="宋体" w:hAnsi="宋体" w:eastAsia="宋体" w:cs="宋体"/>
          <w:color w:val="auto"/>
          <w:highlight w:val="none"/>
        </w:rPr>
        <w:t xml:space="preserve"> 硬件终验：所有硬件设备到货签收、初验合格，且加电运行满30日，经乙方申请由甲方组织硬件终验并出具硬件终验报告；软件终验：合同分项中的软件系统初验合格，且试运行满30日，经乙方申请由甲方组织软件终验。</w:t>
      </w:r>
      <w:r>
        <w:rPr>
          <w:rFonts w:hint="eastAsia" w:ascii="宋体" w:hAnsi="宋体" w:eastAsia="宋体" w:cs="宋体"/>
          <w:color w:val="auto"/>
          <w:kern w:val="2"/>
          <w:szCs w:val="21"/>
          <w:highlight w:val="none"/>
        </w:rPr>
        <w:t>终验合格后10个工作日内（甲方支付前乙方须提供对应项目支付款项比例的正规发票），甲方向乙方支付合同总额的10%，即￥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1D5FC46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5.5.3</w:t>
      </w:r>
      <w:r>
        <w:rPr>
          <w:rFonts w:hint="eastAsia" w:ascii="宋体" w:hAnsi="宋体" w:eastAsia="宋体" w:cs="宋体"/>
          <w:color w:val="auto"/>
          <w:kern w:val="2"/>
          <w:szCs w:val="21"/>
          <w:highlight w:val="none"/>
        </w:rPr>
        <w:t xml:space="preserve"> 本项目建设内容需达到电子病历（智慧医疗）四级标准，甲方达到电子病历四级水平标准后10个工作日内（甲方支付前乙方须提供对应项目支付款项比例的正规发票），甲方向乙方支付合同总额的5%，即￥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1475A9F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5.5.4</w:t>
      </w:r>
      <w:r>
        <w:rPr>
          <w:rFonts w:hint="eastAsia" w:ascii="宋体" w:hAnsi="宋体" w:eastAsia="宋体" w:cs="宋体"/>
          <w:color w:val="auto"/>
          <w:kern w:val="2"/>
          <w:szCs w:val="21"/>
          <w:highlight w:val="none"/>
        </w:rPr>
        <w:t>本项目终验完成后，乙方软件系统免费维保满一年后10个工作日内（甲方支付前乙方须提供对应项目支付款项比例的正规发票），甲方向乙方支付合同总额的3%，即￥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26A5B3D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本项目终验完成，且乙方硬件设备免费</w:t>
      </w:r>
      <w:r>
        <w:rPr>
          <w:rFonts w:hint="eastAsia" w:ascii="宋体" w:hAnsi="宋体" w:eastAsia="宋体" w:cs="宋体"/>
          <w:color w:val="auto"/>
          <w:kern w:val="2"/>
          <w:szCs w:val="21"/>
          <w:highlight w:val="none"/>
          <w:lang w:val="en-US" w:eastAsia="zh-CN"/>
        </w:rPr>
        <w:t>质保</w:t>
      </w:r>
      <w:r>
        <w:rPr>
          <w:rFonts w:hint="eastAsia" w:ascii="宋体" w:hAnsi="宋体" w:eastAsia="宋体" w:cs="宋体"/>
          <w:color w:val="auto"/>
          <w:kern w:val="2"/>
          <w:szCs w:val="21"/>
          <w:highlight w:val="none"/>
        </w:rPr>
        <w:t xml:space="preserve">满三年后10个工作日内（甲方支付前乙方须提供对应项目支付款项比例的正规发票），甲方向乙方支付剩余软件系统合同总额的2%，即￥ </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521FB57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jc w:val="left"/>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5.6违约责任与解决争议的方法</w:t>
      </w:r>
    </w:p>
    <w:p w14:paraId="5B66939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b w:val="0"/>
          <w:bCs w:val="0"/>
          <w:color w:val="auto"/>
          <w:szCs w:val="21"/>
          <w:highlight w:val="none"/>
          <w:lang w:val="en-US" w:eastAsia="zh-CN"/>
        </w:rPr>
        <w:t>因签订合同及合同有关事项发生的争议，由甲乙双方友好协商解决。协商不成时，可以向有关组织申请调解。合同一方或双方不愿调解或调解不成的，依法向项目所在地人民法院提起诉讼</w:t>
      </w:r>
      <w:r>
        <w:rPr>
          <w:rFonts w:hint="eastAsia" w:ascii="宋体" w:hAnsi="宋体" w:eastAsia="宋体" w:cs="宋体"/>
          <w:b w:val="0"/>
          <w:bCs w:val="0"/>
          <w:color w:val="auto"/>
          <w:szCs w:val="21"/>
          <w:highlight w:val="none"/>
          <w:lang w:eastAsia="zh-CN"/>
        </w:rPr>
        <w:t>。</w:t>
      </w:r>
    </w:p>
    <w:p w14:paraId="2894DE86">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6、其他</w:t>
      </w:r>
      <w:r>
        <w:rPr>
          <w:rFonts w:hint="eastAsia" w:ascii="宋体" w:hAnsi="宋体" w:eastAsia="宋体" w:cs="宋体"/>
          <w:b/>
          <w:bCs/>
          <w:i w:val="0"/>
          <w:caps w:val="0"/>
          <w:color w:val="auto"/>
          <w:spacing w:val="0"/>
          <w:w w:val="100"/>
          <w:sz w:val="21"/>
          <w:szCs w:val="21"/>
          <w:highlight w:val="none"/>
        </w:rPr>
        <w:t>要求</w:t>
      </w:r>
    </w:p>
    <w:p w14:paraId="72297D23">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6.1</w:t>
      </w:r>
      <w:r>
        <w:rPr>
          <w:rFonts w:hint="eastAsia" w:ascii="宋体" w:hAnsi="宋体" w:eastAsia="宋体" w:cs="宋体"/>
          <w:b/>
          <w:bCs/>
          <w:i w:val="0"/>
          <w:caps w:val="0"/>
          <w:color w:val="auto"/>
          <w:spacing w:val="0"/>
          <w:w w:val="100"/>
          <w:sz w:val="21"/>
          <w:szCs w:val="21"/>
          <w:highlight w:val="none"/>
        </w:rPr>
        <w:t>人员要求</w:t>
      </w:r>
    </w:p>
    <w:p w14:paraId="2D8A4C90">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投标人应保证项目团队的稳定性，并向采购人提供开发、维护人员的配备情况。软件服务商更换技术人员时，应征得采购人同意。</w:t>
      </w:r>
    </w:p>
    <w:p w14:paraId="4B9F17C8">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6.2</w:t>
      </w:r>
      <w:r>
        <w:rPr>
          <w:rFonts w:hint="eastAsia" w:ascii="宋体" w:hAnsi="宋体" w:eastAsia="宋体" w:cs="宋体"/>
          <w:b/>
          <w:bCs/>
          <w:i w:val="0"/>
          <w:caps w:val="0"/>
          <w:color w:val="auto"/>
          <w:spacing w:val="0"/>
          <w:w w:val="100"/>
          <w:sz w:val="21"/>
          <w:szCs w:val="21"/>
          <w:highlight w:val="none"/>
        </w:rPr>
        <w:t>项目培训</w:t>
      </w:r>
    </w:p>
    <w:p w14:paraId="31602D1F">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投标人必须按业务科室进行业务系统操作培训，并达到预定的培训目标。</w:t>
      </w:r>
    </w:p>
    <w:p w14:paraId="51AFD374">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投标人必须根据本次招标文件所制定的目标和范围，提出相应的培训内容及计划，并作为投标文件的一部分提交。</w:t>
      </w:r>
    </w:p>
    <w:p w14:paraId="614FF722">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与培训相关的费用，投标人应当一并计算在投标报价中。</w:t>
      </w:r>
    </w:p>
    <w:p w14:paraId="53C8C611">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6.3</w:t>
      </w:r>
      <w:r>
        <w:rPr>
          <w:rFonts w:hint="eastAsia" w:ascii="宋体" w:hAnsi="宋体" w:eastAsia="宋体" w:cs="宋体"/>
          <w:b/>
          <w:bCs/>
          <w:i w:val="0"/>
          <w:caps w:val="0"/>
          <w:color w:val="auto"/>
          <w:spacing w:val="0"/>
          <w:w w:val="100"/>
          <w:sz w:val="21"/>
          <w:szCs w:val="21"/>
          <w:highlight w:val="none"/>
        </w:rPr>
        <w:t>信息保密</w:t>
      </w:r>
    </w:p>
    <w:p w14:paraId="58635789">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在本次项目实施过程中，投标人并严格遵守国家相关保密与安全法律法规，遵循采购人各项安全保密制度和规章，在软件系统的需求调研、设计开发、上线运行等过程中以及项目验收后，投标人有责任对采购人的所有资料和数据保密，不得向第三方泄露。</w:t>
      </w:r>
    </w:p>
    <w:p w14:paraId="7622090B">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6.4</w:t>
      </w:r>
      <w:r>
        <w:rPr>
          <w:rFonts w:hint="eastAsia" w:ascii="宋体" w:hAnsi="宋体" w:eastAsia="宋体" w:cs="宋体"/>
          <w:b/>
          <w:bCs/>
          <w:i w:val="0"/>
          <w:caps w:val="0"/>
          <w:color w:val="auto"/>
          <w:spacing w:val="0"/>
          <w:w w:val="100"/>
          <w:sz w:val="21"/>
          <w:szCs w:val="21"/>
          <w:highlight w:val="none"/>
        </w:rPr>
        <w:t>文档管理</w:t>
      </w:r>
    </w:p>
    <w:p w14:paraId="12C1E8E1">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文档是保证项目的实施连贯性的重要保证，投标人需要提供完善的文档，并对项目进行过程中的文档进行有效的管理，接受用户方对项目各阶段评估分析和监督管理。</w:t>
      </w:r>
    </w:p>
    <w:p w14:paraId="340FB936">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整个项目的过程包括后期修改维护贯穿ISO9001和CMM的规范，使用国家标准码，提供齐全的项目管理、设计和开发、操作说明书面文档和电子版。</w:t>
      </w:r>
    </w:p>
    <w:p w14:paraId="70ACC3E5">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5" w:firstLineChars="192"/>
        <w:jc w:val="both"/>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lang w:val="en-US" w:eastAsia="zh-CN"/>
        </w:rPr>
        <w:t>6.5</w:t>
      </w:r>
      <w:r>
        <w:rPr>
          <w:rFonts w:hint="eastAsia" w:ascii="宋体" w:hAnsi="宋体" w:eastAsia="宋体" w:cs="宋体"/>
          <w:b/>
          <w:bCs/>
          <w:i w:val="0"/>
          <w:caps w:val="0"/>
          <w:color w:val="auto"/>
          <w:spacing w:val="0"/>
          <w:w w:val="100"/>
          <w:sz w:val="21"/>
          <w:szCs w:val="21"/>
          <w:highlight w:val="none"/>
        </w:rPr>
        <w:t>售后服务</w:t>
      </w:r>
    </w:p>
    <w:p w14:paraId="2F423098">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lang w:val="en-US" w:eastAsia="zh-CN"/>
        </w:rPr>
        <w:t>6.5.</w:t>
      </w:r>
      <w:r>
        <w:rPr>
          <w:rFonts w:hint="eastAsia" w:ascii="宋体" w:hAnsi="宋体" w:eastAsia="宋体" w:cs="宋体"/>
          <w:b w:val="0"/>
          <w:i w:val="0"/>
          <w:caps w:val="0"/>
          <w:color w:val="auto"/>
          <w:spacing w:val="0"/>
          <w:w w:val="100"/>
          <w:sz w:val="21"/>
          <w:szCs w:val="21"/>
          <w:highlight w:val="none"/>
        </w:rPr>
        <w:t>1.</w:t>
      </w:r>
      <w:r>
        <w:rPr>
          <w:rFonts w:hint="eastAsia" w:ascii="宋体" w:hAnsi="宋体" w:eastAsia="宋体" w:cs="宋体"/>
          <w:color w:val="auto"/>
          <w:highlight w:val="none"/>
        </w:rPr>
        <w:t>所有软件系统的技术支持服务质保期（即免费维护期）为一年（自项目终验合格之日起算），硬件产品的技术支持服务质保期（即免费维护期）为三年（自硬件货到签收、开箱、正式上线后初验通过之日起计算），原厂商对保修期</w:t>
      </w:r>
      <w:r>
        <w:rPr>
          <w:rFonts w:hint="eastAsia" w:ascii="宋体" w:hAnsi="宋体" w:cs="宋体"/>
          <w:color w:val="auto"/>
          <w:highlight w:val="none"/>
          <w:lang w:val="en-US" w:eastAsia="zh-CN"/>
        </w:rPr>
        <w:t>的</w:t>
      </w:r>
      <w:r>
        <w:rPr>
          <w:rFonts w:hint="eastAsia" w:ascii="宋体" w:hAnsi="宋体" w:eastAsia="宋体" w:cs="宋体"/>
          <w:color w:val="auto"/>
          <w:highlight w:val="none"/>
        </w:rPr>
        <w:t>规定</w:t>
      </w:r>
      <w:r>
        <w:rPr>
          <w:rFonts w:hint="eastAsia" w:ascii="宋体" w:hAnsi="宋体" w:cs="宋体"/>
          <w:color w:val="auto"/>
          <w:highlight w:val="none"/>
          <w:lang w:val="en-US" w:eastAsia="zh-CN"/>
        </w:rPr>
        <w:t>优于招标文件</w:t>
      </w:r>
      <w:r>
        <w:rPr>
          <w:rFonts w:hint="eastAsia" w:ascii="宋体" w:hAnsi="宋体" w:eastAsia="宋体" w:cs="宋体"/>
          <w:color w:val="auto"/>
          <w:highlight w:val="none"/>
        </w:rPr>
        <w:t>的，按原厂商承诺的保修期执行。</w:t>
      </w:r>
    </w:p>
    <w:p w14:paraId="7DD82B82">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lang w:val="en-US" w:eastAsia="zh-CN"/>
        </w:rPr>
        <w:t>6.5.</w:t>
      </w:r>
      <w:r>
        <w:rPr>
          <w:rFonts w:hint="eastAsia" w:ascii="宋体" w:hAnsi="宋体" w:eastAsia="宋体" w:cs="宋体"/>
          <w:b w:val="0"/>
          <w:i w:val="0"/>
          <w:caps w:val="0"/>
          <w:color w:val="auto"/>
          <w:spacing w:val="0"/>
          <w:w w:val="100"/>
          <w:sz w:val="21"/>
          <w:szCs w:val="21"/>
          <w:highlight w:val="none"/>
        </w:rPr>
        <w:t>2.投标人应该在项目的实施过程中提供软件支持的服务，包括：</w:t>
      </w:r>
    </w:p>
    <w:p w14:paraId="690A24D7">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（1）对影响到应用系统平稳作业的问题解答与分析，并提出解决方案；</w:t>
      </w:r>
    </w:p>
    <w:p w14:paraId="45344DCE">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（2）定期进行程序错误的修改、维护、实施；</w:t>
      </w:r>
    </w:p>
    <w:p w14:paraId="0299C1CA">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（3）对所有的维护活动进行记录，并形成规范的文档，例如记录时间、地点、原因，最后还要注明完成的时间和人员；</w:t>
      </w:r>
    </w:p>
    <w:p w14:paraId="5FAC0FB6">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（4）提供7*24小时的维护和故障解决；</w:t>
      </w:r>
    </w:p>
    <w:p w14:paraId="66E3B533">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lang w:val="en-US" w:eastAsia="zh-CN"/>
        </w:rPr>
        <w:t>6.5.</w:t>
      </w:r>
      <w:r>
        <w:rPr>
          <w:rFonts w:hint="eastAsia" w:ascii="宋体" w:hAnsi="宋体" w:eastAsia="宋体" w:cs="宋体"/>
          <w:b w:val="0"/>
          <w:i w:val="0"/>
          <w:caps w:val="0"/>
          <w:color w:val="auto"/>
          <w:spacing w:val="0"/>
          <w:w w:val="100"/>
          <w:sz w:val="21"/>
          <w:szCs w:val="21"/>
          <w:highlight w:val="none"/>
        </w:rPr>
        <w:t>3.投标人应在软件产品免费维护期内，提供系统扩充、升级方面的技术支持服务，包括：</w:t>
      </w:r>
    </w:p>
    <w:p w14:paraId="48AB4E94">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（1）管理、维护系统以及与其他系统的接口；</w:t>
      </w:r>
    </w:p>
    <w:p w14:paraId="6EF25091">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（2）问题解答、问题分析、与其他合作方的协作；</w:t>
      </w:r>
    </w:p>
    <w:p w14:paraId="6109AB7B">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（3）修正应用软件的错误；</w:t>
      </w:r>
    </w:p>
    <w:p w14:paraId="4B048199">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（4）对系统的每一次改变或是升级都必须对需求进行检查；</w:t>
      </w:r>
    </w:p>
    <w:p w14:paraId="40C6D05D">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firstLine="403" w:firstLineChars="192"/>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（5）评估并保证建议的解决方案完全符合目前的操作模式，并对系统的正常运作没有影响，所有的调优或修改建议不能降低系统性能。</w:t>
      </w:r>
    </w:p>
    <w:p w14:paraId="13B70EF3">
      <w:pPr>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br w:type="page"/>
      </w:r>
    </w:p>
    <w:bookmarkEnd w:id="29"/>
    <w:bookmarkEnd w:id="30"/>
    <w:bookmarkEnd w:id="31"/>
    <w:bookmarkEnd w:id="32"/>
    <w:bookmarkEnd w:id="33"/>
    <w:bookmarkEnd w:id="34"/>
    <w:bookmarkEnd w:id="35"/>
    <w:bookmarkEnd w:id="39"/>
    <w:p w14:paraId="4EB9CEC9">
      <w:pPr>
        <w:pStyle w:val="2"/>
        <w:numPr>
          <w:ilvl w:val="0"/>
          <w:numId w:val="0"/>
        </w:numPr>
        <w:bidi w:val="0"/>
        <w:rPr>
          <w:rFonts w:hint="eastAsia" w:ascii="宋体" w:hAnsi="宋体" w:eastAsia="宋体" w:cs="宋体"/>
          <w:color w:val="auto"/>
          <w:highlight w:val="none"/>
          <w:lang w:val="en-US" w:eastAsia="zh-CN"/>
        </w:rPr>
      </w:pPr>
      <w:bookmarkStart w:id="40" w:name="_Toc7473"/>
      <w:r>
        <w:rPr>
          <w:rFonts w:hint="eastAsia" w:ascii="宋体" w:hAnsi="宋体" w:eastAsia="宋体" w:cs="宋体"/>
          <w:b/>
          <w:color w:val="auto"/>
          <w:kern w:val="44"/>
          <w:sz w:val="36"/>
          <w:szCs w:val="22"/>
          <w:highlight w:val="none"/>
          <w:u w:color="000000"/>
          <w:lang w:val="en-US" w:eastAsia="zh-CN" w:bidi="ar-SA"/>
        </w:rPr>
        <w:t>第四部分  项目采购</w:t>
      </w:r>
      <w:r>
        <w:rPr>
          <w:rFonts w:hint="eastAsia" w:ascii="宋体" w:hAnsi="宋体" w:eastAsia="宋体" w:cs="宋体"/>
          <w:color w:val="auto"/>
          <w:highlight w:val="none"/>
          <w:lang w:val="en-US" w:eastAsia="zh-CN"/>
        </w:rPr>
        <w:t>清单</w:t>
      </w:r>
      <w:bookmarkEnd w:id="40"/>
      <w:bookmarkStart w:id="41" w:name="_Toc30062"/>
      <w:bookmarkStart w:id="42" w:name="_Toc10816"/>
      <w:bookmarkStart w:id="43" w:name="_Toc6418"/>
      <w:bookmarkStart w:id="44" w:name="_Toc19757"/>
      <w:bookmarkStart w:id="45" w:name="_Toc16934"/>
      <w:bookmarkStart w:id="46" w:name="_Toc11013"/>
      <w:bookmarkStart w:id="47" w:name="_Toc31006"/>
      <w:bookmarkStart w:id="48" w:name="_Toc16505"/>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6341"/>
        <w:gridCol w:w="786"/>
        <w:gridCol w:w="912"/>
      </w:tblGrid>
      <w:tr w14:paraId="00E8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shd w:val="clear" w:color="auto" w:fill="BEBEBE" w:themeFill="background1" w:themeFillShade="BF"/>
            <w:vAlign w:val="center"/>
          </w:tcPr>
          <w:p w14:paraId="3BD4A215">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521" w:type="pct"/>
            <w:shd w:val="clear" w:color="auto" w:fill="BEBEBE" w:themeFill="background1" w:themeFillShade="BF"/>
            <w:vAlign w:val="center"/>
          </w:tcPr>
          <w:p w14:paraId="5DE3C04D">
            <w:pPr>
              <w:jc w:val="center"/>
              <w:rPr>
                <w:rFonts w:hint="eastAsia" w:ascii="宋体" w:hAnsi="宋体" w:eastAsia="宋体" w:cs="宋体"/>
                <w:color w:val="auto"/>
                <w:highlight w:val="none"/>
              </w:rPr>
            </w:pPr>
            <w:r>
              <w:rPr>
                <w:rFonts w:hint="eastAsia" w:ascii="宋体" w:hAnsi="宋体" w:eastAsia="宋体" w:cs="宋体"/>
                <w:color w:val="auto"/>
                <w:highlight w:val="none"/>
              </w:rPr>
              <w:t>系统/设备名称</w:t>
            </w:r>
          </w:p>
        </w:tc>
        <w:tc>
          <w:tcPr>
            <w:tcW w:w="436" w:type="pct"/>
            <w:shd w:val="clear" w:color="auto" w:fill="BEBEBE" w:themeFill="background1" w:themeFillShade="BF"/>
            <w:vAlign w:val="center"/>
          </w:tcPr>
          <w:p w14:paraId="6FE40B30">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506" w:type="pct"/>
            <w:shd w:val="clear" w:color="auto" w:fill="BEBEBE" w:themeFill="background1" w:themeFillShade="BF"/>
            <w:vAlign w:val="center"/>
          </w:tcPr>
          <w:p w14:paraId="0876866A">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r>
      <w:tr w14:paraId="0A05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443B26F">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21" w:type="pct"/>
            <w:noWrap/>
            <w:vAlign w:val="center"/>
          </w:tcPr>
          <w:p w14:paraId="3F952DB9">
            <w:pPr>
              <w:jc w:val="center"/>
              <w:rPr>
                <w:rFonts w:hint="eastAsia" w:ascii="宋体" w:hAnsi="宋体" w:eastAsia="宋体" w:cs="宋体"/>
                <w:color w:val="auto"/>
                <w:highlight w:val="none"/>
              </w:rPr>
            </w:pPr>
            <w:r>
              <w:rPr>
                <w:rFonts w:hint="eastAsia" w:ascii="宋体" w:hAnsi="宋体" w:eastAsia="宋体" w:cs="宋体"/>
                <w:color w:val="auto"/>
                <w:highlight w:val="none"/>
              </w:rPr>
              <w:t>医院管理信息系统（HIS）</w:t>
            </w:r>
          </w:p>
        </w:tc>
        <w:tc>
          <w:tcPr>
            <w:tcW w:w="436" w:type="pct"/>
            <w:vAlign w:val="center"/>
          </w:tcPr>
          <w:p w14:paraId="62F4956A">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50A72DEE">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40A1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9830CF0">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21" w:type="pct"/>
            <w:noWrap/>
            <w:vAlign w:val="center"/>
          </w:tcPr>
          <w:p w14:paraId="32099C49">
            <w:pPr>
              <w:jc w:val="center"/>
              <w:rPr>
                <w:rFonts w:hint="eastAsia" w:ascii="宋体" w:hAnsi="宋体" w:eastAsia="宋体" w:cs="宋体"/>
                <w:color w:val="auto"/>
                <w:highlight w:val="none"/>
              </w:rPr>
            </w:pPr>
            <w:r>
              <w:rPr>
                <w:rFonts w:hint="eastAsia" w:ascii="宋体" w:hAnsi="宋体" w:eastAsia="宋体" w:cs="宋体"/>
                <w:color w:val="auto"/>
                <w:highlight w:val="none"/>
              </w:rPr>
              <w:t>一体化医生工作站（EMR）</w:t>
            </w:r>
          </w:p>
        </w:tc>
        <w:tc>
          <w:tcPr>
            <w:tcW w:w="436" w:type="pct"/>
            <w:vAlign w:val="center"/>
          </w:tcPr>
          <w:p w14:paraId="77987FFA">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3079856E">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19B4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309EB20">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521" w:type="pct"/>
            <w:noWrap/>
            <w:vAlign w:val="center"/>
          </w:tcPr>
          <w:p w14:paraId="1BE4FCD6">
            <w:pPr>
              <w:jc w:val="center"/>
              <w:rPr>
                <w:rFonts w:hint="eastAsia" w:ascii="宋体" w:hAnsi="宋体" w:eastAsia="宋体" w:cs="宋体"/>
                <w:color w:val="auto"/>
                <w:highlight w:val="none"/>
              </w:rPr>
            </w:pPr>
            <w:r>
              <w:rPr>
                <w:rFonts w:hint="eastAsia" w:ascii="宋体" w:hAnsi="宋体" w:eastAsia="宋体" w:cs="宋体"/>
                <w:color w:val="auto"/>
                <w:highlight w:val="none"/>
              </w:rPr>
              <w:t>护理病历系统</w:t>
            </w:r>
          </w:p>
        </w:tc>
        <w:tc>
          <w:tcPr>
            <w:tcW w:w="436" w:type="pct"/>
            <w:vAlign w:val="center"/>
          </w:tcPr>
          <w:p w14:paraId="6FEF7E5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5DF973F3">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0854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E5A4764">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521" w:type="pct"/>
            <w:noWrap/>
            <w:vAlign w:val="center"/>
          </w:tcPr>
          <w:p w14:paraId="64D0B1DD">
            <w:pPr>
              <w:jc w:val="center"/>
              <w:rPr>
                <w:rFonts w:hint="eastAsia" w:ascii="宋体" w:hAnsi="宋体" w:eastAsia="宋体" w:cs="宋体"/>
                <w:color w:val="auto"/>
                <w:highlight w:val="none"/>
              </w:rPr>
            </w:pPr>
            <w:r>
              <w:rPr>
                <w:rFonts w:hint="eastAsia" w:ascii="宋体" w:hAnsi="宋体" w:eastAsia="宋体" w:cs="宋体"/>
                <w:color w:val="auto"/>
                <w:highlight w:val="none"/>
              </w:rPr>
              <w:t>实验室信息系统（LIS）</w:t>
            </w:r>
          </w:p>
        </w:tc>
        <w:tc>
          <w:tcPr>
            <w:tcW w:w="436" w:type="pct"/>
            <w:vAlign w:val="center"/>
          </w:tcPr>
          <w:p w14:paraId="1D012160">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0172A4F0">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445A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F052BA1">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521" w:type="pct"/>
            <w:noWrap/>
            <w:vAlign w:val="center"/>
          </w:tcPr>
          <w:p w14:paraId="6ACABD6E">
            <w:pPr>
              <w:jc w:val="center"/>
              <w:rPr>
                <w:rFonts w:hint="eastAsia" w:ascii="宋体" w:hAnsi="宋体" w:eastAsia="宋体" w:cs="宋体"/>
                <w:color w:val="auto"/>
                <w:highlight w:val="none"/>
              </w:rPr>
            </w:pPr>
            <w:r>
              <w:rPr>
                <w:rFonts w:hint="eastAsia" w:ascii="宋体" w:hAnsi="宋体" w:eastAsia="宋体" w:cs="宋体"/>
                <w:color w:val="auto"/>
                <w:highlight w:val="none"/>
              </w:rPr>
              <w:t>影像信息系统（PACS）</w:t>
            </w:r>
          </w:p>
        </w:tc>
        <w:tc>
          <w:tcPr>
            <w:tcW w:w="436" w:type="pct"/>
            <w:vAlign w:val="center"/>
          </w:tcPr>
          <w:p w14:paraId="51231760">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71A96457">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56AA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F1E5DDC">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521" w:type="pct"/>
            <w:noWrap/>
            <w:vAlign w:val="center"/>
          </w:tcPr>
          <w:p w14:paraId="48841B33">
            <w:pPr>
              <w:jc w:val="center"/>
              <w:rPr>
                <w:rFonts w:hint="eastAsia" w:ascii="宋体" w:hAnsi="宋体" w:eastAsia="宋体" w:cs="宋体"/>
                <w:color w:val="auto"/>
                <w:highlight w:val="none"/>
              </w:rPr>
            </w:pPr>
            <w:r>
              <w:rPr>
                <w:rFonts w:hint="eastAsia" w:ascii="宋体" w:hAnsi="宋体" w:eastAsia="宋体" w:cs="宋体"/>
                <w:color w:val="auto"/>
                <w:highlight w:val="none"/>
              </w:rPr>
              <w:t>合理用药监测系统</w:t>
            </w:r>
          </w:p>
        </w:tc>
        <w:tc>
          <w:tcPr>
            <w:tcW w:w="436" w:type="pct"/>
            <w:vAlign w:val="center"/>
          </w:tcPr>
          <w:p w14:paraId="70E207BB">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14520225">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546B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6863190">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3521" w:type="pct"/>
            <w:noWrap/>
            <w:vAlign w:val="center"/>
          </w:tcPr>
          <w:p w14:paraId="35F5188C">
            <w:pPr>
              <w:jc w:val="center"/>
              <w:rPr>
                <w:rFonts w:hint="eastAsia" w:ascii="宋体" w:hAnsi="宋体" w:eastAsia="宋体" w:cs="宋体"/>
                <w:color w:val="auto"/>
                <w:highlight w:val="none"/>
              </w:rPr>
            </w:pPr>
            <w:r>
              <w:rPr>
                <w:rFonts w:hint="eastAsia" w:ascii="宋体" w:hAnsi="宋体" w:eastAsia="宋体" w:cs="宋体"/>
                <w:color w:val="auto"/>
                <w:highlight w:val="none"/>
              </w:rPr>
              <w:t>抗菌药物管理系统</w:t>
            </w:r>
          </w:p>
        </w:tc>
        <w:tc>
          <w:tcPr>
            <w:tcW w:w="436" w:type="pct"/>
            <w:vAlign w:val="center"/>
          </w:tcPr>
          <w:p w14:paraId="0CECE05B">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1D37F068">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5432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7346A36">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3521" w:type="pct"/>
            <w:noWrap/>
            <w:vAlign w:val="center"/>
          </w:tcPr>
          <w:p w14:paraId="2A4A3038">
            <w:pPr>
              <w:jc w:val="center"/>
              <w:rPr>
                <w:rFonts w:hint="eastAsia" w:ascii="宋体" w:hAnsi="宋体" w:eastAsia="宋体" w:cs="宋体"/>
                <w:color w:val="auto"/>
                <w:highlight w:val="none"/>
              </w:rPr>
            </w:pPr>
            <w:r>
              <w:rPr>
                <w:rFonts w:hint="eastAsia" w:ascii="宋体" w:hAnsi="宋体" w:eastAsia="宋体" w:cs="宋体"/>
                <w:color w:val="auto"/>
                <w:highlight w:val="none"/>
              </w:rPr>
              <w:t>前置审方系统</w:t>
            </w:r>
          </w:p>
        </w:tc>
        <w:tc>
          <w:tcPr>
            <w:tcW w:w="436" w:type="pct"/>
            <w:vAlign w:val="center"/>
          </w:tcPr>
          <w:p w14:paraId="131308CA">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7B9CEB51">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9DD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2C56A4A">
            <w:pPr>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3521" w:type="pct"/>
            <w:noWrap/>
            <w:vAlign w:val="center"/>
          </w:tcPr>
          <w:p w14:paraId="5914574C">
            <w:pPr>
              <w:jc w:val="center"/>
              <w:rPr>
                <w:rFonts w:hint="eastAsia" w:ascii="宋体" w:hAnsi="宋体" w:eastAsia="宋体" w:cs="宋体"/>
                <w:color w:val="auto"/>
                <w:highlight w:val="none"/>
              </w:rPr>
            </w:pPr>
            <w:r>
              <w:rPr>
                <w:rFonts w:hint="eastAsia" w:ascii="宋体" w:hAnsi="宋体" w:eastAsia="宋体" w:cs="宋体"/>
                <w:color w:val="auto"/>
                <w:highlight w:val="none"/>
              </w:rPr>
              <w:t>处方点评系统</w:t>
            </w:r>
          </w:p>
        </w:tc>
        <w:tc>
          <w:tcPr>
            <w:tcW w:w="436" w:type="pct"/>
            <w:vAlign w:val="center"/>
          </w:tcPr>
          <w:p w14:paraId="081470A9">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43DA6BA0">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165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EF2B8F7">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3521" w:type="pct"/>
            <w:noWrap/>
            <w:vAlign w:val="center"/>
          </w:tcPr>
          <w:p w14:paraId="20927C51">
            <w:pPr>
              <w:jc w:val="center"/>
              <w:rPr>
                <w:rFonts w:hint="eastAsia" w:ascii="宋体" w:hAnsi="宋体" w:eastAsia="宋体" w:cs="宋体"/>
                <w:color w:val="auto"/>
                <w:highlight w:val="none"/>
              </w:rPr>
            </w:pPr>
            <w:r>
              <w:rPr>
                <w:rFonts w:hint="eastAsia" w:ascii="宋体" w:hAnsi="宋体" w:eastAsia="宋体" w:cs="宋体"/>
                <w:color w:val="auto"/>
                <w:highlight w:val="none"/>
              </w:rPr>
              <w:t>医院感染综合监控系统</w:t>
            </w:r>
          </w:p>
        </w:tc>
        <w:tc>
          <w:tcPr>
            <w:tcW w:w="436" w:type="pct"/>
            <w:vAlign w:val="center"/>
          </w:tcPr>
          <w:p w14:paraId="665456F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6F95F3AE">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181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11CEF8B">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3521" w:type="pct"/>
            <w:noWrap/>
            <w:vAlign w:val="center"/>
          </w:tcPr>
          <w:p w14:paraId="73F5CC3A">
            <w:pPr>
              <w:jc w:val="center"/>
              <w:rPr>
                <w:rFonts w:hint="eastAsia" w:ascii="宋体" w:hAnsi="宋体" w:eastAsia="宋体" w:cs="宋体"/>
                <w:color w:val="auto"/>
                <w:highlight w:val="none"/>
              </w:rPr>
            </w:pPr>
            <w:r>
              <w:rPr>
                <w:rFonts w:hint="eastAsia" w:ascii="宋体" w:hAnsi="宋体" w:eastAsia="宋体" w:cs="宋体"/>
                <w:color w:val="auto"/>
                <w:highlight w:val="none"/>
              </w:rPr>
              <w:t>健康体检系统</w:t>
            </w:r>
          </w:p>
        </w:tc>
        <w:tc>
          <w:tcPr>
            <w:tcW w:w="436" w:type="pct"/>
            <w:vAlign w:val="center"/>
          </w:tcPr>
          <w:p w14:paraId="28ED5754">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19629DB2">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EE9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07258527">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3521" w:type="pct"/>
            <w:noWrap/>
            <w:vAlign w:val="center"/>
          </w:tcPr>
          <w:p w14:paraId="25F19FF3">
            <w:pPr>
              <w:jc w:val="center"/>
              <w:rPr>
                <w:rFonts w:hint="eastAsia" w:ascii="宋体" w:hAnsi="宋体" w:eastAsia="宋体" w:cs="宋体"/>
                <w:color w:val="auto"/>
                <w:highlight w:val="none"/>
              </w:rPr>
            </w:pPr>
            <w:r>
              <w:rPr>
                <w:rFonts w:hint="eastAsia" w:ascii="宋体" w:hAnsi="宋体" w:eastAsia="宋体" w:cs="宋体"/>
                <w:color w:val="auto"/>
                <w:highlight w:val="none"/>
              </w:rPr>
              <w:t>移动护理系统</w:t>
            </w:r>
          </w:p>
        </w:tc>
        <w:tc>
          <w:tcPr>
            <w:tcW w:w="436" w:type="pct"/>
            <w:vAlign w:val="center"/>
          </w:tcPr>
          <w:p w14:paraId="46202B02">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1D42194A">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4FA9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6FA79C4">
            <w:pPr>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3521" w:type="pct"/>
            <w:noWrap/>
            <w:vAlign w:val="center"/>
          </w:tcPr>
          <w:p w14:paraId="7E46EA50">
            <w:pPr>
              <w:jc w:val="center"/>
              <w:rPr>
                <w:rFonts w:hint="eastAsia" w:ascii="宋体" w:hAnsi="宋体" w:eastAsia="宋体" w:cs="宋体"/>
                <w:color w:val="auto"/>
                <w:highlight w:val="none"/>
              </w:rPr>
            </w:pPr>
            <w:r>
              <w:rPr>
                <w:rFonts w:hint="eastAsia" w:ascii="宋体" w:hAnsi="宋体" w:eastAsia="宋体" w:cs="宋体"/>
                <w:color w:val="auto"/>
                <w:highlight w:val="none"/>
              </w:rPr>
              <w:t>智慧护理大屏信息系统</w:t>
            </w:r>
          </w:p>
        </w:tc>
        <w:tc>
          <w:tcPr>
            <w:tcW w:w="436" w:type="pct"/>
            <w:vAlign w:val="center"/>
          </w:tcPr>
          <w:p w14:paraId="5DB2258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2E227313">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E89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AEEA693">
            <w:pPr>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3521" w:type="pct"/>
            <w:noWrap/>
            <w:vAlign w:val="center"/>
          </w:tcPr>
          <w:p w14:paraId="6D3463A1">
            <w:pPr>
              <w:jc w:val="center"/>
              <w:rPr>
                <w:rFonts w:hint="eastAsia" w:ascii="宋体" w:hAnsi="宋体" w:eastAsia="宋体" w:cs="宋体"/>
                <w:color w:val="auto"/>
                <w:highlight w:val="none"/>
              </w:rPr>
            </w:pPr>
            <w:r>
              <w:rPr>
                <w:rFonts w:hint="eastAsia" w:ascii="宋体" w:hAnsi="宋体" w:eastAsia="宋体" w:cs="宋体"/>
                <w:color w:val="auto"/>
                <w:highlight w:val="none"/>
              </w:rPr>
              <w:t>心电信息系统</w:t>
            </w:r>
          </w:p>
        </w:tc>
        <w:tc>
          <w:tcPr>
            <w:tcW w:w="436" w:type="pct"/>
            <w:vAlign w:val="center"/>
          </w:tcPr>
          <w:p w14:paraId="3AE54E0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730E7E72">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6463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A220296">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521" w:type="pct"/>
            <w:noWrap/>
            <w:vAlign w:val="center"/>
          </w:tcPr>
          <w:p w14:paraId="37D7BE02">
            <w:pPr>
              <w:jc w:val="center"/>
              <w:rPr>
                <w:rFonts w:hint="eastAsia" w:ascii="宋体" w:hAnsi="宋体" w:eastAsia="宋体" w:cs="宋体"/>
                <w:color w:val="auto"/>
                <w:highlight w:val="none"/>
              </w:rPr>
            </w:pPr>
            <w:r>
              <w:rPr>
                <w:rFonts w:hint="eastAsia" w:ascii="宋体" w:hAnsi="宋体" w:eastAsia="宋体" w:cs="宋体"/>
                <w:color w:val="auto"/>
                <w:highlight w:val="none"/>
              </w:rPr>
              <w:t>手术麻醉信息管理系统</w:t>
            </w:r>
          </w:p>
        </w:tc>
        <w:tc>
          <w:tcPr>
            <w:tcW w:w="436" w:type="pct"/>
            <w:vAlign w:val="center"/>
          </w:tcPr>
          <w:p w14:paraId="77E688D0">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40D64980">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1383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E70A4F8">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3521" w:type="pct"/>
            <w:noWrap/>
            <w:vAlign w:val="center"/>
          </w:tcPr>
          <w:p w14:paraId="2623DFFE">
            <w:pPr>
              <w:jc w:val="center"/>
              <w:rPr>
                <w:rFonts w:hint="eastAsia" w:ascii="宋体" w:hAnsi="宋体" w:eastAsia="宋体" w:cs="宋体"/>
                <w:color w:val="auto"/>
                <w:highlight w:val="none"/>
              </w:rPr>
            </w:pPr>
            <w:r>
              <w:rPr>
                <w:rFonts w:hint="eastAsia" w:ascii="宋体" w:hAnsi="宋体" w:eastAsia="宋体" w:cs="宋体"/>
                <w:color w:val="auto"/>
                <w:highlight w:val="none"/>
              </w:rPr>
              <w:t>输血信息系统</w:t>
            </w:r>
          </w:p>
        </w:tc>
        <w:tc>
          <w:tcPr>
            <w:tcW w:w="436" w:type="pct"/>
            <w:vAlign w:val="center"/>
          </w:tcPr>
          <w:p w14:paraId="772551C4">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2DC55B09">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5DDB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63E5C17">
            <w:pPr>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3521" w:type="pct"/>
            <w:noWrap/>
            <w:vAlign w:val="center"/>
          </w:tcPr>
          <w:p w14:paraId="77930ACC">
            <w:pPr>
              <w:jc w:val="center"/>
              <w:rPr>
                <w:rFonts w:hint="eastAsia" w:ascii="宋体" w:hAnsi="宋体" w:eastAsia="宋体" w:cs="宋体"/>
                <w:color w:val="auto"/>
                <w:highlight w:val="none"/>
              </w:rPr>
            </w:pPr>
            <w:r>
              <w:rPr>
                <w:rFonts w:hint="eastAsia" w:ascii="宋体" w:hAnsi="宋体" w:eastAsia="宋体" w:cs="宋体"/>
                <w:color w:val="auto"/>
                <w:highlight w:val="none"/>
              </w:rPr>
              <w:t>临床路径管理系统</w:t>
            </w:r>
          </w:p>
        </w:tc>
        <w:tc>
          <w:tcPr>
            <w:tcW w:w="436" w:type="pct"/>
            <w:vAlign w:val="center"/>
          </w:tcPr>
          <w:p w14:paraId="4C43CF5F">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6200CEDB">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302B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05917AF">
            <w:pPr>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3521" w:type="pct"/>
            <w:noWrap/>
            <w:vAlign w:val="center"/>
          </w:tcPr>
          <w:p w14:paraId="16B50299">
            <w:pPr>
              <w:jc w:val="center"/>
              <w:rPr>
                <w:rFonts w:hint="eastAsia" w:ascii="宋体" w:hAnsi="宋体" w:eastAsia="宋体" w:cs="宋体"/>
                <w:color w:val="auto"/>
                <w:highlight w:val="none"/>
              </w:rPr>
            </w:pPr>
            <w:r>
              <w:rPr>
                <w:rFonts w:hint="eastAsia" w:ascii="宋体" w:hAnsi="宋体" w:eastAsia="宋体" w:cs="宋体"/>
                <w:color w:val="auto"/>
                <w:highlight w:val="none"/>
              </w:rPr>
              <w:t>病案管理系统</w:t>
            </w:r>
          </w:p>
        </w:tc>
        <w:tc>
          <w:tcPr>
            <w:tcW w:w="436" w:type="pct"/>
            <w:vAlign w:val="center"/>
          </w:tcPr>
          <w:p w14:paraId="35C9D160">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654A5ACC">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6017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A8ED215">
            <w:pPr>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3521" w:type="pct"/>
            <w:noWrap/>
            <w:vAlign w:val="center"/>
          </w:tcPr>
          <w:p w14:paraId="58F2D1EF">
            <w:pPr>
              <w:jc w:val="center"/>
              <w:rPr>
                <w:rFonts w:hint="eastAsia" w:ascii="宋体" w:hAnsi="宋体" w:eastAsia="宋体" w:cs="宋体"/>
                <w:color w:val="auto"/>
                <w:highlight w:val="none"/>
              </w:rPr>
            </w:pPr>
            <w:r>
              <w:rPr>
                <w:rFonts w:hint="eastAsia" w:ascii="宋体" w:hAnsi="宋体" w:eastAsia="宋体" w:cs="宋体"/>
                <w:color w:val="auto"/>
                <w:highlight w:val="none"/>
              </w:rPr>
              <w:t>危急值管理系统</w:t>
            </w:r>
          </w:p>
        </w:tc>
        <w:tc>
          <w:tcPr>
            <w:tcW w:w="436" w:type="pct"/>
            <w:vAlign w:val="center"/>
          </w:tcPr>
          <w:p w14:paraId="6FC06722">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55A534AE">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51F9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46431E5">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1" w:type="pct"/>
            <w:noWrap/>
            <w:vAlign w:val="center"/>
          </w:tcPr>
          <w:p w14:paraId="62B7DD14">
            <w:pPr>
              <w:jc w:val="center"/>
              <w:rPr>
                <w:rFonts w:hint="eastAsia" w:ascii="宋体" w:hAnsi="宋体" w:eastAsia="宋体" w:cs="宋体"/>
                <w:color w:val="auto"/>
                <w:highlight w:val="none"/>
              </w:rPr>
            </w:pPr>
            <w:r>
              <w:rPr>
                <w:rFonts w:hint="eastAsia" w:ascii="宋体" w:hAnsi="宋体" w:eastAsia="宋体" w:cs="宋体"/>
                <w:color w:val="auto"/>
                <w:highlight w:val="none"/>
              </w:rPr>
              <w:t>不良事件管理系统</w:t>
            </w:r>
          </w:p>
        </w:tc>
        <w:tc>
          <w:tcPr>
            <w:tcW w:w="436" w:type="pct"/>
            <w:vAlign w:val="center"/>
          </w:tcPr>
          <w:p w14:paraId="63C1C729">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257E41B2">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945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92F45BF">
            <w:pPr>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3521" w:type="pct"/>
            <w:noWrap/>
            <w:vAlign w:val="center"/>
          </w:tcPr>
          <w:p w14:paraId="0AE4D05F">
            <w:pPr>
              <w:jc w:val="center"/>
              <w:rPr>
                <w:rFonts w:hint="eastAsia" w:ascii="宋体" w:hAnsi="宋体" w:eastAsia="宋体" w:cs="宋体"/>
                <w:color w:val="auto"/>
                <w:highlight w:val="none"/>
              </w:rPr>
            </w:pPr>
            <w:r>
              <w:rPr>
                <w:rFonts w:hint="eastAsia" w:ascii="宋体" w:hAnsi="宋体" w:eastAsia="宋体" w:cs="宋体"/>
                <w:color w:val="auto"/>
                <w:highlight w:val="none"/>
              </w:rPr>
              <w:t>疾病报卡管理系统</w:t>
            </w:r>
          </w:p>
        </w:tc>
        <w:tc>
          <w:tcPr>
            <w:tcW w:w="436" w:type="pct"/>
            <w:vAlign w:val="center"/>
          </w:tcPr>
          <w:p w14:paraId="1B3E571B">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3B9870F2">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1589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E6F50DE">
            <w:pPr>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3521" w:type="pct"/>
            <w:noWrap/>
            <w:vAlign w:val="center"/>
          </w:tcPr>
          <w:p w14:paraId="0B0CE7B1">
            <w:pPr>
              <w:jc w:val="center"/>
              <w:rPr>
                <w:rFonts w:hint="eastAsia" w:ascii="宋体" w:hAnsi="宋体" w:eastAsia="宋体" w:cs="宋体"/>
                <w:color w:val="auto"/>
                <w:highlight w:val="none"/>
              </w:rPr>
            </w:pPr>
            <w:r>
              <w:rPr>
                <w:rFonts w:hint="eastAsia" w:ascii="宋体" w:hAnsi="宋体" w:eastAsia="宋体" w:cs="宋体"/>
                <w:color w:val="auto"/>
                <w:highlight w:val="none"/>
              </w:rPr>
              <w:t>DRG系统</w:t>
            </w:r>
          </w:p>
        </w:tc>
        <w:tc>
          <w:tcPr>
            <w:tcW w:w="436" w:type="pct"/>
            <w:vAlign w:val="center"/>
          </w:tcPr>
          <w:p w14:paraId="4157FA5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4205D520">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4769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4D52249">
            <w:pPr>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3521" w:type="pct"/>
            <w:noWrap/>
            <w:vAlign w:val="center"/>
          </w:tcPr>
          <w:p w14:paraId="19385535">
            <w:pPr>
              <w:jc w:val="center"/>
              <w:rPr>
                <w:rFonts w:hint="eastAsia" w:ascii="宋体" w:hAnsi="宋体" w:eastAsia="宋体" w:cs="宋体"/>
                <w:color w:val="auto"/>
                <w:highlight w:val="none"/>
              </w:rPr>
            </w:pPr>
            <w:r>
              <w:rPr>
                <w:rFonts w:hint="eastAsia" w:ascii="宋体" w:hAnsi="宋体" w:eastAsia="宋体" w:cs="宋体"/>
                <w:color w:val="auto"/>
                <w:highlight w:val="none"/>
              </w:rPr>
              <w:t>医用物资管理系统</w:t>
            </w:r>
          </w:p>
        </w:tc>
        <w:tc>
          <w:tcPr>
            <w:tcW w:w="436" w:type="pct"/>
            <w:vAlign w:val="center"/>
          </w:tcPr>
          <w:p w14:paraId="6F65FC21">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6BE44F0A">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49A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642392A">
            <w:pPr>
              <w:jc w:val="center"/>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3521" w:type="pct"/>
            <w:noWrap/>
            <w:vAlign w:val="center"/>
          </w:tcPr>
          <w:p w14:paraId="4CBFAC81">
            <w:pPr>
              <w:jc w:val="center"/>
              <w:rPr>
                <w:rFonts w:hint="eastAsia" w:ascii="宋体" w:hAnsi="宋体" w:eastAsia="宋体" w:cs="宋体"/>
                <w:color w:val="auto"/>
                <w:highlight w:val="none"/>
              </w:rPr>
            </w:pPr>
            <w:r>
              <w:rPr>
                <w:rFonts w:hint="eastAsia" w:ascii="宋体" w:hAnsi="宋体" w:eastAsia="宋体" w:cs="宋体"/>
                <w:color w:val="auto"/>
                <w:highlight w:val="none"/>
              </w:rPr>
              <w:t>患者服务平台（微信公众号/小程序）</w:t>
            </w:r>
          </w:p>
        </w:tc>
        <w:tc>
          <w:tcPr>
            <w:tcW w:w="436" w:type="pct"/>
            <w:vAlign w:val="center"/>
          </w:tcPr>
          <w:p w14:paraId="192C2B6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04BBB4F2">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0FA3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7BF78DF">
            <w:pPr>
              <w:jc w:val="center"/>
              <w:rPr>
                <w:rFonts w:hint="eastAsia" w:ascii="宋体" w:hAnsi="宋体" w:eastAsia="宋体" w:cs="宋体"/>
                <w:color w:val="auto"/>
                <w:highlight w:val="none"/>
              </w:rPr>
            </w:pPr>
            <w:r>
              <w:rPr>
                <w:rFonts w:hint="eastAsia" w:ascii="宋体" w:hAnsi="宋体" w:eastAsia="宋体" w:cs="宋体"/>
                <w:color w:val="auto"/>
                <w:highlight w:val="none"/>
              </w:rPr>
              <w:t>25</w:t>
            </w:r>
          </w:p>
        </w:tc>
        <w:tc>
          <w:tcPr>
            <w:tcW w:w="3521" w:type="pct"/>
            <w:noWrap/>
            <w:vAlign w:val="center"/>
          </w:tcPr>
          <w:p w14:paraId="4DE685CD">
            <w:pPr>
              <w:jc w:val="center"/>
              <w:rPr>
                <w:rFonts w:hint="eastAsia" w:ascii="宋体" w:hAnsi="宋体" w:eastAsia="宋体" w:cs="宋体"/>
                <w:color w:val="auto"/>
                <w:highlight w:val="none"/>
              </w:rPr>
            </w:pPr>
            <w:r>
              <w:rPr>
                <w:rFonts w:hint="eastAsia" w:ascii="宋体" w:hAnsi="宋体" w:eastAsia="宋体" w:cs="宋体"/>
                <w:color w:val="auto"/>
                <w:highlight w:val="none"/>
              </w:rPr>
              <w:t>智能支付对账平台</w:t>
            </w:r>
          </w:p>
        </w:tc>
        <w:tc>
          <w:tcPr>
            <w:tcW w:w="436" w:type="pct"/>
            <w:vAlign w:val="center"/>
          </w:tcPr>
          <w:p w14:paraId="42C71B2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0D6BB07B">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6402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6485F4A">
            <w:pPr>
              <w:jc w:val="center"/>
              <w:rPr>
                <w:rFonts w:hint="eastAsia" w:ascii="宋体" w:hAnsi="宋体" w:eastAsia="宋体" w:cs="宋体"/>
                <w:color w:val="auto"/>
                <w:highlight w:val="none"/>
              </w:rPr>
            </w:pPr>
            <w:r>
              <w:rPr>
                <w:rFonts w:hint="eastAsia" w:ascii="宋体" w:hAnsi="宋体" w:eastAsia="宋体" w:cs="宋体"/>
                <w:color w:val="auto"/>
                <w:highlight w:val="none"/>
              </w:rPr>
              <w:t>26</w:t>
            </w:r>
          </w:p>
        </w:tc>
        <w:tc>
          <w:tcPr>
            <w:tcW w:w="3521" w:type="pct"/>
            <w:noWrap/>
            <w:vAlign w:val="center"/>
          </w:tcPr>
          <w:p w14:paraId="771775F0">
            <w:pPr>
              <w:jc w:val="center"/>
              <w:rPr>
                <w:rFonts w:hint="eastAsia" w:ascii="宋体" w:hAnsi="宋体" w:eastAsia="宋体" w:cs="宋体"/>
                <w:color w:val="auto"/>
                <w:highlight w:val="none"/>
              </w:rPr>
            </w:pPr>
            <w:r>
              <w:rPr>
                <w:rFonts w:hint="eastAsia" w:ascii="宋体" w:hAnsi="宋体" w:eastAsia="宋体" w:cs="宋体"/>
                <w:color w:val="auto"/>
                <w:highlight w:val="none"/>
              </w:rPr>
              <w:t>银医自助服务系统</w:t>
            </w:r>
          </w:p>
        </w:tc>
        <w:tc>
          <w:tcPr>
            <w:tcW w:w="436" w:type="pct"/>
            <w:vAlign w:val="center"/>
          </w:tcPr>
          <w:p w14:paraId="2FC402AC">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749390D1">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5A0E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0D745514">
            <w:pPr>
              <w:jc w:val="center"/>
              <w:rPr>
                <w:rFonts w:hint="eastAsia" w:ascii="宋体" w:hAnsi="宋体" w:eastAsia="宋体" w:cs="宋体"/>
                <w:color w:val="auto"/>
                <w:highlight w:val="none"/>
              </w:rPr>
            </w:pPr>
            <w:r>
              <w:rPr>
                <w:rFonts w:hint="eastAsia" w:ascii="宋体" w:hAnsi="宋体" w:eastAsia="宋体" w:cs="宋体"/>
                <w:color w:val="auto"/>
                <w:highlight w:val="none"/>
              </w:rPr>
              <w:t>27</w:t>
            </w:r>
          </w:p>
        </w:tc>
        <w:tc>
          <w:tcPr>
            <w:tcW w:w="3521" w:type="pct"/>
            <w:noWrap/>
            <w:vAlign w:val="center"/>
          </w:tcPr>
          <w:p w14:paraId="184D6457">
            <w:pPr>
              <w:jc w:val="center"/>
              <w:rPr>
                <w:rFonts w:hint="eastAsia" w:ascii="宋体" w:hAnsi="宋体" w:eastAsia="宋体" w:cs="宋体"/>
                <w:color w:val="auto"/>
                <w:highlight w:val="none"/>
              </w:rPr>
            </w:pPr>
            <w:r>
              <w:rPr>
                <w:rFonts w:hint="eastAsia" w:ascii="宋体" w:hAnsi="宋体" w:eastAsia="宋体" w:cs="宋体"/>
                <w:color w:val="auto"/>
                <w:highlight w:val="none"/>
              </w:rPr>
              <w:t>住院病区查询机系统</w:t>
            </w:r>
          </w:p>
        </w:tc>
        <w:tc>
          <w:tcPr>
            <w:tcW w:w="436" w:type="pct"/>
            <w:vAlign w:val="center"/>
          </w:tcPr>
          <w:p w14:paraId="6BF7714F">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47CCDA02">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05A4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FC7EA3A">
            <w:pPr>
              <w:jc w:val="center"/>
              <w:rPr>
                <w:rFonts w:hint="eastAsia" w:ascii="宋体" w:hAnsi="宋体" w:eastAsia="宋体" w:cs="宋体"/>
                <w:color w:val="auto"/>
                <w:highlight w:val="none"/>
              </w:rPr>
            </w:pPr>
            <w:r>
              <w:rPr>
                <w:rFonts w:hint="eastAsia" w:ascii="宋体" w:hAnsi="宋体" w:eastAsia="宋体" w:cs="宋体"/>
                <w:color w:val="auto"/>
                <w:highlight w:val="none"/>
              </w:rPr>
              <w:t>28</w:t>
            </w:r>
          </w:p>
        </w:tc>
        <w:tc>
          <w:tcPr>
            <w:tcW w:w="3521" w:type="pct"/>
            <w:noWrap/>
            <w:vAlign w:val="center"/>
          </w:tcPr>
          <w:p w14:paraId="0B2F79A6">
            <w:pPr>
              <w:jc w:val="center"/>
              <w:rPr>
                <w:rFonts w:hint="eastAsia" w:ascii="宋体" w:hAnsi="宋体" w:eastAsia="宋体" w:cs="宋体"/>
                <w:color w:val="auto"/>
                <w:highlight w:val="none"/>
              </w:rPr>
            </w:pPr>
            <w:r>
              <w:rPr>
                <w:rFonts w:hint="eastAsia" w:ascii="宋体" w:hAnsi="宋体" w:eastAsia="宋体" w:cs="宋体"/>
                <w:color w:val="auto"/>
                <w:highlight w:val="none"/>
              </w:rPr>
              <w:t>多媒体分诊叫号系统</w:t>
            </w:r>
          </w:p>
        </w:tc>
        <w:tc>
          <w:tcPr>
            <w:tcW w:w="436" w:type="pct"/>
            <w:vAlign w:val="center"/>
          </w:tcPr>
          <w:p w14:paraId="615CF3B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5565F810">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657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173A1B1">
            <w:pPr>
              <w:jc w:val="center"/>
              <w:rPr>
                <w:rFonts w:hint="eastAsia" w:ascii="宋体" w:hAnsi="宋体" w:eastAsia="宋体" w:cs="宋体"/>
                <w:color w:val="auto"/>
                <w:highlight w:val="none"/>
              </w:rPr>
            </w:pPr>
            <w:r>
              <w:rPr>
                <w:rFonts w:hint="eastAsia" w:ascii="宋体" w:hAnsi="宋体" w:eastAsia="宋体" w:cs="宋体"/>
                <w:color w:val="auto"/>
                <w:highlight w:val="none"/>
              </w:rPr>
              <w:t>29</w:t>
            </w:r>
          </w:p>
        </w:tc>
        <w:tc>
          <w:tcPr>
            <w:tcW w:w="3521" w:type="pct"/>
            <w:noWrap/>
            <w:vAlign w:val="center"/>
          </w:tcPr>
          <w:p w14:paraId="37CB49B5">
            <w:pPr>
              <w:jc w:val="center"/>
              <w:rPr>
                <w:rFonts w:hint="eastAsia" w:ascii="宋体" w:hAnsi="宋体" w:eastAsia="宋体" w:cs="宋体"/>
                <w:color w:val="auto"/>
                <w:highlight w:val="none"/>
              </w:rPr>
            </w:pPr>
            <w:r>
              <w:rPr>
                <w:rFonts w:hint="eastAsia" w:ascii="宋体" w:hAnsi="宋体" w:eastAsia="宋体" w:cs="宋体"/>
                <w:color w:val="auto"/>
                <w:highlight w:val="none"/>
              </w:rPr>
              <w:t>检验互认接入开发</w:t>
            </w:r>
          </w:p>
        </w:tc>
        <w:tc>
          <w:tcPr>
            <w:tcW w:w="436" w:type="pct"/>
            <w:vAlign w:val="center"/>
          </w:tcPr>
          <w:p w14:paraId="5041503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0FBB1213">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51A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81940CB">
            <w:pPr>
              <w:jc w:val="center"/>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3521" w:type="pct"/>
            <w:noWrap/>
            <w:vAlign w:val="center"/>
          </w:tcPr>
          <w:p w14:paraId="67232D22">
            <w:pPr>
              <w:jc w:val="center"/>
              <w:rPr>
                <w:rFonts w:hint="eastAsia" w:ascii="宋体" w:hAnsi="宋体" w:eastAsia="宋体" w:cs="宋体"/>
                <w:color w:val="auto"/>
                <w:highlight w:val="none"/>
              </w:rPr>
            </w:pPr>
            <w:r>
              <w:rPr>
                <w:rFonts w:hint="eastAsia" w:ascii="宋体" w:hAnsi="宋体" w:eastAsia="宋体" w:cs="宋体"/>
                <w:color w:val="auto"/>
                <w:highlight w:val="none"/>
              </w:rPr>
              <w:t>影像云平台接入开发</w:t>
            </w:r>
          </w:p>
        </w:tc>
        <w:tc>
          <w:tcPr>
            <w:tcW w:w="436" w:type="pct"/>
            <w:vAlign w:val="center"/>
          </w:tcPr>
          <w:p w14:paraId="3679B00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7F61628F">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3CE3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9153C2A">
            <w:pPr>
              <w:jc w:val="center"/>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3521" w:type="pct"/>
            <w:noWrap/>
            <w:vAlign w:val="center"/>
          </w:tcPr>
          <w:p w14:paraId="6BE029E4">
            <w:pPr>
              <w:jc w:val="center"/>
              <w:rPr>
                <w:rFonts w:hint="eastAsia" w:ascii="宋体" w:hAnsi="宋体" w:eastAsia="宋体" w:cs="宋体"/>
                <w:color w:val="auto"/>
                <w:highlight w:val="none"/>
              </w:rPr>
            </w:pPr>
            <w:r>
              <w:rPr>
                <w:rFonts w:hint="eastAsia" w:ascii="宋体" w:hAnsi="宋体" w:eastAsia="宋体" w:cs="宋体"/>
                <w:color w:val="auto"/>
                <w:highlight w:val="none"/>
              </w:rPr>
              <w:t>院内信息系统对接彬州市医共体信息平台开发</w:t>
            </w:r>
          </w:p>
        </w:tc>
        <w:tc>
          <w:tcPr>
            <w:tcW w:w="436" w:type="pct"/>
            <w:vAlign w:val="center"/>
          </w:tcPr>
          <w:p w14:paraId="05C93E92">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0E469A0D">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46AF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E57452F">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3521" w:type="pct"/>
            <w:noWrap/>
            <w:vAlign w:val="center"/>
          </w:tcPr>
          <w:p w14:paraId="2AC339C9">
            <w:pPr>
              <w:jc w:val="center"/>
              <w:rPr>
                <w:rFonts w:hint="eastAsia" w:ascii="宋体" w:hAnsi="宋体" w:eastAsia="宋体" w:cs="宋体"/>
                <w:color w:val="auto"/>
                <w:highlight w:val="none"/>
              </w:rPr>
            </w:pPr>
            <w:r>
              <w:rPr>
                <w:rFonts w:hint="eastAsia" w:ascii="宋体" w:hAnsi="宋体" w:eastAsia="宋体" w:cs="宋体"/>
                <w:color w:val="auto"/>
                <w:highlight w:val="none"/>
              </w:rPr>
              <w:t>电子病历（智慧医疗）四级评级指导服务</w:t>
            </w:r>
          </w:p>
        </w:tc>
        <w:tc>
          <w:tcPr>
            <w:tcW w:w="436" w:type="pct"/>
            <w:vAlign w:val="center"/>
          </w:tcPr>
          <w:p w14:paraId="5929E04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324EC696">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B53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000" w:type="pct"/>
            <w:gridSpan w:val="4"/>
            <w:vAlign w:val="center"/>
          </w:tcPr>
          <w:p w14:paraId="5544D3A8">
            <w:pPr>
              <w:jc w:val="center"/>
              <w:rPr>
                <w:rFonts w:hint="eastAsia" w:ascii="宋体" w:hAnsi="宋体" w:eastAsia="宋体" w:cs="宋体"/>
                <w:color w:val="auto"/>
                <w:highlight w:val="none"/>
              </w:rPr>
            </w:pPr>
            <w:r>
              <w:rPr>
                <w:rFonts w:hint="eastAsia" w:ascii="宋体" w:hAnsi="宋体" w:eastAsia="宋体" w:cs="宋体"/>
                <w:b/>
                <w:bCs/>
                <w:color w:val="auto"/>
                <w:highlight w:val="none"/>
              </w:rPr>
              <w:t>（一）基础设施硬件设备</w:t>
            </w:r>
          </w:p>
        </w:tc>
      </w:tr>
      <w:tr w14:paraId="1585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A99045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21" w:type="pct"/>
            <w:vAlign w:val="center"/>
          </w:tcPr>
          <w:p w14:paraId="662F7915">
            <w:pPr>
              <w:jc w:val="center"/>
              <w:rPr>
                <w:rFonts w:hint="eastAsia" w:ascii="宋体" w:hAnsi="宋体" w:eastAsia="宋体" w:cs="宋体"/>
                <w:color w:val="auto"/>
                <w:highlight w:val="none"/>
              </w:rPr>
            </w:pPr>
            <w:r>
              <w:rPr>
                <w:rFonts w:hint="eastAsia" w:ascii="宋体" w:hAnsi="宋体" w:eastAsia="宋体" w:cs="宋体"/>
                <w:color w:val="auto"/>
                <w:highlight w:val="none"/>
              </w:rPr>
              <w:t>核心交换机</w:t>
            </w:r>
          </w:p>
        </w:tc>
        <w:tc>
          <w:tcPr>
            <w:tcW w:w="436" w:type="pct"/>
            <w:vAlign w:val="center"/>
          </w:tcPr>
          <w:p w14:paraId="3CE56274">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1F2DA9F6">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081B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C48543C">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21" w:type="pct"/>
            <w:vAlign w:val="center"/>
          </w:tcPr>
          <w:p w14:paraId="4ADD4254">
            <w:pPr>
              <w:jc w:val="center"/>
              <w:rPr>
                <w:rFonts w:hint="eastAsia" w:ascii="宋体" w:hAnsi="宋体" w:eastAsia="宋体" w:cs="宋体"/>
                <w:color w:val="auto"/>
                <w:highlight w:val="none"/>
              </w:rPr>
            </w:pPr>
            <w:r>
              <w:rPr>
                <w:rFonts w:hint="eastAsia" w:ascii="宋体" w:hAnsi="宋体" w:eastAsia="宋体" w:cs="宋体"/>
                <w:color w:val="auto"/>
                <w:highlight w:val="none"/>
              </w:rPr>
              <w:t>服务器接入交换机</w:t>
            </w:r>
          </w:p>
        </w:tc>
        <w:tc>
          <w:tcPr>
            <w:tcW w:w="436" w:type="pct"/>
            <w:vAlign w:val="center"/>
          </w:tcPr>
          <w:p w14:paraId="4C35C453">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63F8DBC9">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52BB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8FBF3C3">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521" w:type="pct"/>
            <w:vAlign w:val="center"/>
          </w:tcPr>
          <w:p w14:paraId="1D5BB6C5">
            <w:pPr>
              <w:jc w:val="center"/>
              <w:rPr>
                <w:rFonts w:hint="eastAsia" w:ascii="宋体" w:hAnsi="宋体" w:eastAsia="宋体" w:cs="宋体"/>
                <w:color w:val="auto"/>
                <w:highlight w:val="none"/>
              </w:rPr>
            </w:pPr>
            <w:r>
              <w:rPr>
                <w:rFonts w:hint="eastAsia" w:ascii="宋体" w:hAnsi="宋体" w:eastAsia="宋体" w:cs="宋体"/>
                <w:color w:val="auto"/>
                <w:highlight w:val="none"/>
              </w:rPr>
              <w:t>HIS/EMR数据库服务器</w:t>
            </w:r>
          </w:p>
        </w:tc>
        <w:tc>
          <w:tcPr>
            <w:tcW w:w="436" w:type="pct"/>
            <w:vAlign w:val="center"/>
          </w:tcPr>
          <w:p w14:paraId="51005F8C">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326A5CF4">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0AC0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60CF90E">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521" w:type="pct"/>
            <w:vAlign w:val="center"/>
          </w:tcPr>
          <w:p w14:paraId="1AF3EBD1">
            <w:pPr>
              <w:jc w:val="center"/>
              <w:rPr>
                <w:rFonts w:hint="eastAsia" w:ascii="宋体" w:hAnsi="宋体" w:eastAsia="宋体" w:cs="宋体"/>
                <w:color w:val="auto"/>
                <w:highlight w:val="none"/>
              </w:rPr>
            </w:pPr>
            <w:r>
              <w:rPr>
                <w:rFonts w:hint="eastAsia" w:ascii="宋体" w:hAnsi="宋体" w:eastAsia="宋体" w:cs="宋体"/>
                <w:color w:val="auto"/>
                <w:highlight w:val="none"/>
              </w:rPr>
              <w:t>核心存储</w:t>
            </w:r>
          </w:p>
        </w:tc>
        <w:tc>
          <w:tcPr>
            <w:tcW w:w="436" w:type="pct"/>
            <w:vAlign w:val="center"/>
          </w:tcPr>
          <w:p w14:paraId="48BF00B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3EA04993">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4BEE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7FB20ED">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521" w:type="pct"/>
            <w:vAlign w:val="center"/>
          </w:tcPr>
          <w:p w14:paraId="4A94FF24">
            <w:pPr>
              <w:jc w:val="center"/>
              <w:rPr>
                <w:rFonts w:hint="eastAsia" w:ascii="宋体" w:hAnsi="宋体" w:eastAsia="宋体" w:cs="宋体"/>
                <w:color w:val="auto"/>
                <w:highlight w:val="none"/>
              </w:rPr>
            </w:pPr>
            <w:r>
              <w:rPr>
                <w:rFonts w:hint="eastAsia" w:ascii="宋体" w:hAnsi="宋体" w:eastAsia="宋体" w:cs="宋体"/>
                <w:color w:val="auto"/>
                <w:highlight w:val="none"/>
              </w:rPr>
              <w:t>光纤交换机</w:t>
            </w:r>
          </w:p>
        </w:tc>
        <w:tc>
          <w:tcPr>
            <w:tcW w:w="436" w:type="pct"/>
            <w:vAlign w:val="center"/>
          </w:tcPr>
          <w:p w14:paraId="7079A715">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1755E7AF">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2421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24B120B">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521" w:type="pct"/>
            <w:vAlign w:val="center"/>
          </w:tcPr>
          <w:p w14:paraId="5A79EBA7">
            <w:pPr>
              <w:jc w:val="center"/>
              <w:rPr>
                <w:rFonts w:hint="eastAsia" w:ascii="宋体" w:hAnsi="宋体" w:eastAsia="宋体" w:cs="宋体"/>
                <w:color w:val="auto"/>
                <w:highlight w:val="none"/>
              </w:rPr>
            </w:pPr>
            <w:r>
              <w:rPr>
                <w:rFonts w:hint="eastAsia" w:ascii="宋体" w:hAnsi="宋体" w:eastAsia="宋体" w:cs="宋体"/>
                <w:color w:val="auto"/>
                <w:highlight w:val="none"/>
              </w:rPr>
              <w:t>备份一体机</w:t>
            </w:r>
          </w:p>
        </w:tc>
        <w:tc>
          <w:tcPr>
            <w:tcW w:w="436" w:type="pct"/>
            <w:vAlign w:val="center"/>
          </w:tcPr>
          <w:p w14:paraId="04ADCD39">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52D6866B">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6866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2879EAA">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3521" w:type="pct"/>
            <w:vAlign w:val="center"/>
          </w:tcPr>
          <w:p w14:paraId="0A67E912">
            <w:pPr>
              <w:jc w:val="center"/>
              <w:rPr>
                <w:rFonts w:hint="eastAsia" w:ascii="宋体" w:hAnsi="宋体" w:eastAsia="宋体" w:cs="宋体"/>
                <w:color w:val="auto"/>
                <w:highlight w:val="none"/>
              </w:rPr>
            </w:pPr>
            <w:r>
              <w:rPr>
                <w:rFonts w:hint="eastAsia" w:ascii="宋体" w:hAnsi="宋体" w:eastAsia="宋体" w:cs="宋体"/>
                <w:color w:val="auto"/>
                <w:highlight w:val="none"/>
              </w:rPr>
              <w:t>企业级网络存储NAS</w:t>
            </w:r>
          </w:p>
        </w:tc>
        <w:tc>
          <w:tcPr>
            <w:tcW w:w="436" w:type="pct"/>
            <w:vAlign w:val="center"/>
          </w:tcPr>
          <w:p w14:paraId="18E2C080">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64333B40">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61EF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CC351A3">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3521" w:type="pct"/>
            <w:vAlign w:val="center"/>
          </w:tcPr>
          <w:p w14:paraId="7E9C2047">
            <w:pPr>
              <w:jc w:val="center"/>
              <w:rPr>
                <w:rFonts w:hint="eastAsia" w:ascii="宋体" w:hAnsi="宋体" w:eastAsia="宋体" w:cs="宋体"/>
                <w:color w:val="auto"/>
                <w:highlight w:val="none"/>
              </w:rPr>
            </w:pPr>
            <w:r>
              <w:rPr>
                <w:rFonts w:hint="eastAsia" w:ascii="宋体" w:hAnsi="宋体" w:eastAsia="宋体" w:cs="宋体"/>
                <w:color w:val="auto"/>
                <w:highlight w:val="none"/>
              </w:rPr>
              <w:t>操作系统1</w:t>
            </w:r>
          </w:p>
        </w:tc>
        <w:tc>
          <w:tcPr>
            <w:tcW w:w="436" w:type="pct"/>
            <w:vAlign w:val="center"/>
          </w:tcPr>
          <w:p w14:paraId="3205E9F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75C7B3AE">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06D0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C15F4CC">
            <w:pPr>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3521" w:type="pct"/>
            <w:vAlign w:val="center"/>
          </w:tcPr>
          <w:p w14:paraId="0E717D26">
            <w:pPr>
              <w:jc w:val="center"/>
              <w:rPr>
                <w:rFonts w:hint="eastAsia" w:ascii="宋体" w:hAnsi="宋体" w:eastAsia="宋体" w:cs="宋体"/>
                <w:color w:val="auto"/>
                <w:highlight w:val="none"/>
              </w:rPr>
            </w:pPr>
            <w:r>
              <w:rPr>
                <w:rFonts w:hint="eastAsia" w:ascii="宋体" w:hAnsi="宋体" w:eastAsia="宋体" w:cs="宋体"/>
                <w:color w:val="auto"/>
                <w:highlight w:val="none"/>
              </w:rPr>
              <w:t>操作系统2</w:t>
            </w:r>
          </w:p>
        </w:tc>
        <w:tc>
          <w:tcPr>
            <w:tcW w:w="436" w:type="pct"/>
            <w:vAlign w:val="center"/>
          </w:tcPr>
          <w:p w14:paraId="513DF323">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22F55503">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42D8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BC75974">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3521" w:type="pct"/>
            <w:vAlign w:val="center"/>
          </w:tcPr>
          <w:p w14:paraId="6D8CB6B5">
            <w:pPr>
              <w:jc w:val="center"/>
              <w:rPr>
                <w:rFonts w:hint="eastAsia" w:ascii="宋体" w:hAnsi="宋体" w:eastAsia="宋体" w:cs="宋体"/>
                <w:color w:val="auto"/>
                <w:highlight w:val="none"/>
              </w:rPr>
            </w:pPr>
            <w:r>
              <w:rPr>
                <w:rFonts w:hint="eastAsia" w:ascii="宋体" w:hAnsi="宋体" w:eastAsia="宋体" w:cs="宋体"/>
                <w:color w:val="auto"/>
                <w:highlight w:val="none"/>
              </w:rPr>
              <w:t>数据库系统服务</w:t>
            </w:r>
          </w:p>
        </w:tc>
        <w:tc>
          <w:tcPr>
            <w:tcW w:w="436" w:type="pct"/>
            <w:vAlign w:val="center"/>
          </w:tcPr>
          <w:p w14:paraId="313D66DF">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278B7D8F">
            <w:pPr>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r>
      <w:tr w14:paraId="540D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B3904B4">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3521" w:type="pct"/>
            <w:vAlign w:val="center"/>
          </w:tcPr>
          <w:p w14:paraId="5B764456">
            <w:pPr>
              <w:jc w:val="center"/>
              <w:rPr>
                <w:rFonts w:hint="eastAsia" w:ascii="宋体" w:hAnsi="宋体" w:eastAsia="宋体" w:cs="宋体"/>
                <w:color w:val="auto"/>
                <w:highlight w:val="none"/>
              </w:rPr>
            </w:pPr>
            <w:r>
              <w:rPr>
                <w:rFonts w:hint="eastAsia" w:ascii="宋体" w:hAnsi="宋体" w:eastAsia="宋体" w:cs="宋体"/>
                <w:color w:val="auto"/>
                <w:highlight w:val="none"/>
              </w:rPr>
              <w:t>数据迁移</w:t>
            </w:r>
          </w:p>
        </w:tc>
        <w:tc>
          <w:tcPr>
            <w:tcW w:w="436" w:type="pct"/>
            <w:vAlign w:val="center"/>
          </w:tcPr>
          <w:p w14:paraId="06004A71">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2B2BE05E">
            <w:pPr>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r>
      <w:tr w14:paraId="7423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719948F">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3521" w:type="pct"/>
            <w:vAlign w:val="center"/>
          </w:tcPr>
          <w:p w14:paraId="1F4B2853">
            <w:pPr>
              <w:jc w:val="center"/>
              <w:rPr>
                <w:rFonts w:hint="eastAsia" w:ascii="宋体" w:hAnsi="宋体" w:eastAsia="宋体" w:cs="宋体"/>
                <w:color w:val="auto"/>
                <w:highlight w:val="none"/>
              </w:rPr>
            </w:pPr>
            <w:r>
              <w:rPr>
                <w:rFonts w:hint="eastAsia" w:ascii="宋体" w:hAnsi="宋体" w:eastAsia="宋体" w:cs="宋体"/>
                <w:color w:val="auto"/>
                <w:highlight w:val="none"/>
              </w:rPr>
              <w:t>集成服务</w:t>
            </w:r>
          </w:p>
        </w:tc>
        <w:tc>
          <w:tcPr>
            <w:tcW w:w="436" w:type="pct"/>
            <w:vAlign w:val="center"/>
          </w:tcPr>
          <w:p w14:paraId="2BBBCA27">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3FECDC37">
            <w:pPr>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r>
      <w:tr w14:paraId="1DD0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000" w:type="pct"/>
            <w:gridSpan w:val="4"/>
            <w:vAlign w:val="center"/>
          </w:tcPr>
          <w:p w14:paraId="15CC9024">
            <w:pPr>
              <w:jc w:val="center"/>
              <w:rPr>
                <w:rFonts w:hint="eastAsia" w:ascii="宋体" w:hAnsi="宋体" w:eastAsia="宋体" w:cs="宋体"/>
                <w:color w:val="auto"/>
                <w:highlight w:val="none"/>
              </w:rPr>
            </w:pPr>
            <w:r>
              <w:rPr>
                <w:rFonts w:hint="eastAsia" w:ascii="宋体" w:hAnsi="宋体" w:eastAsia="宋体" w:cs="宋体"/>
                <w:b/>
                <w:bCs/>
                <w:color w:val="auto"/>
                <w:highlight w:val="none"/>
              </w:rPr>
              <w:t>（二）护理终端设施硬件设备</w:t>
            </w:r>
          </w:p>
        </w:tc>
      </w:tr>
      <w:tr w14:paraId="2496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5609631">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21" w:type="pct"/>
            <w:vAlign w:val="center"/>
          </w:tcPr>
          <w:p w14:paraId="2ADA2C23">
            <w:pPr>
              <w:jc w:val="center"/>
              <w:rPr>
                <w:rFonts w:hint="eastAsia" w:ascii="宋体" w:hAnsi="宋体" w:eastAsia="宋体" w:cs="宋体"/>
                <w:color w:val="auto"/>
                <w:highlight w:val="none"/>
              </w:rPr>
            </w:pPr>
            <w:r>
              <w:rPr>
                <w:rFonts w:hint="eastAsia" w:ascii="宋体" w:hAnsi="宋体" w:eastAsia="宋体" w:cs="宋体"/>
                <w:color w:val="auto"/>
                <w:highlight w:val="none"/>
              </w:rPr>
              <w:t>移动护理PDA</w:t>
            </w:r>
          </w:p>
        </w:tc>
        <w:tc>
          <w:tcPr>
            <w:tcW w:w="436" w:type="pct"/>
            <w:vAlign w:val="center"/>
          </w:tcPr>
          <w:p w14:paraId="27EF1907">
            <w:pPr>
              <w:jc w:val="center"/>
              <w:rPr>
                <w:rFonts w:hint="eastAsia" w:ascii="宋体" w:hAnsi="宋体" w:eastAsia="宋体" w:cs="宋体"/>
                <w:color w:val="auto"/>
                <w:highlight w:val="none"/>
              </w:rPr>
            </w:pPr>
            <w:r>
              <w:rPr>
                <w:rFonts w:hint="eastAsia" w:ascii="宋体" w:hAnsi="宋体" w:eastAsia="宋体" w:cs="宋体"/>
                <w:color w:val="auto"/>
                <w:highlight w:val="none"/>
              </w:rPr>
              <w:t>70</w:t>
            </w:r>
          </w:p>
        </w:tc>
        <w:tc>
          <w:tcPr>
            <w:tcW w:w="506" w:type="pct"/>
            <w:vAlign w:val="center"/>
          </w:tcPr>
          <w:p w14:paraId="07122460">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6763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760DE2F">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21" w:type="pct"/>
            <w:vAlign w:val="center"/>
          </w:tcPr>
          <w:p w14:paraId="4B8E6E20">
            <w:pPr>
              <w:jc w:val="center"/>
              <w:rPr>
                <w:rFonts w:hint="eastAsia" w:ascii="宋体" w:hAnsi="宋体" w:eastAsia="宋体" w:cs="宋体"/>
                <w:color w:val="auto"/>
                <w:highlight w:val="none"/>
              </w:rPr>
            </w:pPr>
            <w:r>
              <w:rPr>
                <w:rFonts w:hint="eastAsia" w:ascii="宋体" w:hAnsi="宋体" w:eastAsia="宋体" w:cs="宋体"/>
                <w:color w:val="auto"/>
                <w:highlight w:val="none"/>
              </w:rPr>
              <w:t>护理大屏</w:t>
            </w:r>
          </w:p>
        </w:tc>
        <w:tc>
          <w:tcPr>
            <w:tcW w:w="436" w:type="pct"/>
            <w:vAlign w:val="center"/>
          </w:tcPr>
          <w:p w14:paraId="42905D78">
            <w:pPr>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506" w:type="pct"/>
            <w:vAlign w:val="center"/>
          </w:tcPr>
          <w:p w14:paraId="4773259F">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270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000" w:type="pct"/>
            <w:gridSpan w:val="4"/>
            <w:vAlign w:val="center"/>
          </w:tcPr>
          <w:p w14:paraId="63854213">
            <w:pPr>
              <w:jc w:val="center"/>
              <w:rPr>
                <w:rFonts w:hint="eastAsia" w:ascii="宋体" w:hAnsi="宋体" w:eastAsia="宋体" w:cs="宋体"/>
                <w:color w:val="auto"/>
                <w:highlight w:val="none"/>
              </w:rPr>
            </w:pPr>
            <w:r>
              <w:rPr>
                <w:rFonts w:hint="eastAsia" w:ascii="宋体" w:hAnsi="宋体" w:eastAsia="宋体" w:cs="宋体"/>
                <w:b/>
                <w:bCs/>
                <w:color w:val="auto"/>
                <w:highlight w:val="none"/>
              </w:rPr>
              <w:t>（三）基础终端设施硬件设备</w:t>
            </w:r>
          </w:p>
        </w:tc>
      </w:tr>
      <w:tr w14:paraId="73FF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9B62BF0">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464" w:type="pct"/>
            <w:gridSpan w:val="3"/>
            <w:vAlign w:val="center"/>
          </w:tcPr>
          <w:p w14:paraId="0F7883E6">
            <w:pPr>
              <w:jc w:val="center"/>
              <w:rPr>
                <w:rFonts w:hint="eastAsia" w:ascii="宋体" w:hAnsi="宋体" w:eastAsia="宋体" w:cs="宋体"/>
                <w:color w:val="auto"/>
                <w:highlight w:val="none"/>
              </w:rPr>
            </w:pPr>
            <w:r>
              <w:rPr>
                <w:rFonts w:hint="eastAsia" w:ascii="宋体" w:hAnsi="宋体" w:eastAsia="宋体" w:cs="宋体"/>
                <w:color w:val="auto"/>
                <w:highlight w:val="none"/>
              </w:rPr>
              <w:t>医护技工作站（PC）</w:t>
            </w:r>
          </w:p>
        </w:tc>
      </w:tr>
      <w:tr w14:paraId="1D85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01169111">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3521" w:type="pct"/>
            <w:vAlign w:val="center"/>
          </w:tcPr>
          <w:p w14:paraId="49F72498">
            <w:pPr>
              <w:jc w:val="center"/>
              <w:rPr>
                <w:rFonts w:hint="eastAsia" w:ascii="宋体" w:hAnsi="宋体" w:eastAsia="宋体" w:cs="宋体"/>
                <w:color w:val="auto"/>
                <w:highlight w:val="none"/>
              </w:rPr>
            </w:pPr>
            <w:r>
              <w:rPr>
                <w:rFonts w:hint="eastAsia" w:ascii="宋体" w:hAnsi="宋体" w:eastAsia="宋体" w:cs="宋体"/>
                <w:color w:val="auto"/>
                <w:highlight w:val="none"/>
              </w:rPr>
              <w:t>云桌面服务器</w:t>
            </w:r>
          </w:p>
        </w:tc>
        <w:tc>
          <w:tcPr>
            <w:tcW w:w="436" w:type="pct"/>
            <w:vAlign w:val="center"/>
          </w:tcPr>
          <w:p w14:paraId="176C85C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78240A1F">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6925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DEE0384">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3521" w:type="pct"/>
            <w:vAlign w:val="center"/>
          </w:tcPr>
          <w:p w14:paraId="57DA468E">
            <w:pPr>
              <w:jc w:val="center"/>
              <w:rPr>
                <w:rFonts w:hint="eastAsia" w:ascii="宋体" w:hAnsi="宋体" w:eastAsia="宋体" w:cs="宋体"/>
                <w:color w:val="auto"/>
                <w:highlight w:val="none"/>
              </w:rPr>
            </w:pPr>
            <w:r>
              <w:rPr>
                <w:rFonts w:hint="eastAsia" w:ascii="宋体" w:hAnsi="宋体" w:eastAsia="宋体" w:cs="宋体"/>
                <w:color w:val="auto"/>
                <w:highlight w:val="none"/>
              </w:rPr>
              <w:t>云终端</w:t>
            </w:r>
          </w:p>
        </w:tc>
        <w:tc>
          <w:tcPr>
            <w:tcW w:w="436" w:type="pct"/>
            <w:vAlign w:val="center"/>
          </w:tcPr>
          <w:p w14:paraId="3B681483">
            <w:pPr>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506" w:type="pct"/>
            <w:vAlign w:val="center"/>
          </w:tcPr>
          <w:p w14:paraId="1A4B6221">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293E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1142483">
            <w:pPr>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3521" w:type="pct"/>
            <w:vAlign w:val="center"/>
          </w:tcPr>
          <w:p w14:paraId="3637159E">
            <w:pPr>
              <w:jc w:val="center"/>
              <w:rPr>
                <w:rFonts w:hint="eastAsia" w:ascii="宋体" w:hAnsi="宋体" w:eastAsia="宋体" w:cs="宋体"/>
                <w:color w:val="auto"/>
                <w:highlight w:val="none"/>
              </w:rPr>
            </w:pPr>
            <w:r>
              <w:rPr>
                <w:rFonts w:hint="eastAsia" w:ascii="宋体" w:hAnsi="宋体" w:eastAsia="宋体" w:cs="宋体"/>
                <w:color w:val="auto"/>
                <w:highlight w:val="none"/>
              </w:rPr>
              <w:t>云桌面授权软件</w:t>
            </w:r>
          </w:p>
        </w:tc>
        <w:tc>
          <w:tcPr>
            <w:tcW w:w="436" w:type="pct"/>
            <w:vAlign w:val="center"/>
          </w:tcPr>
          <w:p w14:paraId="55CAB18B">
            <w:pPr>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506" w:type="pct"/>
            <w:vAlign w:val="center"/>
          </w:tcPr>
          <w:p w14:paraId="477D5518">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260A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8D50442">
            <w:pPr>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3521" w:type="pct"/>
            <w:vAlign w:val="center"/>
          </w:tcPr>
          <w:p w14:paraId="6D503B4F">
            <w:pPr>
              <w:jc w:val="center"/>
              <w:rPr>
                <w:rFonts w:hint="eastAsia" w:ascii="宋体" w:hAnsi="宋体" w:eastAsia="宋体" w:cs="宋体"/>
                <w:color w:val="auto"/>
                <w:highlight w:val="none"/>
              </w:rPr>
            </w:pPr>
            <w:r>
              <w:rPr>
                <w:rFonts w:hint="eastAsia" w:ascii="宋体" w:hAnsi="宋体" w:eastAsia="宋体" w:cs="宋体"/>
                <w:color w:val="auto"/>
                <w:highlight w:val="none"/>
              </w:rPr>
              <w:t>显示器</w:t>
            </w:r>
          </w:p>
        </w:tc>
        <w:tc>
          <w:tcPr>
            <w:tcW w:w="436" w:type="pct"/>
            <w:vAlign w:val="center"/>
          </w:tcPr>
          <w:p w14:paraId="549DE717">
            <w:pPr>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506" w:type="pct"/>
            <w:vAlign w:val="center"/>
          </w:tcPr>
          <w:p w14:paraId="07D15808">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56F5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19284F8">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521" w:type="pct"/>
            <w:vAlign w:val="center"/>
          </w:tcPr>
          <w:p w14:paraId="52E21781">
            <w:pPr>
              <w:jc w:val="center"/>
              <w:rPr>
                <w:rFonts w:hint="eastAsia" w:ascii="宋体" w:hAnsi="宋体" w:eastAsia="宋体" w:cs="宋体"/>
                <w:color w:val="auto"/>
                <w:highlight w:val="none"/>
              </w:rPr>
            </w:pPr>
            <w:r>
              <w:rPr>
                <w:rFonts w:hint="eastAsia" w:ascii="宋体" w:hAnsi="宋体" w:eastAsia="宋体" w:cs="宋体"/>
                <w:color w:val="auto"/>
                <w:highlight w:val="none"/>
              </w:rPr>
              <w:t>键盘</w:t>
            </w:r>
          </w:p>
        </w:tc>
        <w:tc>
          <w:tcPr>
            <w:tcW w:w="436" w:type="pct"/>
            <w:vAlign w:val="center"/>
          </w:tcPr>
          <w:p w14:paraId="097AD01D">
            <w:pPr>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506" w:type="pct"/>
            <w:vAlign w:val="center"/>
          </w:tcPr>
          <w:p w14:paraId="3C3FE747">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1C08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A7F3D6D">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3521" w:type="pct"/>
            <w:vAlign w:val="center"/>
          </w:tcPr>
          <w:p w14:paraId="39083944">
            <w:pPr>
              <w:jc w:val="center"/>
              <w:rPr>
                <w:rFonts w:hint="eastAsia" w:ascii="宋体" w:hAnsi="宋体" w:eastAsia="宋体" w:cs="宋体"/>
                <w:color w:val="auto"/>
                <w:highlight w:val="none"/>
              </w:rPr>
            </w:pPr>
            <w:r>
              <w:rPr>
                <w:rFonts w:hint="eastAsia" w:ascii="宋体" w:hAnsi="宋体" w:eastAsia="宋体" w:cs="宋体"/>
                <w:color w:val="auto"/>
                <w:highlight w:val="none"/>
              </w:rPr>
              <w:t>鼠标</w:t>
            </w:r>
          </w:p>
        </w:tc>
        <w:tc>
          <w:tcPr>
            <w:tcW w:w="436" w:type="pct"/>
            <w:vAlign w:val="center"/>
          </w:tcPr>
          <w:p w14:paraId="7898D32D">
            <w:pPr>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506" w:type="pct"/>
            <w:vAlign w:val="center"/>
          </w:tcPr>
          <w:p w14:paraId="5595F6D6">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33E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57508CF">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21" w:type="pct"/>
            <w:vAlign w:val="center"/>
          </w:tcPr>
          <w:p w14:paraId="660B37A9">
            <w:pPr>
              <w:jc w:val="center"/>
              <w:rPr>
                <w:rFonts w:hint="eastAsia" w:ascii="宋体" w:hAnsi="宋体" w:eastAsia="宋体" w:cs="宋体"/>
                <w:color w:val="auto"/>
                <w:highlight w:val="none"/>
              </w:rPr>
            </w:pPr>
            <w:r>
              <w:rPr>
                <w:rFonts w:hint="eastAsia" w:ascii="宋体" w:hAnsi="宋体" w:eastAsia="宋体" w:cs="宋体"/>
                <w:color w:val="auto"/>
                <w:highlight w:val="none"/>
              </w:rPr>
              <w:t>医用热敏腕带打印机</w:t>
            </w:r>
          </w:p>
        </w:tc>
        <w:tc>
          <w:tcPr>
            <w:tcW w:w="436" w:type="pct"/>
            <w:vAlign w:val="center"/>
          </w:tcPr>
          <w:p w14:paraId="74DB9C3D">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506" w:type="pct"/>
            <w:vAlign w:val="center"/>
          </w:tcPr>
          <w:p w14:paraId="4F170C6B">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6543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DB37647">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521" w:type="pct"/>
            <w:vAlign w:val="center"/>
          </w:tcPr>
          <w:p w14:paraId="21FDFC33">
            <w:pPr>
              <w:jc w:val="center"/>
              <w:rPr>
                <w:rFonts w:hint="eastAsia" w:ascii="宋体" w:hAnsi="宋体" w:eastAsia="宋体" w:cs="宋体"/>
                <w:color w:val="auto"/>
                <w:highlight w:val="none"/>
              </w:rPr>
            </w:pPr>
            <w:r>
              <w:rPr>
                <w:rFonts w:hint="eastAsia" w:ascii="宋体" w:hAnsi="宋体" w:eastAsia="宋体" w:cs="宋体"/>
                <w:color w:val="auto"/>
                <w:highlight w:val="none"/>
              </w:rPr>
              <w:t>激光打印机</w:t>
            </w:r>
          </w:p>
        </w:tc>
        <w:tc>
          <w:tcPr>
            <w:tcW w:w="436" w:type="pct"/>
            <w:vAlign w:val="center"/>
          </w:tcPr>
          <w:p w14:paraId="073D83EE">
            <w:pPr>
              <w:jc w:val="center"/>
              <w:rPr>
                <w:rFonts w:hint="eastAsia" w:ascii="宋体" w:hAnsi="宋体" w:eastAsia="宋体" w:cs="宋体"/>
                <w:color w:val="auto"/>
                <w:highlight w:val="none"/>
              </w:rPr>
            </w:pPr>
            <w:r>
              <w:rPr>
                <w:rFonts w:hint="eastAsia" w:ascii="宋体" w:hAnsi="宋体" w:eastAsia="宋体" w:cs="宋体"/>
                <w:color w:val="auto"/>
                <w:highlight w:val="none"/>
              </w:rPr>
              <w:t>40</w:t>
            </w:r>
          </w:p>
        </w:tc>
        <w:tc>
          <w:tcPr>
            <w:tcW w:w="506" w:type="pct"/>
            <w:vAlign w:val="center"/>
          </w:tcPr>
          <w:p w14:paraId="50811BAE">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25E9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6E19033">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521" w:type="pct"/>
            <w:vAlign w:val="center"/>
          </w:tcPr>
          <w:p w14:paraId="7957DD97">
            <w:pPr>
              <w:jc w:val="center"/>
              <w:rPr>
                <w:rFonts w:hint="eastAsia" w:ascii="宋体" w:hAnsi="宋体" w:eastAsia="宋体" w:cs="宋体"/>
                <w:color w:val="auto"/>
                <w:highlight w:val="none"/>
              </w:rPr>
            </w:pPr>
            <w:r>
              <w:rPr>
                <w:rFonts w:hint="eastAsia" w:ascii="宋体" w:hAnsi="宋体" w:eastAsia="宋体" w:cs="宋体"/>
                <w:color w:val="auto"/>
                <w:highlight w:val="none"/>
              </w:rPr>
              <w:t>读卡器</w:t>
            </w:r>
          </w:p>
        </w:tc>
        <w:tc>
          <w:tcPr>
            <w:tcW w:w="436" w:type="pct"/>
            <w:vAlign w:val="center"/>
          </w:tcPr>
          <w:p w14:paraId="248C0051">
            <w:pPr>
              <w:jc w:val="center"/>
              <w:rPr>
                <w:rFonts w:hint="eastAsia" w:ascii="宋体" w:hAnsi="宋体" w:eastAsia="宋体" w:cs="宋体"/>
                <w:color w:val="auto"/>
                <w:highlight w:val="none"/>
              </w:rPr>
            </w:pPr>
            <w:r>
              <w:rPr>
                <w:rFonts w:hint="eastAsia" w:ascii="宋体" w:hAnsi="宋体" w:eastAsia="宋体" w:cs="宋体"/>
                <w:color w:val="auto"/>
                <w:highlight w:val="none"/>
              </w:rPr>
              <w:t>120</w:t>
            </w:r>
          </w:p>
        </w:tc>
        <w:tc>
          <w:tcPr>
            <w:tcW w:w="506" w:type="pct"/>
            <w:vAlign w:val="center"/>
          </w:tcPr>
          <w:p w14:paraId="3ED83730">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0A39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000" w:type="pct"/>
            <w:gridSpan w:val="4"/>
            <w:vAlign w:val="center"/>
          </w:tcPr>
          <w:p w14:paraId="15F97740">
            <w:pPr>
              <w:jc w:val="center"/>
              <w:rPr>
                <w:rFonts w:hint="eastAsia" w:ascii="宋体" w:hAnsi="宋体" w:eastAsia="宋体" w:cs="宋体"/>
                <w:color w:val="auto"/>
                <w:highlight w:val="none"/>
              </w:rPr>
            </w:pPr>
            <w:r>
              <w:rPr>
                <w:rFonts w:hint="eastAsia" w:ascii="宋体" w:hAnsi="宋体" w:eastAsia="宋体" w:cs="宋体"/>
                <w:b/>
                <w:bCs/>
                <w:color w:val="auto"/>
                <w:highlight w:val="none"/>
              </w:rPr>
              <w:t>（四）智慧服务配套硬件设备</w:t>
            </w:r>
          </w:p>
        </w:tc>
      </w:tr>
      <w:tr w14:paraId="55C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BEFD4F1">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21" w:type="pct"/>
            <w:vAlign w:val="center"/>
          </w:tcPr>
          <w:p w14:paraId="28475D16">
            <w:pPr>
              <w:jc w:val="center"/>
              <w:rPr>
                <w:rFonts w:hint="eastAsia" w:ascii="宋体" w:hAnsi="宋体" w:eastAsia="宋体" w:cs="宋体"/>
                <w:color w:val="auto"/>
                <w:highlight w:val="none"/>
              </w:rPr>
            </w:pPr>
            <w:r>
              <w:rPr>
                <w:rFonts w:hint="eastAsia" w:ascii="宋体" w:hAnsi="宋体" w:eastAsia="宋体" w:cs="宋体"/>
                <w:color w:val="auto"/>
                <w:highlight w:val="none"/>
              </w:rPr>
              <w:t>多媒体诊区大屏</w:t>
            </w:r>
          </w:p>
        </w:tc>
        <w:tc>
          <w:tcPr>
            <w:tcW w:w="436" w:type="pct"/>
            <w:vAlign w:val="center"/>
          </w:tcPr>
          <w:p w14:paraId="1725D002">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06" w:type="pct"/>
            <w:vAlign w:val="center"/>
          </w:tcPr>
          <w:p w14:paraId="39ED30C3">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582A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2043EB6">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21" w:type="pct"/>
            <w:vAlign w:val="center"/>
          </w:tcPr>
          <w:p w14:paraId="78767F11">
            <w:pPr>
              <w:jc w:val="center"/>
              <w:rPr>
                <w:rFonts w:hint="eastAsia" w:ascii="宋体" w:hAnsi="宋体" w:eastAsia="宋体" w:cs="宋体"/>
                <w:color w:val="auto"/>
                <w:highlight w:val="none"/>
              </w:rPr>
            </w:pPr>
            <w:r>
              <w:rPr>
                <w:rFonts w:hint="eastAsia" w:ascii="宋体" w:hAnsi="宋体" w:eastAsia="宋体" w:cs="宋体"/>
                <w:color w:val="auto"/>
                <w:highlight w:val="none"/>
              </w:rPr>
              <w:t>多媒体诊室小屏</w:t>
            </w:r>
          </w:p>
        </w:tc>
        <w:tc>
          <w:tcPr>
            <w:tcW w:w="436" w:type="pct"/>
            <w:vAlign w:val="center"/>
          </w:tcPr>
          <w:p w14:paraId="0510C208">
            <w:pPr>
              <w:jc w:val="center"/>
              <w:rPr>
                <w:rFonts w:hint="eastAsia" w:ascii="宋体" w:hAnsi="宋体" w:eastAsia="宋体" w:cs="宋体"/>
                <w:color w:val="auto"/>
                <w:highlight w:val="none"/>
              </w:rPr>
            </w:pPr>
            <w:r>
              <w:rPr>
                <w:rFonts w:hint="eastAsia" w:ascii="宋体" w:hAnsi="宋体" w:eastAsia="宋体" w:cs="宋体"/>
                <w:color w:val="auto"/>
                <w:highlight w:val="none"/>
              </w:rPr>
              <w:t>42</w:t>
            </w:r>
          </w:p>
        </w:tc>
        <w:tc>
          <w:tcPr>
            <w:tcW w:w="506" w:type="pct"/>
            <w:vAlign w:val="center"/>
          </w:tcPr>
          <w:p w14:paraId="69F728A4">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05D6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5EF2678">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521" w:type="pct"/>
            <w:vAlign w:val="center"/>
          </w:tcPr>
          <w:p w14:paraId="43E7C035">
            <w:pPr>
              <w:jc w:val="center"/>
              <w:rPr>
                <w:rFonts w:hint="eastAsia" w:ascii="宋体" w:hAnsi="宋体" w:eastAsia="宋体" w:cs="宋体"/>
                <w:color w:val="auto"/>
                <w:highlight w:val="none"/>
              </w:rPr>
            </w:pPr>
            <w:r>
              <w:rPr>
                <w:rFonts w:hint="eastAsia" w:ascii="宋体" w:hAnsi="宋体" w:eastAsia="宋体" w:cs="宋体"/>
                <w:color w:val="auto"/>
                <w:highlight w:val="none"/>
              </w:rPr>
              <w:t>服务器</w:t>
            </w:r>
          </w:p>
        </w:tc>
        <w:tc>
          <w:tcPr>
            <w:tcW w:w="436" w:type="pct"/>
            <w:vAlign w:val="center"/>
          </w:tcPr>
          <w:p w14:paraId="13B7C25D">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06" w:type="pct"/>
            <w:vAlign w:val="center"/>
          </w:tcPr>
          <w:p w14:paraId="77A91A7C">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6169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EBBAADB">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521" w:type="pct"/>
            <w:vAlign w:val="center"/>
          </w:tcPr>
          <w:p w14:paraId="2D3E69A0">
            <w:pPr>
              <w:jc w:val="center"/>
              <w:rPr>
                <w:rFonts w:hint="eastAsia" w:ascii="宋体" w:hAnsi="宋体" w:eastAsia="宋体" w:cs="宋体"/>
                <w:color w:val="auto"/>
                <w:highlight w:val="none"/>
              </w:rPr>
            </w:pPr>
            <w:r>
              <w:rPr>
                <w:rFonts w:hint="eastAsia" w:ascii="宋体" w:hAnsi="宋体" w:eastAsia="宋体" w:cs="宋体"/>
                <w:color w:val="auto"/>
                <w:highlight w:val="none"/>
              </w:rPr>
              <w:t>防火墙</w:t>
            </w:r>
          </w:p>
        </w:tc>
        <w:tc>
          <w:tcPr>
            <w:tcW w:w="436" w:type="pct"/>
            <w:vAlign w:val="center"/>
          </w:tcPr>
          <w:p w14:paraId="1A19B9D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2DFC3FFB">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5182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0F2A8144">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521" w:type="pct"/>
            <w:vAlign w:val="center"/>
          </w:tcPr>
          <w:p w14:paraId="6255B3F1">
            <w:pPr>
              <w:jc w:val="center"/>
              <w:rPr>
                <w:rFonts w:hint="eastAsia" w:ascii="宋体" w:hAnsi="宋体" w:eastAsia="宋体" w:cs="宋体"/>
                <w:color w:val="auto"/>
                <w:highlight w:val="none"/>
              </w:rPr>
            </w:pPr>
            <w:r>
              <w:rPr>
                <w:rFonts w:hint="eastAsia" w:ascii="宋体" w:hAnsi="宋体" w:eastAsia="宋体" w:cs="宋体"/>
                <w:color w:val="auto"/>
                <w:highlight w:val="none"/>
              </w:rPr>
              <w:t>门诊自助机</w:t>
            </w:r>
          </w:p>
        </w:tc>
        <w:tc>
          <w:tcPr>
            <w:tcW w:w="436" w:type="pct"/>
            <w:vAlign w:val="center"/>
          </w:tcPr>
          <w:p w14:paraId="7FEAEFF3">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506" w:type="pct"/>
            <w:vAlign w:val="center"/>
          </w:tcPr>
          <w:p w14:paraId="3C89E2FA">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11E7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E9FB060">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521" w:type="pct"/>
            <w:vAlign w:val="center"/>
          </w:tcPr>
          <w:p w14:paraId="4EAC7D08">
            <w:pPr>
              <w:jc w:val="center"/>
              <w:rPr>
                <w:rFonts w:hint="eastAsia" w:ascii="宋体" w:hAnsi="宋体" w:eastAsia="宋体" w:cs="宋体"/>
                <w:color w:val="auto"/>
                <w:highlight w:val="none"/>
              </w:rPr>
            </w:pPr>
            <w:r>
              <w:rPr>
                <w:rFonts w:hint="eastAsia" w:ascii="宋体" w:hAnsi="宋体" w:eastAsia="宋体" w:cs="宋体"/>
                <w:color w:val="auto"/>
                <w:highlight w:val="none"/>
              </w:rPr>
              <w:t>壁挂式查询机</w:t>
            </w:r>
          </w:p>
        </w:tc>
        <w:tc>
          <w:tcPr>
            <w:tcW w:w="436" w:type="pct"/>
            <w:vAlign w:val="center"/>
          </w:tcPr>
          <w:p w14:paraId="6BF798DE">
            <w:pPr>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506" w:type="pct"/>
            <w:vAlign w:val="center"/>
          </w:tcPr>
          <w:p w14:paraId="47FEE2CF">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4548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000" w:type="pct"/>
            <w:gridSpan w:val="4"/>
            <w:vAlign w:val="center"/>
          </w:tcPr>
          <w:p w14:paraId="4B023B3B">
            <w:pPr>
              <w:jc w:val="center"/>
              <w:rPr>
                <w:rFonts w:hint="eastAsia" w:ascii="宋体" w:hAnsi="宋体" w:eastAsia="宋体" w:cs="宋体"/>
                <w:color w:val="auto"/>
                <w:highlight w:val="none"/>
              </w:rPr>
            </w:pPr>
            <w:r>
              <w:rPr>
                <w:rFonts w:hint="eastAsia" w:ascii="宋体" w:hAnsi="宋体" w:eastAsia="宋体" w:cs="宋体"/>
                <w:b/>
                <w:bCs/>
                <w:color w:val="auto"/>
                <w:highlight w:val="none"/>
              </w:rPr>
              <w:t>（五）无线AP综合布线设备</w:t>
            </w:r>
          </w:p>
        </w:tc>
      </w:tr>
      <w:tr w14:paraId="4C84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95DF15E">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21" w:type="pct"/>
            <w:vAlign w:val="center"/>
          </w:tcPr>
          <w:p w14:paraId="130129E5">
            <w:pPr>
              <w:jc w:val="center"/>
              <w:rPr>
                <w:rFonts w:hint="eastAsia" w:ascii="宋体" w:hAnsi="宋体" w:eastAsia="宋体" w:cs="宋体"/>
                <w:color w:val="auto"/>
                <w:highlight w:val="none"/>
              </w:rPr>
            </w:pPr>
            <w:r>
              <w:rPr>
                <w:rFonts w:hint="eastAsia" w:ascii="宋体" w:hAnsi="宋体" w:eastAsia="宋体" w:cs="宋体"/>
                <w:color w:val="auto"/>
                <w:highlight w:val="none"/>
              </w:rPr>
              <w:t>全千兆交换机8口千兆电口</w:t>
            </w:r>
          </w:p>
        </w:tc>
        <w:tc>
          <w:tcPr>
            <w:tcW w:w="436" w:type="pct"/>
            <w:vAlign w:val="center"/>
          </w:tcPr>
          <w:p w14:paraId="71E1B082">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67219FD7">
            <w:pPr>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r>
      <w:tr w14:paraId="760F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E27BF4A">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21" w:type="pct"/>
            <w:vAlign w:val="center"/>
          </w:tcPr>
          <w:p w14:paraId="01F51143">
            <w:pPr>
              <w:jc w:val="center"/>
              <w:rPr>
                <w:rFonts w:hint="eastAsia" w:ascii="宋体" w:hAnsi="宋体" w:eastAsia="宋体" w:cs="宋体"/>
                <w:color w:val="auto"/>
                <w:highlight w:val="none"/>
              </w:rPr>
            </w:pPr>
            <w:r>
              <w:rPr>
                <w:rFonts w:hint="eastAsia" w:ascii="宋体" w:hAnsi="宋体" w:eastAsia="宋体" w:cs="宋体"/>
                <w:color w:val="auto"/>
                <w:highlight w:val="none"/>
              </w:rPr>
              <w:t>全千兆交换机8口POE交换机</w:t>
            </w:r>
          </w:p>
        </w:tc>
        <w:tc>
          <w:tcPr>
            <w:tcW w:w="436" w:type="pct"/>
            <w:vAlign w:val="center"/>
          </w:tcPr>
          <w:p w14:paraId="40312A27">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3C96E0C2">
            <w:pPr>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r>
      <w:tr w14:paraId="7C1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39DBE4F">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521" w:type="pct"/>
            <w:vAlign w:val="center"/>
          </w:tcPr>
          <w:p w14:paraId="1C93F63F">
            <w:pPr>
              <w:jc w:val="center"/>
              <w:rPr>
                <w:rFonts w:hint="eastAsia" w:ascii="宋体" w:hAnsi="宋体" w:eastAsia="宋体" w:cs="宋体"/>
                <w:color w:val="auto"/>
                <w:highlight w:val="none"/>
              </w:rPr>
            </w:pPr>
            <w:r>
              <w:rPr>
                <w:rFonts w:hint="eastAsia" w:ascii="宋体" w:hAnsi="宋体" w:eastAsia="宋体" w:cs="宋体"/>
                <w:color w:val="auto"/>
                <w:highlight w:val="none"/>
              </w:rPr>
              <w:t>全千兆交换机8口POE交换机</w:t>
            </w:r>
          </w:p>
        </w:tc>
        <w:tc>
          <w:tcPr>
            <w:tcW w:w="436" w:type="pct"/>
            <w:vAlign w:val="center"/>
          </w:tcPr>
          <w:p w14:paraId="6DC4ECFA">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7D928E11">
            <w:pPr>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r>
      <w:tr w14:paraId="392B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48C309A">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521" w:type="pct"/>
            <w:vAlign w:val="center"/>
          </w:tcPr>
          <w:p w14:paraId="2B196948">
            <w:pPr>
              <w:jc w:val="center"/>
              <w:rPr>
                <w:rFonts w:hint="eastAsia" w:ascii="宋体" w:hAnsi="宋体" w:eastAsia="宋体" w:cs="宋体"/>
                <w:color w:val="auto"/>
                <w:highlight w:val="none"/>
              </w:rPr>
            </w:pPr>
            <w:r>
              <w:rPr>
                <w:rFonts w:hint="eastAsia" w:ascii="宋体" w:hAnsi="宋体" w:eastAsia="宋体" w:cs="宋体"/>
                <w:color w:val="auto"/>
                <w:highlight w:val="none"/>
              </w:rPr>
              <w:t>全千兆交换机24口POE交换机</w:t>
            </w:r>
          </w:p>
        </w:tc>
        <w:tc>
          <w:tcPr>
            <w:tcW w:w="436" w:type="pct"/>
            <w:vAlign w:val="center"/>
          </w:tcPr>
          <w:p w14:paraId="47FD99B7">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06" w:type="pct"/>
            <w:vAlign w:val="center"/>
          </w:tcPr>
          <w:p w14:paraId="43654DE3">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469F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0631CA8">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521" w:type="pct"/>
            <w:vAlign w:val="center"/>
          </w:tcPr>
          <w:p w14:paraId="51ED4854">
            <w:pPr>
              <w:jc w:val="center"/>
              <w:rPr>
                <w:rFonts w:hint="eastAsia" w:ascii="宋体" w:hAnsi="宋体" w:eastAsia="宋体" w:cs="宋体"/>
                <w:color w:val="auto"/>
                <w:highlight w:val="none"/>
              </w:rPr>
            </w:pPr>
            <w:r>
              <w:rPr>
                <w:rFonts w:hint="eastAsia" w:ascii="宋体" w:hAnsi="宋体" w:eastAsia="宋体" w:cs="宋体"/>
                <w:color w:val="auto"/>
                <w:highlight w:val="none"/>
              </w:rPr>
              <w:t>AP</w:t>
            </w:r>
          </w:p>
        </w:tc>
        <w:tc>
          <w:tcPr>
            <w:tcW w:w="436" w:type="pct"/>
            <w:vAlign w:val="center"/>
          </w:tcPr>
          <w:p w14:paraId="4419D9FC">
            <w:pPr>
              <w:jc w:val="center"/>
              <w:rPr>
                <w:rFonts w:hint="eastAsia" w:ascii="宋体" w:hAnsi="宋体" w:eastAsia="宋体" w:cs="宋体"/>
                <w:color w:val="auto"/>
                <w:highlight w:val="none"/>
              </w:rPr>
            </w:pPr>
            <w:r>
              <w:rPr>
                <w:rFonts w:hint="eastAsia" w:ascii="宋体" w:hAnsi="宋体" w:eastAsia="宋体" w:cs="宋体"/>
                <w:color w:val="auto"/>
                <w:highlight w:val="none"/>
              </w:rPr>
              <w:t>62</w:t>
            </w:r>
          </w:p>
        </w:tc>
        <w:tc>
          <w:tcPr>
            <w:tcW w:w="506" w:type="pct"/>
            <w:vAlign w:val="center"/>
          </w:tcPr>
          <w:p w14:paraId="4A432DB8">
            <w:pPr>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r>
      <w:tr w14:paraId="4B8C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7014E51D">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521" w:type="pct"/>
            <w:vAlign w:val="center"/>
          </w:tcPr>
          <w:p w14:paraId="056D9E64">
            <w:pPr>
              <w:jc w:val="center"/>
              <w:rPr>
                <w:rFonts w:hint="eastAsia" w:ascii="宋体" w:hAnsi="宋体" w:eastAsia="宋体" w:cs="宋体"/>
                <w:color w:val="auto"/>
                <w:highlight w:val="none"/>
              </w:rPr>
            </w:pPr>
            <w:r>
              <w:rPr>
                <w:rFonts w:hint="eastAsia" w:ascii="宋体" w:hAnsi="宋体" w:eastAsia="宋体" w:cs="宋体"/>
                <w:color w:val="auto"/>
                <w:highlight w:val="none"/>
              </w:rPr>
              <w:t>AC</w:t>
            </w:r>
          </w:p>
        </w:tc>
        <w:tc>
          <w:tcPr>
            <w:tcW w:w="436" w:type="pct"/>
            <w:vAlign w:val="center"/>
          </w:tcPr>
          <w:p w14:paraId="0E581304">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45352B9C">
            <w:pPr>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r>
      <w:tr w14:paraId="1BAB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047B2E6">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3521" w:type="pct"/>
            <w:vAlign w:val="center"/>
          </w:tcPr>
          <w:p w14:paraId="324725D3">
            <w:pPr>
              <w:jc w:val="center"/>
              <w:rPr>
                <w:rFonts w:hint="eastAsia" w:ascii="宋体" w:hAnsi="宋体" w:eastAsia="宋体" w:cs="宋体"/>
                <w:color w:val="auto"/>
                <w:highlight w:val="none"/>
              </w:rPr>
            </w:pPr>
            <w:r>
              <w:rPr>
                <w:rFonts w:hint="eastAsia" w:ascii="宋体" w:hAnsi="宋体" w:eastAsia="宋体" w:cs="宋体"/>
                <w:color w:val="auto"/>
                <w:highlight w:val="none"/>
              </w:rPr>
              <w:t>光缆</w:t>
            </w:r>
          </w:p>
        </w:tc>
        <w:tc>
          <w:tcPr>
            <w:tcW w:w="436" w:type="pct"/>
            <w:vAlign w:val="center"/>
          </w:tcPr>
          <w:p w14:paraId="7A050422">
            <w:pPr>
              <w:jc w:val="center"/>
              <w:rPr>
                <w:rFonts w:hint="eastAsia" w:ascii="宋体" w:hAnsi="宋体" w:eastAsia="宋体" w:cs="宋体"/>
                <w:color w:val="auto"/>
                <w:highlight w:val="none"/>
              </w:rPr>
            </w:pPr>
            <w:r>
              <w:rPr>
                <w:rFonts w:hint="eastAsia" w:ascii="宋体" w:hAnsi="宋体" w:eastAsia="宋体" w:cs="宋体"/>
                <w:color w:val="auto"/>
                <w:highlight w:val="none"/>
              </w:rPr>
              <w:t>600</w:t>
            </w:r>
          </w:p>
        </w:tc>
        <w:tc>
          <w:tcPr>
            <w:tcW w:w="506" w:type="pct"/>
            <w:vAlign w:val="center"/>
          </w:tcPr>
          <w:p w14:paraId="7A32805A">
            <w:pPr>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r>
      <w:tr w14:paraId="1DDE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14CF919">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3521" w:type="pct"/>
            <w:vAlign w:val="center"/>
          </w:tcPr>
          <w:p w14:paraId="7322CD8D">
            <w:pPr>
              <w:jc w:val="center"/>
              <w:rPr>
                <w:rFonts w:hint="eastAsia" w:ascii="宋体" w:hAnsi="宋体" w:eastAsia="宋体" w:cs="宋体"/>
                <w:color w:val="auto"/>
                <w:highlight w:val="none"/>
              </w:rPr>
            </w:pPr>
            <w:r>
              <w:rPr>
                <w:rFonts w:hint="eastAsia" w:ascii="宋体" w:hAnsi="宋体" w:eastAsia="宋体" w:cs="宋体"/>
                <w:color w:val="auto"/>
                <w:highlight w:val="none"/>
              </w:rPr>
              <w:t>熔纤</w:t>
            </w:r>
          </w:p>
        </w:tc>
        <w:tc>
          <w:tcPr>
            <w:tcW w:w="436" w:type="pct"/>
            <w:vAlign w:val="center"/>
          </w:tcPr>
          <w:p w14:paraId="7CB176B5">
            <w:pPr>
              <w:jc w:val="center"/>
              <w:rPr>
                <w:rFonts w:hint="eastAsia" w:ascii="宋体" w:hAnsi="宋体" w:eastAsia="宋体" w:cs="宋体"/>
                <w:color w:val="auto"/>
                <w:highlight w:val="none"/>
              </w:rPr>
            </w:pPr>
            <w:r>
              <w:rPr>
                <w:rFonts w:hint="eastAsia" w:ascii="宋体" w:hAnsi="宋体" w:eastAsia="宋体" w:cs="宋体"/>
                <w:color w:val="auto"/>
                <w:highlight w:val="none"/>
              </w:rPr>
              <w:t>96</w:t>
            </w:r>
          </w:p>
        </w:tc>
        <w:tc>
          <w:tcPr>
            <w:tcW w:w="506" w:type="pct"/>
            <w:vAlign w:val="center"/>
          </w:tcPr>
          <w:p w14:paraId="408CB784">
            <w:pPr>
              <w:jc w:val="center"/>
              <w:rPr>
                <w:rFonts w:hint="eastAsia" w:ascii="宋体" w:hAnsi="宋体" w:eastAsia="宋体" w:cs="宋体"/>
                <w:color w:val="auto"/>
                <w:highlight w:val="none"/>
              </w:rPr>
            </w:pPr>
            <w:r>
              <w:rPr>
                <w:rFonts w:hint="eastAsia" w:ascii="宋体" w:hAnsi="宋体" w:eastAsia="宋体" w:cs="宋体"/>
                <w:color w:val="auto"/>
                <w:highlight w:val="none"/>
              </w:rPr>
              <w:t>芯</w:t>
            </w:r>
          </w:p>
        </w:tc>
      </w:tr>
      <w:tr w14:paraId="6EB4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3455B5DF">
            <w:pPr>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3521" w:type="pct"/>
            <w:vAlign w:val="center"/>
          </w:tcPr>
          <w:p w14:paraId="1E1991D7">
            <w:pPr>
              <w:jc w:val="center"/>
              <w:rPr>
                <w:rFonts w:hint="eastAsia" w:ascii="宋体" w:hAnsi="宋体" w:eastAsia="宋体" w:cs="宋体"/>
                <w:color w:val="auto"/>
                <w:highlight w:val="none"/>
              </w:rPr>
            </w:pPr>
            <w:r>
              <w:rPr>
                <w:rFonts w:hint="eastAsia" w:ascii="宋体" w:hAnsi="宋体" w:eastAsia="宋体" w:cs="宋体"/>
                <w:color w:val="auto"/>
                <w:highlight w:val="none"/>
              </w:rPr>
              <w:t>光纤配线架（单模24芯）</w:t>
            </w:r>
          </w:p>
        </w:tc>
        <w:tc>
          <w:tcPr>
            <w:tcW w:w="436" w:type="pct"/>
            <w:vAlign w:val="center"/>
          </w:tcPr>
          <w:p w14:paraId="0F1389A6">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06" w:type="pct"/>
            <w:vAlign w:val="center"/>
          </w:tcPr>
          <w:p w14:paraId="4D8DAE22">
            <w:pPr>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r>
      <w:tr w14:paraId="2BEB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22050E6">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3521" w:type="pct"/>
            <w:vAlign w:val="center"/>
          </w:tcPr>
          <w:p w14:paraId="562F1E2A">
            <w:pPr>
              <w:jc w:val="center"/>
              <w:rPr>
                <w:rFonts w:hint="eastAsia" w:ascii="宋体" w:hAnsi="宋体" w:eastAsia="宋体" w:cs="宋体"/>
                <w:color w:val="auto"/>
                <w:highlight w:val="none"/>
              </w:rPr>
            </w:pPr>
            <w:r>
              <w:rPr>
                <w:rFonts w:hint="eastAsia" w:ascii="宋体" w:hAnsi="宋体" w:eastAsia="宋体" w:cs="宋体"/>
                <w:color w:val="auto"/>
                <w:highlight w:val="none"/>
              </w:rPr>
              <w:t>全千兆交换机24口交换机</w:t>
            </w:r>
          </w:p>
        </w:tc>
        <w:tc>
          <w:tcPr>
            <w:tcW w:w="436" w:type="pct"/>
            <w:vAlign w:val="center"/>
          </w:tcPr>
          <w:p w14:paraId="235F35D1">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06" w:type="pct"/>
            <w:vAlign w:val="center"/>
          </w:tcPr>
          <w:p w14:paraId="29439AD9">
            <w:pPr>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r>
      <w:tr w14:paraId="29E4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19183F6">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3521" w:type="pct"/>
            <w:vAlign w:val="center"/>
          </w:tcPr>
          <w:p w14:paraId="3E834EFE">
            <w:pPr>
              <w:jc w:val="center"/>
              <w:rPr>
                <w:rFonts w:hint="eastAsia" w:ascii="宋体" w:hAnsi="宋体" w:eastAsia="宋体" w:cs="宋体"/>
                <w:color w:val="auto"/>
                <w:highlight w:val="none"/>
              </w:rPr>
            </w:pPr>
            <w:r>
              <w:rPr>
                <w:rFonts w:hint="eastAsia" w:ascii="宋体" w:hAnsi="宋体" w:eastAsia="宋体" w:cs="宋体"/>
                <w:color w:val="auto"/>
                <w:highlight w:val="none"/>
              </w:rPr>
              <w:t>配线架理线器</w:t>
            </w:r>
          </w:p>
        </w:tc>
        <w:tc>
          <w:tcPr>
            <w:tcW w:w="436" w:type="pct"/>
            <w:vAlign w:val="center"/>
          </w:tcPr>
          <w:p w14:paraId="6A49BF1B">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506" w:type="pct"/>
            <w:vAlign w:val="center"/>
          </w:tcPr>
          <w:p w14:paraId="560C7D4B">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0B84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07299F7">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3521" w:type="pct"/>
            <w:vAlign w:val="center"/>
          </w:tcPr>
          <w:p w14:paraId="4B9BE013">
            <w:pPr>
              <w:jc w:val="center"/>
              <w:rPr>
                <w:rFonts w:hint="eastAsia" w:ascii="宋体" w:hAnsi="宋体" w:eastAsia="宋体" w:cs="宋体"/>
                <w:color w:val="auto"/>
                <w:highlight w:val="none"/>
              </w:rPr>
            </w:pPr>
            <w:r>
              <w:rPr>
                <w:rFonts w:hint="eastAsia" w:ascii="宋体" w:hAnsi="宋体" w:eastAsia="宋体" w:cs="宋体"/>
                <w:color w:val="auto"/>
                <w:highlight w:val="none"/>
              </w:rPr>
              <w:t>网线</w:t>
            </w:r>
          </w:p>
        </w:tc>
        <w:tc>
          <w:tcPr>
            <w:tcW w:w="436" w:type="pct"/>
            <w:vAlign w:val="center"/>
          </w:tcPr>
          <w:p w14:paraId="177825A9">
            <w:pPr>
              <w:jc w:val="center"/>
              <w:rPr>
                <w:rFonts w:hint="eastAsia" w:ascii="宋体" w:hAnsi="宋体" w:eastAsia="宋体" w:cs="宋体"/>
                <w:color w:val="auto"/>
                <w:highlight w:val="none"/>
              </w:rPr>
            </w:pPr>
            <w:r>
              <w:rPr>
                <w:rFonts w:hint="eastAsia" w:ascii="宋体" w:hAnsi="宋体" w:eastAsia="宋体" w:cs="宋体"/>
                <w:color w:val="auto"/>
                <w:highlight w:val="none"/>
              </w:rPr>
              <w:t>6000</w:t>
            </w:r>
          </w:p>
        </w:tc>
        <w:tc>
          <w:tcPr>
            <w:tcW w:w="506" w:type="pct"/>
            <w:vAlign w:val="center"/>
          </w:tcPr>
          <w:p w14:paraId="60DD602E">
            <w:pPr>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r>
      <w:tr w14:paraId="07F3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54D761F">
            <w:pPr>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3521" w:type="pct"/>
            <w:vAlign w:val="center"/>
          </w:tcPr>
          <w:p w14:paraId="507CB97C">
            <w:pPr>
              <w:jc w:val="center"/>
              <w:rPr>
                <w:rFonts w:hint="eastAsia" w:ascii="宋体" w:hAnsi="宋体" w:eastAsia="宋体" w:cs="宋体"/>
                <w:color w:val="auto"/>
                <w:highlight w:val="none"/>
              </w:rPr>
            </w:pPr>
            <w:r>
              <w:rPr>
                <w:rFonts w:hint="eastAsia" w:ascii="宋体" w:hAnsi="宋体" w:eastAsia="宋体" w:cs="宋体"/>
                <w:color w:val="auto"/>
                <w:highlight w:val="none"/>
              </w:rPr>
              <w:t>信息插座</w:t>
            </w:r>
          </w:p>
        </w:tc>
        <w:tc>
          <w:tcPr>
            <w:tcW w:w="436" w:type="pct"/>
            <w:vAlign w:val="center"/>
          </w:tcPr>
          <w:p w14:paraId="7C30683E">
            <w:pPr>
              <w:jc w:val="center"/>
              <w:rPr>
                <w:rFonts w:hint="eastAsia" w:ascii="宋体" w:hAnsi="宋体" w:eastAsia="宋体" w:cs="宋体"/>
                <w:color w:val="auto"/>
                <w:highlight w:val="none"/>
              </w:rPr>
            </w:pPr>
            <w:r>
              <w:rPr>
                <w:rFonts w:hint="eastAsia" w:ascii="宋体" w:hAnsi="宋体" w:eastAsia="宋体" w:cs="宋体"/>
                <w:color w:val="auto"/>
                <w:highlight w:val="none"/>
              </w:rPr>
              <w:t>145</w:t>
            </w:r>
          </w:p>
        </w:tc>
        <w:tc>
          <w:tcPr>
            <w:tcW w:w="506" w:type="pct"/>
            <w:vAlign w:val="center"/>
          </w:tcPr>
          <w:p w14:paraId="24E10A6F">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6396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3A7D93E">
            <w:pPr>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3521" w:type="pct"/>
            <w:vAlign w:val="center"/>
          </w:tcPr>
          <w:p w14:paraId="3BA1AC0B">
            <w:pPr>
              <w:jc w:val="center"/>
              <w:rPr>
                <w:rFonts w:hint="eastAsia" w:ascii="宋体" w:hAnsi="宋体" w:eastAsia="宋体" w:cs="宋体"/>
                <w:color w:val="auto"/>
                <w:highlight w:val="none"/>
              </w:rPr>
            </w:pPr>
            <w:r>
              <w:rPr>
                <w:rFonts w:hint="eastAsia" w:ascii="宋体" w:hAnsi="宋体" w:eastAsia="宋体" w:cs="宋体"/>
                <w:color w:val="auto"/>
                <w:highlight w:val="none"/>
              </w:rPr>
              <w:t>综合布线</w:t>
            </w:r>
          </w:p>
        </w:tc>
        <w:tc>
          <w:tcPr>
            <w:tcW w:w="436" w:type="pct"/>
            <w:vAlign w:val="center"/>
          </w:tcPr>
          <w:p w14:paraId="00EAE134">
            <w:pPr>
              <w:jc w:val="center"/>
              <w:rPr>
                <w:rFonts w:hint="eastAsia" w:ascii="宋体" w:hAnsi="宋体" w:eastAsia="宋体" w:cs="宋体"/>
                <w:color w:val="auto"/>
                <w:highlight w:val="none"/>
              </w:rPr>
            </w:pPr>
            <w:r>
              <w:rPr>
                <w:rFonts w:hint="eastAsia" w:ascii="宋体" w:hAnsi="宋体" w:eastAsia="宋体" w:cs="宋体"/>
                <w:color w:val="auto"/>
                <w:highlight w:val="none"/>
              </w:rPr>
              <w:t>6000</w:t>
            </w:r>
          </w:p>
        </w:tc>
        <w:tc>
          <w:tcPr>
            <w:tcW w:w="506" w:type="pct"/>
            <w:vAlign w:val="center"/>
          </w:tcPr>
          <w:p w14:paraId="497D8C02">
            <w:pPr>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r>
      <w:tr w14:paraId="1DDE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671AC8E4">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521" w:type="pct"/>
            <w:vAlign w:val="center"/>
          </w:tcPr>
          <w:p w14:paraId="68C44CB4">
            <w:pPr>
              <w:jc w:val="center"/>
              <w:rPr>
                <w:rFonts w:hint="eastAsia" w:ascii="宋体" w:hAnsi="宋体" w:eastAsia="宋体" w:cs="宋体"/>
                <w:color w:val="auto"/>
                <w:highlight w:val="none"/>
              </w:rPr>
            </w:pPr>
            <w:r>
              <w:rPr>
                <w:rFonts w:hint="eastAsia" w:ascii="宋体" w:hAnsi="宋体" w:eastAsia="宋体" w:cs="宋体"/>
                <w:color w:val="auto"/>
                <w:highlight w:val="none"/>
              </w:rPr>
              <w:t>AP安装实施费用</w:t>
            </w:r>
          </w:p>
        </w:tc>
        <w:tc>
          <w:tcPr>
            <w:tcW w:w="436" w:type="pct"/>
            <w:vAlign w:val="center"/>
          </w:tcPr>
          <w:p w14:paraId="50A0C84C">
            <w:pPr>
              <w:jc w:val="center"/>
              <w:rPr>
                <w:rFonts w:hint="eastAsia" w:ascii="宋体" w:hAnsi="宋体" w:eastAsia="宋体" w:cs="宋体"/>
                <w:color w:val="auto"/>
                <w:highlight w:val="none"/>
              </w:rPr>
            </w:pPr>
            <w:r>
              <w:rPr>
                <w:rFonts w:hint="eastAsia" w:ascii="宋体" w:hAnsi="宋体" w:eastAsia="宋体" w:cs="宋体"/>
                <w:color w:val="auto"/>
                <w:highlight w:val="none"/>
              </w:rPr>
              <w:t>62</w:t>
            </w:r>
          </w:p>
        </w:tc>
        <w:tc>
          <w:tcPr>
            <w:tcW w:w="506" w:type="pct"/>
            <w:vAlign w:val="center"/>
          </w:tcPr>
          <w:p w14:paraId="54F06516">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1B2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4AB2B465">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3521" w:type="pct"/>
            <w:vAlign w:val="center"/>
          </w:tcPr>
          <w:p w14:paraId="32794FE7">
            <w:pPr>
              <w:jc w:val="center"/>
              <w:rPr>
                <w:rFonts w:hint="eastAsia" w:ascii="宋体" w:hAnsi="宋体" w:eastAsia="宋体" w:cs="宋体"/>
                <w:color w:val="auto"/>
                <w:highlight w:val="none"/>
              </w:rPr>
            </w:pPr>
            <w:r>
              <w:rPr>
                <w:rFonts w:hint="eastAsia" w:ascii="宋体" w:hAnsi="宋体" w:eastAsia="宋体" w:cs="宋体"/>
                <w:color w:val="auto"/>
                <w:highlight w:val="none"/>
              </w:rPr>
              <w:t>设备安装调试费用</w:t>
            </w:r>
          </w:p>
        </w:tc>
        <w:tc>
          <w:tcPr>
            <w:tcW w:w="436" w:type="pct"/>
            <w:vAlign w:val="center"/>
          </w:tcPr>
          <w:p w14:paraId="5E2F5CE1">
            <w:pPr>
              <w:jc w:val="center"/>
              <w:rPr>
                <w:rFonts w:hint="eastAsia" w:ascii="宋体" w:hAnsi="宋体" w:eastAsia="宋体" w:cs="宋体"/>
                <w:color w:val="auto"/>
                <w:highlight w:val="none"/>
              </w:rPr>
            </w:pPr>
            <w:r>
              <w:rPr>
                <w:rFonts w:hint="eastAsia" w:ascii="宋体" w:hAnsi="宋体" w:eastAsia="宋体" w:cs="宋体"/>
                <w:color w:val="auto"/>
                <w:highlight w:val="none"/>
              </w:rPr>
              <w:t>83</w:t>
            </w:r>
          </w:p>
        </w:tc>
        <w:tc>
          <w:tcPr>
            <w:tcW w:w="506" w:type="pct"/>
            <w:vAlign w:val="center"/>
          </w:tcPr>
          <w:p w14:paraId="5D585FDC">
            <w:pPr>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r>
      <w:tr w14:paraId="3C60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12B67966">
            <w:pPr>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3521" w:type="pct"/>
            <w:vAlign w:val="center"/>
          </w:tcPr>
          <w:p w14:paraId="64E4C56D">
            <w:pPr>
              <w:jc w:val="center"/>
              <w:rPr>
                <w:rFonts w:hint="eastAsia" w:ascii="宋体" w:hAnsi="宋体" w:eastAsia="宋体" w:cs="宋体"/>
                <w:color w:val="auto"/>
                <w:highlight w:val="none"/>
              </w:rPr>
            </w:pPr>
            <w:r>
              <w:rPr>
                <w:rFonts w:hint="eastAsia" w:ascii="宋体" w:hAnsi="宋体" w:eastAsia="宋体" w:cs="宋体"/>
                <w:color w:val="auto"/>
                <w:highlight w:val="none"/>
              </w:rPr>
              <w:t>电源线</w:t>
            </w:r>
          </w:p>
        </w:tc>
        <w:tc>
          <w:tcPr>
            <w:tcW w:w="436" w:type="pct"/>
            <w:vAlign w:val="center"/>
          </w:tcPr>
          <w:p w14:paraId="59757DAC">
            <w:pPr>
              <w:jc w:val="center"/>
              <w:rPr>
                <w:rFonts w:hint="eastAsia" w:ascii="宋体" w:hAnsi="宋体" w:eastAsia="宋体" w:cs="宋体"/>
                <w:color w:val="auto"/>
                <w:highlight w:val="none"/>
              </w:rPr>
            </w:pPr>
            <w:r>
              <w:rPr>
                <w:rFonts w:hint="eastAsia" w:ascii="宋体" w:hAnsi="宋体" w:eastAsia="宋体" w:cs="宋体"/>
                <w:color w:val="auto"/>
                <w:highlight w:val="none"/>
              </w:rPr>
              <w:t>500</w:t>
            </w:r>
          </w:p>
        </w:tc>
        <w:tc>
          <w:tcPr>
            <w:tcW w:w="506" w:type="pct"/>
            <w:vAlign w:val="center"/>
          </w:tcPr>
          <w:p w14:paraId="4D348900">
            <w:pPr>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r>
      <w:tr w14:paraId="4E20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23937319">
            <w:pPr>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3521" w:type="pct"/>
            <w:vAlign w:val="center"/>
          </w:tcPr>
          <w:p w14:paraId="6B426A3B">
            <w:pPr>
              <w:jc w:val="center"/>
              <w:rPr>
                <w:rFonts w:hint="eastAsia" w:ascii="宋体" w:hAnsi="宋体" w:eastAsia="宋体" w:cs="宋体"/>
                <w:color w:val="auto"/>
                <w:highlight w:val="none"/>
              </w:rPr>
            </w:pPr>
            <w:r>
              <w:rPr>
                <w:rFonts w:hint="eastAsia" w:ascii="宋体" w:hAnsi="宋体" w:eastAsia="宋体" w:cs="宋体"/>
                <w:color w:val="auto"/>
                <w:highlight w:val="none"/>
              </w:rPr>
              <w:t>数据跳线</w:t>
            </w:r>
          </w:p>
        </w:tc>
        <w:tc>
          <w:tcPr>
            <w:tcW w:w="436" w:type="pct"/>
            <w:vAlign w:val="center"/>
          </w:tcPr>
          <w:p w14:paraId="0AD7025E">
            <w:pPr>
              <w:jc w:val="center"/>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506" w:type="pct"/>
            <w:vAlign w:val="center"/>
          </w:tcPr>
          <w:p w14:paraId="7DF1CAAA">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r>
      <w:tr w14:paraId="2DFA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033F7AAF">
            <w:pPr>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3521" w:type="pct"/>
            <w:vAlign w:val="center"/>
          </w:tcPr>
          <w:p w14:paraId="240AACE7">
            <w:pPr>
              <w:jc w:val="center"/>
              <w:rPr>
                <w:rFonts w:hint="eastAsia" w:ascii="宋体" w:hAnsi="宋体" w:eastAsia="宋体" w:cs="宋体"/>
                <w:color w:val="auto"/>
                <w:highlight w:val="none"/>
              </w:rPr>
            </w:pPr>
            <w:r>
              <w:rPr>
                <w:rFonts w:hint="eastAsia" w:ascii="宋体" w:hAnsi="宋体" w:eastAsia="宋体" w:cs="宋体"/>
                <w:color w:val="auto"/>
                <w:highlight w:val="none"/>
              </w:rPr>
              <w:t>光纤跳线</w:t>
            </w:r>
          </w:p>
        </w:tc>
        <w:tc>
          <w:tcPr>
            <w:tcW w:w="436" w:type="pct"/>
            <w:vAlign w:val="center"/>
          </w:tcPr>
          <w:p w14:paraId="1CB6FF4F">
            <w:pPr>
              <w:jc w:val="center"/>
              <w:rPr>
                <w:rFonts w:hint="eastAsia" w:ascii="宋体" w:hAnsi="宋体" w:eastAsia="宋体" w:cs="宋体"/>
                <w:color w:val="auto"/>
                <w:highlight w:val="none"/>
              </w:rPr>
            </w:pPr>
            <w:r>
              <w:rPr>
                <w:rFonts w:hint="eastAsia" w:ascii="宋体" w:hAnsi="宋体" w:eastAsia="宋体" w:cs="宋体"/>
                <w:color w:val="auto"/>
                <w:highlight w:val="none"/>
              </w:rPr>
              <w:t>96</w:t>
            </w:r>
          </w:p>
        </w:tc>
        <w:tc>
          <w:tcPr>
            <w:tcW w:w="506" w:type="pct"/>
            <w:vAlign w:val="center"/>
          </w:tcPr>
          <w:p w14:paraId="6AD3A450">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r>
      <w:tr w14:paraId="31DD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35" w:type="pct"/>
            <w:vAlign w:val="center"/>
          </w:tcPr>
          <w:p w14:paraId="5C938A73">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1" w:type="pct"/>
            <w:vAlign w:val="center"/>
          </w:tcPr>
          <w:p w14:paraId="41EB4EB9">
            <w:pPr>
              <w:jc w:val="center"/>
              <w:rPr>
                <w:rFonts w:hint="eastAsia" w:ascii="宋体" w:hAnsi="宋体" w:eastAsia="宋体" w:cs="宋体"/>
                <w:color w:val="auto"/>
                <w:highlight w:val="none"/>
              </w:rPr>
            </w:pPr>
            <w:r>
              <w:rPr>
                <w:rFonts w:hint="eastAsia" w:ascii="宋体" w:hAnsi="宋体" w:eastAsia="宋体" w:cs="宋体"/>
                <w:color w:val="auto"/>
                <w:highlight w:val="none"/>
              </w:rPr>
              <w:t>辅材</w:t>
            </w:r>
          </w:p>
        </w:tc>
        <w:tc>
          <w:tcPr>
            <w:tcW w:w="436" w:type="pct"/>
            <w:vAlign w:val="center"/>
          </w:tcPr>
          <w:p w14:paraId="3EE9AD5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6" w:type="pct"/>
            <w:vAlign w:val="center"/>
          </w:tcPr>
          <w:p w14:paraId="25393E25">
            <w:pPr>
              <w:jc w:val="center"/>
              <w:rPr>
                <w:rFonts w:hint="eastAsia" w:ascii="宋体" w:hAnsi="宋体" w:eastAsia="宋体" w:cs="宋体"/>
                <w:color w:val="auto"/>
                <w:highlight w:val="none"/>
              </w:rPr>
            </w:pPr>
            <w:r>
              <w:rPr>
                <w:rFonts w:hint="eastAsia" w:ascii="宋体" w:hAnsi="宋体" w:eastAsia="宋体" w:cs="宋体"/>
                <w:color w:val="auto"/>
                <w:highlight w:val="none"/>
              </w:rPr>
              <w:t>批</w:t>
            </w:r>
          </w:p>
        </w:tc>
      </w:tr>
    </w:tbl>
    <w:p w14:paraId="374D1CEF">
      <w:pPr>
        <w:pStyle w:val="2"/>
        <w:numPr>
          <w:ilvl w:val="0"/>
          <w:numId w:val="0"/>
        </w:numPr>
        <w:bidi w:val="0"/>
        <w:jc w:val="both"/>
        <w:rPr>
          <w:rFonts w:hint="eastAsia" w:ascii="宋体" w:hAnsi="宋体" w:eastAsia="宋体" w:cs="宋体"/>
          <w:b/>
          <w:color w:val="auto"/>
          <w:kern w:val="44"/>
          <w:sz w:val="36"/>
          <w:szCs w:val="22"/>
          <w:highlight w:val="none"/>
          <w:u w:color="000000"/>
          <w:lang w:val="zh-CN" w:eastAsia="zh-CN" w:bidi="ar-SA"/>
        </w:rPr>
      </w:pPr>
    </w:p>
    <w:p w14:paraId="02A75C38">
      <w:pPr>
        <w:rPr>
          <w:rFonts w:hint="eastAsia" w:ascii="宋体" w:hAnsi="宋体" w:eastAsia="宋体" w:cs="宋体"/>
          <w:b/>
          <w:color w:val="auto"/>
          <w:kern w:val="44"/>
          <w:sz w:val="36"/>
          <w:szCs w:val="22"/>
          <w:highlight w:val="none"/>
          <w:u w:color="000000"/>
          <w:lang w:val="zh-CN" w:eastAsia="zh-CN" w:bidi="ar-SA"/>
        </w:rPr>
      </w:pPr>
      <w:r>
        <w:rPr>
          <w:rFonts w:hint="eastAsia" w:ascii="宋体" w:hAnsi="宋体" w:eastAsia="宋体" w:cs="宋体"/>
          <w:b/>
          <w:color w:val="auto"/>
          <w:kern w:val="44"/>
          <w:sz w:val="36"/>
          <w:szCs w:val="22"/>
          <w:highlight w:val="none"/>
          <w:u w:color="000000"/>
          <w:lang w:val="zh-CN" w:eastAsia="zh-CN" w:bidi="ar-SA"/>
        </w:rPr>
        <w:br w:type="page"/>
      </w:r>
    </w:p>
    <w:p w14:paraId="239B2D38">
      <w:pPr>
        <w:pStyle w:val="2"/>
        <w:numPr>
          <w:ilvl w:val="0"/>
          <w:numId w:val="0"/>
        </w:numPr>
        <w:bidi w:val="0"/>
        <w:jc w:val="center"/>
        <w:rPr>
          <w:rFonts w:hint="eastAsia" w:ascii="宋体" w:hAnsi="宋体" w:eastAsia="宋体" w:cs="宋体"/>
          <w:color w:val="auto"/>
          <w:highlight w:val="none"/>
          <w:lang w:val="zh-CN" w:eastAsia="zh-CN"/>
        </w:rPr>
      </w:pPr>
      <w:bookmarkStart w:id="49" w:name="_Toc28221"/>
      <w:r>
        <w:rPr>
          <w:rFonts w:hint="eastAsia" w:ascii="宋体" w:hAnsi="宋体" w:eastAsia="宋体" w:cs="宋体"/>
          <w:b/>
          <w:color w:val="auto"/>
          <w:kern w:val="44"/>
          <w:sz w:val="36"/>
          <w:szCs w:val="22"/>
          <w:highlight w:val="none"/>
          <w:u w:color="000000"/>
          <w:lang w:val="zh-CN" w:eastAsia="zh-CN" w:bidi="ar-SA"/>
        </w:rPr>
        <w:t>第五部分</w:t>
      </w:r>
      <w:r>
        <w:rPr>
          <w:rFonts w:hint="eastAsia" w:ascii="宋体" w:hAnsi="宋体" w:eastAsia="宋体" w:cs="宋体"/>
          <w:color w:val="auto"/>
          <w:highlight w:val="none"/>
          <w:lang w:val="zh-CN"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eastAsia="zh-CN"/>
        </w:rPr>
        <w:t>政府采购合同（格式）</w:t>
      </w:r>
      <w:bookmarkEnd w:id="41"/>
      <w:bookmarkEnd w:id="42"/>
      <w:bookmarkEnd w:id="43"/>
      <w:bookmarkEnd w:id="44"/>
      <w:bookmarkEnd w:id="45"/>
      <w:bookmarkEnd w:id="46"/>
      <w:bookmarkEnd w:id="47"/>
      <w:bookmarkEnd w:id="48"/>
      <w:bookmarkEnd w:id="49"/>
    </w:p>
    <w:bookmarkEnd w:id="36"/>
    <w:bookmarkEnd w:id="37"/>
    <w:bookmarkEnd w:id="38"/>
    <w:p w14:paraId="7674CC96">
      <w:pPr>
        <w:pStyle w:val="3"/>
        <w:spacing w:line="460" w:lineRule="exact"/>
        <w:ind w:firstLine="420"/>
        <w:rPr>
          <w:rFonts w:hint="eastAsia" w:ascii="宋体" w:hAnsi="宋体" w:eastAsia="宋体" w:cs="宋体"/>
          <w:color w:val="auto"/>
          <w:highlight w:val="none"/>
        </w:rPr>
      </w:pPr>
    </w:p>
    <w:p w14:paraId="5EEC9701">
      <w:pPr>
        <w:widowControl w:val="0"/>
        <w:spacing w:line="560" w:lineRule="exact"/>
        <w:ind w:firstLine="422" w:firstLineChars="200"/>
        <w:textAlignment w:val="auto"/>
        <w:rPr>
          <w:rFonts w:hint="eastAsia" w:ascii="宋体" w:hAnsi="宋体" w:eastAsia="宋体" w:cs="宋体"/>
          <w:b/>
          <w:color w:val="auto"/>
          <w:kern w:val="2"/>
          <w:szCs w:val="21"/>
          <w:highlight w:val="none"/>
          <w:u w:val="single"/>
        </w:rPr>
      </w:pPr>
      <w:r>
        <w:rPr>
          <w:rFonts w:hint="eastAsia" w:ascii="宋体" w:hAnsi="宋体" w:eastAsia="宋体" w:cs="宋体"/>
          <w:b/>
          <w:color w:val="auto"/>
          <w:kern w:val="2"/>
          <w:szCs w:val="21"/>
          <w:highlight w:val="none"/>
        </w:rPr>
        <w:t>合同编号：</w:t>
      </w:r>
      <w:r>
        <w:rPr>
          <w:rFonts w:hint="eastAsia" w:ascii="宋体" w:hAnsi="宋体" w:eastAsia="宋体" w:cs="宋体"/>
          <w:color w:val="auto"/>
          <w:kern w:val="2"/>
          <w:szCs w:val="21"/>
          <w:highlight w:val="none"/>
          <w:u w:val="single"/>
        </w:rPr>
        <w:t xml:space="preserve">             </w:t>
      </w:r>
    </w:p>
    <w:p w14:paraId="2BEC05BC">
      <w:pPr>
        <w:widowControl w:val="0"/>
        <w:spacing w:line="5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p>
    <w:p w14:paraId="55CD6B92">
      <w:pPr>
        <w:widowControl w:val="0"/>
        <w:spacing w:line="560" w:lineRule="exact"/>
        <w:ind w:firstLine="420" w:firstLineChars="200"/>
        <w:textAlignment w:val="auto"/>
        <w:rPr>
          <w:rFonts w:hint="eastAsia" w:ascii="宋体" w:hAnsi="宋体" w:eastAsia="宋体" w:cs="宋体"/>
          <w:color w:val="auto"/>
          <w:kern w:val="2"/>
          <w:szCs w:val="21"/>
          <w:highlight w:val="none"/>
        </w:rPr>
      </w:pPr>
    </w:p>
    <w:p w14:paraId="028B7D2E">
      <w:pPr>
        <w:widowControl w:val="0"/>
        <w:spacing w:line="560" w:lineRule="exact"/>
        <w:ind w:firstLine="643" w:firstLineChars="200"/>
        <w:jc w:val="center"/>
        <w:textAlignment w:val="auto"/>
        <w:rPr>
          <w:rFonts w:hint="eastAsia" w:ascii="宋体" w:hAnsi="宋体" w:eastAsia="宋体" w:cs="宋体"/>
          <w:b/>
          <w:color w:val="auto"/>
          <w:kern w:val="2"/>
          <w:sz w:val="32"/>
          <w:szCs w:val="21"/>
          <w:highlight w:val="none"/>
        </w:rPr>
      </w:pPr>
      <w:r>
        <w:rPr>
          <w:rFonts w:hint="eastAsia" w:ascii="宋体" w:hAnsi="宋体" w:eastAsia="宋体" w:cs="宋体"/>
          <w:b/>
          <w:color w:val="auto"/>
          <w:kern w:val="2"/>
          <w:sz w:val="32"/>
          <w:szCs w:val="21"/>
          <w:highlight w:val="none"/>
        </w:rPr>
        <w:t>医技楼信息化专项建设项目合同</w:t>
      </w:r>
    </w:p>
    <w:p w14:paraId="3C4E0E73">
      <w:pPr>
        <w:widowControl w:val="0"/>
        <w:spacing w:line="5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p>
    <w:p w14:paraId="198D2939">
      <w:pPr>
        <w:widowControl w:val="0"/>
        <w:spacing w:line="5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r>
        <w:rPr>
          <w:rFonts w:hint="eastAsia" w:ascii="宋体" w:hAnsi="宋体" w:eastAsia="宋体" w:cs="宋体"/>
          <w:color w:val="auto"/>
          <w:kern w:val="2"/>
          <w:szCs w:val="21"/>
          <w:highlight w:val="none"/>
        </w:rPr>
        <w:tab/>
      </w:r>
    </w:p>
    <w:p w14:paraId="57733936">
      <w:pPr>
        <w:widowControl w:val="0"/>
        <w:spacing w:line="560" w:lineRule="exact"/>
        <w:ind w:firstLine="422" w:firstLineChars="200"/>
        <w:textAlignment w:val="auto"/>
        <w:rPr>
          <w:rFonts w:hint="eastAsia" w:ascii="宋体" w:hAnsi="宋体" w:eastAsia="宋体" w:cs="宋体"/>
          <w:b/>
          <w:color w:val="auto"/>
          <w:kern w:val="2"/>
          <w:szCs w:val="21"/>
          <w:highlight w:val="none"/>
          <w:u w:val="single"/>
        </w:rPr>
      </w:pPr>
      <w:r>
        <w:rPr>
          <w:rFonts w:hint="eastAsia" w:ascii="宋体" w:hAnsi="宋体" w:eastAsia="宋体" w:cs="宋体"/>
          <w:b/>
          <w:color w:val="auto"/>
          <w:kern w:val="2"/>
          <w:szCs w:val="21"/>
          <w:highlight w:val="none"/>
        </w:rPr>
        <w:t>项目名称 ：</w:t>
      </w:r>
      <w:r>
        <w:rPr>
          <w:rFonts w:hint="eastAsia" w:ascii="宋体" w:hAnsi="宋体" w:eastAsia="宋体" w:cs="宋体"/>
          <w:b/>
          <w:color w:val="auto"/>
          <w:kern w:val="2"/>
          <w:szCs w:val="21"/>
          <w:highlight w:val="none"/>
          <w:u w:val="single"/>
        </w:rPr>
        <w:t>医技楼信息化专项建设项目</w:t>
      </w:r>
    </w:p>
    <w:p w14:paraId="7A66ADB9">
      <w:pPr>
        <w:widowControl w:val="0"/>
        <w:spacing w:line="560" w:lineRule="exact"/>
        <w:ind w:firstLine="422" w:firstLineChars="200"/>
        <w:textAlignment w:val="auto"/>
        <w:rPr>
          <w:rFonts w:hint="eastAsia" w:ascii="宋体" w:hAnsi="宋体" w:eastAsia="宋体" w:cs="宋体"/>
          <w:b/>
          <w:color w:val="auto"/>
          <w:kern w:val="2"/>
          <w:szCs w:val="21"/>
          <w:highlight w:val="none"/>
        </w:rPr>
      </w:pPr>
    </w:p>
    <w:p w14:paraId="50237BA1">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7C4ABF34">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甲    方  ：</w:t>
      </w:r>
      <w:r>
        <w:rPr>
          <w:rFonts w:hint="eastAsia" w:ascii="宋体" w:hAnsi="宋体" w:eastAsia="宋体" w:cs="宋体"/>
          <w:color w:val="auto"/>
          <w:kern w:val="2"/>
          <w:szCs w:val="21"/>
          <w:highlight w:val="none"/>
          <w:u w:val="single"/>
        </w:rPr>
        <w:t xml:space="preserve"> 彬州市中医医院</w:t>
      </w:r>
      <w:r>
        <w:rPr>
          <w:rFonts w:hint="eastAsia" w:ascii="宋体" w:hAnsi="宋体" w:eastAsia="宋体" w:cs="宋体"/>
          <w:b/>
          <w:color w:val="auto"/>
          <w:kern w:val="2"/>
          <w:szCs w:val="21"/>
          <w:highlight w:val="none"/>
          <w:u w:val="singl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5A96276C">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 xml:space="preserve">             （合同专用章）</w:t>
      </w:r>
    </w:p>
    <w:p w14:paraId="4D734C0D">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5B396530">
      <w:pPr>
        <w:widowControl w:val="0"/>
        <w:spacing w:line="560" w:lineRule="exact"/>
        <w:ind w:firstLine="422" w:firstLineChars="200"/>
        <w:textAlignment w:val="auto"/>
        <w:rPr>
          <w:rFonts w:hint="eastAsia" w:ascii="宋体" w:hAnsi="宋体" w:eastAsia="宋体" w:cs="宋体"/>
          <w:b/>
          <w:color w:val="auto"/>
          <w:kern w:val="2"/>
          <w:szCs w:val="21"/>
          <w:highlight w:val="none"/>
        </w:rPr>
      </w:pPr>
    </w:p>
    <w:p w14:paraId="43EBD3CE">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乙    方  ：</w:t>
      </w:r>
      <w:r>
        <w:rPr>
          <w:rFonts w:hint="eastAsia" w:ascii="宋体" w:hAnsi="宋体" w:eastAsia="宋体" w:cs="宋体"/>
          <w:b/>
          <w:color w:val="auto"/>
          <w:kern w:val="2"/>
          <w:szCs w:val="21"/>
          <w:highlight w:val="none"/>
          <w:u w:val="single"/>
        </w:rPr>
        <w:t xml:space="preserve">                </w:t>
      </w:r>
      <w:r>
        <w:rPr>
          <w:rFonts w:hint="eastAsia" w:ascii="宋体" w:hAnsi="宋体" w:eastAsia="宋体" w:cs="宋体"/>
          <w:b/>
          <w:color w:val="auto"/>
          <w:kern w:val="2"/>
          <w:szCs w:val="21"/>
          <w:highlight w:val="none"/>
          <w:u w:val="singl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492958DB">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 xml:space="preserve">                  （合同专用章）</w:t>
      </w:r>
    </w:p>
    <w:p w14:paraId="5242AD4A">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62FEC0A7">
      <w:pPr>
        <w:widowControl w:val="0"/>
        <w:spacing w:line="560" w:lineRule="exact"/>
        <w:ind w:firstLine="422" w:firstLineChars="200"/>
        <w:textAlignment w:val="auto"/>
        <w:rPr>
          <w:rFonts w:hint="eastAsia" w:ascii="宋体" w:hAnsi="宋体" w:eastAsia="宋体" w:cs="宋体"/>
          <w:b/>
          <w:color w:val="auto"/>
          <w:kern w:val="2"/>
          <w:szCs w:val="21"/>
          <w:highlight w:val="none"/>
        </w:rPr>
      </w:pPr>
    </w:p>
    <w:p w14:paraId="6231BF87">
      <w:pPr>
        <w:widowControl w:val="0"/>
        <w:spacing w:line="560" w:lineRule="exact"/>
        <w:ind w:firstLine="422" w:firstLineChars="200"/>
        <w:textAlignment w:val="auto"/>
        <w:rPr>
          <w:rFonts w:hint="eastAsia" w:ascii="宋体" w:hAnsi="宋体" w:eastAsia="宋体" w:cs="宋体"/>
          <w:b/>
          <w:color w:val="auto"/>
          <w:kern w:val="2"/>
          <w:szCs w:val="21"/>
          <w:highlight w:val="none"/>
        </w:rPr>
      </w:pPr>
    </w:p>
    <w:p w14:paraId="298D775C">
      <w:pPr>
        <w:widowControl w:val="0"/>
        <w:spacing w:line="5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合同签订日期：</w:t>
      </w:r>
      <w:r>
        <w:rPr>
          <w:rFonts w:hint="eastAsia" w:ascii="宋体" w:hAnsi="宋体" w:eastAsia="宋体" w:cs="宋体"/>
          <w:color w:val="auto"/>
          <w:kern w:val="2"/>
          <w:szCs w:val="21"/>
          <w:highlight w:val="none"/>
          <w:u w:val="single"/>
        </w:rPr>
        <w:tab/>
      </w:r>
      <w:r>
        <w:rPr>
          <w:rFonts w:hint="eastAsia" w:ascii="宋体" w:hAnsi="宋体" w:eastAsia="宋体" w:cs="宋体"/>
          <w:color w:val="auto"/>
          <w:kern w:val="2"/>
          <w:szCs w:val="21"/>
          <w:highlight w:val="none"/>
          <w:u w:val="single"/>
        </w:rPr>
        <w:tab/>
      </w:r>
      <w:r>
        <w:rPr>
          <w:rFonts w:hint="eastAsia" w:ascii="宋体" w:hAnsi="宋体" w:eastAsia="宋体" w:cs="宋体"/>
          <w:b/>
          <w:color w:val="auto"/>
          <w:kern w:val="2"/>
          <w:szCs w:val="21"/>
          <w:highlight w:val="none"/>
        </w:rPr>
        <w:t>年</w:t>
      </w:r>
      <w:r>
        <w:rPr>
          <w:rFonts w:hint="eastAsia" w:ascii="宋体" w:hAnsi="宋体" w:eastAsia="宋体" w:cs="宋体"/>
          <w:color w:val="auto"/>
          <w:kern w:val="2"/>
          <w:szCs w:val="21"/>
          <w:highlight w:val="none"/>
        </w:rPr>
        <w:t xml:space="preserve">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u w:val="single"/>
        </w:rPr>
        <w:tab/>
      </w:r>
      <w:r>
        <w:rPr>
          <w:rFonts w:hint="eastAsia" w:ascii="宋体" w:hAnsi="宋体" w:eastAsia="宋体" w:cs="宋体"/>
          <w:b/>
          <w:color w:val="auto"/>
          <w:kern w:val="2"/>
          <w:szCs w:val="21"/>
          <w:highlight w:val="none"/>
        </w:rPr>
        <w:t>月</w:t>
      </w:r>
      <w:r>
        <w:rPr>
          <w:rFonts w:hint="eastAsia" w:ascii="宋体" w:hAnsi="宋体" w:eastAsia="宋体" w:cs="宋体"/>
          <w:color w:val="auto"/>
          <w:kern w:val="2"/>
          <w:szCs w:val="21"/>
          <w:highlight w:val="none"/>
          <w:u w:val="single"/>
        </w:rPr>
        <w:tab/>
      </w:r>
      <w:r>
        <w:rPr>
          <w:rFonts w:hint="eastAsia" w:ascii="宋体" w:hAnsi="宋体" w:eastAsia="宋体" w:cs="宋体"/>
          <w:color w:val="auto"/>
          <w:kern w:val="2"/>
          <w:szCs w:val="21"/>
          <w:highlight w:val="none"/>
          <w:u w:val="single"/>
        </w:rPr>
        <w:t xml:space="preserve">  </w:t>
      </w:r>
      <w:r>
        <w:rPr>
          <w:rFonts w:hint="eastAsia" w:ascii="宋体" w:hAnsi="宋体" w:eastAsia="宋体" w:cs="宋体"/>
          <w:b/>
          <w:color w:val="auto"/>
          <w:kern w:val="2"/>
          <w:szCs w:val="21"/>
          <w:highlight w:val="none"/>
        </w:rPr>
        <w:t xml:space="preserve">日 </w:t>
      </w:r>
    </w:p>
    <w:p w14:paraId="3328CBAE">
      <w:pPr>
        <w:widowControl w:val="0"/>
        <w:spacing w:line="560" w:lineRule="exact"/>
        <w:ind w:firstLine="422" w:firstLineChars="200"/>
        <w:textAlignment w:val="auto"/>
        <w:rPr>
          <w:rFonts w:hint="eastAsia" w:ascii="宋体" w:hAnsi="宋体" w:eastAsia="宋体" w:cs="宋体"/>
          <w:b/>
          <w:color w:val="auto"/>
          <w:kern w:val="2"/>
          <w:szCs w:val="21"/>
          <w:highlight w:val="none"/>
          <w:u w:val="single"/>
        </w:rPr>
        <w:sectPr>
          <w:footerReference r:id="rId12" w:type="default"/>
          <w:pgSz w:w="11906" w:h="16838"/>
          <w:pgMar w:top="1440" w:right="1701" w:bottom="1440" w:left="1417" w:header="850" w:footer="992" w:gutter="0"/>
          <w:pgNumType w:fmt="decimal"/>
          <w:cols w:space="0" w:num="1"/>
          <w:rtlGutter w:val="0"/>
          <w:docGrid w:linePitch="312" w:charSpace="0"/>
        </w:sectPr>
      </w:pPr>
      <w:r>
        <w:rPr>
          <w:rFonts w:hint="eastAsia" w:ascii="宋体" w:hAnsi="宋体" w:eastAsia="宋体" w:cs="宋体"/>
          <w:b/>
          <w:color w:val="auto"/>
          <w:kern w:val="2"/>
          <w:szCs w:val="21"/>
          <w:highlight w:val="none"/>
        </w:rPr>
        <w:t>合同签订地点：</w:t>
      </w:r>
      <w:r>
        <w:rPr>
          <w:rFonts w:hint="eastAsia" w:ascii="宋体" w:hAnsi="宋体" w:eastAsia="宋体" w:cs="宋体"/>
          <w:b/>
          <w:color w:val="auto"/>
          <w:kern w:val="2"/>
          <w:szCs w:val="21"/>
          <w:highlight w:val="none"/>
          <w:u w:val="single"/>
        </w:rPr>
        <w:t xml:space="preserve">            </w:t>
      </w:r>
    </w:p>
    <w:p w14:paraId="3F1AA21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依据《中华人民共和国民法典》及相关法律法规的规定，甲乙双方遵循平等、自愿、公平和诚信的原则，经充分协商，一致同意就</w:t>
      </w:r>
      <w:r>
        <w:rPr>
          <w:rFonts w:hint="eastAsia" w:ascii="宋体" w:hAnsi="宋体" w:eastAsia="宋体" w:cs="宋体"/>
          <w:color w:val="auto"/>
          <w:kern w:val="2"/>
          <w:szCs w:val="21"/>
          <w:highlight w:val="none"/>
          <w:u w:val="single"/>
        </w:rPr>
        <w:t>医技楼信息化专项建设项目</w:t>
      </w:r>
      <w:r>
        <w:rPr>
          <w:rFonts w:hint="eastAsia" w:ascii="宋体" w:hAnsi="宋体" w:eastAsia="宋体" w:cs="宋体"/>
          <w:color w:val="auto"/>
          <w:kern w:val="2"/>
          <w:szCs w:val="21"/>
          <w:highlight w:val="none"/>
        </w:rPr>
        <w:t>的（以下称“本合同项目”）订立本合同，以期共同信守并执行。</w:t>
      </w:r>
    </w:p>
    <w:p w14:paraId="7BC8F197">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第一条  术语定义</w:t>
      </w:r>
    </w:p>
    <w:p w14:paraId="66E938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本合同所称“合同”系指合同中甲乙双方（以下简称“合同双方”）达成的协议，即双方签订的合同文本，包括与合同有关的所有附件、补充协议、确认文件以及其他与本合同履行相关并由双方确认的材料。</w:t>
      </w:r>
    </w:p>
    <w:p w14:paraId="1C2E14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本合同所称“方案”系指根据合同约定，乙方须向甲方提供的该工程所有技术资料（包括但不限于技术方案、实施方案和专业技术资料）。</w:t>
      </w:r>
    </w:p>
    <w:p w14:paraId="2EE41C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本合同所称“服务”系指乙方根据合同规定为满足甲方之需要而须承担的系统安装调试、系统测试、运行维护、技术支持、培训等技术性服务。</w:t>
      </w:r>
    </w:p>
    <w:p w14:paraId="001C067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 本合同所称“现场”系指由甲方指定将要实施工程的地点。</w:t>
      </w:r>
    </w:p>
    <w:p w14:paraId="4E3190F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 本合同所称“设备”系指本合同及相关附件中确定的原厂商机器。“设备”在本合同及相关附件中亦被称为“货物”、“产品”、“商品”、“机器”。</w:t>
      </w:r>
    </w:p>
    <w:p w14:paraId="5E9376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6、 本合同所称“设备交付”系指：</w:t>
      </w:r>
    </w:p>
    <w:p w14:paraId="5A3D9BE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（1）当合同规定的设备由乙方送达到甲方指定地点或甲方自提时，以甲方或甲方指定的收货单位签收为交付；</w:t>
      </w:r>
    </w:p>
    <w:p w14:paraId="0891BAF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（2）设备交付完成，该合同设备的灭失、损毁风险即由乙方转移给甲方。</w:t>
      </w:r>
    </w:p>
    <w:p w14:paraId="59BE605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7、本合同所称“设备验收”系指合同项下的设备由乙方运抵现场后，由甲乙双方依据合同设备清单或合同附件对数量、配置、包装进行检验和签收，依此验收合格的设备，其所有权即转移给甲方。</w:t>
      </w:r>
    </w:p>
    <w:p w14:paraId="77837FF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8、本合同所称“初验”系指合同项下系统于达到试运行条件前的系统验收，由双方书面确认初验结果。初验在系统安装和调试完成之后进行。 </w:t>
      </w:r>
    </w:p>
    <w:p w14:paraId="0AD0F8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9、本合同所称“试运行”系指初验完成之日起合同设备连续运行期间。试运行期为1（一）个月。</w:t>
      </w:r>
    </w:p>
    <w:p w14:paraId="0DE1E07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10、本合同所指“终验”系指甲乙双方依据合同中规定的技术标准对系统进行检验，在达到合同约定的技术指标并能满足系统正常运行的性能要求后进行的系统性能确认，并由双方书面确认验收结果。</w:t>
      </w:r>
    </w:p>
    <w:p w14:paraId="2D6C1ABB">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第二条  合作范围</w:t>
      </w:r>
    </w:p>
    <w:p w14:paraId="274A3CF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无论乙方与原厂商采取何种合作方式，乙方与甲方的合作仅限于本合同及相关附件条款的规定范围，下述情况对乙方不具有约束力：</w:t>
      </w:r>
    </w:p>
    <w:p w14:paraId="6610CE8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原厂商的行为；</w:t>
      </w:r>
    </w:p>
    <w:p w14:paraId="2DD0F1B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原厂商对甲方的任何承诺；</w:t>
      </w:r>
    </w:p>
    <w:p w14:paraId="43D66C1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本合同及相关附件条款之外的其他任何要求。</w:t>
      </w:r>
      <w:r>
        <w:rPr>
          <w:rFonts w:hint="eastAsia" w:ascii="宋体" w:hAnsi="宋体" w:eastAsia="宋体" w:cs="宋体"/>
          <w:color w:val="auto"/>
          <w:kern w:val="2"/>
          <w:szCs w:val="21"/>
          <w:highlight w:val="none"/>
        </w:rPr>
        <w:tab/>
      </w:r>
    </w:p>
    <w:p w14:paraId="13FDDAC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color w:val="auto"/>
          <w:kern w:val="2"/>
          <w:szCs w:val="21"/>
          <w:highlight w:val="none"/>
        </w:rPr>
        <w:t>甲方不得以上述事由延期支付或者拒绝支付乙方合同款项。</w:t>
      </w:r>
      <w:r>
        <w:rPr>
          <w:rFonts w:hint="eastAsia" w:ascii="宋体" w:hAnsi="宋体" w:eastAsia="宋体" w:cs="宋体"/>
          <w:color w:val="auto"/>
          <w:kern w:val="2"/>
          <w:szCs w:val="21"/>
          <w:highlight w:val="none"/>
        </w:rPr>
        <w:tab/>
      </w:r>
    </w:p>
    <w:p w14:paraId="0CBE6952">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第三条  合同标的：项目名称、服务内容、方式、要求等</w:t>
      </w:r>
      <w:r>
        <w:rPr>
          <w:rFonts w:hint="eastAsia" w:ascii="宋体" w:hAnsi="宋体" w:eastAsia="宋体" w:cs="宋体"/>
          <w:b/>
          <w:color w:val="auto"/>
          <w:kern w:val="2"/>
          <w:szCs w:val="21"/>
          <w:highlight w:val="none"/>
        </w:rPr>
        <w:tab/>
      </w:r>
    </w:p>
    <w:p w14:paraId="7FDB39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甲乙双方在本合同中约定合作的事项主要包括以下方面，并视为乙方履行本合同的全部义务，与甲方所支付的合同总价款相对应。</w:t>
      </w:r>
    </w:p>
    <w:p w14:paraId="183F3407">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甲方向乙方购买的设备及其相关服务。设备的情况详见设备清单或附件。</w:t>
      </w:r>
    </w:p>
    <w:p w14:paraId="4BBBB64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乙方为实施上述工程向甲方提供系统实施方案，并进行实施。方案的确定、变更、修改须由双方共同书面确认。</w:t>
      </w:r>
    </w:p>
    <w:p w14:paraId="7B4D85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乙方对甲方的上述工程提供保修和技术支持服务。</w:t>
      </w:r>
    </w:p>
    <w:p w14:paraId="6817F3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 乙方负责对甲方技术人员进行培训。</w:t>
      </w:r>
    </w:p>
    <w:p w14:paraId="79D6C93F">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第四条   合同金额及支付方式</w:t>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3FF35FB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4.1本合同甲方和乙方之间发生的一切费用均以人民币结算及支付。</w:t>
      </w:r>
    </w:p>
    <w:p w14:paraId="76AAA8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4.2 本合同项下的合同总金额为：人民币（大写）</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元整（￥</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元）（含税）。该合同价格包括乙方提供服务发生的差旅费、食宿费及履行本合同项下其他所有义务所需的费用，除本合同约定的价格外，乙方不得向甲方要求支付其他费用。</w:t>
      </w:r>
    </w:p>
    <w:p w14:paraId="0C1692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4.3 项目费用的支付时间和方式：</w:t>
      </w:r>
    </w:p>
    <w:p w14:paraId="5903D59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4.3.1 项目费用支付由甲方分期支付。具体支付方式和时间如下：</w:t>
      </w:r>
    </w:p>
    <w:p w14:paraId="03252CE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4.3.1.1 在甲乙双方正式签订本合同起10个工作日内，甲方向乙方支付合同总额的50%，即￥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 （大写人民币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元整），甲方支付前乙方须提供对应项目支付款项比例的正规发票。</w:t>
      </w:r>
    </w:p>
    <w:p w14:paraId="4437DB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4.3.1.2 本项目采用分项目验收方式，本项目验收分初验和终验，合同中所有软件系统、硬件进行分项初验，</w:t>
      </w:r>
      <w:r>
        <w:rPr>
          <w:rFonts w:hint="eastAsia" w:ascii="宋体" w:hAnsi="宋体" w:eastAsia="宋体" w:cs="宋体"/>
          <w:color w:val="auto"/>
          <w:highlight w:val="none"/>
        </w:rPr>
        <w:t>硬件初验：合同分项中的硬件设备到货签收完毕，安装上架运行后，经乙方申请由甲方组织硬件初验；软件初验：乙方开发、调试、测试、培训、部署完成合同分项中的软件系统并自检合格，经乙方申请由甲方组织软件系统初验</w:t>
      </w:r>
      <w:r>
        <w:rPr>
          <w:rFonts w:hint="eastAsia" w:ascii="宋体" w:hAnsi="宋体" w:eastAsia="宋体" w:cs="宋体"/>
          <w:color w:val="auto"/>
          <w:kern w:val="2"/>
          <w:szCs w:val="21"/>
          <w:highlight w:val="none"/>
        </w:rPr>
        <w:t>，初验合格出具初验报告后10个工作日内（甲方支付前乙方须提供对应项目支付款项比例的正规发票），甲方向乙方支付分项系统对应合同额的30%，即￥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r>
        <w:rPr>
          <w:rFonts w:hint="eastAsia" w:ascii="宋体" w:hAnsi="宋体" w:eastAsia="宋体" w:cs="宋体"/>
          <w:color w:val="auto"/>
          <w:highlight w:val="none"/>
        </w:rPr>
        <w:t xml:space="preserve"> 硬件终验：所有硬件设备到货签收、初验合格，且加电运行满30日，经乙方申请由甲方组织硬件终验并出具硬件终验报告；软件终验：合同分项中的软件系统初验合格，且试运行满30日，经乙方申请由甲方组织软件终验。</w:t>
      </w:r>
      <w:r>
        <w:rPr>
          <w:rFonts w:hint="eastAsia" w:ascii="宋体" w:hAnsi="宋体" w:eastAsia="宋体" w:cs="宋体"/>
          <w:color w:val="auto"/>
          <w:kern w:val="2"/>
          <w:szCs w:val="21"/>
          <w:highlight w:val="none"/>
        </w:rPr>
        <w:t>终验合格后10个工作日内（甲方支付前乙方须提供对应项目支付款项比例的正规发票），甲方向乙方支付合同总额的10%，即￥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2DDB72B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4.3.1.</w:t>
      </w:r>
      <w:r>
        <w:rPr>
          <w:rFonts w:hint="eastAsia" w:ascii="宋体" w:hAnsi="宋体" w:eastAsia="宋体" w:cs="宋体"/>
          <w:color w:val="auto"/>
          <w:kern w:val="2"/>
          <w:szCs w:val="21"/>
          <w:highlight w:val="none"/>
          <w:lang w:val="en-US" w:eastAsia="zh-CN"/>
        </w:rPr>
        <w:t>3</w:t>
      </w:r>
      <w:r>
        <w:rPr>
          <w:rFonts w:hint="eastAsia" w:ascii="宋体" w:hAnsi="宋体" w:eastAsia="宋体" w:cs="宋体"/>
          <w:color w:val="auto"/>
          <w:kern w:val="2"/>
          <w:szCs w:val="21"/>
          <w:highlight w:val="none"/>
        </w:rPr>
        <w:t xml:space="preserve"> 本项目建设内容需达到电子病历（智慧医疗）四级标准，甲方达到电子病历四级水平标准后10个工作日内（甲方支付前乙方须提供对应项目支付款项比例的正规发票），甲方向乙方支付合同总额的5%，即￥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56CCC40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4.3.1.</w:t>
      </w: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 xml:space="preserve"> 本项目终验完成后，乙方软件系统免费维保满一年后10个工作日内（甲方支付前乙方须提供对应项目支付款项比例的正规发票），甲方向乙方支付合同总额的3%，即￥</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088909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本项目终验完成，且乙方硬件设备免费</w:t>
      </w:r>
      <w:r>
        <w:rPr>
          <w:rFonts w:hint="eastAsia" w:ascii="宋体" w:hAnsi="宋体" w:eastAsia="宋体" w:cs="宋体"/>
          <w:color w:val="auto"/>
          <w:kern w:val="2"/>
          <w:szCs w:val="21"/>
          <w:highlight w:val="none"/>
          <w:lang w:val="en-US" w:eastAsia="zh-CN"/>
        </w:rPr>
        <w:t>质保</w:t>
      </w:r>
      <w:r>
        <w:rPr>
          <w:rFonts w:hint="eastAsia" w:ascii="宋体" w:hAnsi="宋体" w:eastAsia="宋体" w:cs="宋体"/>
          <w:color w:val="auto"/>
          <w:kern w:val="2"/>
          <w:szCs w:val="21"/>
          <w:highlight w:val="none"/>
        </w:rPr>
        <w:t xml:space="preserve">满三年后10个工作日内（甲方支付前乙方须提供对应项目支付款项比例的正规发票），甲方向乙方支付剩余软件系统合同总额的2%，即￥ </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元（大写人民币</w:t>
      </w:r>
      <w:r>
        <w:rPr>
          <w:rFonts w:hint="eastAsia" w:ascii="宋体" w:hAnsi="宋体" w:eastAsia="宋体" w:cs="宋体"/>
          <w:color w:val="auto"/>
          <w:kern w:val="2"/>
          <w:szCs w:val="21"/>
          <w:highlight w:val="none"/>
          <w:u w:val="single" w:color="auto"/>
          <w:lang w:val="en-US" w:eastAsia="zh-CN"/>
        </w:rPr>
        <w:t xml:space="preserve">         </w:t>
      </w:r>
      <w:r>
        <w:rPr>
          <w:rFonts w:hint="eastAsia" w:ascii="宋体" w:hAnsi="宋体" w:eastAsia="宋体" w:cs="宋体"/>
          <w:color w:val="auto"/>
          <w:kern w:val="2"/>
          <w:szCs w:val="21"/>
          <w:highlight w:val="none"/>
        </w:rPr>
        <w:t>整）。</w:t>
      </w:r>
    </w:p>
    <w:p w14:paraId="0C3C50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4.4支付方式：银行转账。</w:t>
      </w:r>
    </w:p>
    <w:p w14:paraId="00E922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甲方开户银行名称、地址和账号为：</w:t>
      </w:r>
    </w:p>
    <w:p w14:paraId="0ADE81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rPr>
        <w:t xml:space="preserve">账户名：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rPr>
        <w:t xml:space="preserve">                                    </w:t>
      </w:r>
    </w:p>
    <w:p w14:paraId="1522255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开户银行：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rPr>
        <w:t xml:space="preserve">       </w:t>
      </w:r>
    </w:p>
    <w:p w14:paraId="59FE54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rPr>
        <w:t>地址：</w:t>
      </w:r>
      <w:r>
        <w:rPr>
          <w:rFonts w:hint="eastAsia" w:ascii="宋体" w:hAnsi="宋体" w:eastAsia="宋体" w:cs="宋体"/>
          <w:color w:val="auto"/>
          <w:kern w:val="2"/>
          <w:szCs w:val="21"/>
          <w:highlight w:val="none"/>
          <w:u w:val="single"/>
        </w:rPr>
        <w:t xml:space="preserve">                                      </w:t>
      </w:r>
    </w:p>
    <w:p w14:paraId="0CF7D5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账号：</w:t>
      </w:r>
      <w:r>
        <w:rPr>
          <w:rFonts w:hint="eastAsia" w:ascii="宋体" w:hAnsi="宋体" w:eastAsia="宋体" w:cs="宋体"/>
          <w:color w:val="auto"/>
          <w:kern w:val="2"/>
          <w:szCs w:val="21"/>
          <w:highlight w:val="none"/>
          <w:u w:val="single"/>
        </w:rPr>
        <w:t xml:space="preserve">                                      </w:t>
      </w:r>
    </w:p>
    <w:p w14:paraId="1AB56B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乙方开户银行名称、地址和账号为：</w:t>
      </w:r>
    </w:p>
    <w:p w14:paraId="3CD9B4C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rPr>
        <w:t xml:space="preserve">账户名：   </w:t>
      </w:r>
      <w:r>
        <w:rPr>
          <w:rFonts w:hint="eastAsia" w:ascii="宋体" w:hAnsi="宋体" w:eastAsia="宋体" w:cs="宋体"/>
          <w:color w:val="auto"/>
          <w:kern w:val="2"/>
          <w:szCs w:val="21"/>
          <w:highlight w:val="none"/>
          <w:u w:val="single"/>
        </w:rPr>
        <w:t xml:space="preserve">                     </w:t>
      </w:r>
    </w:p>
    <w:p w14:paraId="06FA3B2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rPr>
        <w:t>开户银行：</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rPr>
        <w:t xml:space="preserve">       </w:t>
      </w:r>
    </w:p>
    <w:p w14:paraId="48BCD5E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rPr>
        <w:t xml:space="preserve">地址：  </w:t>
      </w:r>
      <w:r>
        <w:rPr>
          <w:rFonts w:hint="eastAsia" w:ascii="宋体" w:hAnsi="宋体" w:eastAsia="宋体" w:cs="宋体"/>
          <w:color w:val="auto"/>
          <w:kern w:val="2"/>
          <w:szCs w:val="21"/>
          <w:highlight w:val="none"/>
          <w:u w:val="single"/>
        </w:rPr>
        <w:t xml:space="preserve">                       </w:t>
      </w:r>
    </w:p>
    <w:p w14:paraId="0F6623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账号：</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rPr>
        <w:t xml:space="preserve">       </w:t>
      </w:r>
    </w:p>
    <w:p w14:paraId="5C617581">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第五条  设备交付</w:t>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21E5BA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1、乙方应于收到合同全款或预付款后</w:t>
      </w:r>
      <w:r>
        <w:rPr>
          <w:rFonts w:hint="eastAsia" w:ascii="宋体" w:hAnsi="宋体" w:eastAsia="宋体" w:cs="宋体"/>
          <w:color w:val="auto"/>
          <w:kern w:val="2"/>
          <w:szCs w:val="21"/>
          <w:highlight w:val="none"/>
          <w:u w:val="single"/>
        </w:rPr>
        <w:t xml:space="preserve"> 30 </w:t>
      </w:r>
      <w:r>
        <w:rPr>
          <w:rFonts w:hint="eastAsia" w:ascii="宋体" w:hAnsi="宋体" w:eastAsia="宋体" w:cs="宋体"/>
          <w:color w:val="auto"/>
          <w:kern w:val="2"/>
          <w:szCs w:val="21"/>
          <w:highlight w:val="none"/>
        </w:rPr>
        <w:t>工作日内将所有设备运至甲方指定地点, 运费由乙方承担。</w:t>
      </w:r>
    </w:p>
    <w:p w14:paraId="0521EC1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rPr>
        <w:t>2、交货地点：</w:t>
      </w:r>
      <w:r>
        <w:rPr>
          <w:rFonts w:hint="eastAsia" w:ascii="宋体" w:hAnsi="宋体" w:eastAsia="宋体" w:cs="宋体"/>
          <w:color w:val="auto"/>
          <w:kern w:val="2"/>
          <w:szCs w:val="21"/>
          <w:highlight w:val="none"/>
          <w:u w:val="single"/>
        </w:rPr>
        <w:t xml:space="preserve"> 彬州市中医医院 </w:t>
      </w:r>
    </w:p>
    <w:p w14:paraId="016AE40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交货地址：</w:t>
      </w:r>
      <w:r>
        <w:rPr>
          <w:rFonts w:hint="eastAsia" w:ascii="宋体" w:hAnsi="宋体" w:eastAsia="宋体" w:cs="宋体"/>
          <w:color w:val="auto"/>
          <w:kern w:val="2"/>
          <w:szCs w:val="21"/>
          <w:highlight w:val="none"/>
          <w:u w:val="single"/>
        </w:rPr>
        <w:t xml:space="preserve"> 陕西省咸阳市彬州市中医医院 </w:t>
      </w:r>
      <w:r>
        <w:rPr>
          <w:rFonts w:hint="eastAsia" w:ascii="宋体" w:hAnsi="宋体" w:eastAsia="宋体" w:cs="宋体"/>
          <w:color w:val="auto"/>
          <w:kern w:val="2"/>
          <w:szCs w:val="21"/>
          <w:highlight w:val="none"/>
        </w:rPr>
        <w:tab/>
      </w:r>
    </w:p>
    <w:p w14:paraId="7CB9D64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收货经办人：</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rPr>
        <w:tab/>
      </w:r>
    </w:p>
    <w:p w14:paraId="005F1CF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u w:val="single"/>
        </w:rPr>
      </w:pPr>
      <w:r>
        <w:rPr>
          <w:rFonts w:hint="eastAsia" w:ascii="宋体" w:hAnsi="宋体" w:eastAsia="宋体" w:cs="宋体"/>
          <w:color w:val="auto"/>
          <w:kern w:val="2"/>
          <w:szCs w:val="21"/>
          <w:highlight w:val="none"/>
        </w:rPr>
        <w:t>收货联系电话：</w:t>
      </w:r>
      <w:r>
        <w:rPr>
          <w:rFonts w:hint="eastAsia" w:ascii="宋体" w:hAnsi="宋体" w:eastAsia="宋体" w:cs="宋体"/>
          <w:color w:val="auto"/>
          <w:kern w:val="2"/>
          <w:szCs w:val="21"/>
          <w:highlight w:val="none"/>
          <w:u w:val="single"/>
        </w:rPr>
        <w:t xml:space="preserve">                             </w:t>
      </w:r>
    </w:p>
    <w:p w14:paraId="5BE62E2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传真：</w:t>
      </w:r>
      <w:r>
        <w:rPr>
          <w:rFonts w:hint="eastAsia" w:ascii="宋体" w:hAnsi="宋体" w:eastAsia="宋体" w:cs="宋体"/>
          <w:color w:val="auto"/>
          <w:kern w:val="2"/>
          <w:szCs w:val="21"/>
          <w:highlight w:val="none"/>
          <w:u w:val="single"/>
        </w:rPr>
        <w:t xml:space="preserve">                                     </w:t>
      </w:r>
    </w:p>
    <w:p w14:paraId="2886726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3、甲方对乙方交付的合同设备，均应妥善接收。对误发或多发的设备，甲方应负责妥善保管（因此而产生的费用由乙方承担），并于到货之日起1（一）个工作日内及时通知给乙方，否则视为按合同价格接收。</w:t>
      </w:r>
    </w:p>
    <w:p w14:paraId="48DEC90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如甲方要求变更交货地点，应在合同规定的交货截止日期15（十五）个工作日前通知乙方。由于变更交货地址而增加的运保费由甲方负担。甲方未于上述期间通知乙方的，乙方有权自主选择送达原交货地或变更后的交货地点，甲方不得提出异议。而由此给乙方造成的损失，甲方予以赔偿。</w:t>
      </w:r>
    </w:p>
    <w:p w14:paraId="25D310EC">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第六条  双方权利与义务</w:t>
      </w:r>
    </w:p>
    <w:p w14:paraId="2D3CFF7C">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1、甲方</w:t>
      </w:r>
    </w:p>
    <w:p w14:paraId="1821F20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（1）配合乙方进行现场组织、管理和协调，并向乙方提供必要的工作环境和配合，及时依合同约定方式对乙方提供的执行文档进行确认；</w:t>
      </w:r>
    </w:p>
    <w:p w14:paraId="694F5A1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（2）及时向乙方提供系统实施所涉及的相关资料；</w:t>
      </w:r>
    </w:p>
    <w:p w14:paraId="2440639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（3）提供系统的验收环境，及时响应乙方验收申请；</w:t>
      </w:r>
    </w:p>
    <w:p w14:paraId="5538C6D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（4）在合同执行各阶段，按期向乙方付款。</w:t>
      </w:r>
    </w:p>
    <w:p w14:paraId="7E31B232">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2、乙方</w:t>
      </w:r>
    </w:p>
    <w:p w14:paraId="538E24E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（1）按照合同约定申请甲方及时付款。</w:t>
      </w:r>
    </w:p>
    <w:p w14:paraId="0F2B35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（2）按照合同约定时间，按甲方指定地点提供合同标的清单中全部软硬件的安装、调试服务，并负责提供甲方现场使用培训及日常维修、保养、咨询问题处理，保证使用人员正常操作各种功能。</w:t>
      </w:r>
    </w:p>
    <w:p w14:paraId="07BD7D9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（3）项目建设期间乙方人员须严格遵守甲方相关管理规定。</w:t>
      </w:r>
    </w:p>
    <w:p w14:paraId="0B8776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乙方负责所有货物的运输。确保货物安全、完整到达使用地点，运杂费用包含在总价内，包括货物从供货地点到使用地点的运输费、保险费、搬运费等。货交甲方验收合格之前运输过程中产生的一切风险均由乙方承担。</w:t>
      </w:r>
    </w:p>
    <w:p w14:paraId="66C6B2AB">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第七条  风险承担及设备验收</w:t>
      </w:r>
    </w:p>
    <w:p w14:paraId="6FC12D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设备在交付后的全部风险(如损坏、遗失等)由甲方承担，交付前的全部风险由乙方承担。</w:t>
      </w:r>
    </w:p>
    <w:p w14:paraId="610315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甲方应于设备交付后5（五）个工作日内组织验收，并出具设备验收报告或给予有效的验收确认。如甲方对设备有任何异议，应在设备交付后5（五）个工作日内以书面形式向乙方提出，逾期未提出异议视为设备验收合格。甲方应按本合同的规定向乙方支付设备验收阶段款项，否则承担逾期付款的违约责任。</w:t>
      </w:r>
    </w:p>
    <w:p w14:paraId="4E522CC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甲方提出的异议情况属实的，乙方应及时对设备进行修理、更换，或采取其他措施直至产品验收合格。在此期间，甲方对设备应妥善保存，以免损坏、遗失。</w:t>
      </w:r>
    </w:p>
    <w:p w14:paraId="418DD9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color w:val="auto"/>
          <w:kern w:val="2"/>
          <w:szCs w:val="21"/>
          <w:highlight w:val="none"/>
        </w:rPr>
        <w:t>4、 交付设备时，甲方或其指定的代表应检查设备品牌、原厂商、产地、规格型号、数量是否与本合同或装箱单等文件相符，相符的应予以签收。</w:t>
      </w:r>
    </w:p>
    <w:p w14:paraId="79E80280">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第八条  包装、质量标准及售后服务</w:t>
      </w:r>
    </w:p>
    <w:p w14:paraId="54B4E19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设备的包装以原厂商包装标准为准。</w:t>
      </w:r>
    </w:p>
    <w:p w14:paraId="3A3EFF5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设备的质量标准以原厂商在产品说明书中的规定为准。</w:t>
      </w:r>
    </w:p>
    <w:p w14:paraId="6686169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3、 </w:t>
      </w:r>
      <w:r>
        <w:rPr>
          <w:rFonts w:hint="eastAsia" w:ascii="宋体" w:hAnsi="宋体" w:eastAsia="宋体" w:cs="宋体"/>
          <w:color w:val="auto"/>
          <w:highlight w:val="none"/>
        </w:rPr>
        <w:t>所有软件系统的技术支持服务质保期（即免费维护期）为一年（自项目终验合格之日起算），硬件产品的技术支持服务质保期（即免费维护期）为三年（自硬件货到签收、开箱、正式上线后初验通过之日起计算），原厂商对保修期</w:t>
      </w:r>
      <w:r>
        <w:rPr>
          <w:rFonts w:hint="eastAsia" w:ascii="宋体" w:hAnsi="宋体" w:cs="宋体"/>
          <w:color w:val="auto"/>
          <w:highlight w:val="none"/>
          <w:lang w:val="en-US" w:eastAsia="zh-CN"/>
        </w:rPr>
        <w:t>的</w:t>
      </w:r>
      <w:r>
        <w:rPr>
          <w:rFonts w:hint="eastAsia" w:ascii="宋体" w:hAnsi="宋体" w:eastAsia="宋体" w:cs="宋体"/>
          <w:color w:val="auto"/>
          <w:highlight w:val="none"/>
        </w:rPr>
        <w:t>规定</w:t>
      </w:r>
      <w:r>
        <w:rPr>
          <w:rFonts w:hint="eastAsia" w:ascii="宋体" w:hAnsi="宋体" w:cs="宋体"/>
          <w:color w:val="auto"/>
          <w:highlight w:val="none"/>
          <w:lang w:val="en-US" w:eastAsia="zh-CN"/>
        </w:rPr>
        <w:t>优于招标文件</w:t>
      </w:r>
      <w:r>
        <w:rPr>
          <w:rFonts w:hint="eastAsia" w:ascii="宋体" w:hAnsi="宋体" w:eastAsia="宋体" w:cs="宋体"/>
          <w:color w:val="auto"/>
          <w:highlight w:val="none"/>
        </w:rPr>
        <w:t>的，按原厂商承诺的保修期执行。</w:t>
      </w:r>
    </w:p>
    <w:p w14:paraId="568CA3D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 乙方在设备保修期内为甲方提供下列服务项目：电话专线服务、电话技术指导、远程支持、现场支持、硬件维修。</w:t>
      </w:r>
    </w:p>
    <w:p w14:paraId="6C76C9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 在保修期内，乙方应迅速替换由于部件缺陷及制造工艺等问题而发生故障的产品。如因产品有设计、生产之缺陷而造成设备的性能和质量与合同规定不符，乙方有义务排除缺陷，修理或替换出现故障的部件、元件和设备。如因甲方使用或管理不当而出现故障，乙方无须承担责任，其修理及更换的所有费用由甲方自行承担。</w:t>
      </w:r>
    </w:p>
    <w:p w14:paraId="2420BF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6、 在保修期内，对于本合同中描述的非保修故障 ，乙方可以提供更换或维修服务，由此发生的费用由甲方承担。</w:t>
      </w:r>
    </w:p>
    <w:p w14:paraId="1760B3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7、 保修期期满后，乙方继续为甲方提供维护服务，由此发生的费用由甲方承担。甲方也可购买乙方的维护服务，并另行签订服务合同。</w:t>
      </w:r>
    </w:p>
    <w:p w14:paraId="73C8845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8、 非保修服务</w:t>
      </w:r>
    </w:p>
    <w:p w14:paraId="6E8A20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非保修服务范围包括但不限于以下情况：</w:t>
      </w:r>
    </w:p>
    <w:p w14:paraId="441643A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（1）本合同中所描述的不可抗力；</w:t>
      </w:r>
    </w:p>
    <w:p w14:paraId="252F486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（2）因甲方未按照乙方或乙方提供的技术资料中所列的用途和方法操作而引起的系统损坏；</w:t>
      </w:r>
    </w:p>
    <w:p w14:paraId="21F930E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lang w:val="en-GB"/>
        </w:rPr>
      </w:pPr>
      <w:r>
        <w:rPr>
          <w:rFonts w:hint="eastAsia" w:ascii="宋体" w:hAnsi="宋体" w:eastAsia="宋体" w:cs="宋体"/>
          <w:color w:val="auto"/>
          <w:kern w:val="2"/>
          <w:szCs w:val="21"/>
          <w:highlight w:val="none"/>
        </w:rPr>
        <w:t>（3）非乙方或乙方授权人员对设备进行的软硬件修改或其它操作而导致的设备损坏、故障或设备性能下降</w:t>
      </w:r>
      <w:r>
        <w:rPr>
          <w:rFonts w:hint="eastAsia" w:ascii="宋体" w:hAnsi="宋体" w:eastAsia="宋体" w:cs="宋体"/>
          <w:color w:val="auto"/>
          <w:kern w:val="2"/>
          <w:szCs w:val="21"/>
          <w:highlight w:val="none"/>
          <w:lang w:val="en-GB"/>
        </w:rPr>
        <w:t>；</w:t>
      </w:r>
    </w:p>
    <w:p w14:paraId="6FD591B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（4）由于甲方疏忽、误用、误操作或恶意使用等原因而导致设备损坏、发生故障或设备性能下降；</w:t>
      </w:r>
      <w:r>
        <w:rPr>
          <w:rFonts w:hint="eastAsia" w:ascii="宋体" w:hAnsi="宋体" w:eastAsia="宋体" w:cs="宋体"/>
          <w:color w:val="auto"/>
          <w:kern w:val="2"/>
          <w:szCs w:val="21"/>
          <w:highlight w:val="none"/>
        </w:rPr>
        <w:tab/>
      </w:r>
    </w:p>
    <w:p w14:paraId="6F44E39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（5）非保修服务范围内的设备，如外购配套设备、无法修复的部件等；</w:t>
      </w:r>
    </w:p>
    <w:p w14:paraId="40DCE3D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（6）设备被用来提供未包含于合同中的服务或功能；</w:t>
      </w:r>
    </w:p>
    <w:p w14:paraId="751E696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（7）甲方未能满足合同设备正常运行所需环境条件或外部电气参数等要求；</w:t>
      </w:r>
    </w:p>
    <w:p w14:paraId="2ABF7A2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（8）未经乙方同意，由非乙方安装或提供的附件、软件或其它材料被用于合同设备；</w:t>
      </w:r>
    </w:p>
    <w:p w14:paraId="0EBCFD7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（9）未经乙方同意，甲方将合同设备出让、租借、赠送给第三方。</w:t>
      </w:r>
    </w:p>
    <w:p w14:paraId="0354578F">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第九条  培训</w:t>
      </w:r>
      <w:r>
        <w:rPr>
          <w:rFonts w:hint="eastAsia" w:ascii="宋体" w:hAnsi="宋体" w:eastAsia="宋体" w:cs="宋体"/>
          <w:b/>
          <w:color w:val="auto"/>
          <w:kern w:val="2"/>
          <w:szCs w:val="21"/>
          <w:highlight w:val="none"/>
        </w:rPr>
        <w:tab/>
      </w:r>
    </w:p>
    <w:p w14:paraId="55AFCB8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1、 </w:t>
      </w:r>
      <w:bookmarkStart w:id="50" w:name="OLE_LINK3"/>
      <w:r>
        <w:rPr>
          <w:rFonts w:hint="eastAsia" w:ascii="宋体" w:hAnsi="宋体" w:eastAsia="宋体" w:cs="宋体"/>
          <w:color w:val="auto"/>
          <w:kern w:val="2"/>
          <w:szCs w:val="21"/>
          <w:highlight w:val="none"/>
        </w:rPr>
        <w:t>培训费用包括教学费、资料费。受训人员培训期间的食宿费以及其它费用甲方自理。</w:t>
      </w:r>
      <w:bookmarkEnd w:id="50"/>
    </w:p>
    <w:p w14:paraId="542119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为保证培训质量，甲方派出的受训人员应符合乙方对受训人员的资格要求。</w:t>
      </w:r>
    </w:p>
    <w:p w14:paraId="14CE9C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甲方须提前一个月向乙方当地办事处进行培训报名申请，乙方统一安排时间。</w:t>
      </w:r>
      <w:r>
        <w:rPr>
          <w:rFonts w:hint="eastAsia" w:ascii="宋体" w:hAnsi="宋体" w:eastAsia="宋体" w:cs="宋体"/>
          <w:color w:val="auto"/>
          <w:kern w:val="2"/>
          <w:szCs w:val="21"/>
          <w:highlight w:val="none"/>
        </w:rPr>
        <w:tab/>
      </w:r>
    </w:p>
    <w:p w14:paraId="5551D2FC">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 xml:space="preserve">第十条  安装调试、试运行和验收 </w:t>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r>
        <w:rPr>
          <w:rFonts w:hint="eastAsia" w:ascii="宋体" w:hAnsi="宋体" w:eastAsia="宋体" w:cs="宋体"/>
          <w:b/>
          <w:color w:val="auto"/>
          <w:kern w:val="2"/>
          <w:szCs w:val="21"/>
          <w:highlight w:val="none"/>
        </w:rPr>
        <w:tab/>
      </w:r>
    </w:p>
    <w:p w14:paraId="3F17EBA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eastAsia="宋体" w:cs="宋体"/>
          <w:b/>
          <w:color w:val="auto"/>
          <w:kern w:val="2"/>
          <w:szCs w:val="21"/>
          <w:highlight w:val="none"/>
        </w:rPr>
        <w:t xml:space="preserve">、 </w:t>
      </w:r>
      <w:r>
        <w:rPr>
          <w:rFonts w:hint="eastAsia" w:ascii="宋体" w:hAnsi="宋体" w:eastAsia="宋体" w:cs="宋体"/>
          <w:color w:val="auto"/>
          <w:kern w:val="2"/>
          <w:szCs w:val="21"/>
          <w:highlight w:val="none"/>
        </w:rPr>
        <w:t>甲乙双方将于合同生效后，各指定一名代表，处理自合同生效至合同系统保修期满内所有与合同系统相关的技术问题。双方本着密切合作的原则由双方代表制定具体安排，以完成上述工作。</w:t>
      </w:r>
    </w:p>
    <w:p w14:paraId="13B86B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 经双方确认的设计方案是进行系统安装施工的依据。系统安装施工前，乙方的技术人员应详细说明安装要求，以书面方式提出应由甲方提供的配合和需具备的条件。甲方应按照乙方的要求负责现场的准备工作,并在系统的安装施工和调试中按照乙方的要求给予全力配合。系统安装和调试完成之后，乙方应书面通知甲方，甲方于收到乙方书面通知后5（五）个工作日内组织验收，对初验测试的情况及结果进行书面确认。如结果符合要求，甲方和乙方签署《初验报告》或通过其他有效方式对验收结果进行确认，双方未能确认初验结果且甲方在乙方书面通知后十个工作日内未书面提出异议，视为初验通过，项目投入试运行。</w:t>
      </w:r>
    </w:p>
    <w:p w14:paraId="24F7E4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试运行自初验合格之日起起算，试运行期为 1（一）个月。在试运行期间内，如因乙方提供的合同设备的原因或乙方技术人员的错误致使合同系统不能满足技术要求时，乙方应迅速查明原因并解决，以保证试运行的正常进行。</w:t>
      </w:r>
    </w:p>
    <w:p w14:paraId="5500F41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 试运行期结束后10（十）个工作日内为验收期，双方应对试运行的情况进行有效确认，并在验收期内完成系统终验。当合同系统达到双方确认的验收标准时，双方应在验收结束后5（五）个工作日之内签署终验合格报告，或者以其他有效方式对验收结果予以确认。如甲方在验收期内未对验收结果进行有效确认，且未书面提出异议或者甲方已使用系统的，视为终验合格。</w:t>
      </w:r>
    </w:p>
    <w:p w14:paraId="20A0FF8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 如果由于乙方原因导致设备未能通过终验测试，乙方应排除设备故障，并承担相应费用；如果由于甲方原因导致设备未能通过最终验收测试，则甲方仍应签署乙方所提供的书面验收证明，并向乙方支付终验付款。</w:t>
      </w:r>
    </w:p>
    <w:p w14:paraId="5B78C55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6、 在系统安装施工、调试测试、试运行及最终验收过程中，如因设备的缺陷或乙方技术人员的错误致使设备损坏时，应由乙方负责对系统或损坏设备进行修理或更换，同时与甲方共同确定一个合理的验收时间。</w:t>
      </w:r>
    </w:p>
    <w:p w14:paraId="4336D9B8">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第十一条 环境管理要求</w:t>
      </w:r>
    </w:p>
    <w:p w14:paraId="2A4B362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乙方应保护施工现场环境，在施工中遵守国家地方现行的相关环境保护的标准</w:t>
      </w:r>
      <w:r>
        <w:rPr>
          <w:rFonts w:hint="eastAsia" w:ascii="宋体" w:hAnsi="宋体" w:eastAsia="宋体" w:cs="宋体"/>
          <w:color w:val="auto"/>
          <w:szCs w:val="21"/>
          <w:highlight w:val="none"/>
        </w:rPr>
        <w:t>和规定。</w:t>
      </w:r>
    </w:p>
    <w:p w14:paraId="2268FC2A">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第十二条  项目变更</w:t>
      </w:r>
    </w:p>
    <w:p w14:paraId="309E9F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如甲方提出项目变更，并因此影响项目进度的，乙方不承担任何责任。甲方理解并同意任何关于本项目的目标、内容、设备或实施材料的变更皆有可能导致乙方执行本合同的成本发生变化。乙方应于收到甲方的书面变更请求后7（七）个工作日内就该变更事项造成的成本变动（如果存在）以及相关的证明材料以书面方式告知甲方，甲方应于收到关于成本变动材料后7（七）个工作日内以书面方式给予答复或提出异议，由双方协议解决；甲方未能在此期限内以书面方式给予答复或提出异议的，乙方提出的成本变动报告即视为已被甲方认可。</w:t>
      </w:r>
    </w:p>
    <w:p w14:paraId="504AFCC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如乙方提出部分项目的变更建议，乙方应同时详细阐明该变更对合同价格、项目交付日期、软件性能、项目技术参数的影响以及对合同条款的影响等情况。甲方在收到乙方的上述变更建议后，应在7（七）个工作日内以书面形式通知乙方是否同意和接受乙方的上述变更建议。如果甲方接受乙方的上述建议，则双方对此变更建议以书面形式确认，双方按变更后的约定履行本合同。如甲方不同意乙方的上述建议，双方仍按原合同执行。</w:t>
      </w:r>
    </w:p>
    <w:p w14:paraId="67D0C8BE">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第十三条  违约责任</w:t>
      </w:r>
    </w:p>
    <w:p w14:paraId="4FB2086D">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1、甲方违约责任</w:t>
      </w:r>
    </w:p>
    <w:p w14:paraId="7BFA0A8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如甲方逾期支付合同款，则甲方从应付款之日三十日后起，每日按逾期付款部分的2 ‰（千分之二）计算向乙方支付违约金，此项违约金总额不超过合同总额的5％（百分之五），并且本合同中乙方对甲方的各项服务日期相应顺延。逾期付款超过2（二）个月，乙方有权单方解除本合同，并要求甲方赔偿损失。</w:t>
      </w:r>
    </w:p>
    <w:p w14:paraId="42738B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（2）甲方拒收货物或拖延收货，视为甲方单方解除合同，需向乙方支付合同总额50%（百分之五十）的违约金，原厂商规定不能退货的，甲方需承担乙方所有经济损失，包括但不限于采购成本和运保费等。</w:t>
      </w:r>
    </w:p>
    <w:p w14:paraId="65BF7E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（3）因甲方违约导致合同终止的，乙方有权向甲方收取已完成设备交付的货物所对应的全部货款及其他已履行部分的合同价款。</w:t>
      </w:r>
    </w:p>
    <w:p w14:paraId="7E6F0DA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color w:val="auto"/>
          <w:kern w:val="2"/>
          <w:szCs w:val="21"/>
          <w:highlight w:val="none"/>
        </w:rPr>
        <w:tab/>
      </w:r>
      <w:r>
        <w:rPr>
          <w:rFonts w:hint="eastAsia" w:ascii="宋体" w:hAnsi="宋体" w:eastAsia="宋体" w:cs="宋体"/>
          <w:b/>
          <w:color w:val="auto"/>
          <w:kern w:val="2"/>
          <w:szCs w:val="21"/>
          <w:highlight w:val="none"/>
        </w:rPr>
        <w:t>2、乙方违约责任</w:t>
      </w:r>
    </w:p>
    <w:p w14:paraId="056BA1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如因乙方责任，未按合同规定的交货日期向甲方交货时，则乙方应从规定交货之日三十日后起，每日按逾期移交设备款总值的2‰（千分之二）计算并向甲方支付违约金，此项违约金总额不超过逾期移交设备款总值的5％（百分之五）。</w:t>
      </w:r>
    </w:p>
    <w:p w14:paraId="0D1D94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甲方未按照乙方的要求进行配合、协助，或因系统安装施工、调试、试运行、验收中与甲方具有协作关系的第三方的原因导致期限延迟的，乙方不承担违约责任。</w:t>
      </w:r>
    </w:p>
    <w:p w14:paraId="42CDC63A">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第十四条  责任限制</w:t>
      </w:r>
    </w:p>
    <w:p w14:paraId="6B3A6A8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任何情况下，乙方无须就下列情形承担责任：</w:t>
      </w:r>
    </w:p>
    <w:p w14:paraId="3B156D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设备使用者操作不当或其他不可归责于乙方的原因，而导致设备损坏或其他损失；</w:t>
      </w:r>
    </w:p>
    <w:p w14:paraId="400915F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甲方与原厂商之间的售后服务事宜。</w:t>
      </w:r>
    </w:p>
    <w:p w14:paraId="379C38F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甲方未能按照本合同或附件中的约定预付货款，则乙方有权取消本合同或就本合同签订的任何订单，且对此无须承担任何责任，对于甲方按退货处理。</w:t>
      </w:r>
    </w:p>
    <w:p w14:paraId="7F4210DA">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第十五条  知识产权和保密</w:t>
      </w:r>
    </w:p>
    <w:p w14:paraId="248D73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乙方在履行本合同过程中所创造产生的所有知识产权，包括但不限于设计方案图纸、各种说明书、测试数据资料、计算机软件、技术诀窍以及其他技术文档，由乙方依法全部享有相应权利。甲方在本合同所涉及的系统的使用、维护范围内享有使用权。</w:t>
      </w:r>
    </w:p>
    <w:p w14:paraId="6184B8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甲方对前述知识产权信息负有保密义务，未经乙方书面许可，不得向任何第三方透露，亦不得用于本合同所涉及的系统之外的任何其他用途。</w:t>
      </w:r>
    </w:p>
    <w:p w14:paraId="3B96D41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对于任何一方因本合同的业务经营信息、内部管理方法、内部规章制度以及其他与企业经营相关的信息，相对方应当负有保密义务。未经许可，不得向任何第三方透露，不得将前述信息用于任何商业目的。</w:t>
      </w:r>
    </w:p>
    <w:p w14:paraId="24538E16">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第十六条  不可抗力</w:t>
      </w:r>
      <w:r>
        <w:rPr>
          <w:rFonts w:hint="eastAsia" w:ascii="宋体" w:hAnsi="宋体" w:eastAsia="宋体" w:cs="宋体"/>
          <w:b/>
          <w:color w:val="auto"/>
          <w:kern w:val="2"/>
          <w:szCs w:val="21"/>
          <w:highlight w:val="none"/>
        </w:rPr>
        <w:tab/>
      </w:r>
    </w:p>
    <w:p w14:paraId="347EB5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不可抗力事件系指在本合同签订后发生的、超出当事方控制力之外的、在签订本合同时无法预见的并且当事方不付出不合理的费用和/或损失便无法克服其后果的事件，即下述事件应被认定为不可抗力事件：火灾、水灾、地震、台风、自然灾害、战争、交通瘫痪、突发疫情等。</w:t>
      </w:r>
    </w:p>
    <w:p w14:paraId="7BF317D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任何一方在不可抗力的情况下延迟或不能履行其于本合同项下义务的，并在因不可抗力事件延迟或未履行本合同项下义务的限度内，不对另一方承担责任。主张不可抗力的一方有责任在发生不可抗力事件时采取适当的补救措施尽量减少不可抗力事件给合同双方带来的损失，因此支付的费用由合同双方依据受益比例合理分担。</w:t>
      </w:r>
    </w:p>
    <w:p w14:paraId="37E5A41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任何一方应在不可抗力发生后不迟于十四个工作日内，将不可抗力事件的发生、预计延续的时间书面通知另一方。</w:t>
      </w:r>
    </w:p>
    <w:p w14:paraId="7FD3CC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 如果不可抗力事件延续时间超过6（六）个月的，则任何一方均有权终止本合同的未执行部分。</w:t>
      </w:r>
    </w:p>
    <w:p w14:paraId="7B578BC0">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第十七条  争议的解决办法</w:t>
      </w:r>
    </w:p>
    <w:p w14:paraId="689950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color w:val="auto"/>
          <w:kern w:val="2"/>
          <w:szCs w:val="21"/>
          <w:highlight w:val="none"/>
        </w:rPr>
        <w:t>在本合同履行过程中如发生争议，双方应当协商解决。</w:t>
      </w:r>
    </w:p>
    <w:p w14:paraId="5CB782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双方不愿协商解决或者协商不成的，双方商定，由当地人民法院管辖。</w:t>
      </w:r>
    </w:p>
    <w:p w14:paraId="070B3B45">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第十八条  其他约定</w:t>
      </w:r>
    </w:p>
    <w:p w14:paraId="54ED7D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 本合同书一式四份，双方各执二份，自双方签字盖章后生效。</w:t>
      </w:r>
    </w:p>
    <w:p w14:paraId="360353A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 除双方在合同中规定的条款外，甲乙双方均认为有必要确定且双方均同意接受的与该交易相关的其他条款，均以合同附件或其他形式另行规定，并构成本合同不可分割之组成部分。</w:t>
      </w:r>
      <w:r>
        <w:rPr>
          <w:rFonts w:hint="eastAsia" w:ascii="宋体" w:hAnsi="宋体" w:eastAsia="宋体" w:cs="宋体"/>
          <w:bCs/>
          <w:color w:val="auto"/>
          <w:kern w:val="2"/>
          <w:szCs w:val="21"/>
          <w:highlight w:val="none"/>
        </w:rPr>
        <w:t>本合同内容与附件规定不一致的，以合同内容为准</w:t>
      </w:r>
      <w:r>
        <w:rPr>
          <w:rFonts w:hint="eastAsia" w:ascii="宋体" w:hAnsi="宋体" w:eastAsia="宋体" w:cs="宋体"/>
          <w:bCs/>
          <w:color w:val="auto"/>
          <w:kern w:val="2"/>
          <w:szCs w:val="21"/>
          <w:highlight w:val="none"/>
          <w:lang w:val="en-GB"/>
        </w:rPr>
        <w:t>。</w:t>
      </w:r>
    </w:p>
    <w:p w14:paraId="38AD97A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 甲乙双方对于合同履行过程的相关文档（包括但不限于交付书或收货收据、设备验收报告、初验报告、试运行报告、终验报告、服务报告等），以下确认方式均具有法律效力：加盖公章、加盖项目专用章、加盖使用部门或参与验收部门的部门印章；加盖验收专用章；合同约定的授权代表或者各方出具有效授权的授权代表签字；项目参与人员通过</w:t>
      </w:r>
      <w:r>
        <w:rPr>
          <w:rFonts w:hint="eastAsia" w:ascii="宋体" w:hAnsi="宋体" w:eastAsia="宋体" w:cs="宋体"/>
          <w:color w:val="auto"/>
          <w:szCs w:val="21"/>
          <w:highlight w:val="none"/>
        </w:rPr>
        <w:t>使用公司邮箱发送</w:t>
      </w:r>
      <w:r>
        <w:rPr>
          <w:rFonts w:hint="eastAsia" w:ascii="宋体" w:hAnsi="宋体" w:eastAsia="宋体" w:cs="宋体"/>
          <w:color w:val="auto"/>
          <w:kern w:val="2"/>
          <w:szCs w:val="21"/>
          <w:highlight w:val="none"/>
        </w:rPr>
        <w:t>邮件方式对于项目执行情况的确认；依合同约定逾期未提出书面异议视为验收通过的。</w:t>
      </w:r>
    </w:p>
    <w:p w14:paraId="76A05F1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 不论任何原因，在项目分阶段分批次履行的情况下，甲方需按乙方的履行节奏，对乙方分批次或分阶段进行设备交付或安装调试的货物予以设备验收及初验、试运行、终验、保修服务等履行结果的确认。该确认结论与本合同第七条、第十条的确认结论具有同等效力。</w:t>
      </w:r>
    </w:p>
    <w:p w14:paraId="016C419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 甲乙双方全部履行合同及相关附件规定的义务后，本合同自动终止。不论本合同是否有其他约定，任何原因（包括但不限于合同约定、双方协商一致、一方违约、第三方原因或不可抗力等）导致本合同提前终止或解除的，甲方均应于本合同终止或解除之日起10日内，按照合同第三条约定的设备清单价格标准，向乙方支付乙方已履行的内容（包括但不限于乙方已完成交付，或虽未完成交付但乙方为履行交付义务已经发生了采购或人员等成本的内容）对应的合同价款。</w:t>
      </w:r>
    </w:p>
    <w:p w14:paraId="311CB75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6、 本合同一经生效，非经甲乙双方签署同意，任何一方以任意方式对合同条款的增减及其他变更均无约束力。</w:t>
      </w:r>
    </w:p>
    <w:p w14:paraId="35B23F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7、 非经乙方书面同意，甲方无权转让本合同及该合同规定的全部或部分权利、义务。</w:t>
      </w:r>
    </w:p>
    <w:p w14:paraId="1240ADB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8、 甲方或乙方如无力偿还债务或进入破产程序，另一方都可决定解除本合同，但必须以书面通知对方。</w:t>
      </w:r>
    </w:p>
    <w:p w14:paraId="565619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9、 本合同的内容及其有关的附件是甲乙双方关于此次合作所最终确定的全部内容，双方均承认其已审阅、理解本合同及相关附件的内容，并同意取代甲乙双方之间此前关于此次合作所做出的任何口头或书面的承诺。</w:t>
      </w:r>
    </w:p>
    <w:p w14:paraId="401D4E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10、 甲方理解并同意，在未持有乙方出具的有效授权委托书（加盖乙方公章并由乙方法定代表人签字或签章），且双方未在本合同或其他生效文件中赋予指定人员相应权限时，乙方任何人员以口头或书面形式作出的可能导致乙方义务增加的承诺或行为均为其个人行为，甲方同意由此发生的所有法律后果都由其个人承担，无权向乙方主张任何权利。</w:t>
      </w:r>
    </w:p>
    <w:tbl>
      <w:tblPr>
        <w:tblStyle w:val="29"/>
        <w:tblW w:w="8819" w:type="dxa"/>
        <w:tblInd w:w="-35" w:type="dxa"/>
        <w:tblLayout w:type="fixed"/>
        <w:tblCellMar>
          <w:top w:w="0" w:type="dxa"/>
          <w:left w:w="0" w:type="dxa"/>
          <w:bottom w:w="0" w:type="dxa"/>
          <w:right w:w="0" w:type="dxa"/>
        </w:tblCellMar>
      </w:tblPr>
      <w:tblGrid>
        <w:gridCol w:w="800"/>
        <w:gridCol w:w="1620"/>
        <w:gridCol w:w="2445"/>
        <w:gridCol w:w="755"/>
        <w:gridCol w:w="900"/>
        <w:gridCol w:w="205"/>
        <w:gridCol w:w="335"/>
        <w:gridCol w:w="1759"/>
      </w:tblGrid>
      <w:tr w14:paraId="38D5FAFD">
        <w:tblPrEx>
          <w:tblCellMar>
            <w:top w:w="0" w:type="dxa"/>
            <w:left w:w="0" w:type="dxa"/>
            <w:bottom w:w="0" w:type="dxa"/>
            <w:right w:w="0" w:type="dxa"/>
          </w:tblCellMar>
        </w:tblPrEx>
        <w:trPr>
          <w:cantSplit/>
          <w:trHeight w:val="510" w:hRule="atLeast"/>
        </w:trPr>
        <w:tc>
          <w:tcPr>
            <w:tcW w:w="800"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F5ECF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甲 方</w:t>
            </w:r>
          </w:p>
        </w:tc>
        <w:tc>
          <w:tcPr>
            <w:tcW w:w="1620" w:type="dxa"/>
            <w:tcBorders>
              <w:top w:val="single" w:color="auto" w:sz="4" w:space="0"/>
              <w:left w:val="single" w:color="auto" w:sz="4" w:space="0"/>
              <w:bottom w:val="single" w:color="auto" w:sz="4" w:space="0"/>
              <w:right w:val="single" w:color="auto" w:sz="4" w:space="0"/>
            </w:tcBorders>
            <w:vAlign w:val="center"/>
          </w:tcPr>
          <w:p w14:paraId="333EFD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单位名称</w:t>
            </w:r>
          </w:p>
        </w:tc>
        <w:tc>
          <w:tcPr>
            <w:tcW w:w="6399" w:type="dxa"/>
            <w:gridSpan w:val="6"/>
            <w:tcBorders>
              <w:top w:val="single" w:color="auto" w:sz="4" w:space="0"/>
              <w:left w:val="nil"/>
              <w:bottom w:val="single" w:color="auto" w:sz="4" w:space="0"/>
              <w:right w:val="single" w:color="auto" w:sz="4" w:space="0"/>
            </w:tcBorders>
            <w:vAlign w:val="bottom"/>
          </w:tcPr>
          <w:p w14:paraId="1285EB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彬州市中医医院</w:t>
            </w:r>
          </w:p>
          <w:p w14:paraId="36B0D486">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(合同专用章)</w:t>
            </w:r>
          </w:p>
        </w:tc>
      </w:tr>
      <w:tr w14:paraId="3ABF71A1">
        <w:tblPrEx>
          <w:tblCellMar>
            <w:top w:w="0" w:type="dxa"/>
            <w:left w:w="0" w:type="dxa"/>
            <w:bottom w:w="0" w:type="dxa"/>
            <w:right w:w="0" w:type="dxa"/>
          </w:tblCellMar>
        </w:tblPrEx>
        <w:trPr>
          <w:cantSplit/>
          <w:trHeight w:val="51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040A7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single" w:color="auto" w:sz="4" w:space="0"/>
              <w:bottom w:val="single" w:color="auto" w:sz="4" w:space="0"/>
              <w:right w:val="single" w:color="auto" w:sz="4" w:space="0"/>
            </w:tcBorders>
            <w:vAlign w:val="center"/>
          </w:tcPr>
          <w:p w14:paraId="212BE5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法定代表人</w:t>
            </w:r>
          </w:p>
        </w:tc>
        <w:tc>
          <w:tcPr>
            <w:tcW w:w="2445" w:type="dxa"/>
            <w:tcBorders>
              <w:top w:val="single" w:color="auto" w:sz="4" w:space="0"/>
              <w:left w:val="nil"/>
              <w:bottom w:val="single" w:color="auto" w:sz="4" w:space="0"/>
              <w:right w:val="single" w:color="auto" w:sz="4" w:space="0"/>
            </w:tcBorders>
            <w:vAlign w:val="center"/>
          </w:tcPr>
          <w:p w14:paraId="2C2147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p w14:paraId="13B1E0FB">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(签章)</w:t>
            </w:r>
          </w:p>
        </w:tc>
        <w:tc>
          <w:tcPr>
            <w:tcW w:w="1860" w:type="dxa"/>
            <w:gridSpan w:val="3"/>
            <w:tcBorders>
              <w:top w:val="single" w:color="auto" w:sz="4" w:space="0"/>
              <w:left w:val="single" w:color="auto" w:sz="4" w:space="0"/>
              <w:bottom w:val="single" w:color="auto" w:sz="4" w:space="0"/>
              <w:right w:val="single" w:color="auto" w:sz="4" w:space="0"/>
            </w:tcBorders>
            <w:vAlign w:val="center"/>
          </w:tcPr>
          <w:p w14:paraId="2A10AE9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委托代理人</w:t>
            </w:r>
          </w:p>
        </w:tc>
        <w:tc>
          <w:tcPr>
            <w:tcW w:w="2094" w:type="dxa"/>
            <w:gridSpan w:val="2"/>
            <w:tcBorders>
              <w:top w:val="single" w:color="auto" w:sz="4" w:space="0"/>
              <w:left w:val="nil"/>
              <w:bottom w:val="single" w:color="auto" w:sz="4" w:space="0"/>
              <w:right w:val="single" w:color="auto" w:sz="4" w:space="0"/>
            </w:tcBorders>
            <w:vAlign w:val="bottom"/>
          </w:tcPr>
          <w:p w14:paraId="5D0598B0">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(签章)</w:t>
            </w:r>
          </w:p>
        </w:tc>
      </w:tr>
      <w:tr w14:paraId="5485946C">
        <w:tblPrEx>
          <w:tblCellMar>
            <w:top w:w="0" w:type="dxa"/>
            <w:left w:w="0" w:type="dxa"/>
            <w:bottom w:w="0" w:type="dxa"/>
            <w:right w:w="0" w:type="dxa"/>
          </w:tblCellMar>
        </w:tblPrEx>
        <w:trPr>
          <w:cantSplit/>
          <w:trHeight w:val="51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5D76F13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3710F9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联 系 人</w:t>
            </w:r>
          </w:p>
        </w:tc>
        <w:tc>
          <w:tcPr>
            <w:tcW w:w="6399" w:type="dxa"/>
            <w:gridSpan w:val="6"/>
            <w:tcBorders>
              <w:top w:val="single" w:color="auto" w:sz="4" w:space="0"/>
              <w:left w:val="nil"/>
              <w:bottom w:val="single" w:color="auto" w:sz="4" w:space="0"/>
              <w:right w:val="single" w:color="auto" w:sz="4" w:space="0"/>
            </w:tcBorders>
            <w:vAlign w:val="bottom"/>
          </w:tcPr>
          <w:p w14:paraId="213A4C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5EE66EFB">
        <w:tblPrEx>
          <w:tblCellMar>
            <w:top w:w="0" w:type="dxa"/>
            <w:left w:w="0" w:type="dxa"/>
            <w:bottom w:w="0" w:type="dxa"/>
            <w:right w:w="0" w:type="dxa"/>
          </w:tblCellMar>
        </w:tblPrEx>
        <w:trPr>
          <w:cantSplit/>
          <w:trHeight w:val="51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239BE86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bottom"/>
          </w:tcPr>
          <w:p w14:paraId="2F3054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通讯地址</w:t>
            </w:r>
          </w:p>
        </w:tc>
        <w:tc>
          <w:tcPr>
            <w:tcW w:w="6399" w:type="dxa"/>
            <w:gridSpan w:val="6"/>
            <w:tcBorders>
              <w:top w:val="single" w:color="auto" w:sz="4" w:space="0"/>
              <w:left w:val="nil"/>
              <w:bottom w:val="single" w:color="auto" w:sz="4" w:space="0"/>
              <w:right w:val="single" w:color="auto" w:sz="4" w:space="0"/>
            </w:tcBorders>
            <w:vAlign w:val="bottom"/>
          </w:tcPr>
          <w:p w14:paraId="6C2191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7726BA19">
        <w:tblPrEx>
          <w:tblCellMar>
            <w:top w:w="0" w:type="dxa"/>
            <w:left w:w="0" w:type="dxa"/>
            <w:bottom w:w="0" w:type="dxa"/>
            <w:right w:w="0" w:type="dxa"/>
          </w:tblCellMar>
        </w:tblPrEx>
        <w:trPr>
          <w:cantSplit/>
          <w:trHeight w:val="51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493C71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bottom"/>
          </w:tcPr>
          <w:p w14:paraId="2EED08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网   址</w:t>
            </w:r>
          </w:p>
        </w:tc>
        <w:tc>
          <w:tcPr>
            <w:tcW w:w="6399" w:type="dxa"/>
            <w:gridSpan w:val="6"/>
            <w:tcBorders>
              <w:top w:val="single" w:color="auto" w:sz="4" w:space="0"/>
              <w:left w:val="nil"/>
              <w:bottom w:val="single" w:color="auto" w:sz="4" w:space="0"/>
              <w:right w:val="single" w:color="auto" w:sz="4" w:space="0"/>
            </w:tcBorders>
            <w:vAlign w:val="bottom"/>
          </w:tcPr>
          <w:p w14:paraId="5664E1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6068AF5A">
        <w:tblPrEx>
          <w:tblCellMar>
            <w:top w:w="0" w:type="dxa"/>
            <w:left w:w="0" w:type="dxa"/>
            <w:bottom w:w="0" w:type="dxa"/>
            <w:right w:w="0" w:type="dxa"/>
          </w:tblCellMar>
        </w:tblPrEx>
        <w:trPr>
          <w:cantSplit/>
          <w:trHeight w:val="51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23BE40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54CE8B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电   话</w:t>
            </w:r>
          </w:p>
        </w:tc>
        <w:tc>
          <w:tcPr>
            <w:tcW w:w="2445" w:type="dxa"/>
            <w:tcBorders>
              <w:top w:val="single" w:color="auto" w:sz="4" w:space="0"/>
              <w:left w:val="nil"/>
              <w:bottom w:val="single" w:color="auto" w:sz="4" w:space="0"/>
              <w:right w:val="single" w:color="auto" w:sz="4" w:space="0"/>
            </w:tcBorders>
            <w:vAlign w:val="center"/>
          </w:tcPr>
          <w:p w14:paraId="12C8F7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c>
          <w:tcPr>
            <w:tcW w:w="1860" w:type="dxa"/>
            <w:gridSpan w:val="3"/>
            <w:tcBorders>
              <w:top w:val="single" w:color="auto" w:sz="4" w:space="0"/>
              <w:left w:val="nil"/>
              <w:bottom w:val="single" w:color="auto" w:sz="4" w:space="0"/>
              <w:right w:val="single" w:color="auto" w:sz="4" w:space="0"/>
            </w:tcBorders>
            <w:vAlign w:val="center"/>
          </w:tcPr>
          <w:p w14:paraId="42DAF7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传   真</w:t>
            </w:r>
          </w:p>
        </w:tc>
        <w:tc>
          <w:tcPr>
            <w:tcW w:w="2094" w:type="dxa"/>
            <w:gridSpan w:val="2"/>
            <w:tcBorders>
              <w:top w:val="single" w:color="auto" w:sz="4" w:space="0"/>
              <w:left w:val="nil"/>
              <w:bottom w:val="single" w:color="auto" w:sz="4" w:space="0"/>
              <w:right w:val="single" w:color="auto" w:sz="4" w:space="0"/>
            </w:tcBorders>
            <w:vAlign w:val="bottom"/>
          </w:tcPr>
          <w:p w14:paraId="655DF4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6763237A">
        <w:tblPrEx>
          <w:tblCellMar>
            <w:top w:w="0" w:type="dxa"/>
            <w:left w:w="0" w:type="dxa"/>
            <w:bottom w:w="0" w:type="dxa"/>
            <w:right w:w="0" w:type="dxa"/>
          </w:tblCellMar>
        </w:tblPrEx>
        <w:trPr>
          <w:cantSplit/>
          <w:trHeight w:val="51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2B1BE99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68DDDE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开户银行</w:t>
            </w:r>
          </w:p>
        </w:tc>
        <w:tc>
          <w:tcPr>
            <w:tcW w:w="6399" w:type="dxa"/>
            <w:gridSpan w:val="6"/>
            <w:tcBorders>
              <w:top w:val="single" w:color="auto" w:sz="4" w:space="0"/>
              <w:left w:val="nil"/>
              <w:bottom w:val="single" w:color="auto" w:sz="4" w:space="0"/>
              <w:right w:val="single" w:color="auto" w:sz="4" w:space="0"/>
            </w:tcBorders>
            <w:vAlign w:val="center"/>
          </w:tcPr>
          <w:p w14:paraId="22A678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21E7810D">
        <w:tblPrEx>
          <w:tblCellMar>
            <w:top w:w="0" w:type="dxa"/>
            <w:left w:w="0" w:type="dxa"/>
            <w:bottom w:w="0" w:type="dxa"/>
            <w:right w:w="0" w:type="dxa"/>
          </w:tblCellMar>
        </w:tblPrEx>
        <w:trPr>
          <w:cantSplit/>
          <w:trHeight w:val="51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6154ED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123807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账   号</w:t>
            </w:r>
          </w:p>
        </w:tc>
        <w:tc>
          <w:tcPr>
            <w:tcW w:w="2445" w:type="dxa"/>
            <w:tcBorders>
              <w:top w:val="single" w:color="auto" w:sz="4" w:space="0"/>
              <w:left w:val="nil"/>
              <w:bottom w:val="single" w:color="auto" w:sz="4" w:space="0"/>
              <w:right w:val="single" w:color="auto" w:sz="4" w:space="0"/>
            </w:tcBorders>
            <w:vAlign w:val="center"/>
          </w:tcPr>
          <w:p w14:paraId="0A8DE6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c>
          <w:tcPr>
            <w:tcW w:w="1860" w:type="dxa"/>
            <w:gridSpan w:val="3"/>
            <w:tcBorders>
              <w:top w:val="single" w:color="auto" w:sz="4" w:space="0"/>
              <w:left w:val="nil"/>
              <w:bottom w:val="single" w:color="auto" w:sz="4" w:space="0"/>
              <w:right w:val="single" w:color="auto" w:sz="4" w:space="0"/>
            </w:tcBorders>
            <w:vAlign w:val="center"/>
          </w:tcPr>
          <w:p w14:paraId="00DB49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邮政编码</w:t>
            </w:r>
          </w:p>
        </w:tc>
        <w:tc>
          <w:tcPr>
            <w:tcW w:w="2094" w:type="dxa"/>
            <w:gridSpan w:val="2"/>
            <w:tcBorders>
              <w:top w:val="single" w:color="auto" w:sz="4" w:space="0"/>
              <w:left w:val="nil"/>
              <w:bottom w:val="single" w:color="auto" w:sz="4" w:space="0"/>
              <w:right w:val="single" w:color="auto" w:sz="4" w:space="0"/>
            </w:tcBorders>
            <w:vAlign w:val="bottom"/>
          </w:tcPr>
          <w:p w14:paraId="77A221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360884D0">
        <w:tblPrEx>
          <w:tblCellMar>
            <w:top w:w="0" w:type="dxa"/>
            <w:left w:w="0" w:type="dxa"/>
            <w:bottom w:w="0" w:type="dxa"/>
            <w:right w:w="0" w:type="dxa"/>
          </w:tblCellMar>
        </w:tblPrEx>
        <w:trPr>
          <w:cantSplit/>
          <w:trHeight w:val="510" w:hRule="atLeast"/>
        </w:trPr>
        <w:tc>
          <w:tcPr>
            <w:tcW w:w="800" w:type="dxa"/>
            <w:vMerge w:val="restart"/>
            <w:tcBorders>
              <w:top w:val="nil"/>
              <w:left w:val="single" w:color="auto" w:sz="4" w:space="0"/>
              <w:bottom w:val="single" w:color="auto" w:sz="4" w:space="0"/>
              <w:right w:val="single" w:color="auto" w:sz="4" w:space="0"/>
            </w:tcBorders>
            <w:textDirection w:val="tbRlV"/>
            <w:vAlign w:val="center"/>
          </w:tcPr>
          <w:p w14:paraId="494E83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乙 方</w:t>
            </w:r>
          </w:p>
        </w:tc>
        <w:tc>
          <w:tcPr>
            <w:tcW w:w="1620" w:type="dxa"/>
            <w:tcBorders>
              <w:top w:val="nil"/>
              <w:left w:val="single" w:color="auto" w:sz="4" w:space="0"/>
              <w:bottom w:val="single" w:color="auto" w:sz="4" w:space="0"/>
              <w:right w:val="single" w:color="auto" w:sz="4" w:space="0"/>
            </w:tcBorders>
            <w:vAlign w:val="center"/>
          </w:tcPr>
          <w:p w14:paraId="641D4C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单位名称</w:t>
            </w:r>
          </w:p>
        </w:tc>
        <w:tc>
          <w:tcPr>
            <w:tcW w:w="6399" w:type="dxa"/>
            <w:gridSpan w:val="6"/>
            <w:tcBorders>
              <w:top w:val="single" w:color="auto" w:sz="4" w:space="0"/>
              <w:left w:val="single" w:color="auto" w:sz="4" w:space="0"/>
              <w:bottom w:val="single" w:color="auto" w:sz="4" w:space="0"/>
              <w:right w:val="single" w:color="auto" w:sz="4" w:space="0"/>
            </w:tcBorders>
            <w:vAlign w:val="center"/>
          </w:tcPr>
          <w:p w14:paraId="5309B243">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 (合同专用章)</w:t>
            </w:r>
          </w:p>
        </w:tc>
      </w:tr>
      <w:tr w14:paraId="3ADC99CB">
        <w:tblPrEx>
          <w:tblCellMar>
            <w:top w:w="0" w:type="dxa"/>
            <w:left w:w="0" w:type="dxa"/>
            <w:bottom w:w="0" w:type="dxa"/>
            <w:right w:w="0" w:type="dxa"/>
          </w:tblCellMar>
        </w:tblPrEx>
        <w:trPr>
          <w:cantSplit/>
          <w:trHeight w:val="510" w:hRule="atLeast"/>
        </w:trPr>
        <w:tc>
          <w:tcPr>
            <w:tcW w:w="800" w:type="dxa"/>
            <w:vMerge w:val="continue"/>
            <w:tcBorders>
              <w:top w:val="nil"/>
              <w:left w:val="single" w:color="auto" w:sz="4" w:space="0"/>
              <w:bottom w:val="single" w:color="auto" w:sz="4" w:space="0"/>
              <w:right w:val="single" w:color="auto" w:sz="4" w:space="0"/>
            </w:tcBorders>
            <w:vAlign w:val="center"/>
          </w:tcPr>
          <w:p w14:paraId="7FDBFC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single" w:color="auto" w:sz="4" w:space="0"/>
              <w:bottom w:val="single" w:color="auto" w:sz="4" w:space="0"/>
              <w:right w:val="single" w:color="auto" w:sz="4" w:space="0"/>
            </w:tcBorders>
            <w:vAlign w:val="center"/>
          </w:tcPr>
          <w:p w14:paraId="357470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法定代表人</w:t>
            </w:r>
          </w:p>
        </w:tc>
        <w:tc>
          <w:tcPr>
            <w:tcW w:w="2445" w:type="dxa"/>
            <w:tcBorders>
              <w:top w:val="single" w:color="auto" w:sz="4" w:space="0"/>
              <w:left w:val="nil"/>
              <w:bottom w:val="single" w:color="auto" w:sz="4" w:space="0"/>
              <w:right w:val="single" w:color="auto" w:sz="4" w:space="0"/>
            </w:tcBorders>
            <w:vAlign w:val="center"/>
          </w:tcPr>
          <w:p w14:paraId="4F12C9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p w14:paraId="1EBBBB21">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(签章)</w:t>
            </w:r>
          </w:p>
        </w:tc>
        <w:tc>
          <w:tcPr>
            <w:tcW w:w="1860" w:type="dxa"/>
            <w:gridSpan w:val="3"/>
            <w:tcBorders>
              <w:top w:val="single" w:color="auto" w:sz="4" w:space="0"/>
              <w:left w:val="single" w:color="auto" w:sz="4" w:space="0"/>
              <w:bottom w:val="single" w:color="auto" w:sz="4" w:space="0"/>
              <w:right w:val="single" w:color="auto" w:sz="4" w:space="0"/>
            </w:tcBorders>
            <w:vAlign w:val="center"/>
          </w:tcPr>
          <w:p w14:paraId="2306B2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委托代理人</w:t>
            </w:r>
          </w:p>
        </w:tc>
        <w:tc>
          <w:tcPr>
            <w:tcW w:w="2094" w:type="dxa"/>
            <w:gridSpan w:val="2"/>
            <w:tcBorders>
              <w:top w:val="single" w:color="auto" w:sz="4" w:space="0"/>
              <w:left w:val="nil"/>
              <w:bottom w:val="single" w:color="auto" w:sz="4" w:space="0"/>
              <w:right w:val="single" w:color="auto" w:sz="4" w:space="0"/>
            </w:tcBorders>
            <w:vAlign w:val="bottom"/>
          </w:tcPr>
          <w:p w14:paraId="52F2776E">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 (签章)</w:t>
            </w:r>
          </w:p>
        </w:tc>
      </w:tr>
      <w:tr w14:paraId="402DF557">
        <w:tblPrEx>
          <w:tblCellMar>
            <w:top w:w="0" w:type="dxa"/>
            <w:left w:w="0" w:type="dxa"/>
            <w:bottom w:w="0" w:type="dxa"/>
            <w:right w:w="0" w:type="dxa"/>
          </w:tblCellMar>
        </w:tblPrEx>
        <w:trPr>
          <w:cantSplit/>
          <w:trHeight w:val="510" w:hRule="atLeast"/>
        </w:trPr>
        <w:tc>
          <w:tcPr>
            <w:tcW w:w="800" w:type="dxa"/>
            <w:vMerge w:val="continue"/>
            <w:tcBorders>
              <w:top w:val="nil"/>
              <w:left w:val="single" w:color="auto" w:sz="4" w:space="0"/>
              <w:bottom w:val="single" w:color="auto" w:sz="4" w:space="0"/>
              <w:right w:val="single" w:color="auto" w:sz="4" w:space="0"/>
            </w:tcBorders>
            <w:vAlign w:val="center"/>
          </w:tcPr>
          <w:p w14:paraId="3C04CAA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1EDE39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联 系 人</w:t>
            </w:r>
          </w:p>
        </w:tc>
        <w:tc>
          <w:tcPr>
            <w:tcW w:w="6399" w:type="dxa"/>
            <w:gridSpan w:val="6"/>
            <w:tcBorders>
              <w:top w:val="single" w:color="auto" w:sz="4" w:space="0"/>
              <w:left w:val="nil"/>
              <w:bottom w:val="single" w:color="auto" w:sz="4" w:space="0"/>
              <w:right w:val="single" w:color="auto" w:sz="4" w:space="0"/>
            </w:tcBorders>
            <w:vAlign w:val="center"/>
          </w:tcPr>
          <w:p w14:paraId="4E58CF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22BF8517">
        <w:tblPrEx>
          <w:tblCellMar>
            <w:top w:w="0" w:type="dxa"/>
            <w:left w:w="0" w:type="dxa"/>
            <w:bottom w:w="0" w:type="dxa"/>
            <w:right w:w="0" w:type="dxa"/>
          </w:tblCellMar>
        </w:tblPrEx>
        <w:trPr>
          <w:cantSplit/>
          <w:trHeight w:val="510" w:hRule="atLeast"/>
        </w:trPr>
        <w:tc>
          <w:tcPr>
            <w:tcW w:w="800" w:type="dxa"/>
            <w:vMerge w:val="continue"/>
            <w:tcBorders>
              <w:top w:val="nil"/>
              <w:left w:val="single" w:color="auto" w:sz="4" w:space="0"/>
              <w:bottom w:val="single" w:color="auto" w:sz="4" w:space="0"/>
              <w:right w:val="single" w:color="auto" w:sz="4" w:space="0"/>
            </w:tcBorders>
            <w:vAlign w:val="center"/>
          </w:tcPr>
          <w:p w14:paraId="3E29EB9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693ECE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通讯地址</w:t>
            </w:r>
          </w:p>
        </w:tc>
        <w:tc>
          <w:tcPr>
            <w:tcW w:w="6399" w:type="dxa"/>
            <w:gridSpan w:val="6"/>
            <w:tcBorders>
              <w:top w:val="single" w:color="auto" w:sz="4" w:space="0"/>
              <w:left w:val="nil"/>
              <w:bottom w:val="single" w:color="auto" w:sz="4" w:space="0"/>
              <w:right w:val="single" w:color="auto" w:sz="4" w:space="0"/>
            </w:tcBorders>
            <w:vAlign w:val="center"/>
          </w:tcPr>
          <w:p w14:paraId="29905F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36B04474">
        <w:tblPrEx>
          <w:tblCellMar>
            <w:top w:w="0" w:type="dxa"/>
            <w:left w:w="0" w:type="dxa"/>
            <w:bottom w:w="0" w:type="dxa"/>
            <w:right w:w="0" w:type="dxa"/>
          </w:tblCellMar>
        </w:tblPrEx>
        <w:trPr>
          <w:cantSplit/>
          <w:trHeight w:val="510" w:hRule="atLeast"/>
        </w:trPr>
        <w:tc>
          <w:tcPr>
            <w:tcW w:w="800" w:type="dxa"/>
            <w:vMerge w:val="continue"/>
            <w:tcBorders>
              <w:top w:val="nil"/>
              <w:left w:val="single" w:color="auto" w:sz="4" w:space="0"/>
              <w:bottom w:val="single" w:color="auto" w:sz="4" w:space="0"/>
              <w:right w:val="single" w:color="auto" w:sz="4" w:space="0"/>
            </w:tcBorders>
            <w:vAlign w:val="center"/>
          </w:tcPr>
          <w:p w14:paraId="286199D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4356FE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网   址</w:t>
            </w:r>
          </w:p>
        </w:tc>
        <w:tc>
          <w:tcPr>
            <w:tcW w:w="6399" w:type="dxa"/>
            <w:gridSpan w:val="6"/>
            <w:tcBorders>
              <w:top w:val="single" w:color="auto" w:sz="4" w:space="0"/>
              <w:left w:val="nil"/>
              <w:bottom w:val="single" w:color="auto" w:sz="4" w:space="0"/>
              <w:right w:val="single" w:color="auto" w:sz="4" w:space="0"/>
            </w:tcBorders>
            <w:vAlign w:val="center"/>
          </w:tcPr>
          <w:p w14:paraId="7B7446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1E87179B">
        <w:tblPrEx>
          <w:tblCellMar>
            <w:top w:w="0" w:type="dxa"/>
            <w:left w:w="0" w:type="dxa"/>
            <w:bottom w:w="0" w:type="dxa"/>
            <w:right w:w="0" w:type="dxa"/>
          </w:tblCellMar>
        </w:tblPrEx>
        <w:trPr>
          <w:cantSplit/>
          <w:trHeight w:val="510" w:hRule="atLeast"/>
        </w:trPr>
        <w:tc>
          <w:tcPr>
            <w:tcW w:w="800" w:type="dxa"/>
            <w:vMerge w:val="continue"/>
            <w:tcBorders>
              <w:top w:val="nil"/>
              <w:left w:val="single" w:color="auto" w:sz="4" w:space="0"/>
              <w:bottom w:val="single" w:color="auto" w:sz="4" w:space="0"/>
              <w:right w:val="single" w:color="auto" w:sz="4" w:space="0"/>
            </w:tcBorders>
            <w:vAlign w:val="center"/>
          </w:tcPr>
          <w:p w14:paraId="233EE6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3F3051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电   话</w:t>
            </w:r>
          </w:p>
        </w:tc>
        <w:tc>
          <w:tcPr>
            <w:tcW w:w="2445" w:type="dxa"/>
            <w:tcBorders>
              <w:top w:val="single" w:color="auto" w:sz="4" w:space="0"/>
              <w:left w:val="nil"/>
              <w:bottom w:val="single" w:color="auto" w:sz="4" w:space="0"/>
              <w:right w:val="single" w:color="auto" w:sz="4" w:space="0"/>
            </w:tcBorders>
            <w:vAlign w:val="center"/>
          </w:tcPr>
          <w:p w14:paraId="3BAEA5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c>
          <w:tcPr>
            <w:tcW w:w="1655" w:type="dxa"/>
            <w:gridSpan w:val="2"/>
            <w:tcBorders>
              <w:top w:val="single" w:color="auto" w:sz="4" w:space="0"/>
              <w:left w:val="nil"/>
              <w:bottom w:val="single" w:color="auto" w:sz="4" w:space="0"/>
              <w:right w:val="single" w:color="auto" w:sz="4" w:space="0"/>
            </w:tcBorders>
            <w:vAlign w:val="center"/>
          </w:tcPr>
          <w:p w14:paraId="35FF6B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传   真</w:t>
            </w:r>
          </w:p>
        </w:tc>
        <w:tc>
          <w:tcPr>
            <w:tcW w:w="2299" w:type="dxa"/>
            <w:gridSpan w:val="3"/>
            <w:tcBorders>
              <w:top w:val="single" w:color="auto" w:sz="4" w:space="0"/>
              <w:left w:val="nil"/>
              <w:bottom w:val="single" w:color="auto" w:sz="4" w:space="0"/>
              <w:right w:val="single" w:color="auto" w:sz="4" w:space="0"/>
            </w:tcBorders>
            <w:vAlign w:val="center"/>
          </w:tcPr>
          <w:p w14:paraId="22BF43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2257B130">
        <w:tblPrEx>
          <w:tblCellMar>
            <w:top w:w="0" w:type="dxa"/>
            <w:left w:w="0" w:type="dxa"/>
            <w:bottom w:w="0" w:type="dxa"/>
            <w:right w:w="0" w:type="dxa"/>
          </w:tblCellMar>
        </w:tblPrEx>
        <w:trPr>
          <w:cantSplit/>
          <w:trHeight w:val="510" w:hRule="atLeast"/>
        </w:trPr>
        <w:tc>
          <w:tcPr>
            <w:tcW w:w="800" w:type="dxa"/>
            <w:vMerge w:val="continue"/>
            <w:tcBorders>
              <w:top w:val="nil"/>
              <w:left w:val="single" w:color="auto" w:sz="4" w:space="0"/>
              <w:bottom w:val="single" w:color="auto" w:sz="4" w:space="0"/>
              <w:right w:val="single" w:color="auto" w:sz="4" w:space="0"/>
            </w:tcBorders>
            <w:vAlign w:val="center"/>
          </w:tcPr>
          <w:p w14:paraId="3FA1553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2B4F43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开户银行</w:t>
            </w:r>
          </w:p>
        </w:tc>
        <w:tc>
          <w:tcPr>
            <w:tcW w:w="6399" w:type="dxa"/>
            <w:gridSpan w:val="6"/>
            <w:tcBorders>
              <w:top w:val="single" w:color="auto" w:sz="4" w:space="0"/>
              <w:left w:val="nil"/>
              <w:bottom w:val="single" w:color="auto" w:sz="4" w:space="0"/>
              <w:right w:val="single" w:color="auto" w:sz="4" w:space="0"/>
            </w:tcBorders>
            <w:vAlign w:val="center"/>
          </w:tcPr>
          <w:p w14:paraId="1AD2C1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r w14:paraId="3BFFCDBD">
        <w:tblPrEx>
          <w:tblCellMar>
            <w:top w:w="0" w:type="dxa"/>
            <w:left w:w="0" w:type="dxa"/>
            <w:bottom w:w="0" w:type="dxa"/>
            <w:right w:w="0" w:type="dxa"/>
          </w:tblCellMar>
        </w:tblPrEx>
        <w:trPr>
          <w:cantSplit/>
          <w:trHeight w:val="510" w:hRule="atLeast"/>
        </w:trPr>
        <w:tc>
          <w:tcPr>
            <w:tcW w:w="800" w:type="dxa"/>
            <w:vMerge w:val="continue"/>
            <w:tcBorders>
              <w:top w:val="nil"/>
              <w:left w:val="single" w:color="auto" w:sz="4" w:space="0"/>
              <w:bottom w:val="single" w:color="auto" w:sz="4" w:space="0"/>
              <w:right w:val="single" w:color="auto" w:sz="4" w:space="0"/>
            </w:tcBorders>
            <w:vAlign w:val="center"/>
          </w:tcPr>
          <w:p w14:paraId="193541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Cs w:val="21"/>
                <w:highlight w:val="none"/>
              </w:rPr>
            </w:pPr>
          </w:p>
        </w:tc>
        <w:tc>
          <w:tcPr>
            <w:tcW w:w="1620" w:type="dxa"/>
            <w:tcBorders>
              <w:top w:val="nil"/>
              <w:left w:val="nil"/>
              <w:bottom w:val="single" w:color="auto" w:sz="4" w:space="0"/>
              <w:right w:val="single" w:color="auto" w:sz="4" w:space="0"/>
            </w:tcBorders>
            <w:vAlign w:val="center"/>
          </w:tcPr>
          <w:p w14:paraId="2B0D55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账   号</w:t>
            </w:r>
          </w:p>
        </w:tc>
        <w:tc>
          <w:tcPr>
            <w:tcW w:w="3200" w:type="dxa"/>
            <w:gridSpan w:val="2"/>
            <w:tcBorders>
              <w:top w:val="single" w:color="auto" w:sz="4" w:space="0"/>
              <w:left w:val="nil"/>
              <w:bottom w:val="single" w:color="auto" w:sz="4" w:space="0"/>
              <w:right w:val="single" w:color="auto" w:sz="4" w:space="0"/>
            </w:tcBorders>
            <w:vAlign w:val="center"/>
          </w:tcPr>
          <w:p w14:paraId="39980D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c>
          <w:tcPr>
            <w:tcW w:w="1440" w:type="dxa"/>
            <w:gridSpan w:val="3"/>
            <w:tcBorders>
              <w:top w:val="single" w:color="auto" w:sz="4" w:space="0"/>
              <w:left w:val="nil"/>
              <w:bottom w:val="single" w:color="auto" w:sz="4" w:space="0"/>
              <w:right w:val="single" w:color="auto" w:sz="4" w:space="0"/>
            </w:tcBorders>
            <w:vAlign w:val="center"/>
          </w:tcPr>
          <w:p w14:paraId="194B4E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邮政编码</w:t>
            </w:r>
          </w:p>
        </w:tc>
        <w:tc>
          <w:tcPr>
            <w:tcW w:w="1759" w:type="dxa"/>
            <w:tcBorders>
              <w:top w:val="single" w:color="auto" w:sz="4" w:space="0"/>
              <w:left w:val="nil"/>
              <w:bottom w:val="single" w:color="auto" w:sz="4" w:space="0"/>
              <w:right w:val="single" w:color="auto" w:sz="4" w:space="0"/>
            </w:tcBorders>
            <w:vAlign w:val="center"/>
          </w:tcPr>
          <w:p w14:paraId="790125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Cs w:val="21"/>
                <w:highlight w:val="none"/>
              </w:rPr>
            </w:pPr>
          </w:p>
        </w:tc>
      </w:tr>
    </w:tbl>
    <w:p w14:paraId="621B40E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rPr>
        <w:t>附件  合同内容清单</w:t>
      </w:r>
    </w:p>
    <w:p w14:paraId="1C7EBE22">
      <w:pPr>
        <w:keepNext w:val="0"/>
        <w:keepLines w:val="0"/>
        <w:pageBreakBefore w:val="0"/>
        <w:wordWrap/>
        <w:overflowPunct/>
        <w:topLinePunct w:val="0"/>
        <w:bidi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DA39A48">
      <w:pPr>
        <w:pStyle w:val="2"/>
        <w:numPr>
          <w:ilvl w:val="0"/>
          <w:numId w:val="0"/>
        </w:numPr>
        <w:bidi w:val="0"/>
        <w:rPr>
          <w:rFonts w:hint="eastAsia" w:ascii="宋体" w:hAnsi="宋体" w:eastAsia="宋体" w:cs="宋体"/>
          <w:color w:val="auto"/>
          <w:highlight w:val="none"/>
          <w:lang w:val="en-US" w:eastAsia="zh-CN"/>
        </w:rPr>
      </w:pPr>
      <w:bookmarkStart w:id="51" w:name="_Toc9007"/>
      <w:r>
        <w:rPr>
          <w:rFonts w:hint="eastAsia" w:ascii="宋体" w:hAnsi="宋体" w:eastAsia="宋体" w:cs="宋体"/>
          <w:b/>
          <w:color w:val="auto"/>
          <w:kern w:val="44"/>
          <w:sz w:val="36"/>
          <w:szCs w:val="22"/>
          <w:highlight w:val="none"/>
          <w:u w:color="000000"/>
          <w:lang w:val="en-US" w:eastAsia="zh-CN" w:bidi="ar-SA"/>
        </w:rPr>
        <w:t>第六部分</w:t>
      </w:r>
      <w:r>
        <w:rPr>
          <w:rFonts w:hint="eastAsia" w:ascii="宋体" w:hAnsi="宋体" w:eastAsia="宋体" w:cs="宋体"/>
          <w:color w:val="auto"/>
          <w:highlight w:val="none"/>
          <w:lang w:val="zh-CN"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投标文件格式</w:t>
      </w:r>
      <w:bookmarkEnd w:id="51"/>
    </w:p>
    <w:p w14:paraId="674EA262">
      <w:pPr>
        <w:snapToGrid w:val="0"/>
        <w:spacing w:before="0" w:beforeAutospacing="0" w:after="0" w:afterAutospacing="0" w:line="360" w:lineRule="exact"/>
        <w:jc w:val="both"/>
        <w:textAlignment w:val="baseline"/>
        <w:rPr>
          <w:rFonts w:hint="eastAsia" w:ascii="宋体" w:hAnsi="宋体" w:eastAsia="宋体" w:cs="宋体"/>
          <w:b/>
          <w:i w:val="0"/>
          <w:caps w:val="0"/>
          <w:color w:val="auto"/>
          <w:spacing w:val="0"/>
          <w:w w:val="100"/>
          <w:kern w:val="21"/>
          <w:sz w:val="32"/>
          <w:szCs w:val="32"/>
          <w:highlight w:val="none"/>
        </w:rPr>
      </w:pPr>
    </w:p>
    <w:p w14:paraId="6C0BFD6E">
      <w:pPr>
        <w:snapToGrid w:val="0"/>
        <w:spacing w:before="0" w:beforeAutospacing="0" w:after="0" w:afterAutospacing="0" w:line="360" w:lineRule="auto"/>
        <w:jc w:val="right"/>
        <w:textAlignment w:val="baseline"/>
        <w:rPr>
          <w:rFonts w:hint="eastAsia" w:ascii="宋体" w:hAnsi="宋体" w:eastAsia="宋体" w:cs="宋体"/>
          <w:b/>
          <w:bCs/>
          <w:i w:val="0"/>
          <w:caps w:val="0"/>
          <w:color w:val="auto"/>
          <w:spacing w:val="0"/>
          <w:w w:val="100"/>
          <w:kern w:val="21"/>
          <w:sz w:val="32"/>
          <w:szCs w:val="32"/>
          <w:highlight w:val="none"/>
          <w:lang w:val="zh-CN"/>
        </w:rPr>
      </w:pPr>
      <w:bookmarkStart w:id="52" w:name="_Toc9254"/>
      <w:bookmarkStart w:id="53" w:name="_Toc4762"/>
      <w:bookmarkStart w:id="54" w:name="_Toc11444"/>
      <w:bookmarkStart w:id="55" w:name="_Toc22564"/>
      <w:r>
        <w:rPr>
          <w:rFonts w:hint="eastAsia" w:ascii="宋体" w:hAnsi="宋体" w:eastAsia="宋体" w:cs="宋体"/>
          <w:b/>
          <w:bCs/>
          <w:i w:val="0"/>
          <w:caps w:val="0"/>
          <w:color w:val="auto"/>
          <w:spacing w:val="0"/>
          <w:w w:val="100"/>
          <w:kern w:val="21"/>
          <w:sz w:val="32"/>
          <w:szCs w:val="32"/>
          <w:highlight w:val="none"/>
          <w:lang w:val="zh-CN"/>
        </w:rPr>
        <w:t>正本/副本</w:t>
      </w:r>
      <w:bookmarkEnd w:id="52"/>
      <w:bookmarkEnd w:id="53"/>
      <w:bookmarkEnd w:id="54"/>
      <w:bookmarkEnd w:id="55"/>
    </w:p>
    <w:p w14:paraId="240D2C48">
      <w:pPr>
        <w:pStyle w:val="9"/>
        <w:rPr>
          <w:rFonts w:hint="eastAsia" w:ascii="宋体" w:hAnsi="宋体" w:eastAsia="宋体" w:cs="宋体"/>
          <w:color w:val="auto"/>
          <w:highlight w:val="none"/>
          <w:lang w:val="zh-CN"/>
        </w:rPr>
      </w:pPr>
    </w:p>
    <w:p w14:paraId="0EB3E512">
      <w:pPr>
        <w:tabs>
          <w:tab w:val="left" w:pos="5670"/>
        </w:tabs>
        <w:snapToGrid w:val="0"/>
        <w:spacing w:before="0" w:beforeAutospacing="0" w:after="0" w:afterAutospacing="0" w:line="360" w:lineRule="auto"/>
        <w:jc w:val="center"/>
        <w:textAlignment w:val="baseline"/>
        <w:rPr>
          <w:rFonts w:hint="eastAsia" w:ascii="宋体" w:hAnsi="宋体" w:eastAsia="宋体" w:cs="宋体"/>
          <w:b/>
          <w:bCs/>
          <w:i w:val="0"/>
          <w:caps w:val="0"/>
          <w:color w:val="auto"/>
          <w:spacing w:val="0"/>
          <w:w w:val="100"/>
          <w:kern w:val="21"/>
          <w:sz w:val="44"/>
          <w:szCs w:val="44"/>
          <w:highlight w:val="none"/>
        </w:rPr>
      </w:pPr>
      <w:r>
        <w:rPr>
          <w:rFonts w:hint="eastAsia" w:ascii="宋体" w:hAnsi="宋体" w:eastAsia="宋体" w:cs="宋体"/>
          <w:b/>
          <w:bCs/>
          <w:i w:val="0"/>
          <w:caps w:val="0"/>
          <w:color w:val="auto"/>
          <w:spacing w:val="0"/>
          <w:w w:val="100"/>
          <w:kern w:val="21"/>
          <w:sz w:val="44"/>
          <w:szCs w:val="44"/>
          <w:highlight w:val="none"/>
          <w:lang w:eastAsia="zh-CN"/>
        </w:rPr>
        <w:t>医技楼信息化专项建设项目</w:t>
      </w:r>
      <w:r>
        <w:rPr>
          <w:rFonts w:hint="eastAsia" w:ascii="宋体" w:hAnsi="宋体" w:eastAsia="宋体" w:cs="宋体"/>
          <w:b/>
          <w:bCs/>
          <w:i w:val="0"/>
          <w:caps w:val="0"/>
          <w:color w:val="auto"/>
          <w:spacing w:val="0"/>
          <w:w w:val="100"/>
          <w:kern w:val="21"/>
          <w:sz w:val="44"/>
          <w:szCs w:val="44"/>
          <w:highlight w:val="none"/>
        </w:rPr>
        <w:t xml:space="preserve"> </w:t>
      </w:r>
    </w:p>
    <w:p w14:paraId="7A47F87B">
      <w:pPr>
        <w:snapToGrid w:val="0"/>
        <w:spacing w:before="312" w:beforeAutospacing="0" w:after="312" w:afterAutospacing="0" w:line="357" w:lineRule="atLeast"/>
        <w:jc w:val="center"/>
        <w:textAlignment w:val="baseline"/>
        <w:rPr>
          <w:rFonts w:hint="eastAsia" w:ascii="宋体" w:hAnsi="宋体" w:eastAsia="宋体" w:cs="宋体"/>
          <w:b/>
          <w:bCs/>
          <w:i w:val="0"/>
          <w:caps w:val="0"/>
          <w:color w:val="auto"/>
          <w:spacing w:val="0"/>
          <w:w w:val="100"/>
          <w:kern w:val="21"/>
          <w:sz w:val="44"/>
          <w:szCs w:val="44"/>
          <w:highlight w:val="none"/>
        </w:rPr>
      </w:pPr>
      <w:bookmarkStart w:id="56" w:name="_Toc20880"/>
      <w:bookmarkStart w:id="57" w:name="_Toc31705"/>
      <w:bookmarkStart w:id="58" w:name="_Toc25022"/>
      <w:bookmarkStart w:id="59" w:name="_Toc32285"/>
    </w:p>
    <w:p w14:paraId="74C06982">
      <w:pPr>
        <w:snapToGrid w:val="0"/>
        <w:spacing w:before="312" w:beforeAutospacing="0" w:after="312" w:afterAutospacing="0" w:line="357" w:lineRule="atLeast"/>
        <w:jc w:val="center"/>
        <w:textAlignment w:val="baseline"/>
        <w:rPr>
          <w:rFonts w:hint="eastAsia" w:ascii="宋体" w:hAnsi="宋体" w:eastAsia="宋体" w:cs="宋体"/>
          <w:b/>
          <w:bCs/>
          <w:i w:val="0"/>
          <w:caps w:val="0"/>
          <w:color w:val="auto"/>
          <w:spacing w:val="0"/>
          <w:w w:val="100"/>
          <w:kern w:val="21"/>
          <w:sz w:val="44"/>
          <w:szCs w:val="44"/>
          <w:highlight w:val="none"/>
        </w:rPr>
      </w:pPr>
      <w:r>
        <w:rPr>
          <w:rFonts w:hint="eastAsia" w:ascii="宋体" w:hAnsi="宋体" w:eastAsia="宋体" w:cs="宋体"/>
          <w:b/>
          <w:bCs/>
          <w:i w:val="0"/>
          <w:caps w:val="0"/>
          <w:color w:val="auto"/>
          <w:spacing w:val="0"/>
          <w:w w:val="100"/>
          <w:kern w:val="21"/>
          <w:sz w:val="44"/>
          <w:szCs w:val="44"/>
          <w:highlight w:val="none"/>
        </w:rPr>
        <w:t>投标文件</w:t>
      </w:r>
      <w:bookmarkEnd w:id="56"/>
      <w:bookmarkEnd w:id="57"/>
      <w:bookmarkEnd w:id="58"/>
      <w:bookmarkEnd w:id="59"/>
    </w:p>
    <w:p w14:paraId="44ED28E2">
      <w:pPr>
        <w:snapToGrid w:val="0"/>
        <w:spacing w:before="312" w:beforeAutospacing="0" w:after="312" w:afterAutospacing="0" w:line="357" w:lineRule="atLeast"/>
        <w:jc w:val="center"/>
        <w:textAlignment w:val="baseline"/>
        <w:rPr>
          <w:rFonts w:hint="eastAsia" w:ascii="宋体" w:hAnsi="宋体" w:eastAsia="宋体" w:cs="宋体"/>
          <w:b/>
          <w:bCs/>
          <w:i w:val="0"/>
          <w:caps w:val="0"/>
          <w:color w:val="auto"/>
          <w:spacing w:val="0"/>
          <w:w w:val="100"/>
          <w:kern w:val="21"/>
          <w:sz w:val="28"/>
          <w:szCs w:val="28"/>
          <w:highlight w:val="none"/>
        </w:rPr>
      </w:pPr>
      <w:bookmarkStart w:id="60" w:name="_Toc14872"/>
      <w:bookmarkStart w:id="61" w:name="_Toc25457"/>
      <w:bookmarkStart w:id="62" w:name="_Toc17681"/>
      <w:bookmarkStart w:id="63" w:name="_Toc7314"/>
    </w:p>
    <w:p w14:paraId="66B1A9EC">
      <w:pPr>
        <w:snapToGrid w:val="0"/>
        <w:spacing w:before="312" w:beforeAutospacing="0" w:after="312" w:afterAutospacing="0" w:line="357" w:lineRule="atLeast"/>
        <w:jc w:val="center"/>
        <w:textAlignment w:val="baseline"/>
        <w:rPr>
          <w:rFonts w:hint="eastAsia" w:ascii="宋体" w:hAnsi="宋体" w:eastAsia="宋体" w:cs="宋体"/>
          <w:b/>
          <w:bCs/>
          <w:i w:val="0"/>
          <w:caps w:val="0"/>
          <w:color w:val="auto"/>
          <w:spacing w:val="0"/>
          <w:w w:val="100"/>
          <w:kern w:val="21"/>
          <w:sz w:val="28"/>
          <w:szCs w:val="28"/>
          <w:highlight w:val="none"/>
        </w:rPr>
      </w:pPr>
      <w:r>
        <w:rPr>
          <w:rFonts w:hint="eastAsia" w:ascii="宋体" w:hAnsi="宋体" w:eastAsia="宋体" w:cs="宋体"/>
          <w:b/>
          <w:bCs/>
          <w:i w:val="0"/>
          <w:caps w:val="0"/>
          <w:color w:val="auto"/>
          <w:spacing w:val="0"/>
          <w:w w:val="100"/>
          <w:kern w:val="21"/>
          <w:sz w:val="28"/>
          <w:szCs w:val="28"/>
          <w:highlight w:val="none"/>
        </w:rPr>
        <w:t>项目编号：</w:t>
      </w:r>
      <w:bookmarkEnd w:id="60"/>
      <w:bookmarkEnd w:id="61"/>
      <w:bookmarkEnd w:id="62"/>
      <w:bookmarkEnd w:id="63"/>
    </w:p>
    <w:p w14:paraId="136DD591">
      <w:pPr>
        <w:snapToGrid w:val="0"/>
        <w:spacing w:before="312" w:beforeAutospacing="0" w:after="312" w:afterAutospacing="0" w:line="357" w:lineRule="atLeast"/>
        <w:jc w:val="center"/>
        <w:textAlignment w:val="baseline"/>
        <w:rPr>
          <w:rFonts w:hint="eastAsia" w:ascii="宋体" w:hAnsi="宋体" w:eastAsia="宋体" w:cs="宋体"/>
          <w:color w:val="auto"/>
          <w:highlight w:val="none"/>
          <w:u w:val="single" w:color="auto"/>
          <w:lang w:val="en-US"/>
        </w:rPr>
      </w:pPr>
    </w:p>
    <w:p w14:paraId="60869158">
      <w:pPr>
        <w:pStyle w:val="9"/>
        <w:rPr>
          <w:rFonts w:hint="eastAsia" w:ascii="宋体" w:hAnsi="宋体" w:eastAsia="宋体" w:cs="宋体"/>
          <w:color w:val="auto"/>
          <w:highlight w:val="none"/>
        </w:rPr>
      </w:pPr>
    </w:p>
    <w:p w14:paraId="5C15D6BF">
      <w:pPr>
        <w:bidi w:val="0"/>
        <w:rPr>
          <w:rFonts w:hint="eastAsia" w:ascii="宋体" w:hAnsi="宋体" w:eastAsia="宋体" w:cs="宋体"/>
          <w:color w:val="auto"/>
          <w:highlight w:val="none"/>
        </w:rPr>
      </w:pPr>
    </w:p>
    <w:p w14:paraId="58FC504B">
      <w:pPr>
        <w:bidi w:val="0"/>
        <w:rPr>
          <w:rFonts w:hint="eastAsia" w:ascii="宋体" w:hAnsi="宋体" w:eastAsia="宋体" w:cs="宋体"/>
          <w:color w:val="auto"/>
          <w:highlight w:val="none"/>
        </w:rPr>
      </w:pPr>
    </w:p>
    <w:p w14:paraId="1C21A4A1">
      <w:pPr>
        <w:bidi w:val="0"/>
        <w:rPr>
          <w:rFonts w:hint="eastAsia" w:ascii="宋体" w:hAnsi="宋体" w:eastAsia="宋体" w:cs="宋体"/>
          <w:color w:val="auto"/>
          <w:highlight w:val="none"/>
        </w:rPr>
      </w:pPr>
    </w:p>
    <w:p w14:paraId="066EFBCE">
      <w:pPr>
        <w:bidi w:val="0"/>
        <w:rPr>
          <w:rFonts w:hint="eastAsia" w:ascii="宋体" w:hAnsi="宋体" w:eastAsia="宋体" w:cs="宋体"/>
          <w:color w:val="auto"/>
          <w:highlight w:val="none"/>
        </w:rPr>
      </w:pPr>
    </w:p>
    <w:p w14:paraId="27AD804E">
      <w:pPr>
        <w:bidi w:val="0"/>
        <w:rPr>
          <w:rFonts w:hint="eastAsia" w:ascii="宋体" w:hAnsi="宋体" w:eastAsia="宋体" w:cs="宋体"/>
          <w:color w:val="auto"/>
          <w:highlight w:val="none"/>
        </w:rPr>
      </w:pPr>
    </w:p>
    <w:p w14:paraId="48D3806A">
      <w:pPr>
        <w:bidi w:val="0"/>
        <w:rPr>
          <w:rFonts w:hint="eastAsia" w:ascii="宋体" w:hAnsi="宋体" w:eastAsia="宋体" w:cs="宋体"/>
          <w:color w:val="auto"/>
          <w:highlight w:val="none"/>
        </w:rPr>
      </w:pPr>
    </w:p>
    <w:p w14:paraId="0CF9B3CC">
      <w:pPr>
        <w:pStyle w:val="47"/>
        <w:snapToGrid w:val="0"/>
        <w:spacing w:before="0" w:beforeAutospacing="0" w:after="0" w:afterAutospacing="0" w:line="360" w:lineRule="auto"/>
        <w:ind w:firstLine="840" w:firstLineChars="300"/>
        <w:jc w:val="left"/>
        <w:textAlignment w:val="baseline"/>
        <w:rPr>
          <w:rFonts w:hint="eastAsia" w:ascii="宋体" w:hAnsi="宋体" w:eastAsia="宋体" w:cs="宋体"/>
          <w:b w:val="0"/>
          <w:i w:val="0"/>
          <w:caps w:val="0"/>
          <w:color w:val="auto"/>
          <w:spacing w:val="0"/>
          <w:w w:val="100"/>
          <w:kern w:val="21"/>
          <w:sz w:val="28"/>
          <w:szCs w:val="28"/>
          <w:highlight w:val="none"/>
        </w:rPr>
      </w:pPr>
      <w:bookmarkStart w:id="64" w:name="_Toc32056"/>
      <w:r>
        <w:rPr>
          <w:rFonts w:hint="eastAsia" w:ascii="宋体" w:hAnsi="宋体" w:eastAsia="宋体" w:cs="宋体"/>
          <w:b w:val="0"/>
          <w:i w:val="0"/>
          <w:caps w:val="0"/>
          <w:color w:val="auto"/>
          <w:spacing w:val="0"/>
          <w:w w:val="100"/>
          <w:kern w:val="21"/>
          <w:sz w:val="28"/>
          <w:szCs w:val="28"/>
          <w:highlight w:val="none"/>
        </w:rPr>
        <w:t>供应商：</w:t>
      </w:r>
      <w:r>
        <w:rPr>
          <w:rFonts w:hint="eastAsia" w:ascii="宋体" w:hAnsi="宋体" w:eastAsia="宋体" w:cs="宋体"/>
          <w:b w:val="0"/>
          <w:i w:val="0"/>
          <w:caps w:val="0"/>
          <w:color w:val="auto"/>
          <w:spacing w:val="0"/>
          <w:w w:val="100"/>
          <w:kern w:val="21"/>
          <w:sz w:val="28"/>
          <w:szCs w:val="28"/>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8"/>
          <w:szCs w:val="28"/>
          <w:highlight w:val="none"/>
          <w:u w:val="single" w:color="000000"/>
        </w:rPr>
        <w:t>（盖单位公章）</w:t>
      </w:r>
      <w:bookmarkEnd w:id="64"/>
    </w:p>
    <w:p w14:paraId="034B25CA">
      <w:pPr>
        <w:pStyle w:val="47"/>
        <w:snapToGrid w:val="0"/>
        <w:spacing w:before="0" w:beforeAutospacing="0" w:after="0" w:afterAutospacing="0" w:line="360" w:lineRule="auto"/>
        <w:ind w:firstLine="840" w:firstLineChars="300"/>
        <w:jc w:val="left"/>
        <w:textAlignment w:val="baseline"/>
        <w:rPr>
          <w:rFonts w:hint="eastAsia" w:ascii="宋体" w:hAnsi="宋体" w:eastAsia="宋体" w:cs="宋体"/>
          <w:b w:val="0"/>
          <w:i w:val="0"/>
          <w:caps w:val="0"/>
          <w:color w:val="auto"/>
          <w:spacing w:val="0"/>
          <w:w w:val="100"/>
          <w:kern w:val="21"/>
          <w:sz w:val="28"/>
          <w:szCs w:val="28"/>
          <w:highlight w:val="none"/>
        </w:rPr>
      </w:pPr>
      <w:bookmarkStart w:id="65" w:name="_Toc12866"/>
      <w:r>
        <w:rPr>
          <w:rFonts w:hint="eastAsia" w:ascii="宋体" w:hAnsi="宋体" w:eastAsia="宋体" w:cs="宋体"/>
          <w:b w:val="0"/>
          <w:i w:val="0"/>
          <w:caps w:val="0"/>
          <w:color w:val="auto"/>
          <w:spacing w:val="0"/>
          <w:w w:val="100"/>
          <w:kern w:val="21"/>
          <w:sz w:val="28"/>
          <w:szCs w:val="28"/>
          <w:highlight w:val="none"/>
        </w:rPr>
        <w:t>法定代表人或委托代理人：</w:t>
      </w:r>
      <w:r>
        <w:rPr>
          <w:rFonts w:hint="eastAsia" w:ascii="宋体" w:hAnsi="宋体" w:eastAsia="宋体" w:cs="宋体"/>
          <w:b w:val="0"/>
          <w:i w:val="0"/>
          <w:caps w:val="0"/>
          <w:color w:val="auto"/>
          <w:spacing w:val="0"/>
          <w:w w:val="100"/>
          <w:kern w:val="21"/>
          <w:sz w:val="28"/>
          <w:szCs w:val="28"/>
          <w:highlight w:val="none"/>
          <w:u w:val="single" w:color="000000"/>
        </w:rPr>
        <w:t xml:space="preserve"> </w:t>
      </w:r>
      <w:r>
        <w:rPr>
          <w:rFonts w:hint="eastAsia" w:ascii="宋体" w:hAnsi="宋体" w:eastAsia="宋体" w:cs="宋体"/>
          <w:b w:val="0"/>
          <w:i w:val="0"/>
          <w:caps w:val="0"/>
          <w:color w:val="auto"/>
          <w:spacing w:val="0"/>
          <w:w w:val="100"/>
          <w:kern w:val="21"/>
          <w:sz w:val="28"/>
          <w:szCs w:val="28"/>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8"/>
          <w:szCs w:val="28"/>
          <w:highlight w:val="none"/>
          <w:u w:val="single" w:color="000000"/>
        </w:rPr>
        <w:t xml:space="preserve"> （签字或盖章）</w:t>
      </w:r>
      <w:bookmarkEnd w:id="65"/>
    </w:p>
    <w:p w14:paraId="12D6202C">
      <w:pPr>
        <w:pStyle w:val="47"/>
        <w:snapToGrid w:val="0"/>
        <w:spacing w:before="0" w:beforeAutospacing="0" w:after="0" w:afterAutospacing="0" w:line="360" w:lineRule="auto"/>
        <w:ind w:firstLine="840" w:firstLineChars="300"/>
        <w:jc w:val="left"/>
        <w:textAlignment w:val="baseline"/>
        <w:rPr>
          <w:rFonts w:hint="eastAsia" w:ascii="宋体" w:hAnsi="宋体" w:eastAsia="宋体" w:cs="宋体"/>
          <w:b w:val="0"/>
          <w:i w:val="0"/>
          <w:caps w:val="0"/>
          <w:color w:val="auto"/>
          <w:spacing w:val="0"/>
          <w:w w:val="100"/>
          <w:kern w:val="21"/>
          <w:sz w:val="28"/>
          <w:szCs w:val="28"/>
          <w:highlight w:val="none"/>
          <w:u w:val="single"/>
          <w:lang w:val="en-US" w:eastAsia="zh-CN"/>
        </w:rPr>
      </w:pPr>
      <w:bookmarkStart w:id="66" w:name="_Toc132"/>
      <w:r>
        <w:rPr>
          <w:rFonts w:hint="eastAsia" w:ascii="宋体" w:hAnsi="宋体" w:eastAsia="宋体" w:cs="宋体"/>
          <w:b w:val="0"/>
          <w:i w:val="0"/>
          <w:caps w:val="0"/>
          <w:color w:val="auto"/>
          <w:spacing w:val="0"/>
          <w:w w:val="100"/>
          <w:kern w:val="21"/>
          <w:sz w:val="28"/>
          <w:szCs w:val="28"/>
          <w:highlight w:val="none"/>
        </w:rPr>
        <w:t>供应商地址：</w:t>
      </w:r>
      <w:bookmarkEnd w:id="66"/>
      <w:r>
        <w:rPr>
          <w:rFonts w:hint="eastAsia" w:ascii="宋体" w:hAnsi="宋体" w:eastAsia="宋体" w:cs="宋体"/>
          <w:b w:val="0"/>
          <w:i w:val="0"/>
          <w:caps w:val="0"/>
          <w:color w:val="auto"/>
          <w:spacing w:val="0"/>
          <w:w w:val="100"/>
          <w:kern w:val="21"/>
          <w:sz w:val="28"/>
          <w:szCs w:val="28"/>
          <w:highlight w:val="none"/>
          <w:u w:val="single" w:color="000000"/>
          <w:lang w:val="en-US" w:eastAsia="zh-CN"/>
        </w:rPr>
        <w:t xml:space="preserve">                                          </w:t>
      </w:r>
    </w:p>
    <w:p w14:paraId="514E473E">
      <w:pPr>
        <w:pStyle w:val="47"/>
        <w:snapToGrid w:val="0"/>
        <w:spacing w:before="0" w:beforeAutospacing="0" w:after="0" w:afterAutospacing="0" w:line="360" w:lineRule="auto"/>
        <w:ind w:firstLine="840" w:firstLineChars="300"/>
        <w:jc w:val="left"/>
        <w:textAlignment w:val="baseline"/>
        <w:rPr>
          <w:rFonts w:hint="eastAsia" w:ascii="宋体" w:hAnsi="宋体" w:eastAsia="宋体" w:cs="宋体"/>
          <w:b w:val="0"/>
          <w:i w:val="0"/>
          <w:caps w:val="0"/>
          <w:color w:val="auto"/>
          <w:spacing w:val="0"/>
          <w:w w:val="100"/>
          <w:kern w:val="21"/>
          <w:sz w:val="28"/>
          <w:szCs w:val="28"/>
          <w:highlight w:val="none"/>
          <w:u w:val="single"/>
        </w:rPr>
      </w:pPr>
      <w:bookmarkStart w:id="67" w:name="_Toc24527"/>
      <w:r>
        <w:rPr>
          <w:rFonts w:hint="eastAsia" w:ascii="宋体" w:hAnsi="宋体" w:eastAsia="宋体" w:cs="宋体"/>
          <w:b w:val="0"/>
          <w:i w:val="0"/>
          <w:caps w:val="0"/>
          <w:color w:val="auto"/>
          <w:spacing w:val="0"/>
          <w:w w:val="100"/>
          <w:kern w:val="21"/>
          <w:sz w:val="28"/>
          <w:szCs w:val="28"/>
          <w:highlight w:val="none"/>
        </w:rPr>
        <w:t xml:space="preserve">邮  </w:t>
      </w:r>
      <w:r>
        <w:rPr>
          <w:rFonts w:hint="eastAsia" w:ascii="宋体" w:hAnsi="宋体" w:eastAsia="宋体" w:cs="宋体"/>
          <w:b w:val="0"/>
          <w:i w:val="0"/>
          <w:caps w:val="0"/>
          <w:color w:val="auto"/>
          <w:spacing w:val="0"/>
          <w:w w:val="100"/>
          <w:kern w:val="21"/>
          <w:sz w:val="28"/>
          <w:szCs w:val="28"/>
          <w:highlight w:val="none"/>
          <w:lang w:val="en-US" w:eastAsia="zh-CN"/>
        </w:rPr>
        <w:t xml:space="preserve"> </w:t>
      </w:r>
      <w:r>
        <w:rPr>
          <w:rFonts w:hint="eastAsia" w:ascii="宋体" w:hAnsi="宋体" w:eastAsia="宋体" w:cs="宋体"/>
          <w:b w:val="0"/>
          <w:i w:val="0"/>
          <w:caps w:val="0"/>
          <w:color w:val="auto"/>
          <w:spacing w:val="0"/>
          <w:w w:val="100"/>
          <w:kern w:val="21"/>
          <w:sz w:val="28"/>
          <w:szCs w:val="28"/>
          <w:highlight w:val="none"/>
        </w:rPr>
        <w:t xml:space="preserve"> 编：</w:t>
      </w:r>
      <w:bookmarkEnd w:id="67"/>
      <w:r>
        <w:rPr>
          <w:rFonts w:hint="eastAsia" w:ascii="宋体" w:hAnsi="宋体" w:eastAsia="宋体" w:cs="宋体"/>
          <w:b w:val="0"/>
          <w:i w:val="0"/>
          <w:caps w:val="0"/>
          <w:color w:val="auto"/>
          <w:spacing w:val="0"/>
          <w:w w:val="100"/>
          <w:kern w:val="21"/>
          <w:sz w:val="28"/>
          <w:szCs w:val="28"/>
          <w:highlight w:val="none"/>
          <w:u w:val="single" w:color="000000"/>
          <w:lang w:val="en-US" w:eastAsia="zh-CN"/>
        </w:rPr>
        <w:t xml:space="preserve">                                            </w:t>
      </w:r>
    </w:p>
    <w:p w14:paraId="3F1D1317">
      <w:pPr>
        <w:pStyle w:val="47"/>
        <w:snapToGrid w:val="0"/>
        <w:spacing w:before="0" w:beforeAutospacing="0" w:after="0" w:afterAutospacing="0" w:line="360" w:lineRule="auto"/>
        <w:ind w:firstLine="840" w:firstLineChars="300"/>
        <w:jc w:val="left"/>
        <w:textAlignment w:val="baseline"/>
        <w:rPr>
          <w:rFonts w:hint="eastAsia" w:ascii="宋体" w:hAnsi="宋体" w:eastAsia="宋体" w:cs="宋体"/>
          <w:b w:val="0"/>
          <w:i w:val="0"/>
          <w:caps w:val="0"/>
          <w:color w:val="auto"/>
          <w:spacing w:val="0"/>
          <w:w w:val="100"/>
          <w:kern w:val="21"/>
          <w:sz w:val="28"/>
          <w:szCs w:val="28"/>
          <w:highlight w:val="none"/>
          <w:u w:val="single"/>
        </w:rPr>
      </w:pPr>
      <w:bookmarkStart w:id="68" w:name="_Toc27939"/>
      <w:r>
        <w:rPr>
          <w:rFonts w:hint="eastAsia" w:ascii="宋体" w:hAnsi="宋体" w:eastAsia="宋体" w:cs="宋体"/>
          <w:b w:val="0"/>
          <w:i w:val="0"/>
          <w:caps w:val="0"/>
          <w:color w:val="auto"/>
          <w:spacing w:val="0"/>
          <w:w w:val="100"/>
          <w:kern w:val="21"/>
          <w:sz w:val="28"/>
          <w:szCs w:val="28"/>
          <w:highlight w:val="none"/>
        </w:rPr>
        <w:t>联系电话：</w:t>
      </w:r>
      <w:bookmarkEnd w:id="68"/>
      <w:r>
        <w:rPr>
          <w:rFonts w:hint="eastAsia" w:ascii="宋体" w:hAnsi="宋体" w:eastAsia="宋体" w:cs="宋体"/>
          <w:b w:val="0"/>
          <w:i w:val="0"/>
          <w:caps w:val="0"/>
          <w:color w:val="auto"/>
          <w:spacing w:val="0"/>
          <w:w w:val="100"/>
          <w:kern w:val="21"/>
          <w:sz w:val="28"/>
          <w:szCs w:val="28"/>
          <w:highlight w:val="none"/>
          <w:u w:val="single" w:color="000000"/>
          <w:lang w:val="en-US" w:eastAsia="zh-CN"/>
        </w:rPr>
        <w:t xml:space="preserve">                                            </w:t>
      </w:r>
    </w:p>
    <w:p w14:paraId="334D4528">
      <w:pPr>
        <w:pStyle w:val="47"/>
        <w:snapToGrid w:val="0"/>
        <w:spacing w:before="0" w:beforeAutospacing="0" w:after="0" w:afterAutospacing="0" w:line="360" w:lineRule="auto"/>
        <w:ind w:firstLine="840" w:firstLineChars="300"/>
        <w:jc w:val="left"/>
        <w:textAlignment w:val="baseline"/>
        <w:rPr>
          <w:rFonts w:hint="eastAsia" w:ascii="宋体" w:hAnsi="宋体" w:eastAsia="宋体" w:cs="宋体"/>
          <w:b w:val="0"/>
          <w:i w:val="0"/>
          <w:caps w:val="0"/>
          <w:color w:val="auto"/>
          <w:spacing w:val="0"/>
          <w:w w:val="100"/>
          <w:kern w:val="21"/>
          <w:sz w:val="28"/>
          <w:szCs w:val="28"/>
          <w:highlight w:val="none"/>
          <w:u w:val="single"/>
          <w:lang w:val="en-US" w:eastAsia="zh-CN"/>
        </w:rPr>
      </w:pPr>
      <w:bookmarkStart w:id="69" w:name="_Toc26424"/>
      <w:r>
        <w:rPr>
          <w:rFonts w:hint="eastAsia" w:ascii="宋体" w:hAnsi="宋体" w:eastAsia="宋体" w:cs="宋体"/>
          <w:b w:val="0"/>
          <w:i w:val="0"/>
          <w:caps w:val="0"/>
          <w:color w:val="auto"/>
          <w:spacing w:val="0"/>
          <w:w w:val="100"/>
          <w:kern w:val="21"/>
          <w:sz w:val="28"/>
          <w:szCs w:val="28"/>
          <w:highlight w:val="none"/>
        </w:rPr>
        <w:t>日    期：</w:t>
      </w:r>
      <w:bookmarkEnd w:id="69"/>
      <w:r>
        <w:rPr>
          <w:rFonts w:hint="eastAsia" w:ascii="宋体" w:hAnsi="宋体" w:eastAsia="宋体" w:cs="宋体"/>
          <w:b w:val="0"/>
          <w:i w:val="0"/>
          <w:caps w:val="0"/>
          <w:color w:val="auto"/>
          <w:spacing w:val="0"/>
          <w:w w:val="100"/>
          <w:kern w:val="21"/>
          <w:sz w:val="28"/>
          <w:szCs w:val="28"/>
          <w:highlight w:val="none"/>
          <w:u w:val="single" w:color="000000"/>
          <w:lang w:val="en-US" w:eastAsia="zh-CN"/>
        </w:rPr>
        <w:t xml:space="preserve">                                            </w:t>
      </w:r>
    </w:p>
    <w:p w14:paraId="16C28864">
      <w:pPr>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kern w:val="21"/>
          <w:sz w:val="28"/>
          <w:szCs w:val="28"/>
          <w:highlight w:val="none"/>
          <w:u w:val="single"/>
        </w:rPr>
      </w:pPr>
    </w:p>
    <w:p w14:paraId="44BF1981">
      <w:pPr>
        <w:bidi w:val="0"/>
        <w:rPr>
          <w:rFonts w:hint="eastAsia" w:ascii="宋体" w:hAnsi="宋体" w:eastAsia="宋体" w:cs="宋体"/>
          <w:color w:val="auto"/>
          <w:highlight w:val="none"/>
        </w:rPr>
      </w:pPr>
    </w:p>
    <w:p w14:paraId="14298012">
      <w:pPr>
        <w:pStyle w:val="2"/>
        <w:snapToGrid w:val="0"/>
        <w:spacing w:before="0" w:beforeAutospacing="0" w:after="0" w:afterAutospacing="0" w:line="240" w:lineRule="auto"/>
        <w:jc w:val="center"/>
        <w:textAlignment w:val="baseline"/>
        <w:rPr>
          <w:rFonts w:hint="eastAsia" w:ascii="宋体" w:hAnsi="宋体" w:eastAsia="宋体" w:cs="宋体"/>
          <w:b/>
          <w:i w:val="0"/>
          <w:caps w:val="0"/>
          <w:color w:val="auto"/>
          <w:spacing w:val="0"/>
          <w:w w:val="100"/>
          <w:sz w:val="30"/>
          <w:szCs w:val="30"/>
          <w:highlight w:val="none"/>
        </w:rPr>
      </w:pPr>
      <w:bookmarkStart w:id="70" w:name="_Toc11588"/>
      <w:bookmarkStart w:id="71" w:name="_Toc26553"/>
      <w:bookmarkStart w:id="72" w:name="_Toc16482"/>
      <w:bookmarkStart w:id="73" w:name="_Toc13111"/>
      <w:bookmarkStart w:id="74" w:name="_Toc6665"/>
      <w:bookmarkStart w:id="75" w:name="_Toc13576"/>
      <w:r>
        <w:rPr>
          <w:rFonts w:hint="eastAsia" w:ascii="宋体" w:hAnsi="宋体" w:eastAsia="宋体" w:cs="宋体"/>
          <w:b/>
          <w:i w:val="0"/>
          <w:caps w:val="0"/>
          <w:color w:val="auto"/>
          <w:spacing w:val="0"/>
          <w:w w:val="100"/>
          <w:sz w:val="30"/>
          <w:szCs w:val="30"/>
          <w:highlight w:val="none"/>
        </w:rPr>
        <w:t>目  录</w:t>
      </w:r>
      <w:bookmarkEnd w:id="70"/>
      <w:bookmarkEnd w:id="71"/>
      <w:bookmarkEnd w:id="72"/>
      <w:bookmarkEnd w:id="73"/>
      <w:bookmarkEnd w:id="74"/>
      <w:bookmarkEnd w:id="75"/>
    </w:p>
    <w:p w14:paraId="7504A5F3">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36"/>
          <w:szCs w:val="36"/>
          <w:highlight w:val="none"/>
        </w:rPr>
      </w:pPr>
    </w:p>
    <w:p w14:paraId="0F15F5E5">
      <w:pPr>
        <w:snapToGrid w:val="0"/>
        <w:spacing w:before="0" w:beforeAutospacing="0" w:after="0" w:afterAutospacing="0" w:line="460" w:lineRule="exact"/>
        <w:jc w:val="both"/>
        <w:textAlignment w:val="baseline"/>
        <w:rPr>
          <w:rFonts w:hint="eastAsia" w:ascii="宋体" w:hAnsi="宋体" w:eastAsia="宋体" w:cs="宋体"/>
          <w:b/>
          <w:i w:val="0"/>
          <w:caps w:val="0"/>
          <w:color w:val="auto"/>
          <w:spacing w:val="0"/>
          <w:w w:val="100"/>
          <w:kern w:val="21"/>
          <w:sz w:val="20"/>
          <w:szCs w:val="21"/>
          <w:highlight w:val="none"/>
        </w:rPr>
      </w:pPr>
      <w:bookmarkStart w:id="76" w:name="_Toc23339"/>
      <w:r>
        <w:rPr>
          <w:rFonts w:hint="eastAsia" w:ascii="宋体" w:hAnsi="宋体" w:eastAsia="宋体" w:cs="宋体"/>
          <w:b/>
          <w:i w:val="0"/>
          <w:caps w:val="0"/>
          <w:color w:val="auto"/>
          <w:spacing w:val="0"/>
          <w:w w:val="100"/>
          <w:kern w:val="21"/>
          <w:sz w:val="21"/>
          <w:szCs w:val="21"/>
          <w:highlight w:val="none"/>
        </w:rPr>
        <w:t>一、商务部分</w:t>
      </w:r>
      <w:bookmarkEnd w:id="76"/>
    </w:p>
    <w:p w14:paraId="096F908F">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1、开标一览表</w:t>
      </w:r>
    </w:p>
    <w:p w14:paraId="3FFBDE06">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2</w:t>
      </w:r>
      <w:r>
        <w:rPr>
          <w:rFonts w:hint="eastAsia" w:ascii="宋体" w:hAnsi="宋体" w:eastAsia="宋体" w:cs="宋体"/>
          <w:b w:val="0"/>
          <w:i w:val="0"/>
          <w:caps w:val="0"/>
          <w:color w:val="auto"/>
          <w:spacing w:val="0"/>
          <w:w w:val="100"/>
          <w:kern w:val="21"/>
          <w:sz w:val="21"/>
          <w:szCs w:val="21"/>
          <w:highlight w:val="none"/>
        </w:rPr>
        <w:t>、投标函</w:t>
      </w:r>
    </w:p>
    <w:p w14:paraId="3C76439B">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3</w:t>
      </w:r>
      <w:r>
        <w:rPr>
          <w:rFonts w:hint="eastAsia" w:ascii="宋体" w:hAnsi="宋体" w:eastAsia="宋体" w:cs="宋体"/>
          <w:b w:val="0"/>
          <w:i w:val="0"/>
          <w:caps w:val="0"/>
          <w:color w:val="auto"/>
          <w:spacing w:val="0"/>
          <w:w w:val="100"/>
          <w:kern w:val="21"/>
          <w:sz w:val="21"/>
          <w:szCs w:val="21"/>
          <w:highlight w:val="none"/>
        </w:rPr>
        <w:t>、法定代表人身份证明</w:t>
      </w:r>
    </w:p>
    <w:p w14:paraId="5CC14BD1">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4</w:t>
      </w:r>
      <w:r>
        <w:rPr>
          <w:rFonts w:hint="eastAsia" w:ascii="宋体" w:hAnsi="宋体" w:eastAsia="宋体" w:cs="宋体"/>
          <w:b w:val="0"/>
          <w:i w:val="0"/>
          <w:caps w:val="0"/>
          <w:color w:val="auto"/>
          <w:spacing w:val="0"/>
          <w:w w:val="100"/>
          <w:kern w:val="21"/>
          <w:sz w:val="21"/>
          <w:szCs w:val="21"/>
          <w:highlight w:val="none"/>
        </w:rPr>
        <w:t>、法定代表人授权委托书</w:t>
      </w:r>
    </w:p>
    <w:p w14:paraId="6C35405A">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5</w:t>
      </w:r>
      <w:r>
        <w:rPr>
          <w:rFonts w:hint="eastAsia" w:ascii="宋体" w:hAnsi="宋体" w:eastAsia="宋体" w:cs="宋体"/>
          <w:b w:val="0"/>
          <w:i w:val="0"/>
          <w:caps w:val="0"/>
          <w:color w:val="auto"/>
          <w:spacing w:val="0"/>
          <w:w w:val="100"/>
          <w:kern w:val="21"/>
          <w:sz w:val="21"/>
          <w:szCs w:val="21"/>
          <w:highlight w:val="none"/>
        </w:rPr>
        <w:t>、中小企业声明函（若是）</w:t>
      </w:r>
    </w:p>
    <w:p w14:paraId="052A1BB3">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6</w:t>
      </w:r>
      <w:r>
        <w:rPr>
          <w:rFonts w:hint="eastAsia" w:ascii="宋体" w:hAnsi="宋体" w:eastAsia="宋体" w:cs="宋体"/>
          <w:b w:val="0"/>
          <w:i w:val="0"/>
          <w:caps w:val="0"/>
          <w:color w:val="auto"/>
          <w:spacing w:val="0"/>
          <w:w w:val="100"/>
          <w:kern w:val="21"/>
          <w:sz w:val="21"/>
          <w:szCs w:val="21"/>
          <w:highlight w:val="none"/>
        </w:rPr>
        <w:t>、残疾人福利性单位声明函（若是）</w:t>
      </w:r>
    </w:p>
    <w:p w14:paraId="229AE87E">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7</w:t>
      </w:r>
      <w:r>
        <w:rPr>
          <w:rFonts w:hint="eastAsia" w:ascii="宋体" w:hAnsi="宋体" w:eastAsia="宋体" w:cs="宋体"/>
          <w:b w:val="0"/>
          <w:i w:val="0"/>
          <w:caps w:val="0"/>
          <w:color w:val="auto"/>
          <w:spacing w:val="0"/>
          <w:w w:val="100"/>
          <w:kern w:val="21"/>
          <w:sz w:val="21"/>
          <w:szCs w:val="21"/>
          <w:highlight w:val="none"/>
        </w:rPr>
        <w:t>、监狱企业证明函（若是）</w:t>
      </w:r>
    </w:p>
    <w:p w14:paraId="57EE41D9">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附表1：商务条款承诺书</w:t>
      </w:r>
    </w:p>
    <w:p w14:paraId="3958B359">
      <w:pPr>
        <w:snapToGrid w:val="0"/>
        <w:spacing w:before="0" w:beforeAutospacing="0" w:after="0" w:afterAutospacing="0" w:line="460" w:lineRule="exact"/>
        <w:jc w:val="both"/>
        <w:textAlignment w:val="baseline"/>
        <w:rPr>
          <w:rFonts w:hint="eastAsia" w:ascii="宋体" w:hAnsi="宋体" w:eastAsia="宋体" w:cs="宋体"/>
          <w:b w:val="0"/>
          <w:i w:val="0"/>
          <w:caps w:val="0"/>
          <w:color w:val="auto"/>
          <w:spacing w:val="0"/>
          <w:w w:val="100"/>
          <w:sz w:val="20"/>
          <w:highlight w:val="none"/>
        </w:rPr>
      </w:pPr>
      <w:bookmarkStart w:id="77" w:name="_Toc7782"/>
      <w:r>
        <w:rPr>
          <w:rFonts w:hint="eastAsia" w:ascii="宋体" w:hAnsi="宋体" w:eastAsia="宋体" w:cs="宋体"/>
          <w:b/>
          <w:i w:val="0"/>
          <w:caps w:val="0"/>
          <w:color w:val="auto"/>
          <w:spacing w:val="0"/>
          <w:w w:val="100"/>
          <w:kern w:val="21"/>
          <w:sz w:val="21"/>
          <w:szCs w:val="21"/>
          <w:highlight w:val="none"/>
        </w:rPr>
        <w:t>二、技术部分</w:t>
      </w:r>
      <w:bookmarkEnd w:id="77"/>
    </w:p>
    <w:p w14:paraId="083AE9E9">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1、平台整体技术方案</w:t>
      </w:r>
    </w:p>
    <w:p w14:paraId="2D8BBB3B">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2、技术参数</w:t>
      </w:r>
    </w:p>
    <w:p w14:paraId="406ACB22">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3、项目组织实施方案</w:t>
      </w:r>
    </w:p>
    <w:p w14:paraId="39F242AC">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4、售后服务方案</w:t>
      </w:r>
    </w:p>
    <w:p w14:paraId="457E7E80">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5、培训方案</w:t>
      </w:r>
    </w:p>
    <w:p w14:paraId="5841C666">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6、项目团队</w:t>
      </w:r>
    </w:p>
    <w:p w14:paraId="09B0504A">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7、综合实力</w:t>
      </w:r>
    </w:p>
    <w:p w14:paraId="042488E7">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8、业绩</w:t>
      </w:r>
    </w:p>
    <w:p w14:paraId="1BF80138">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9、资质文件</w:t>
      </w:r>
    </w:p>
    <w:p w14:paraId="2844BA0F">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10</w:t>
      </w:r>
      <w:r>
        <w:rPr>
          <w:rFonts w:hint="eastAsia" w:ascii="宋体" w:hAnsi="宋体" w:eastAsia="宋体" w:cs="宋体"/>
          <w:b w:val="0"/>
          <w:i w:val="0"/>
          <w:caps w:val="0"/>
          <w:color w:val="auto"/>
          <w:spacing w:val="0"/>
          <w:w w:val="100"/>
          <w:kern w:val="21"/>
          <w:sz w:val="21"/>
          <w:szCs w:val="21"/>
          <w:highlight w:val="none"/>
        </w:rPr>
        <w:t>、其他证明材料</w:t>
      </w:r>
    </w:p>
    <w:p w14:paraId="58E112AB">
      <w:pPr>
        <w:snapToGrid w:val="0"/>
        <w:spacing w:before="0" w:beforeAutospacing="0" w:after="0" w:afterAutospacing="0" w:line="460" w:lineRule="exact"/>
        <w:ind w:left="142" w:firstLine="245" w:firstLineChars="11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注：未给定格式由供应商自行拟定，技术部分内容包含招标文件评标办法中技术部分所含全部内容。</w:t>
      </w:r>
    </w:p>
    <w:p w14:paraId="37B5DD21">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p>
    <w:p w14:paraId="5F24BAFA">
      <w:pPr>
        <w:snapToGrid w:val="0"/>
        <w:spacing w:before="0" w:beforeAutospacing="0" w:after="0" w:afterAutospacing="0" w:line="360" w:lineRule="exact"/>
        <w:ind w:firstLine="294" w:firstLineChars="147"/>
        <w:jc w:val="center"/>
        <w:textAlignment w:val="baseline"/>
        <w:rPr>
          <w:rFonts w:hint="eastAsia" w:ascii="宋体" w:hAnsi="宋体" w:eastAsia="宋体" w:cs="宋体"/>
          <w:b w:val="0"/>
          <w:i w:val="0"/>
          <w:caps w:val="0"/>
          <w:color w:val="auto"/>
          <w:spacing w:val="0"/>
          <w:w w:val="100"/>
          <w:kern w:val="21"/>
          <w:sz w:val="20"/>
          <w:szCs w:val="21"/>
          <w:highlight w:val="none"/>
        </w:rPr>
      </w:pPr>
    </w:p>
    <w:p w14:paraId="42B910E7">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1"/>
          <w:sz w:val="21"/>
          <w:szCs w:val="21"/>
          <w:highlight w:val="none"/>
        </w:rPr>
      </w:pPr>
    </w:p>
    <w:p w14:paraId="07CA7B47">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kern w:val="21"/>
          <w:sz w:val="24"/>
          <w:szCs w:val="24"/>
          <w:highlight w:val="none"/>
        </w:rPr>
      </w:pPr>
    </w:p>
    <w:p w14:paraId="391096D4">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1"/>
          <w:sz w:val="24"/>
          <w:szCs w:val="24"/>
          <w:highlight w:val="none"/>
        </w:rPr>
      </w:pPr>
    </w:p>
    <w:p w14:paraId="70CBB3A7">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kern w:val="21"/>
          <w:sz w:val="20"/>
          <w:highlight w:val="none"/>
        </w:rPr>
      </w:pPr>
    </w:p>
    <w:p w14:paraId="055D5813">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kern w:val="21"/>
          <w:sz w:val="24"/>
          <w:szCs w:val="24"/>
          <w:highlight w:val="none"/>
        </w:rPr>
      </w:pPr>
    </w:p>
    <w:p w14:paraId="59BD2EE0">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1"/>
          <w:sz w:val="24"/>
          <w:szCs w:val="24"/>
          <w:highlight w:val="none"/>
        </w:rPr>
      </w:pPr>
    </w:p>
    <w:p w14:paraId="241DA12F">
      <w:pPr>
        <w:pStyle w:val="4"/>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kern w:val="21"/>
          <w:sz w:val="28"/>
          <w:szCs w:val="28"/>
          <w:highlight w:val="none"/>
        </w:rPr>
      </w:pPr>
      <w:bookmarkStart w:id="78" w:name="_Toc23613"/>
      <w:r>
        <w:rPr>
          <w:rFonts w:hint="eastAsia" w:ascii="宋体" w:hAnsi="宋体" w:eastAsia="宋体" w:cs="宋体"/>
          <w:b/>
          <w:i w:val="0"/>
          <w:caps w:val="0"/>
          <w:color w:val="auto"/>
          <w:spacing w:val="0"/>
          <w:w w:val="100"/>
          <w:kern w:val="21"/>
          <w:sz w:val="28"/>
          <w:szCs w:val="28"/>
          <w:highlight w:val="none"/>
        </w:rPr>
        <w:t>一、商务部分</w:t>
      </w:r>
      <w:bookmarkEnd w:id="78"/>
    </w:p>
    <w:p w14:paraId="6D6E195B">
      <w:pPr>
        <w:pStyle w:val="5"/>
        <w:snapToGrid w:val="0"/>
        <w:spacing w:before="140" w:beforeAutospacing="0" w:after="140" w:afterAutospacing="0" w:line="240" w:lineRule="auto"/>
        <w:jc w:val="center"/>
        <w:textAlignment w:val="baseline"/>
        <w:rPr>
          <w:rFonts w:hint="eastAsia" w:ascii="宋体" w:hAnsi="宋体" w:eastAsia="宋体" w:cs="宋体"/>
          <w:b/>
          <w:i w:val="0"/>
          <w:caps w:val="0"/>
          <w:color w:val="auto"/>
          <w:spacing w:val="0"/>
          <w:w w:val="100"/>
          <w:kern w:val="21"/>
          <w:sz w:val="24"/>
          <w:highlight w:val="none"/>
        </w:rPr>
      </w:pPr>
      <w:bookmarkStart w:id="79" w:name="_Toc17284"/>
      <w:r>
        <w:rPr>
          <w:rFonts w:hint="eastAsia" w:ascii="宋体" w:hAnsi="宋体" w:eastAsia="宋体" w:cs="宋体"/>
          <w:b/>
          <w:i w:val="0"/>
          <w:caps w:val="0"/>
          <w:color w:val="auto"/>
          <w:spacing w:val="0"/>
          <w:w w:val="100"/>
          <w:kern w:val="21"/>
          <w:sz w:val="24"/>
          <w:highlight w:val="none"/>
        </w:rPr>
        <w:t>1.开标一览表</w:t>
      </w:r>
      <w:bookmarkEnd w:id="79"/>
    </w:p>
    <w:tbl>
      <w:tblPr>
        <w:tblStyle w:val="29"/>
        <w:tblW w:w="96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836"/>
      </w:tblGrid>
      <w:tr w14:paraId="0F835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1812" w:type="dxa"/>
            <w:tcBorders>
              <w:top w:val="single" w:color="auto" w:sz="12" w:space="0"/>
              <w:bottom w:val="single" w:color="auto" w:sz="12" w:space="0"/>
              <w:right w:val="single" w:color="auto" w:sz="12" w:space="0"/>
            </w:tcBorders>
            <w:vAlign w:val="center"/>
          </w:tcPr>
          <w:p w14:paraId="3DD55C12">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项目名称</w:t>
            </w:r>
          </w:p>
        </w:tc>
        <w:tc>
          <w:tcPr>
            <w:tcW w:w="7836" w:type="dxa"/>
            <w:tcBorders>
              <w:top w:val="single" w:color="auto" w:sz="12" w:space="0"/>
              <w:left w:val="single" w:color="auto" w:sz="12" w:space="0"/>
              <w:bottom w:val="single" w:color="auto" w:sz="12" w:space="0"/>
            </w:tcBorders>
            <w:vAlign w:val="center"/>
          </w:tcPr>
          <w:p w14:paraId="534DD360">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0"/>
                <w:szCs w:val="21"/>
                <w:highlight w:val="none"/>
              </w:rPr>
            </w:pPr>
          </w:p>
        </w:tc>
      </w:tr>
      <w:tr w14:paraId="1B77C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3" w:hRule="exact"/>
          <w:jc w:val="center"/>
        </w:trPr>
        <w:tc>
          <w:tcPr>
            <w:tcW w:w="1812" w:type="dxa"/>
            <w:tcBorders>
              <w:top w:val="single" w:color="auto" w:sz="12" w:space="0"/>
              <w:right w:val="single" w:color="auto" w:sz="12" w:space="0"/>
            </w:tcBorders>
            <w:vAlign w:val="center"/>
          </w:tcPr>
          <w:p w14:paraId="4445F1FA">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项目编号</w:t>
            </w:r>
          </w:p>
        </w:tc>
        <w:tc>
          <w:tcPr>
            <w:tcW w:w="7836" w:type="dxa"/>
            <w:tcBorders>
              <w:top w:val="single" w:color="auto" w:sz="12" w:space="0"/>
              <w:left w:val="single" w:color="auto" w:sz="12" w:space="0"/>
            </w:tcBorders>
            <w:vAlign w:val="center"/>
          </w:tcPr>
          <w:p w14:paraId="26722152">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0"/>
                <w:szCs w:val="21"/>
                <w:highlight w:val="none"/>
              </w:rPr>
            </w:pPr>
          </w:p>
        </w:tc>
      </w:tr>
      <w:tr w14:paraId="1E041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1812" w:type="dxa"/>
            <w:tcBorders>
              <w:right w:val="single" w:color="auto" w:sz="12" w:space="0"/>
            </w:tcBorders>
            <w:vAlign w:val="center"/>
          </w:tcPr>
          <w:p w14:paraId="6A1CD3FF">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单位名称</w:t>
            </w:r>
          </w:p>
        </w:tc>
        <w:tc>
          <w:tcPr>
            <w:tcW w:w="7836" w:type="dxa"/>
            <w:tcBorders>
              <w:left w:val="single" w:color="auto" w:sz="12" w:space="0"/>
            </w:tcBorders>
          </w:tcPr>
          <w:p w14:paraId="797A3E26">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0"/>
                <w:szCs w:val="21"/>
                <w:highlight w:val="none"/>
              </w:rPr>
            </w:pPr>
          </w:p>
        </w:tc>
      </w:tr>
      <w:tr w14:paraId="28F85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1" w:hRule="exact"/>
          <w:jc w:val="center"/>
        </w:trPr>
        <w:tc>
          <w:tcPr>
            <w:tcW w:w="1812" w:type="dxa"/>
            <w:tcBorders>
              <w:right w:val="single" w:color="auto" w:sz="12" w:space="0"/>
            </w:tcBorders>
            <w:vAlign w:val="center"/>
          </w:tcPr>
          <w:p w14:paraId="58302B35">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总投标价</w:t>
            </w:r>
          </w:p>
          <w:p w14:paraId="0F2E3EFA">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工期</w:t>
            </w:r>
          </w:p>
          <w:p w14:paraId="7420D06E">
            <w:pPr>
              <w:snapToGrid w:val="0"/>
              <w:spacing w:before="0" w:beforeAutospacing="0" w:after="0" w:afterAutospacing="0" w:line="460" w:lineRule="exact"/>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质量标准</w:t>
            </w:r>
          </w:p>
          <w:p w14:paraId="64C749A2">
            <w:pPr>
              <w:snapToGrid w:val="0"/>
              <w:spacing w:before="0" w:beforeAutospacing="0" w:after="0" w:afterAutospacing="0" w:line="46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质保期</w:t>
            </w:r>
          </w:p>
        </w:tc>
        <w:tc>
          <w:tcPr>
            <w:tcW w:w="7836" w:type="dxa"/>
            <w:tcBorders>
              <w:left w:val="single" w:color="auto" w:sz="12" w:space="0"/>
            </w:tcBorders>
            <w:vAlign w:val="center"/>
          </w:tcPr>
          <w:p w14:paraId="4604CCFB">
            <w:pPr>
              <w:snapToGrid w:val="0"/>
              <w:spacing w:before="0" w:beforeAutospacing="0" w:after="0" w:afterAutospacing="0" w:line="4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总投标价 （大写）：</w:t>
            </w:r>
          </w:p>
          <w:p w14:paraId="551BC872">
            <w:pPr>
              <w:snapToGrid w:val="0"/>
              <w:spacing w:before="0" w:beforeAutospacing="0" w:after="0" w:afterAutospacing="0" w:line="4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(小写) ：</w:t>
            </w:r>
          </w:p>
          <w:p w14:paraId="429F6C39">
            <w:pPr>
              <w:snapToGrid w:val="0"/>
              <w:spacing w:before="0" w:beforeAutospacing="0" w:after="0" w:afterAutospacing="0" w:line="460" w:lineRule="exact"/>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工期：</w:t>
            </w:r>
            <w:r>
              <w:rPr>
                <w:rFonts w:hint="eastAsia" w:ascii="宋体" w:hAnsi="宋体" w:eastAsia="宋体" w:cs="宋体"/>
                <w:color w:val="auto"/>
                <w:highlight w:val="none"/>
                <w:lang w:val="en-US" w:eastAsia="zh-CN"/>
              </w:rPr>
              <w:t xml:space="preserve"> </w:t>
            </w:r>
          </w:p>
          <w:p w14:paraId="618D0908">
            <w:pPr>
              <w:snapToGrid w:val="0"/>
              <w:spacing w:before="0" w:beforeAutospacing="0" w:after="0" w:afterAutospacing="0" w:line="4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质量标准：</w:t>
            </w:r>
          </w:p>
          <w:p w14:paraId="0A85AB6E">
            <w:pPr>
              <w:snapToGrid w:val="0"/>
              <w:spacing w:before="0" w:beforeAutospacing="0" w:after="0" w:afterAutospacing="0" w:line="4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质保期：</w:t>
            </w:r>
          </w:p>
        </w:tc>
      </w:tr>
    </w:tbl>
    <w:p w14:paraId="16E51656">
      <w:pPr>
        <w:widowControl w:val="0"/>
        <w:snapToGrid w:val="0"/>
        <w:spacing w:before="0" w:beforeAutospacing="0" w:after="0" w:afterAutospacing="0" w:line="460" w:lineRule="exact"/>
        <w:ind w:left="2940" w:leftChars="1400" w:firstLine="602" w:firstLineChars="300"/>
        <w:jc w:val="both"/>
        <w:textAlignment w:val="baseline"/>
        <w:rPr>
          <w:rFonts w:hint="eastAsia" w:ascii="宋体" w:hAnsi="宋体" w:eastAsia="宋体" w:cs="宋体"/>
          <w:b/>
          <w:i w:val="0"/>
          <w:caps w:val="0"/>
          <w:color w:val="auto"/>
          <w:spacing w:val="0"/>
          <w:w w:val="100"/>
          <w:kern w:val="21"/>
          <w:sz w:val="20"/>
          <w:szCs w:val="21"/>
          <w:highlight w:val="none"/>
        </w:rPr>
      </w:pPr>
    </w:p>
    <w:p w14:paraId="4512EC6D">
      <w:pPr>
        <w:widowControl w:val="0"/>
        <w:snapToGrid w:val="0"/>
        <w:spacing w:before="0" w:beforeAutospacing="0" w:after="0" w:afterAutospacing="0" w:line="460" w:lineRule="exact"/>
        <w:ind w:left="2940" w:leftChars="1400" w:firstLine="602" w:firstLineChars="300"/>
        <w:jc w:val="both"/>
        <w:textAlignment w:val="baseline"/>
        <w:rPr>
          <w:rFonts w:hint="eastAsia" w:ascii="宋体" w:hAnsi="宋体" w:eastAsia="宋体" w:cs="宋体"/>
          <w:b/>
          <w:i w:val="0"/>
          <w:caps w:val="0"/>
          <w:color w:val="auto"/>
          <w:spacing w:val="0"/>
          <w:w w:val="100"/>
          <w:kern w:val="21"/>
          <w:sz w:val="20"/>
          <w:szCs w:val="21"/>
          <w:highlight w:val="none"/>
        </w:rPr>
      </w:pPr>
    </w:p>
    <w:p w14:paraId="6602EA88">
      <w:pPr>
        <w:snapToGrid w:val="0"/>
        <w:spacing w:before="0" w:beforeAutospacing="0" w:after="0" w:afterAutospacing="0" w:line="357" w:lineRule="atLeast"/>
        <w:ind w:firstLine="2730" w:firstLineChars="13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 xml:space="preserve"> 供应商：</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(盖单位公章)</w:t>
      </w:r>
    </w:p>
    <w:p w14:paraId="291A156A">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kern w:val="21"/>
          <w:sz w:val="20"/>
          <w:szCs w:val="21"/>
          <w:highlight w:val="none"/>
        </w:rPr>
      </w:pPr>
    </w:p>
    <w:p w14:paraId="58A004DB">
      <w:pPr>
        <w:snapToGrid w:val="0"/>
        <w:spacing w:before="0" w:beforeAutospacing="0" w:after="0" w:afterAutospacing="0" w:line="357" w:lineRule="atLeast"/>
        <w:ind w:firstLine="2940" w:firstLineChars="14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法定代表人或委托代理人：</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(签字或盖章)</w:t>
      </w:r>
    </w:p>
    <w:p w14:paraId="677D0BB7">
      <w:pPr>
        <w:snapToGrid w:val="0"/>
        <w:spacing w:before="0" w:beforeAutospacing="0" w:after="0" w:afterAutospacing="0" w:line="357" w:lineRule="atLeast"/>
        <w:ind w:firstLine="1000" w:firstLineChars="500"/>
        <w:jc w:val="both"/>
        <w:textAlignment w:val="baseline"/>
        <w:rPr>
          <w:rFonts w:hint="eastAsia" w:ascii="宋体" w:hAnsi="宋体" w:eastAsia="宋体" w:cs="宋体"/>
          <w:b w:val="0"/>
          <w:i w:val="0"/>
          <w:caps w:val="0"/>
          <w:color w:val="auto"/>
          <w:spacing w:val="0"/>
          <w:w w:val="100"/>
          <w:kern w:val="21"/>
          <w:sz w:val="20"/>
          <w:szCs w:val="21"/>
          <w:highlight w:val="none"/>
        </w:rPr>
      </w:pPr>
    </w:p>
    <w:p w14:paraId="452A1C9E">
      <w:pPr>
        <w:widowControl w:val="0"/>
        <w:snapToGrid w:val="0"/>
        <w:spacing w:before="312" w:beforeAutospacing="0" w:after="312" w:afterAutospacing="0" w:line="360" w:lineRule="auto"/>
        <w:ind w:firstLine="2940" w:firstLineChars="14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日   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 xml:space="preserve">日 </w:t>
      </w:r>
    </w:p>
    <w:p w14:paraId="1BB39CFE">
      <w:pPr>
        <w:widowControl w:val="0"/>
        <w:snapToGrid w:val="0"/>
        <w:spacing w:before="312" w:beforeAutospacing="0" w:after="312" w:afterAutospacing="0" w:line="360" w:lineRule="auto"/>
        <w:jc w:val="center"/>
        <w:textAlignment w:val="baseline"/>
        <w:rPr>
          <w:rFonts w:hint="eastAsia" w:ascii="宋体" w:hAnsi="宋体" w:eastAsia="宋体" w:cs="宋体"/>
          <w:b w:val="0"/>
          <w:i w:val="0"/>
          <w:caps w:val="0"/>
          <w:color w:val="auto"/>
          <w:spacing w:val="0"/>
          <w:w w:val="100"/>
          <w:kern w:val="21"/>
          <w:sz w:val="20"/>
          <w:szCs w:val="21"/>
          <w:highlight w:val="none"/>
        </w:rPr>
      </w:pPr>
    </w:p>
    <w:p w14:paraId="129D2997">
      <w:pPr>
        <w:snapToGrid w:val="0"/>
        <w:spacing w:before="0" w:beforeAutospacing="0" w:after="0" w:afterAutospacing="0" w:line="357" w:lineRule="atLeast"/>
        <w:jc w:val="center"/>
        <w:textAlignment w:val="baseline"/>
        <w:rPr>
          <w:rFonts w:hint="eastAsia" w:ascii="宋体" w:hAnsi="宋体" w:eastAsia="宋体" w:cs="宋体"/>
          <w:b/>
          <w:bCs/>
          <w:i w:val="0"/>
          <w:caps w:val="0"/>
          <w:color w:val="auto"/>
          <w:spacing w:val="0"/>
          <w:w w:val="100"/>
          <w:sz w:val="24"/>
          <w:szCs w:val="24"/>
          <w:highlight w:val="none"/>
        </w:rPr>
      </w:pPr>
      <w:bookmarkStart w:id="80" w:name="_Toc60928907"/>
      <w:bookmarkStart w:id="81" w:name="_Toc216582815"/>
      <w:bookmarkStart w:id="82" w:name="_Toc62194351"/>
      <w:bookmarkStart w:id="83" w:name="_Toc60929139"/>
    </w:p>
    <w:p w14:paraId="27DD8ED4">
      <w:pPr>
        <w:pStyle w:val="42"/>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1"/>
          <w:highlight w:val="none"/>
        </w:rPr>
      </w:pPr>
    </w:p>
    <w:p w14:paraId="63270623">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31"/>
          <w:highlight w:val="none"/>
        </w:rPr>
      </w:pPr>
    </w:p>
    <w:p w14:paraId="49926204">
      <w:pPr>
        <w:snapToGrid w:val="0"/>
        <w:spacing w:before="0" w:beforeAutospacing="0" w:after="0" w:afterAutospacing="0" w:line="357" w:lineRule="atLeast"/>
        <w:jc w:val="center"/>
        <w:textAlignment w:val="baseline"/>
        <w:rPr>
          <w:rFonts w:hint="eastAsia" w:ascii="宋体" w:hAnsi="宋体" w:eastAsia="宋体" w:cs="宋体"/>
          <w:b/>
          <w:bCs/>
          <w:i w:val="0"/>
          <w:caps w:val="0"/>
          <w:color w:val="auto"/>
          <w:spacing w:val="0"/>
          <w:w w:val="100"/>
          <w:sz w:val="24"/>
          <w:szCs w:val="24"/>
          <w:highlight w:val="none"/>
        </w:rPr>
        <w:sectPr>
          <w:pgSz w:w="11906" w:h="16838"/>
          <w:pgMar w:top="1440" w:right="1701" w:bottom="1440" w:left="1417" w:header="850" w:footer="992" w:gutter="0"/>
          <w:pgNumType w:fmt="decimal"/>
          <w:cols w:space="0" w:num="1"/>
          <w:rtlGutter w:val="0"/>
          <w:docGrid w:linePitch="312" w:charSpace="0"/>
        </w:sectPr>
      </w:pPr>
    </w:p>
    <w:bookmarkEnd w:id="80"/>
    <w:bookmarkEnd w:id="81"/>
    <w:bookmarkEnd w:id="82"/>
    <w:bookmarkEnd w:id="83"/>
    <w:p w14:paraId="25BBBA8C">
      <w:pPr>
        <w:pStyle w:val="5"/>
        <w:rPr>
          <w:rFonts w:hint="eastAsia" w:ascii="宋体" w:hAnsi="宋体" w:eastAsia="宋体" w:cs="宋体"/>
          <w:color w:val="auto"/>
          <w:highlight w:val="none"/>
        </w:rPr>
      </w:pPr>
      <w:bookmarkStart w:id="84" w:name="_Toc16869"/>
      <w:bookmarkStart w:id="85" w:name="_Toc449368382"/>
      <w:bookmarkStart w:id="86" w:name="_Toc450138947"/>
      <w:bookmarkStart w:id="87" w:name="_Toc25897"/>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报价表格格式</w:t>
      </w:r>
      <w:bookmarkEnd w:id="84"/>
    </w:p>
    <w:p w14:paraId="144A672F">
      <w:pPr>
        <w:spacing w:line="360" w:lineRule="auto"/>
        <w:jc w:val="left"/>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项目名称;</w:t>
      </w:r>
      <w:r>
        <w:rPr>
          <w:rFonts w:hint="eastAsia" w:ascii="宋体" w:hAnsi="宋体" w:eastAsia="宋体" w:cs="宋体"/>
          <w:color w:val="auto"/>
          <w:kern w:val="21"/>
          <w:szCs w:val="21"/>
          <w:highlight w:val="none"/>
          <w:u w:val="single" w:color="auto"/>
          <w:lang w:val="en-US" w:eastAsia="zh-CN"/>
        </w:rPr>
        <w:t xml:space="preserve">                           </w:t>
      </w:r>
    </w:p>
    <w:p w14:paraId="349DC0C6">
      <w:pPr>
        <w:spacing w:line="360" w:lineRule="auto"/>
        <w:jc w:val="left"/>
        <w:rPr>
          <w:rFonts w:hint="eastAsia" w:ascii="宋体" w:hAnsi="宋体" w:eastAsia="宋体" w:cs="宋体"/>
          <w:color w:val="auto"/>
          <w:kern w:val="21"/>
          <w:szCs w:val="21"/>
          <w:highlight w:val="none"/>
          <w:u w:val="single" w:color="auto"/>
          <w:lang w:val="en-US" w:eastAsia="zh-CN"/>
        </w:rPr>
      </w:pPr>
      <w:r>
        <w:rPr>
          <w:rFonts w:hint="eastAsia" w:ascii="宋体" w:hAnsi="宋体" w:eastAsia="宋体" w:cs="宋体"/>
          <w:color w:val="auto"/>
          <w:kern w:val="21"/>
          <w:szCs w:val="21"/>
          <w:highlight w:val="none"/>
        </w:rPr>
        <w:t>项目编号：</w:t>
      </w:r>
      <w:r>
        <w:rPr>
          <w:rFonts w:hint="eastAsia" w:ascii="宋体" w:hAnsi="宋体" w:eastAsia="宋体" w:cs="宋体"/>
          <w:color w:val="auto"/>
          <w:kern w:val="21"/>
          <w:szCs w:val="21"/>
          <w:highlight w:val="none"/>
          <w:u w:val="single" w:color="auto"/>
          <w:lang w:val="en-US" w:eastAsia="zh-CN"/>
        </w:rPr>
        <w:t xml:space="preserve">                          </w:t>
      </w:r>
    </w:p>
    <w:p w14:paraId="70CBB41D">
      <w:pPr>
        <w:pStyle w:val="9"/>
        <w:rPr>
          <w:rFonts w:hint="eastAsia" w:ascii="宋体" w:hAnsi="宋体" w:eastAsia="宋体" w:cs="宋体"/>
          <w:b/>
          <w:bCs/>
          <w:color w:val="auto"/>
          <w:szCs w:val="21"/>
          <w:highlight w:val="none"/>
        </w:rPr>
      </w:pPr>
    </w:p>
    <w:tbl>
      <w:tblPr>
        <w:tblStyle w:val="96"/>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536"/>
        <w:gridCol w:w="767"/>
        <w:gridCol w:w="852"/>
        <w:gridCol w:w="1341"/>
        <w:gridCol w:w="980"/>
        <w:gridCol w:w="1497"/>
        <w:gridCol w:w="1559"/>
        <w:gridCol w:w="709"/>
      </w:tblGrid>
      <w:tr w14:paraId="48EE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shd w:val="clear" w:color="auto" w:fill="BEBEBE" w:themeFill="background1" w:themeFillShade="BF"/>
            <w:vAlign w:val="center"/>
          </w:tcPr>
          <w:p w14:paraId="59D0657E">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4536" w:type="dxa"/>
            <w:shd w:val="clear" w:color="auto" w:fill="BEBEBE" w:themeFill="background1" w:themeFillShade="BF"/>
            <w:vAlign w:val="center"/>
          </w:tcPr>
          <w:p w14:paraId="2AD283FE">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系统/设备名称</w:t>
            </w:r>
          </w:p>
        </w:tc>
        <w:tc>
          <w:tcPr>
            <w:tcW w:w="767" w:type="dxa"/>
            <w:shd w:val="clear" w:color="auto" w:fill="BEBEBE" w:themeFill="background1" w:themeFillShade="BF"/>
            <w:vAlign w:val="center"/>
          </w:tcPr>
          <w:p w14:paraId="691E6C5B">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数量</w:t>
            </w:r>
          </w:p>
        </w:tc>
        <w:tc>
          <w:tcPr>
            <w:tcW w:w="852" w:type="dxa"/>
            <w:shd w:val="clear" w:color="auto" w:fill="BEBEBE" w:themeFill="background1" w:themeFillShade="BF"/>
            <w:vAlign w:val="center"/>
          </w:tcPr>
          <w:p w14:paraId="4F2FCB08">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1341" w:type="dxa"/>
            <w:shd w:val="clear" w:color="auto" w:fill="BEBEBE" w:themeFill="background1" w:themeFillShade="BF"/>
            <w:vAlign w:val="center"/>
          </w:tcPr>
          <w:p w14:paraId="778CC1ED">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tc>
        <w:tc>
          <w:tcPr>
            <w:tcW w:w="980" w:type="dxa"/>
            <w:shd w:val="clear" w:color="auto" w:fill="BEBEBE" w:themeFill="background1" w:themeFillShade="BF"/>
            <w:vAlign w:val="center"/>
          </w:tcPr>
          <w:p w14:paraId="6DF8A0FF">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型号</w:t>
            </w:r>
          </w:p>
        </w:tc>
        <w:tc>
          <w:tcPr>
            <w:tcW w:w="1497" w:type="dxa"/>
            <w:shd w:val="clear" w:color="auto" w:fill="BEBEBE" w:themeFill="background1" w:themeFillShade="BF"/>
            <w:vAlign w:val="center"/>
          </w:tcPr>
          <w:p w14:paraId="5D7D43B6">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单价（元）</w:t>
            </w:r>
          </w:p>
        </w:tc>
        <w:tc>
          <w:tcPr>
            <w:tcW w:w="1559" w:type="dxa"/>
            <w:shd w:val="clear" w:color="auto" w:fill="BEBEBE" w:themeFill="background1" w:themeFillShade="BF"/>
            <w:vAlign w:val="center"/>
          </w:tcPr>
          <w:p w14:paraId="299B9322">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小计（元）</w:t>
            </w:r>
          </w:p>
        </w:tc>
        <w:tc>
          <w:tcPr>
            <w:tcW w:w="709" w:type="dxa"/>
            <w:shd w:val="clear" w:color="auto" w:fill="BEBEBE" w:themeFill="background1" w:themeFillShade="BF"/>
            <w:vAlign w:val="center"/>
          </w:tcPr>
          <w:p w14:paraId="5068360C">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4966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42" w:type="dxa"/>
            <w:gridSpan w:val="9"/>
            <w:vAlign w:val="center"/>
          </w:tcPr>
          <w:p w14:paraId="3F44B1D0">
            <w:pPr>
              <w:pStyle w:val="18"/>
              <w:jc w:val="left"/>
              <w:rPr>
                <w:rFonts w:hint="eastAsia" w:ascii="宋体" w:hAnsi="宋体" w:eastAsia="宋体" w:cs="宋体"/>
                <w:b/>
                <w:color w:val="auto"/>
                <w:highlight w:val="none"/>
              </w:rPr>
            </w:pPr>
            <w:r>
              <w:rPr>
                <w:rFonts w:hint="eastAsia" w:ascii="宋体" w:hAnsi="宋体" w:eastAsia="宋体" w:cs="宋体"/>
                <w:b/>
                <w:color w:val="auto"/>
                <w:highlight w:val="none"/>
              </w:rPr>
              <w:t>（一）应用软件系统</w:t>
            </w:r>
          </w:p>
        </w:tc>
      </w:tr>
      <w:tr w14:paraId="218B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B2AC29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w:t>
            </w:r>
          </w:p>
        </w:tc>
        <w:tc>
          <w:tcPr>
            <w:tcW w:w="4536" w:type="dxa"/>
            <w:noWrap/>
            <w:vAlign w:val="center"/>
          </w:tcPr>
          <w:p w14:paraId="32795276">
            <w:pPr>
              <w:pStyle w:val="18"/>
              <w:rPr>
                <w:rFonts w:hint="eastAsia" w:ascii="宋体" w:hAnsi="宋体" w:eastAsia="宋体" w:cs="宋体"/>
                <w:color w:val="auto"/>
                <w:highlight w:val="none"/>
              </w:rPr>
            </w:pPr>
            <w:r>
              <w:rPr>
                <w:rFonts w:hint="eastAsia" w:ascii="宋体" w:hAnsi="宋体" w:eastAsia="宋体" w:cs="宋体"/>
                <w:color w:val="auto"/>
                <w:highlight w:val="none"/>
              </w:rPr>
              <w:t>医院管理信息系统（HIS）</w:t>
            </w:r>
          </w:p>
        </w:tc>
        <w:tc>
          <w:tcPr>
            <w:tcW w:w="767" w:type="dxa"/>
            <w:vAlign w:val="center"/>
          </w:tcPr>
          <w:p w14:paraId="735D46B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5C6ED01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vAlign w:val="center"/>
          </w:tcPr>
          <w:p w14:paraId="2232EFA2">
            <w:pPr>
              <w:pStyle w:val="18"/>
              <w:jc w:val="center"/>
              <w:rPr>
                <w:rFonts w:hint="eastAsia" w:ascii="宋体" w:hAnsi="宋体" w:eastAsia="宋体" w:cs="宋体"/>
                <w:color w:val="auto"/>
                <w:highlight w:val="none"/>
              </w:rPr>
            </w:pPr>
          </w:p>
        </w:tc>
        <w:tc>
          <w:tcPr>
            <w:tcW w:w="980" w:type="dxa"/>
            <w:vAlign w:val="center"/>
          </w:tcPr>
          <w:p w14:paraId="171FE070">
            <w:pPr>
              <w:pStyle w:val="18"/>
              <w:jc w:val="center"/>
              <w:rPr>
                <w:rFonts w:hint="eastAsia" w:ascii="宋体" w:hAnsi="宋体" w:eastAsia="宋体" w:cs="宋体"/>
                <w:color w:val="auto"/>
                <w:highlight w:val="none"/>
              </w:rPr>
            </w:pPr>
          </w:p>
        </w:tc>
        <w:tc>
          <w:tcPr>
            <w:tcW w:w="1497" w:type="dxa"/>
            <w:vAlign w:val="center"/>
          </w:tcPr>
          <w:p w14:paraId="263341F3">
            <w:pPr>
              <w:pStyle w:val="18"/>
              <w:jc w:val="center"/>
              <w:rPr>
                <w:rFonts w:hint="eastAsia" w:ascii="宋体" w:hAnsi="宋体" w:eastAsia="宋体" w:cs="宋体"/>
                <w:color w:val="auto"/>
                <w:highlight w:val="none"/>
              </w:rPr>
            </w:pPr>
          </w:p>
        </w:tc>
        <w:tc>
          <w:tcPr>
            <w:tcW w:w="1559" w:type="dxa"/>
            <w:vAlign w:val="center"/>
          </w:tcPr>
          <w:p w14:paraId="1775C1F3">
            <w:pPr>
              <w:pStyle w:val="18"/>
              <w:jc w:val="center"/>
              <w:rPr>
                <w:rFonts w:hint="eastAsia" w:ascii="宋体" w:hAnsi="宋体" w:eastAsia="宋体" w:cs="宋体"/>
                <w:color w:val="auto"/>
                <w:highlight w:val="none"/>
              </w:rPr>
            </w:pPr>
          </w:p>
        </w:tc>
        <w:tc>
          <w:tcPr>
            <w:tcW w:w="709" w:type="dxa"/>
            <w:vAlign w:val="center"/>
          </w:tcPr>
          <w:p w14:paraId="1B9E435F">
            <w:pPr>
              <w:pStyle w:val="18"/>
              <w:jc w:val="center"/>
              <w:rPr>
                <w:rFonts w:hint="eastAsia" w:ascii="宋体" w:hAnsi="宋体" w:eastAsia="宋体" w:cs="宋体"/>
                <w:color w:val="auto"/>
                <w:highlight w:val="none"/>
              </w:rPr>
            </w:pPr>
          </w:p>
        </w:tc>
      </w:tr>
      <w:tr w14:paraId="11DE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B11BCD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w:t>
            </w:r>
          </w:p>
        </w:tc>
        <w:tc>
          <w:tcPr>
            <w:tcW w:w="4536" w:type="dxa"/>
            <w:noWrap/>
            <w:vAlign w:val="center"/>
          </w:tcPr>
          <w:p w14:paraId="728630AF">
            <w:pPr>
              <w:pStyle w:val="18"/>
              <w:rPr>
                <w:rFonts w:hint="eastAsia" w:ascii="宋体" w:hAnsi="宋体" w:eastAsia="宋体" w:cs="宋体"/>
                <w:color w:val="auto"/>
                <w:highlight w:val="none"/>
              </w:rPr>
            </w:pPr>
            <w:r>
              <w:rPr>
                <w:rFonts w:hint="eastAsia" w:ascii="宋体" w:hAnsi="宋体" w:eastAsia="宋体" w:cs="宋体"/>
                <w:color w:val="auto"/>
                <w:highlight w:val="none"/>
              </w:rPr>
              <w:t>一体化医生工作站（EMR）</w:t>
            </w:r>
          </w:p>
        </w:tc>
        <w:tc>
          <w:tcPr>
            <w:tcW w:w="767" w:type="dxa"/>
            <w:vAlign w:val="center"/>
          </w:tcPr>
          <w:p w14:paraId="2106ACC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181F03DF">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vAlign w:val="center"/>
          </w:tcPr>
          <w:p w14:paraId="78E4309D">
            <w:pPr>
              <w:pStyle w:val="18"/>
              <w:jc w:val="center"/>
              <w:rPr>
                <w:rFonts w:hint="eastAsia" w:ascii="宋体" w:hAnsi="宋体" w:eastAsia="宋体" w:cs="宋体"/>
                <w:color w:val="auto"/>
                <w:highlight w:val="none"/>
              </w:rPr>
            </w:pPr>
          </w:p>
        </w:tc>
        <w:tc>
          <w:tcPr>
            <w:tcW w:w="980" w:type="dxa"/>
            <w:vAlign w:val="center"/>
          </w:tcPr>
          <w:p w14:paraId="6529F67C">
            <w:pPr>
              <w:pStyle w:val="18"/>
              <w:jc w:val="center"/>
              <w:rPr>
                <w:rFonts w:hint="eastAsia" w:ascii="宋体" w:hAnsi="宋体" w:eastAsia="宋体" w:cs="宋体"/>
                <w:color w:val="auto"/>
                <w:highlight w:val="none"/>
              </w:rPr>
            </w:pPr>
          </w:p>
        </w:tc>
        <w:tc>
          <w:tcPr>
            <w:tcW w:w="1497" w:type="dxa"/>
            <w:vAlign w:val="center"/>
          </w:tcPr>
          <w:p w14:paraId="181571BC">
            <w:pPr>
              <w:pStyle w:val="18"/>
              <w:jc w:val="center"/>
              <w:rPr>
                <w:rFonts w:hint="eastAsia" w:ascii="宋体" w:hAnsi="宋体" w:eastAsia="宋体" w:cs="宋体"/>
                <w:color w:val="auto"/>
                <w:highlight w:val="none"/>
              </w:rPr>
            </w:pPr>
          </w:p>
        </w:tc>
        <w:tc>
          <w:tcPr>
            <w:tcW w:w="1559" w:type="dxa"/>
            <w:vAlign w:val="center"/>
          </w:tcPr>
          <w:p w14:paraId="09B8FFA8">
            <w:pPr>
              <w:pStyle w:val="18"/>
              <w:jc w:val="center"/>
              <w:rPr>
                <w:rFonts w:hint="eastAsia" w:ascii="宋体" w:hAnsi="宋体" w:eastAsia="宋体" w:cs="宋体"/>
                <w:color w:val="auto"/>
                <w:highlight w:val="none"/>
              </w:rPr>
            </w:pPr>
          </w:p>
        </w:tc>
        <w:tc>
          <w:tcPr>
            <w:tcW w:w="709" w:type="dxa"/>
            <w:vAlign w:val="center"/>
          </w:tcPr>
          <w:p w14:paraId="19349904">
            <w:pPr>
              <w:pStyle w:val="18"/>
              <w:jc w:val="center"/>
              <w:rPr>
                <w:rFonts w:hint="eastAsia" w:ascii="宋体" w:hAnsi="宋体" w:eastAsia="宋体" w:cs="宋体"/>
                <w:color w:val="auto"/>
                <w:highlight w:val="none"/>
              </w:rPr>
            </w:pPr>
          </w:p>
        </w:tc>
      </w:tr>
      <w:tr w14:paraId="6079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E157E91">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w:t>
            </w:r>
          </w:p>
        </w:tc>
        <w:tc>
          <w:tcPr>
            <w:tcW w:w="4536" w:type="dxa"/>
            <w:noWrap/>
            <w:vAlign w:val="center"/>
          </w:tcPr>
          <w:p w14:paraId="09A54756">
            <w:pPr>
              <w:pStyle w:val="18"/>
              <w:rPr>
                <w:rFonts w:hint="eastAsia" w:ascii="宋体" w:hAnsi="宋体" w:eastAsia="宋体" w:cs="宋体"/>
                <w:color w:val="auto"/>
                <w:highlight w:val="none"/>
              </w:rPr>
            </w:pPr>
            <w:r>
              <w:rPr>
                <w:rFonts w:hint="eastAsia" w:ascii="宋体" w:hAnsi="宋体" w:eastAsia="宋体" w:cs="宋体"/>
                <w:color w:val="auto"/>
                <w:highlight w:val="none"/>
              </w:rPr>
              <w:t>护理病历系统</w:t>
            </w:r>
          </w:p>
        </w:tc>
        <w:tc>
          <w:tcPr>
            <w:tcW w:w="767" w:type="dxa"/>
            <w:vAlign w:val="center"/>
          </w:tcPr>
          <w:p w14:paraId="24AE6CBC">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528E2E8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vAlign w:val="center"/>
          </w:tcPr>
          <w:p w14:paraId="339AEC45">
            <w:pPr>
              <w:pStyle w:val="18"/>
              <w:jc w:val="center"/>
              <w:rPr>
                <w:rFonts w:hint="eastAsia" w:ascii="宋体" w:hAnsi="宋体" w:eastAsia="宋体" w:cs="宋体"/>
                <w:color w:val="auto"/>
                <w:highlight w:val="none"/>
              </w:rPr>
            </w:pPr>
          </w:p>
        </w:tc>
        <w:tc>
          <w:tcPr>
            <w:tcW w:w="980" w:type="dxa"/>
            <w:vAlign w:val="center"/>
          </w:tcPr>
          <w:p w14:paraId="5966F200">
            <w:pPr>
              <w:pStyle w:val="18"/>
              <w:jc w:val="center"/>
              <w:rPr>
                <w:rFonts w:hint="eastAsia" w:ascii="宋体" w:hAnsi="宋体" w:eastAsia="宋体" w:cs="宋体"/>
                <w:color w:val="auto"/>
                <w:highlight w:val="none"/>
              </w:rPr>
            </w:pPr>
          </w:p>
        </w:tc>
        <w:tc>
          <w:tcPr>
            <w:tcW w:w="1497" w:type="dxa"/>
            <w:vAlign w:val="center"/>
          </w:tcPr>
          <w:p w14:paraId="1857F799">
            <w:pPr>
              <w:pStyle w:val="18"/>
              <w:jc w:val="center"/>
              <w:rPr>
                <w:rFonts w:hint="eastAsia" w:ascii="宋体" w:hAnsi="宋体" w:eastAsia="宋体" w:cs="宋体"/>
                <w:color w:val="auto"/>
                <w:highlight w:val="none"/>
              </w:rPr>
            </w:pPr>
          </w:p>
        </w:tc>
        <w:tc>
          <w:tcPr>
            <w:tcW w:w="1559" w:type="dxa"/>
            <w:vAlign w:val="center"/>
          </w:tcPr>
          <w:p w14:paraId="01C269EC">
            <w:pPr>
              <w:pStyle w:val="18"/>
              <w:jc w:val="center"/>
              <w:rPr>
                <w:rFonts w:hint="eastAsia" w:ascii="宋体" w:hAnsi="宋体" w:eastAsia="宋体" w:cs="宋体"/>
                <w:color w:val="auto"/>
                <w:highlight w:val="none"/>
              </w:rPr>
            </w:pPr>
          </w:p>
        </w:tc>
        <w:tc>
          <w:tcPr>
            <w:tcW w:w="709" w:type="dxa"/>
            <w:vAlign w:val="center"/>
          </w:tcPr>
          <w:p w14:paraId="1A664533">
            <w:pPr>
              <w:pStyle w:val="18"/>
              <w:jc w:val="center"/>
              <w:rPr>
                <w:rFonts w:hint="eastAsia" w:ascii="宋体" w:hAnsi="宋体" w:eastAsia="宋体" w:cs="宋体"/>
                <w:color w:val="auto"/>
                <w:highlight w:val="none"/>
              </w:rPr>
            </w:pPr>
          </w:p>
        </w:tc>
      </w:tr>
      <w:tr w14:paraId="11E0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D67CC69">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4</w:t>
            </w:r>
          </w:p>
        </w:tc>
        <w:tc>
          <w:tcPr>
            <w:tcW w:w="4536" w:type="dxa"/>
            <w:noWrap/>
            <w:vAlign w:val="center"/>
          </w:tcPr>
          <w:p w14:paraId="02199B82">
            <w:pPr>
              <w:pStyle w:val="18"/>
              <w:rPr>
                <w:rFonts w:hint="eastAsia" w:ascii="宋体" w:hAnsi="宋体" w:eastAsia="宋体" w:cs="宋体"/>
                <w:color w:val="auto"/>
                <w:highlight w:val="none"/>
              </w:rPr>
            </w:pPr>
            <w:r>
              <w:rPr>
                <w:rFonts w:hint="eastAsia" w:ascii="宋体" w:hAnsi="宋体" w:eastAsia="宋体" w:cs="宋体"/>
                <w:color w:val="auto"/>
                <w:highlight w:val="none"/>
              </w:rPr>
              <w:t>实验室信息系统（LIS）</w:t>
            </w:r>
          </w:p>
        </w:tc>
        <w:tc>
          <w:tcPr>
            <w:tcW w:w="767" w:type="dxa"/>
            <w:vAlign w:val="center"/>
          </w:tcPr>
          <w:p w14:paraId="2B6F890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70E8408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1900AFB3">
            <w:pPr>
              <w:pStyle w:val="18"/>
              <w:jc w:val="center"/>
              <w:rPr>
                <w:rFonts w:hint="eastAsia" w:ascii="宋体" w:hAnsi="宋体" w:eastAsia="宋体" w:cs="宋体"/>
                <w:color w:val="auto"/>
                <w:highlight w:val="none"/>
              </w:rPr>
            </w:pPr>
          </w:p>
        </w:tc>
        <w:tc>
          <w:tcPr>
            <w:tcW w:w="980" w:type="dxa"/>
            <w:noWrap/>
            <w:vAlign w:val="center"/>
          </w:tcPr>
          <w:p w14:paraId="4A61171B">
            <w:pPr>
              <w:pStyle w:val="18"/>
              <w:jc w:val="center"/>
              <w:rPr>
                <w:rFonts w:hint="eastAsia" w:ascii="宋体" w:hAnsi="宋体" w:eastAsia="宋体" w:cs="宋体"/>
                <w:color w:val="auto"/>
                <w:highlight w:val="none"/>
              </w:rPr>
            </w:pPr>
          </w:p>
        </w:tc>
        <w:tc>
          <w:tcPr>
            <w:tcW w:w="1497" w:type="dxa"/>
            <w:noWrap/>
            <w:vAlign w:val="center"/>
          </w:tcPr>
          <w:p w14:paraId="2F5793A9">
            <w:pPr>
              <w:pStyle w:val="18"/>
              <w:jc w:val="center"/>
              <w:rPr>
                <w:rFonts w:hint="eastAsia" w:ascii="宋体" w:hAnsi="宋体" w:eastAsia="宋体" w:cs="宋体"/>
                <w:color w:val="auto"/>
                <w:highlight w:val="none"/>
              </w:rPr>
            </w:pPr>
          </w:p>
        </w:tc>
        <w:tc>
          <w:tcPr>
            <w:tcW w:w="1559" w:type="dxa"/>
            <w:noWrap/>
            <w:vAlign w:val="center"/>
          </w:tcPr>
          <w:p w14:paraId="4DC87CA1">
            <w:pPr>
              <w:pStyle w:val="18"/>
              <w:jc w:val="center"/>
              <w:rPr>
                <w:rFonts w:hint="eastAsia" w:ascii="宋体" w:hAnsi="宋体" w:eastAsia="宋体" w:cs="宋体"/>
                <w:color w:val="auto"/>
                <w:highlight w:val="none"/>
              </w:rPr>
            </w:pPr>
          </w:p>
        </w:tc>
        <w:tc>
          <w:tcPr>
            <w:tcW w:w="709" w:type="dxa"/>
            <w:noWrap/>
            <w:vAlign w:val="center"/>
          </w:tcPr>
          <w:p w14:paraId="1F621C35">
            <w:pPr>
              <w:pStyle w:val="18"/>
              <w:jc w:val="center"/>
              <w:rPr>
                <w:rFonts w:hint="eastAsia" w:ascii="宋体" w:hAnsi="宋体" w:eastAsia="宋体" w:cs="宋体"/>
                <w:color w:val="auto"/>
                <w:highlight w:val="none"/>
              </w:rPr>
            </w:pPr>
          </w:p>
        </w:tc>
      </w:tr>
      <w:tr w14:paraId="1F3C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D7450E6">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5</w:t>
            </w:r>
          </w:p>
        </w:tc>
        <w:tc>
          <w:tcPr>
            <w:tcW w:w="4536" w:type="dxa"/>
            <w:noWrap/>
            <w:vAlign w:val="center"/>
          </w:tcPr>
          <w:p w14:paraId="72507672">
            <w:pPr>
              <w:pStyle w:val="18"/>
              <w:rPr>
                <w:rFonts w:hint="eastAsia" w:ascii="宋体" w:hAnsi="宋体" w:eastAsia="宋体" w:cs="宋体"/>
                <w:color w:val="auto"/>
                <w:highlight w:val="none"/>
              </w:rPr>
            </w:pPr>
            <w:r>
              <w:rPr>
                <w:rFonts w:hint="eastAsia" w:ascii="宋体" w:hAnsi="宋体" w:eastAsia="宋体" w:cs="宋体"/>
                <w:color w:val="auto"/>
                <w:highlight w:val="none"/>
              </w:rPr>
              <w:t>影像信息系统（PACS）</w:t>
            </w:r>
          </w:p>
        </w:tc>
        <w:tc>
          <w:tcPr>
            <w:tcW w:w="767" w:type="dxa"/>
            <w:vAlign w:val="center"/>
          </w:tcPr>
          <w:p w14:paraId="13DCED0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1D7DD18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EDBF36B">
            <w:pPr>
              <w:pStyle w:val="18"/>
              <w:jc w:val="center"/>
              <w:rPr>
                <w:rFonts w:hint="eastAsia" w:ascii="宋体" w:hAnsi="宋体" w:eastAsia="宋体" w:cs="宋体"/>
                <w:color w:val="auto"/>
                <w:highlight w:val="none"/>
              </w:rPr>
            </w:pPr>
          </w:p>
        </w:tc>
        <w:tc>
          <w:tcPr>
            <w:tcW w:w="980" w:type="dxa"/>
            <w:noWrap/>
            <w:vAlign w:val="center"/>
          </w:tcPr>
          <w:p w14:paraId="571645BB">
            <w:pPr>
              <w:pStyle w:val="18"/>
              <w:jc w:val="center"/>
              <w:rPr>
                <w:rFonts w:hint="eastAsia" w:ascii="宋体" w:hAnsi="宋体" w:eastAsia="宋体" w:cs="宋体"/>
                <w:color w:val="auto"/>
                <w:highlight w:val="none"/>
              </w:rPr>
            </w:pPr>
          </w:p>
        </w:tc>
        <w:tc>
          <w:tcPr>
            <w:tcW w:w="1497" w:type="dxa"/>
            <w:noWrap/>
            <w:vAlign w:val="center"/>
          </w:tcPr>
          <w:p w14:paraId="5AB23DC0">
            <w:pPr>
              <w:pStyle w:val="18"/>
              <w:jc w:val="center"/>
              <w:rPr>
                <w:rFonts w:hint="eastAsia" w:ascii="宋体" w:hAnsi="宋体" w:eastAsia="宋体" w:cs="宋体"/>
                <w:color w:val="auto"/>
                <w:highlight w:val="none"/>
              </w:rPr>
            </w:pPr>
          </w:p>
        </w:tc>
        <w:tc>
          <w:tcPr>
            <w:tcW w:w="1559" w:type="dxa"/>
            <w:noWrap/>
            <w:vAlign w:val="center"/>
          </w:tcPr>
          <w:p w14:paraId="02F7D1E2">
            <w:pPr>
              <w:pStyle w:val="18"/>
              <w:jc w:val="center"/>
              <w:rPr>
                <w:rFonts w:hint="eastAsia" w:ascii="宋体" w:hAnsi="宋体" w:eastAsia="宋体" w:cs="宋体"/>
                <w:color w:val="auto"/>
                <w:highlight w:val="none"/>
              </w:rPr>
            </w:pPr>
          </w:p>
        </w:tc>
        <w:tc>
          <w:tcPr>
            <w:tcW w:w="709" w:type="dxa"/>
            <w:noWrap/>
            <w:vAlign w:val="center"/>
          </w:tcPr>
          <w:p w14:paraId="783B8A7D">
            <w:pPr>
              <w:pStyle w:val="18"/>
              <w:jc w:val="center"/>
              <w:rPr>
                <w:rFonts w:hint="eastAsia" w:ascii="宋体" w:hAnsi="宋体" w:eastAsia="宋体" w:cs="宋体"/>
                <w:color w:val="auto"/>
                <w:highlight w:val="none"/>
              </w:rPr>
            </w:pPr>
          </w:p>
        </w:tc>
      </w:tr>
      <w:tr w14:paraId="208A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B260EB1">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6</w:t>
            </w:r>
          </w:p>
        </w:tc>
        <w:tc>
          <w:tcPr>
            <w:tcW w:w="4536" w:type="dxa"/>
            <w:noWrap/>
            <w:vAlign w:val="center"/>
          </w:tcPr>
          <w:p w14:paraId="7E0E9D06">
            <w:pPr>
              <w:pStyle w:val="18"/>
              <w:rPr>
                <w:rFonts w:hint="eastAsia" w:ascii="宋体" w:hAnsi="宋体" w:eastAsia="宋体" w:cs="宋体"/>
                <w:color w:val="auto"/>
                <w:highlight w:val="none"/>
              </w:rPr>
            </w:pPr>
            <w:r>
              <w:rPr>
                <w:rFonts w:hint="eastAsia" w:ascii="宋体" w:hAnsi="宋体" w:eastAsia="宋体" w:cs="宋体"/>
                <w:color w:val="auto"/>
                <w:highlight w:val="none"/>
              </w:rPr>
              <w:t>合理用药监测系统</w:t>
            </w:r>
          </w:p>
        </w:tc>
        <w:tc>
          <w:tcPr>
            <w:tcW w:w="767" w:type="dxa"/>
            <w:vAlign w:val="center"/>
          </w:tcPr>
          <w:p w14:paraId="11AAF1C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60A503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34B3F731">
            <w:pPr>
              <w:pStyle w:val="18"/>
              <w:jc w:val="center"/>
              <w:rPr>
                <w:rFonts w:hint="eastAsia" w:ascii="宋体" w:hAnsi="宋体" w:eastAsia="宋体" w:cs="宋体"/>
                <w:color w:val="auto"/>
                <w:highlight w:val="none"/>
              </w:rPr>
            </w:pPr>
          </w:p>
        </w:tc>
        <w:tc>
          <w:tcPr>
            <w:tcW w:w="980" w:type="dxa"/>
            <w:noWrap/>
            <w:vAlign w:val="center"/>
          </w:tcPr>
          <w:p w14:paraId="771EE8E4">
            <w:pPr>
              <w:pStyle w:val="18"/>
              <w:jc w:val="center"/>
              <w:rPr>
                <w:rFonts w:hint="eastAsia" w:ascii="宋体" w:hAnsi="宋体" w:eastAsia="宋体" w:cs="宋体"/>
                <w:color w:val="auto"/>
                <w:highlight w:val="none"/>
              </w:rPr>
            </w:pPr>
          </w:p>
        </w:tc>
        <w:tc>
          <w:tcPr>
            <w:tcW w:w="1497" w:type="dxa"/>
            <w:noWrap/>
            <w:vAlign w:val="center"/>
          </w:tcPr>
          <w:p w14:paraId="6A6CBF1B">
            <w:pPr>
              <w:pStyle w:val="18"/>
              <w:jc w:val="center"/>
              <w:rPr>
                <w:rFonts w:hint="eastAsia" w:ascii="宋体" w:hAnsi="宋体" w:eastAsia="宋体" w:cs="宋体"/>
                <w:color w:val="auto"/>
                <w:highlight w:val="none"/>
              </w:rPr>
            </w:pPr>
          </w:p>
        </w:tc>
        <w:tc>
          <w:tcPr>
            <w:tcW w:w="1559" w:type="dxa"/>
            <w:noWrap/>
            <w:vAlign w:val="center"/>
          </w:tcPr>
          <w:p w14:paraId="68EC50BD">
            <w:pPr>
              <w:pStyle w:val="18"/>
              <w:jc w:val="center"/>
              <w:rPr>
                <w:rFonts w:hint="eastAsia" w:ascii="宋体" w:hAnsi="宋体" w:eastAsia="宋体" w:cs="宋体"/>
                <w:color w:val="auto"/>
                <w:highlight w:val="none"/>
              </w:rPr>
            </w:pPr>
          </w:p>
        </w:tc>
        <w:tc>
          <w:tcPr>
            <w:tcW w:w="709" w:type="dxa"/>
            <w:noWrap/>
            <w:vAlign w:val="center"/>
          </w:tcPr>
          <w:p w14:paraId="4CE24C02">
            <w:pPr>
              <w:pStyle w:val="18"/>
              <w:jc w:val="center"/>
              <w:rPr>
                <w:rFonts w:hint="eastAsia" w:ascii="宋体" w:hAnsi="宋体" w:eastAsia="宋体" w:cs="宋体"/>
                <w:color w:val="auto"/>
                <w:highlight w:val="none"/>
              </w:rPr>
            </w:pPr>
          </w:p>
        </w:tc>
      </w:tr>
      <w:tr w14:paraId="3FEE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8902CB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7</w:t>
            </w:r>
          </w:p>
        </w:tc>
        <w:tc>
          <w:tcPr>
            <w:tcW w:w="4536" w:type="dxa"/>
            <w:noWrap/>
            <w:vAlign w:val="center"/>
          </w:tcPr>
          <w:p w14:paraId="1E114413">
            <w:pPr>
              <w:pStyle w:val="18"/>
              <w:rPr>
                <w:rFonts w:hint="eastAsia" w:ascii="宋体" w:hAnsi="宋体" w:eastAsia="宋体" w:cs="宋体"/>
                <w:color w:val="auto"/>
                <w:highlight w:val="none"/>
              </w:rPr>
            </w:pPr>
            <w:r>
              <w:rPr>
                <w:rFonts w:hint="eastAsia" w:ascii="宋体" w:hAnsi="宋体" w:eastAsia="宋体" w:cs="宋体"/>
                <w:color w:val="auto"/>
                <w:highlight w:val="none"/>
              </w:rPr>
              <w:t>抗菌药物管理系统</w:t>
            </w:r>
          </w:p>
        </w:tc>
        <w:tc>
          <w:tcPr>
            <w:tcW w:w="767" w:type="dxa"/>
            <w:vAlign w:val="center"/>
          </w:tcPr>
          <w:p w14:paraId="176D589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58EC112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35A50B7">
            <w:pPr>
              <w:pStyle w:val="18"/>
              <w:jc w:val="center"/>
              <w:rPr>
                <w:rFonts w:hint="eastAsia" w:ascii="宋体" w:hAnsi="宋体" w:eastAsia="宋体" w:cs="宋体"/>
                <w:color w:val="auto"/>
                <w:highlight w:val="none"/>
              </w:rPr>
            </w:pPr>
          </w:p>
        </w:tc>
        <w:tc>
          <w:tcPr>
            <w:tcW w:w="980" w:type="dxa"/>
            <w:noWrap/>
            <w:vAlign w:val="center"/>
          </w:tcPr>
          <w:p w14:paraId="6AD776FC">
            <w:pPr>
              <w:pStyle w:val="18"/>
              <w:jc w:val="center"/>
              <w:rPr>
                <w:rFonts w:hint="eastAsia" w:ascii="宋体" w:hAnsi="宋体" w:eastAsia="宋体" w:cs="宋体"/>
                <w:color w:val="auto"/>
                <w:highlight w:val="none"/>
              </w:rPr>
            </w:pPr>
          </w:p>
        </w:tc>
        <w:tc>
          <w:tcPr>
            <w:tcW w:w="1497" w:type="dxa"/>
            <w:noWrap/>
            <w:vAlign w:val="center"/>
          </w:tcPr>
          <w:p w14:paraId="04BF1589">
            <w:pPr>
              <w:pStyle w:val="18"/>
              <w:jc w:val="center"/>
              <w:rPr>
                <w:rFonts w:hint="eastAsia" w:ascii="宋体" w:hAnsi="宋体" w:eastAsia="宋体" w:cs="宋体"/>
                <w:color w:val="auto"/>
                <w:highlight w:val="none"/>
              </w:rPr>
            </w:pPr>
          </w:p>
        </w:tc>
        <w:tc>
          <w:tcPr>
            <w:tcW w:w="1559" w:type="dxa"/>
            <w:noWrap/>
            <w:vAlign w:val="center"/>
          </w:tcPr>
          <w:p w14:paraId="31A9DD5F">
            <w:pPr>
              <w:pStyle w:val="18"/>
              <w:jc w:val="center"/>
              <w:rPr>
                <w:rFonts w:hint="eastAsia" w:ascii="宋体" w:hAnsi="宋体" w:eastAsia="宋体" w:cs="宋体"/>
                <w:color w:val="auto"/>
                <w:highlight w:val="none"/>
              </w:rPr>
            </w:pPr>
          </w:p>
        </w:tc>
        <w:tc>
          <w:tcPr>
            <w:tcW w:w="709" w:type="dxa"/>
            <w:noWrap/>
            <w:vAlign w:val="center"/>
          </w:tcPr>
          <w:p w14:paraId="5C9E4C9E">
            <w:pPr>
              <w:pStyle w:val="18"/>
              <w:jc w:val="center"/>
              <w:rPr>
                <w:rFonts w:hint="eastAsia" w:ascii="宋体" w:hAnsi="宋体" w:eastAsia="宋体" w:cs="宋体"/>
                <w:color w:val="auto"/>
                <w:highlight w:val="none"/>
              </w:rPr>
            </w:pPr>
          </w:p>
        </w:tc>
      </w:tr>
      <w:tr w14:paraId="2A74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FF573E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8</w:t>
            </w:r>
          </w:p>
        </w:tc>
        <w:tc>
          <w:tcPr>
            <w:tcW w:w="4536" w:type="dxa"/>
            <w:noWrap/>
            <w:vAlign w:val="center"/>
          </w:tcPr>
          <w:p w14:paraId="766B15AA">
            <w:pPr>
              <w:pStyle w:val="18"/>
              <w:rPr>
                <w:rFonts w:hint="eastAsia" w:ascii="宋体" w:hAnsi="宋体" w:eastAsia="宋体" w:cs="宋体"/>
                <w:color w:val="auto"/>
                <w:highlight w:val="none"/>
              </w:rPr>
            </w:pPr>
            <w:r>
              <w:rPr>
                <w:rFonts w:hint="eastAsia" w:ascii="宋体" w:hAnsi="宋体" w:eastAsia="宋体" w:cs="宋体"/>
                <w:color w:val="auto"/>
                <w:highlight w:val="none"/>
              </w:rPr>
              <w:t>前置审方系统</w:t>
            </w:r>
          </w:p>
        </w:tc>
        <w:tc>
          <w:tcPr>
            <w:tcW w:w="767" w:type="dxa"/>
            <w:vAlign w:val="center"/>
          </w:tcPr>
          <w:p w14:paraId="052B0AE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5F4EFCC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444B14A">
            <w:pPr>
              <w:pStyle w:val="18"/>
              <w:jc w:val="center"/>
              <w:rPr>
                <w:rFonts w:hint="eastAsia" w:ascii="宋体" w:hAnsi="宋体" w:eastAsia="宋体" w:cs="宋体"/>
                <w:color w:val="auto"/>
                <w:highlight w:val="none"/>
              </w:rPr>
            </w:pPr>
          </w:p>
        </w:tc>
        <w:tc>
          <w:tcPr>
            <w:tcW w:w="980" w:type="dxa"/>
            <w:noWrap/>
            <w:vAlign w:val="center"/>
          </w:tcPr>
          <w:p w14:paraId="0A5250E8">
            <w:pPr>
              <w:pStyle w:val="18"/>
              <w:jc w:val="center"/>
              <w:rPr>
                <w:rFonts w:hint="eastAsia" w:ascii="宋体" w:hAnsi="宋体" w:eastAsia="宋体" w:cs="宋体"/>
                <w:color w:val="auto"/>
                <w:highlight w:val="none"/>
              </w:rPr>
            </w:pPr>
          </w:p>
        </w:tc>
        <w:tc>
          <w:tcPr>
            <w:tcW w:w="1497" w:type="dxa"/>
            <w:noWrap/>
            <w:vAlign w:val="center"/>
          </w:tcPr>
          <w:p w14:paraId="186C5C03">
            <w:pPr>
              <w:pStyle w:val="18"/>
              <w:jc w:val="center"/>
              <w:rPr>
                <w:rFonts w:hint="eastAsia" w:ascii="宋体" w:hAnsi="宋体" w:eastAsia="宋体" w:cs="宋体"/>
                <w:color w:val="auto"/>
                <w:highlight w:val="none"/>
              </w:rPr>
            </w:pPr>
          </w:p>
        </w:tc>
        <w:tc>
          <w:tcPr>
            <w:tcW w:w="1559" w:type="dxa"/>
            <w:noWrap/>
            <w:vAlign w:val="center"/>
          </w:tcPr>
          <w:p w14:paraId="10129604">
            <w:pPr>
              <w:pStyle w:val="18"/>
              <w:jc w:val="center"/>
              <w:rPr>
                <w:rFonts w:hint="eastAsia" w:ascii="宋体" w:hAnsi="宋体" w:eastAsia="宋体" w:cs="宋体"/>
                <w:color w:val="auto"/>
                <w:highlight w:val="none"/>
              </w:rPr>
            </w:pPr>
          </w:p>
        </w:tc>
        <w:tc>
          <w:tcPr>
            <w:tcW w:w="709" w:type="dxa"/>
            <w:noWrap/>
            <w:vAlign w:val="center"/>
          </w:tcPr>
          <w:p w14:paraId="3411D066">
            <w:pPr>
              <w:pStyle w:val="18"/>
              <w:jc w:val="center"/>
              <w:rPr>
                <w:rFonts w:hint="eastAsia" w:ascii="宋体" w:hAnsi="宋体" w:eastAsia="宋体" w:cs="宋体"/>
                <w:color w:val="auto"/>
                <w:highlight w:val="none"/>
              </w:rPr>
            </w:pPr>
          </w:p>
        </w:tc>
      </w:tr>
      <w:tr w14:paraId="59E3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A44C9C2">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9</w:t>
            </w:r>
          </w:p>
        </w:tc>
        <w:tc>
          <w:tcPr>
            <w:tcW w:w="4536" w:type="dxa"/>
            <w:noWrap/>
            <w:vAlign w:val="center"/>
          </w:tcPr>
          <w:p w14:paraId="1BFD010E">
            <w:pPr>
              <w:pStyle w:val="18"/>
              <w:rPr>
                <w:rFonts w:hint="eastAsia" w:ascii="宋体" w:hAnsi="宋体" w:eastAsia="宋体" w:cs="宋体"/>
                <w:color w:val="auto"/>
                <w:highlight w:val="none"/>
              </w:rPr>
            </w:pPr>
            <w:r>
              <w:rPr>
                <w:rFonts w:hint="eastAsia" w:ascii="宋体" w:hAnsi="宋体" w:eastAsia="宋体" w:cs="宋体"/>
                <w:color w:val="auto"/>
                <w:highlight w:val="none"/>
              </w:rPr>
              <w:t>处方点评系统</w:t>
            </w:r>
          </w:p>
        </w:tc>
        <w:tc>
          <w:tcPr>
            <w:tcW w:w="767" w:type="dxa"/>
            <w:vAlign w:val="center"/>
          </w:tcPr>
          <w:p w14:paraId="541E26F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23C8AF8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650204C3">
            <w:pPr>
              <w:pStyle w:val="18"/>
              <w:jc w:val="center"/>
              <w:rPr>
                <w:rFonts w:hint="eastAsia" w:ascii="宋体" w:hAnsi="宋体" w:eastAsia="宋体" w:cs="宋体"/>
                <w:color w:val="auto"/>
                <w:highlight w:val="none"/>
              </w:rPr>
            </w:pPr>
          </w:p>
        </w:tc>
        <w:tc>
          <w:tcPr>
            <w:tcW w:w="980" w:type="dxa"/>
            <w:noWrap/>
            <w:vAlign w:val="center"/>
          </w:tcPr>
          <w:p w14:paraId="197D9452">
            <w:pPr>
              <w:pStyle w:val="18"/>
              <w:jc w:val="center"/>
              <w:rPr>
                <w:rFonts w:hint="eastAsia" w:ascii="宋体" w:hAnsi="宋体" w:eastAsia="宋体" w:cs="宋体"/>
                <w:color w:val="auto"/>
                <w:highlight w:val="none"/>
              </w:rPr>
            </w:pPr>
          </w:p>
        </w:tc>
        <w:tc>
          <w:tcPr>
            <w:tcW w:w="1497" w:type="dxa"/>
            <w:noWrap/>
            <w:vAlign w:val="center"/>
          </w:tcPr>
          <w:p w14:paraId="4DB30997">
            <w:pPr>
              <w:pStyle w:val="18"/>
              <w:jc w:val="center"/>
              <w:rPr>
                <w:rFonts w:hint="eastAsia" w:ascii="宋体" w:hAnsi="宋体" w:eastAsia="宋体" w:cs="宋体"/>
                <w:color w:val="auto"/>
                <w:highlight w:val="none"/>
              </w:rPr>
            </w:pPr>
          </w:p>
        </w:tc>
        <w:tc>
          <w:tcPr>
            <w:tcW w:w="1559" w:type="dxa"/>
            <w:noWrap/>
            <w:vAlign w:val="center"/>
          </w:tcPr>
          <w:p w14:paraId="6883D1E7">
            <w:pPr>
              <w:pStyle w:val="18"/>
              <w:jc w:val="center"/>
              <w:rPr>
                <w:rFonts w:hint="eastAsia" w:ascii="宋体" w:hAnsi="宋体" w:eastAsia="宋体" w:cs="宋体"/>
                <w:color w:val="auto"/>
                <w:highlight w:val="none"/>
              </w:rPr>
            </w:pPr>
          </w:p>
        </w:tc>
        <w:tc>
          <w:tcPr>
            <w:tcW w:w="709" w:type="dxa"/>
            <w:noWrap/>
            <w:vAlign w:val="center"/>
          </w:tcPr>
          <w:p w14:paraId="241878EA">
            <w:pPr>
              <w:pStyle w:val="18"/>
              <w:jc w:val="center"/>
              <w:rPr>
                <w:rFonts w:hint="eastAsia" w:ascii="宋体" w:hAnsi="宋体" w:eastAsia="宋体" w:cs="宋体"/>
                <w:color w:val="auto"/>
                <w:highlight w:val="none"/>
              </w:rPr>
            </w:pPr>
          </w:p>
        </w:tc>
      </w:tr>
      <w:tr w14:paraId="3FDF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61A27C9">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10</w:t>
            </w:r>
          </w:p>
        </w:tc>
        <w:tc>
          <w:tcPr>
            <w:tcW w:w="4536" w:type="dxa"/>
            <w:noWrap/>
            <w:vAlign w:val="center"/>
          </w:tcPr>
          <w:p w14:paraId="347509EF">
            <w:pPr>
              <w:pStyle w:val="18"/>
              <w:rPr>
                <w:rFonts w:hint="eastAsia" w:ascii="宋体" w:hAnsi="宋体" w:eastAsia="宋体" w:cs="宋体"/>
                <w:color w:val="auto"/>
                <w:highlight w:val="none"/>
              </w:rPr>
            </w:pPr>
            <w:r>
              <w:rPr>
                <w:rFonts w:hint="eastAsia" w:ascii="宋体" w:hAnsi="宋体" w:eastAsia="宋体" w:cs="宋体"/>
                <w:color w:val="auto"/>
                <w:highlight w:val="none"/>
              </w:rPr>
              <w:t>医院感染综合监控系统</w:t>
            </w:r>
          </w:p>
        </w:tc>
        <w:tc>
          <w:tcPr>
            <w:tcW w:w="767" w:type="dxa"/>
            <w:vAlign w:val="center"/>
          </w:tcPr>
          <w:p w14:paraId="090AED5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340027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49AA68BD">
            <w:pPr>
              <w:pStyle w:val="18"/>
              <w:jc w:val="center"/>
              <w:rPr>
                <w:rFonts w:hint="eastAsia" w:ascii="宋体" w:hAnsi="宋体" w:eastAsia="宋体" w:cs="宋体"/>
                <w:color w:val="auto"/>
                <w:highlight w:val="none"/>
              </w:rPr>
            </w:pPr>
          </w:p>
        </w:tc>
        <w:tc>
          <w:tcPr>
            <w:tcW w:w="980" w:type="dxa"/>
            <w:noWrap/>
            <w:vAlign w:val="center"/>
          </w:tcPr>
          <w:p w14:paraId="298103A4">
            <w:pPr>
              <w:pStyle w:val="18"/>
              <w:jc w:val="center"/>
              <w:rPr>
                <w:rFonts w:hint="eastAsia" w:ascii="宋体" w:hAnsi="宋体" w:eastAsia="宋体" w:cs="宋体"/>
                <w:color w:val="auto"/>
                <w:highlight w:val="none"/>
              </w:rPr>
            </w:pPr>
          </w:p>
        </w:tc>
        <w:tc>
          <w:tcPr>
            <w:tcW w:w="1497" w:type="dxa"/>
            <w:noWrap/>
            <w:vAlign w:val="center"/>
          </w:tcPr>
          <w:p w14:paraId="13190B96">
            <w:pPr>
              <w:pStyle w:val="18"/>
              <w:jc w:val="center"/>
              <w:rPr>
                <w:rFonts w:hint="eastAsia" w:ascii="宋体" w:hAnsi="宋体" w:eastAsia="宋体" w:cs="宋体"/>
                <w:color w:val="auto"/>
                <w:highlight w:val="none"/>
              </w:rPr>
            </w:pPr>
          </w:p>
        </w:tc>
        <w:tc>
          <w:tcPr>
            <w:tcW w:w="1559" w:type="dxa"/>
            <w:noWrap/>
            <w:vAlign w:val="center"/>
          </w:tcPr>
          <w:p w14:paraId="42DE477E">
            <w:pPr>
              <w:pStyle w:val="18"/>
              <w:jc w:val="center"/>
              <w:rPr>
                <w:rFonts w:hint="eastAsia" w:ascii="宋体" w:hAnsi="宋体" w:eastAsia="宋体" w:cs="宋体"/>
                <w:color w:val="auto"/>
                <w:highlight w:val="none"/>
              </w:rPr>
            </w:pPr>
          </w:p>
        </w:tc>
        <w:tc>
          <w:tcPr>
            <w:tcW w:w="709" w:type="dxa"/>
            <w:noWrap/>
            <w:vAlign w:val="center"/>
          </w:tcPr>
          <w:p w14:paraId="646989FB">
            <w:pPr>
              <w:pStyle w:val="18"/>
              <w:jc w:val="center"/>
              <w:rPr>
                <w:rFonts w:hint="eastAsia" w:ascii="宋体" w:hAnsi="宋体" w:eastAsia="宋体" w:cs="宋体"/>
                <w:color w:val="auto"/>
                <w:highlight w:val="none"/>
              </w:rPr>
            </w:pPr>
          </w:p>
        </w:tc>
      </w:tr>
      <w:tr w14:paraId="0AC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794C438">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11</w:t>
            </w:r>
          </w:p>
        </w:tc>
        <w:tc>
          <w:tcPr>
            <w:tcW w:w="4536" w:type="dxa"/>
            <w:noWrap/>
            <w:vAlign w:val="center"/>
          </w:tcPr>
          <w:p w14:paraId="21389DCB">
            <w:pPr>
              <w:pStyle w:val="18"/>
              <w:rPr>
                <w:rFonts w:hint="eastAsia" w:ascii="宋体" w:hAnsi="宋体" w:eastAsia="宋体" w:cs="宋体"/>
                <w:color w:val="auto"/>
                <w:highlight w:val="none"/>
              </w:rPr>
            </w:pPr>
            <w:r>
              <w:rPr>
                <w:rFonts w:hint="eastAsia" w:ascii="宋体" w:hAnsi="宋体" w:eastAsia="宋体" w:cs="宋体"/>
                <w:color w:val="auto"/>
                <w:highlight w:val="none"/>
              </w:rPr>
              <w:t>健康体检系统</w:t>
            </w:r>
          </w:p>
        </w:tc>
        <w:tc>
          <w:tcPr>
            <w:tcW w:w="767" w:type="dxa"/>
            <w:vAlign w:val="center"/>
          </w:tcPr>
          <w:p w14:paraId="140A3B8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79B830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53FDEE6B">
            <w:pPr>
              <w:pStyle w:val="18"/>
              <w:jc w:val="center"/>
              <w:rPr>
                <w:rFonts w:hint="eastAsia" w:ascii="宋体" w:hAnsi="宋体" w:eastAsia="宋体" w:cs="宋体"/>
                <w:color w:val="auto"/>
                <w:highlight w:val="none"/>
              </w:rPr>
            </w:pPr>
          </w:p>
        </w:tc>
        <w:tc>
          <w:tcPr>
            <w:tcW w:w="980" w:type="dxa"/>
            <w:noWrap/>
            <w:vAlign w:val="center"/>
          </w:tcPr>
          <w:p w14:paraId="4FB06107">
            <w:pPr>
              <w:pStyle w:val="18"/>
              <w:jc w:val="center"/>
              <w:rPr>
                <w:rFonts w:hint="eastAsia" w:ascii="宋体" w:hAnsi="宋体" w:eastAsia="宋体" w:cs="宋体"/>
                <w:color w:val="auto"/>
                <w:highlight w:val="none"/>
              </w:rPr>
            </w:pPr>
          </w:p>
        </w:tc>
        <w:tc>
          <w:tcPr>
            <w:tcW w:w="1497" w:type="dxa"/>
            <w:noWrap/>
            <w:vAlign w:val="center"/>
          </w:tcPr>
          <w:p w14:paraId="271A7BA3">
            <w:pPr>
              <w:pStyle w:val="18"/>
              <w:jc w:val="center"/>
              <w:rPr>
                <w:rFonts w:hint="eastAsia" w:ascii="宋体" w:hAnsi="宋体" w:eastAsia="宋体" w:cs="宋体"/>
                <w:color w:val="auto"/>
                <w:highlight w:val="none"/>
              </w:rPr>
            </w:pPr>
          </w:p>
        </w:tc>
        <w:tc>
          <w:tcPr>
            <w:tcW w:w="1559" w:type="dxa"/>
            <w:noWrap/>
            <w:vAlign w:val="center"/>
          </w:tcPr>
          <w:p w14:paraId="3E05EDAA">
            <w:pPr>
              <w:pStyle w:val="18"/>
              <w:jc w:val="center"/>
              <w:rPr>
                <w:rFonts w:hint="eastAsia" w:ascii="宋体" w:hAnsi="宋体" w:eastAsia="宋体" w:cs="宋体"/>
                <w:color w:val="auto"/>
                <w:highlight w:val="none"/>
              </w:rPr>
            </w:pPr>
          </w:p>
        </w:tc>
        <w:tc>
          <w:tcPr>
            <w:tcW w:w="709" w:type="dxa"/>
            <w:noWrap/>
            <w:vAlign w:val="center"/>
          </w:tcPr>
          <w:p w14:paraId="047B573F">
            <w:pPr>
              <w:pStyle w:val="18"/>
              <w:jc w:val="center"/>
              <w:rPr>
                <w:rFonts w:hint="eastAsia" w:ascii="宋体" w:hAnsi="宋体" w:eastAsia="宋体" w:cs="宋体"/>
                <w:color w:val="auto"/>
                <w:highlight w:val="none"/>
              </w:rPr>
            </w:pPr>
          </w:p>
        </w:tc>
      </w:tr>
      <w:tr w14:paraId="38EC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8ACE32A">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12</w:t>
            </w:r>
          </w:p>
        </w:tc>
        <w:tc>
          <w:tcPr>
            <w:tcW w:w="4536" w:type="dxa"/>
            <w:noWrap/>
            <w:vAlign w:val="center"/>
          </w:tcPr>
          <w:p w14:paraId="5B9398CC">
            <w:pPr>
              <w:pStyle w:val="18"/>
              <w:rPr>
                <w:rFonts w:hint="eastAsia" w:ascii="宋体" w:hAnsi="宋体" w:eastAsia="宋体" w:cs="宋体"/>
                <w:color w:val="auto"/>
                <w:highlight w:val="none"/>
              </w:rPr>
            </w:pPr>
            <w:r>
              <w:rPr>
                <w:rFonts w:hint="eastAsia" w:ascii="宋体" w:hAnsi="宋体" w:eastAsia="宋体" w:cs="宋体"/>
                <w:color w:val="auto"/>
                <w:highlight w:val="none"/>
              </w:rPr>
              <w:t>移动护理系统</w:t>
            </w:r>
          </w:p>
        </w:tc>
        <w:tc>
          <w:tcPr>
            <w:tcW w:w="767" w:type="dxa"/>
            <w:vAlign w:val="center"/>
          </w:tcPr>
          <w:p w14:paraId="4859C272">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36855E5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3580072B">
            <w:pPr>
              <w:pStyle w:val="18"/>
              <w:jc w:val="center"/>
              <w:rPr>
                <w:rFonts w:hint="eastAsia" w:ascii="宋体" w:hAnsi="宋体" w:eastAsia="宋体" w:cs="宋体"/>
                <w:color w:val="auto"/>
                <w:highlight w:val="none"/>
              </w:rPr>
            </w:pPr>
          </w:p>
        </w:tc>
        <w:tc>
          <w:tcPr>
            <w:tcW w:w="980" w:type="dxa"/>
            <w:noWrap/>
            <w:vAlign w:val="center"/>
          </w:tcPr>
          <w:p w14:paraId="0B9FC9E0">
            <w:pPr>
              <w:pStyle w:val="18"/>
              <w:jc w:val="center"/>
              <w:rPr>
                <w:rFonts w:hint="eastAsia" w:ascii="宋体" w:hAnsi="宋体" w:eastAsia="宋体" w:cs="宋体"/>
                <w:color w:val="auto"/>
                <w:highlight w:val="none"/>
              </w:rPr>
            </w:pPr>
          </w:p>
        </w:tc>
        <w:tc>
          <w:tcPr>
            <w:tcW w:w="1497" w:type="dxa"/>
            <w:noWrap/>
            <w:vAlign w:val="center"/>
          </w:tcPr>
          <w:p w14:paraId="697D8FE3">
            <w:pPr>
              <w:pStyle w:val="18"/>
              <w:jc w:val="center"/>
              <w:rPr>
                <w:rFonts w:hint="eastAsia" w:ascii="宋体" w:hAnsi="宋体" w:eastAsia="宋体" w:cs="宋体"/>
                <w:color w:val="auto"/>
                <w:highlight w:val="none"/>
              </w:rPr>
            </w:pPr>
          </w:p>
        </w:tc>
        <w:tc>
          <w:tcPr>
            <w:tcW w:w="1559" w:type="dxa"/>
            <w:noWrap/>
            <w:vAlign w:val="center"/>
          </w:tcPr>
          <w:p w14:paraId="1105F9D8">
            <w:pPr>
              <w:pStyle w:val="18"/>
              <w:jc w:val="center"/>
              <w:rPr>
                <w:rFonts w:hint="eastAsia" w:ascii="宋体" w:hAnsi="宋体" w:eastAsia="宋体" w:cs="宋体"/>
                <w:color w:val="auto"/>
                <w:highlight w:val="none"/>
              </w:rPr>
            </w:pPr>
          </w:p>
        </w:tc>
        <w:tc>
          <w:tcPr>
            <w:tcW w:w="709" w:type="dxa"/>
            <w:noWrap/>
            <w:vAlign w:val="center"/>
          </w:tcPr>
          <w:p w14:paraId="2D4E890B">
            <w:pPr>
              <w:pStyle w:val="18"/>
              <w:jc w:val="center"/>
              <w:rPr>
                <w:rFonts w:hint="eastAsia" w:ascii="宋体" w:hAnsi="宋体" w:eastAsia="宋体" w:cs="宋体"/>
                <w:color w:val="auto"/>
                <w:highlight w:val="none"/>
              </w:rPr>
            </w:pPr>
          </w:p>
        </w:tc>
      </w:tr>
      <w:tr w14:paraId="5490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A5EBFD2">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13</w:t>
            </w:r>
          </w:p>
        </w:tc>
        <w:tc>
          <w:tcPr>
            <w:tcW w:w="4536" w:type="dxa"/>
            <w:noWrap/>
            <w:vAlign w:val="center"/>
          </w:tcPr>
          <w:p w14:paraId="7FF1B400">
            <w:pPr>
              <w:pStyle w:val="18"/>
              <w:rPr>
                <w:rFonts w:hint="eastAsia" w:ascii="宋体" w:hAnsi="宋体" w:eastAsia="宋体" w:cs="宋体"/>
                <w:color w:val="auto"/>
                <w:highlight w:val="none"/>
              </w:rPr>
            </w:pPr>
            <w:r>
              <w:rPr>
                <w:rFonts w:hint="eastAsia" w:ascii="宋体" w:hAnsi="宋体" w:eastAsia="宋体" w:cs="宋体"/>
                <w:color w:val="auto"/>
                <w:highlight w:val="none"/>
              </w:rPr>
              <w:t>智慧护理大屏信息系统</w:t>
            </w:r>
          </w:p>
        </w:tc>
        <w:tc>
          <w:tcPr>
            <w:tcW w:w="767" w:type="dxa"/>
            <w:vAlign w:val="center"/>
          </w:tcPr>
          <w:p w14:paraId="7693669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FD3EC8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5024BA26">
            <w:pPr>
              <w:pStyle w:val="18"/>
              <w:jc w:val="center"/>
              <w:rPr>
                <w:rFonts w:hint="eastAsia" w:ascii="宋体" w:hAnsi="宋体" w:eastAsia="宋体" w:cs="宋体"/>
                <w:color w:val="auto"/>
                <w:highlight w:val="none"/>
              </w:rPr>
            </w:pPr>
          </w:p>
        </w:tc>
        <w:tc>
          <w:tcPr>
            <w:tcW w:w="980" w:type="dxa"/>
            <w:noWrap/>
            <w:vAlign w:val="center"/>
          </w:tcPr>
          <w:p w14:paraId="2C0620DE">
            <w:pPr>
              <w:pStyle w:val="18"/>
              <w:jc w:val="center"/>
              <w:rPr>
                <w:rFonts w:hint="eastAsia" w:ascii="宋体" w:hAnsi="宋体" w:eastAsia="宋体" w:cs="宋体"/>
                <w:color w:val="auto"/>
                <w:highlight w:val="none"/>
              </w:rPr>
            </w:pPr>
          </w:p>
        </w:tc>
        <w:tc>
          <w:tcPr>
            <w:tcW w:w="1497" w:type="dxa"/>
            <w:noWrap/>
            <w:vAlign w:val="center"/>
          </w:tcPr>
          <w:p w14:paraId="47736DB9">
            <w:pPr>
              <w:pStyle w:val="18"/>
              <w:jc w:val="center"/>
              <w:rPr>
                <w:rFonts w:hint="eastAsia" w:ascii="宋体" w:hAnsi="宋体" w:eastAsia="宋体" w:cs="宋体"/>
                <w:color w:val="auto"/>
                <w:highlight w:val="none"/>
              </w:rPr>
            </w:pPr>
          </w:p>
        </w:tc>
        <w:tc>
          <w:tcPr>
            <w:tcW w:w="1559" w:type="dxa"/>
            <w:noWrap/>
            <w:vAlign w:val="center"/>
          </w:tcPr>
          <w:p w14:paraId="3245308C">
            <w:pPr>
              <w:pStyle w:val="18"/>
              <w:jc w:val="center"/>
              <w:rPr>
                <w:rFonts w:hint="eastAsia" w:ascii="宋体" w:hAnsi="宋体" w:eastAsia="宋体" w:cs="宋体"/>
                <w:color w:val="auto"/>
                <w:highlight w:val="none"/>
              </w:rPr>
            </w:pPr>
          </w:p>
        </w:tc>
        <w:tc>
          <w:tcPr>
            <w:tcW w:w="709" w:type="dxa"/>
            <w:noWrap/>
            <w:vAlign w:val="center"/>
          </w:tcPr>
          <w:p w14:paraId="23642947">
            <w:pPr>
              <w:pStyle w:val="18"/>
              <w:jc w:val="center"/>
              <w:rPr>
                <w:rFonts w:hint="eastAsia" w:ascii="宋体" w:hAnsi="宋体" w:eastAsia="宋体" w:cs="宋体"/>
                <w:color w:val="auto"/>
                <w:highlight w:val="none"/>
              </w:rPr>
            </w:pPr>
          </w:p>
        </w:tc>
      </w:tr>
      <w:tr w14:paraId="5026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E28406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14</w:t>
            </w:r>
          </w:p>
        </w:tc>
        <w:tc>
          <w:tcPr>
            <w:tcW w:w="4536" w:type="dxa"/>
            <w:noWrap/>
            <w:vAlign w:val="center"/>
          </w:tcPr>
          <w:p w14:paraId="293CC0E3">
            <w:pPr>
              <w:pStyle w:val="18"/>
              <w:rPr>
                <w:rFonts w:hint="eastAsia" w:ascii="宋体" w:hAnsi="宋体" w:eastAsia="宋体" w:cs="宋体"/>
                <w:color w:val="auto"/>
                <w:highlight w:val="none"/>
              </w:rPr>
            </w:pPr>
            <w:r>
              <w:rPr>
                <w:rFonts w:hint="eastAsia" w:ascii="宋体" w:hAnsi="宋体" w:eastAsia="宋体" w:cs="宋体"/>
                <w:color w:val="auto"/>
                <w:highlight w:val="none"/>
              </w:rPr>
              <w:t>心电信息系统</w:t>
            </w:r>
          </w:p>
        </w:tc>
        <w:tc>
          <w:tcPr>
            <w:tcW w:w="767" w:type="dxa"/>
            <w:vAlign w:val="center"/>
          </w:tcPr>
          <w:p w14:paraId="1AC080C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6195AF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5C37531">
            <w:pPr>
              <w:pStyle w:val="18"/>
              <w:jc w:val="center"/>
              <w:rPr>
                <w:rFonts w:hint="eastAsia" w:ascii="宋体" w:hAnsi="宋体" w:eastAsia="宋体" w:cs="宋体"/>
                <w:color w:val="auto"/>
                <w:highlight w:val="none"/>
              </w:rPr>
            </w:pPr>
          </w:p>
        </w:tc>
        <w:tc>
          <w:tcPr>
            <w:tcW w:w="980" w:type="dxa"/>
            <w:noWrap/>
            <w:vAlign w:val="center"/>
          </w:tcPr>
          <w:p w14:paraId="6673D33B">
            <w:pPr>
              <w:pStyle w:val="18"/>
              <w:jc w:val="center"/>
              <w:rPr>
                <w:rFonts w:hint="eastAsia" w:ascii="宋体" w:hAnsi="宋体" w:eastAsia="宋体" w:cs="宋体"/>
                <w:color w:val="auto"/>
                <w:highlight w:val="none"/>
              </w:rPr>
            </w:pPr>
          </w:p>
        </w:tc>
        <w:tc>
          <w:tcPr>
            <w:tcW w:w="1497" w:type="dxa"/>
            <w:noWrap/>
            <w:vAlign w:val="center"/>
          </w:tcPr>
          <w:p w14:paraId="0F9691D3">
            <w:pPr>
              <w:pStyle w:val="18"/>
              <w:jc w:val="center"/>
              <w:rPr>
                <w:rFonts w:hint="eastAsia" w:ascii="宋体" w:hAnsi="宋体" w:eastAsia="宋体" w:cs="宋体"/>
                <w:color w:val="auto"/>
                <w:highlight w:val="none"/>
              </w:rPr>
            </w:pPr>
          </w:p>
        </w:tc>
        <w:tc>
          <w:tcPr>
            <w:tcW w:w="1559" w:type="dxa"/>
            <w:noWrap/>
            <w:vAlign w:val="center"/>
          </w:tcPr>
          <w:p w14:paraId="1E64F4CA">
            <w:pPr>
              <w:pStyle w:val="18"/>
              <w:jc w:val="center"/>
              <w:rPr>
                <w:rFonts w:hint="eastAsia" w:ascii="宋体" w:hAnsi="宋体" w:eastAsia="宋体" w:cs="宋体"/>
                <w:color w:val="auto"/>
                <w:highlight w:val="none"/>
              </w:rPr>
            </w:pPr>
          </w:p>
        </w:tc>
        <w:tc>
          <w:tcPr>
            <w:tcW w:w="709" w:type="dxa"/>
            <w:noWrap/>
            <w:vAlign w:val="center"/>
          </w:tcPr>
          <w:p w14:paraId="220FB882">
            <w:pPr>
              <w:pStyle w:val="18"/>
              <w:jc w:val="center"/>
              <w:rPr>
                <w:rFonts w:hint="eastAsia" w:ascii="宋体" w:hAnsi="宋体" w:eastAsia="宋体" w:cs="宋体"/>
                <w:color w:val="auto"/>
                <w:highlight w:val="none"/>
              </w:rPr>
            </w:pPr>
          </w:p>
        </w:tc>
      </w:tr>
      <w:tr w14:paraId="4B56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6287C34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15</w:t>
            </w:r>
          </w:p>
        </w:tc>
        <w:tc>
          <w:tcPr>
            <w:tcW w:w="4536" w:type="dxa"/>
            <w:noWrap/>
            <w:vAlign w:val="center"/>
          </w:tcPr>
          <w:p w14:paraId="0D5AC6B9">
            <w:pPr>
              <w:pStyle w:val="18"/>
              <w:rPr>
                <w:rFonts w:hint="eastAsia" w:ascii="宋体" w:hAnsi="宋体" w:eastAsia="宋体" w:cs="宋体"/>
                <w:color w:val="auto"/>
                <w:highlight w:val="none"/>
              </w:rPr>
            </w:pPr>
            <w:r>
              <w:rPr>
                <w:rFonts w:hint="eastAsia" w:ascii="宋体" w:hAnsi="宋体" w:eastAsia="宋体" w:cs="宋体"/>
                <w:color w:val="auto"/>
                <w:highlight w:val="none"/>
              </w:rPr>
              <w:t>手术麻醉信息管理系统</w:t>
            </w:r>
          </w:p>
        </w:tc>
        <w:tc>
          <w:tcPr>
            <w:tcW w:w="767" w:type="dxa"/>
            <w:vAlign w:val="center"/>
          </w:tcPr>
          <w:p w14:paraId="6E86517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31F02D2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660112CC">
            <w:pPr>
              <w:pStyle w:val="18"/>
              <w:jc w:val="center"/>
              <w:rPr>
                <w:rFonts w:hint="eastAsia" w:ascii="宋体" w:hAnsi="宋体" w:eastAsia="宋体" w:cs="宋体"/>
                <w:color w:val="auto"/>
                <w:highlight w:val="none"/>
              </w:rPr>
            </w:pPr>
          </w:p>
        </w:tc>
        <w:tc>
          <w:tcPr>
            <w:tcW w:w="980" w:type="dxa"/>
            <w:noWrap/>
            <w:vAlign w:val="center"/>
          </w:tcPr>
          <w:p w14:paraId="523B0FF3">
            <w:pPr>
              <w:pStyle w:val="18"/>
              <w:jc w:val="center"/>
              <w:rPr>
                <w:rFonts w:hint="eastAsia" w:ascii="宋体" w:hAnsi="宋体" w:eastAsia="宋体" w:cs="宋体"/>
                <w:color w:val="auto"/>
                <w:highlight w:val="none"/>
              </w:rPr>
            </w:pPr>
          </w:p>
        </w:tc>
        <w:tc>
          <w:tcPr>
            <w:tcW w:w="1497" w:type="dxa"/>
            <w:noWrap/>
            <w:vAlign w:val="center"/>
          </w:tcPr>
          <w:p w14:paraId="267297BB">
            <w:pPr>
              <w:pStyle w:val="18"/>
              <w:jc w:val="center"/>
              <w:rPr>
                <w:rFonts w:hint="eastAsia" w:ascii="宋体" w:hAnsi="宋体" w:eastAsia="宋体" w:cs="宋体"/>
                <w:color w:val="auto"/>
                <w:highlight w:val="none"/>
              </w:rPr>
            </w:pPr>
          </w:p>
        </w:tc>
        <w:tc>
          <w:tcPr>
            <w:tcW w:w="1559" w:type="dxa"/>
            <w:noWrap/>
            <w:vAlign w:val="center"/>
          </w:tcPr>
          <w:p w14:paraId="153397B6">
            <w:pPr>
              <w:pStyle w:val="18"/>
              <w:jc w:val="center"/>
              <w:rPr>
                <w:rFonts w:hint="eastAsia" w:ascii="宋体" w:hAnsi="宋体" w:eastAsia="宋体" w:cs="宋体"/>
                <w:color w:val="auto"/>
                <w:highlight w:val="none"/>
              </w:rPr>
            </w:pPr>
          </w:p>
        </w:tc>
        <w:tc>
          <w:tcPr>
            <w:tcW w:w="709" w:type="dxa"/>
            <w:noWrap/>
            <w:vAlign w:val="center"/>
          </w:tcPr>
          <w:p w14:paraId="774FCC1F">
            <w:pPr>
              <w:pStyle w:val="18"/>
              <w:jc w:val="center"/>
              <w:rPr>
                <w:rFonts w:hint="eastAsia" w:ascii="宋体" w:hAnsi="宋体" w:eastAsia="宋体" w:cs="宋体"/>
                <w:color w:val="auto"/>
                <w:highlight w:val="none"/>
              </w:rPr>
            </w:pPr>
          </w:p>
        </w:tc>
      </w:tr>
      <w:tr w14:paraId="6E31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BC9F2A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16</w:t>
            </w:r>
          </w:p>
        </w:tc>
        <w:tc>
          <w:tcPr>
            <w:tcW w:w="4536" w:type="dxa"/>
            <w:noWrap/>
            <w:vAlign w:val="center"/>
          </w:tcPr>
          <w:p w14:paraId="6D6E9B86">
            <w:pPr>
              <w:pStyle w:val="18"/>
              <w:rPr>
                <w:rFonts w:hint="eastAsia" w:ascii="宋体" w:hAnsi="宋体" w:eastAsia="宋体" w:cs="宋体"/>
                <w:color w:val="auto"/>
                <w:highlight w:val="none"/>
              </w:rPr>
            </w:pPr>
            <w:r>
              <w:rPr>
                <w:rFonts w:hint="eastAsia" w:ascii="宋体" w:hAnsi="宋体" w:eastAsia="宋体" w:cs="宋体"/>
                <w:color w:val="auto"/>
                <w:highlight w:val="none"/>
              </w:rPr>
              <w:t>输血信息系统</w:t>
            </w:r>
          </w:p>
        </w:tc>
        <w:tc>
          <w:tcPr>
            <w:tcW w:w="767" w:type="dxa"/>
            <w:vAlign w:val="center"/>
          </w:tcPr>
          <w:p w14:paraId="47515FFC">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17DC2D9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4CD30DF">
            <w:pPr>
              <w:pStyle w:val="18"/>
              <w:jc w:val="center"/>
              <w:rPr>
                <w:rFonts w:hint="eastAsia" w:ascii="宋体" w:hAnsi="宋体" w:eastAsia="宋体" w:cs="宋体"/>
                <w:color w:val="auto"/>
                <w:highlight w:val="none"/>
              </w:rPr>
            </w:pPr>
          </w:p>
        </w:tc>
        <w:tc>
          <w:tcPr>
            <w:tcW w:w="980" w:type="dxa"/>
            <w:noWrap/>
            <w:vAlign w:val="center"/>
          </w:tcPr>
          <w:p w14:paraId="7ED8DE5C">
            <w:pPr>
              <w:pStyle w:val="18"/>
              <w:jc w:val="center"/>
              <w:rPr>
                <w:rFonts w:hint="eastAsia" w:ascii="宋体" w:hAnsi="宋体" w:eastAsia="宋体" w:cs="宋体"/>
                <w:color w:val="auto"/>
                <w:highlight w:val="none"/>
              </w:rPr>
            </w:pPr>
          </w:p>
        </w:tc>
        <w:tc>
          <w:tcPr>
            <w:tcW w:w="1497" w:type="dxa"/>
            <w:noWrap/>
            <w:vAlign w:val="center"/>
          </w:tcPr>
          <w:p w14:paraId="40898569">
            <w:pPr>
              <w:pStyle w:val="18"/>
              <w:jc w:val="center"/>
              <w:rPr>
                <w:rFonts w:hint="eastAsia" w:ascii="宋体" w:hAnsi="宋体" w:eastAsia="宋体" w:cs="宋体"/>
                <w:color w:val="auto"/>
                <w:highlight w:val="none"/>
              </w:rPr>
            </w:pPr>
          </w:p>
        </w:tc>
        <w:tc>
          <w:tcPr>
            <w:tcW w:w="1559" w:type="dxa"/>
            <w:noWrap/>
            <w:vAlign w:val="center"/>
          </w:tcPr>
          <w:p w14:paraId="76CFEDF3">
            <w:pPr>
              <w:pStyle w:val="18"/>
              <w:jc w:val="center"/>
              <w:rPr>
                <w:rFonts w:hint="eastAsia" w:ascii="宋体" w:hAnsi="宋体" w:eastAsia="宋体" w:cs="宋体"/>
                <w:color w:val="auto"/>
                <w:highlight w:val="none"/>
              </w:rPr>
            </w:pPr>
          </w:p>
        </w:tc>
        <w:tc>
          <w:tcPr>
            <w:tcW w:w="709" w:type="dxa"/>
            <w:noWrap/>
            <w:vAlign w:val="center"/>
          </w:tcPr>
          <w:p w14:paraId="21E87732">
            <w:pPr>
              <w:pStyle w:val="18"/>
              <w:jc w:val="center"/>
              <w:rPr>
                <w:rFonts w:hint="eastAsia" w:ascii="宋体" w:hAnsi="宋体" w:eastAsia="宋体" w:cs="宋体"/>
                <w:color w:val="auto"/>
                <w:highlight w:val="none"/>
              </w:rPr>
            </w:pPr>
          </w:p>
        </w:tc>
      </w:tr>
      <w:tr w14:paraId="430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921A13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17</w:t>
            </w:r>
          </w:p>
        </w:tc>
        <w:tc>
          <w:tcPr>
            <w:tcW w:w="4536" w:type="dxa"/>
            <w:noWrap/>
            <w:vAlign w:val="center"/>
          </w:tcPr>
          <w:p w14:paraId="1A33EDCB">
            <w:pPr>
              <w:pStyle w:val="18"/>
              <w:rPr>
                <w:rFonts w:hint="eastAsia" w:ascii="宋体" w:hAnsi="宋体" w:eastAsia="宋体" w:cs="宋体"/>
                <w:color w:val="auto"/>
                <w:highlight w:val="none"/>
              </w:rPr>
            </w:pPr>
            <w:r>
              <w:rPr>
                <w:rFonts w:hint="eastAsia" w:ascii="宋体" w:hAnsi="宋体" w:eastAsia="宋体" w:cs="宋体"/>
                <w:color w:val="auto"/>
                <w:highlight w:val="none"/>
              </w:rPr>
              <w:t>临床路径管理系统</w:t>
            </w:r>
          </w:p>
        </w:tc>
        <w:tc>
          <w:tcPr>
            <w:tcW w:w="767" w:type="dxa"/>
            <w:vAlign w:val="center"/>
          </w:tcPr>
          <w:p w14:paraId="55363A9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1C73B03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1D3D0322">
            <w:pPr>
              <w:pStyle w:val="18"/>
              <w:jc w:val="center"/>
              <w:rPr>
                <w:rFonts w:hint="eastAsia" w:ascii="宋体" w:hAnsi="宋体" w:eastAsia="宋体" w:cs="宋体"/>
                <w:color w:val="auto"/>
                <w:highlight w:val="none"/>
              </w:rPr>
            </w:pPr>
          </w:p>
        </w:tc>
        <w:tc>
          <w:tcPr>
            <w:tcW w:w="980" w:type="dxa"/>
            <w:noWrap/>
            <w:vAlign w:val="center"/>
          </w:tcPr>
          <w:p w14:paraId="48ADE334">
            <w:pPr>
              <w:pStyle w:val="18"/>
              <w:jc w:val="center"/>
              <w:rPr>
                <w:rFonts w:hint="eastAsia" w:ascii="宋体" w:hAnsi="宋体" w:eastAsia="宋体" w:cs="宋体"/>
                <w:color w:val="auto"/>
                <w:highlight w:val="none"/>
              </w:rPr>
            </w:pPr>
          </w:p>
        </w:tc>
        <w:tc>
          <w:tcPr>
            <w:tcW w:w="1497" w:type="dxa"/>
            <w:noWrap/>
            <w:vAlign w:val="center"/>
          </w:tcPr>
          <w:p w14:paraId="4E5E3AC8">
            <w:pPr>
              <w:pStyle w:val="18"/>
              <w:jc w:val="center"/>
              <w:rPr>
                <w:rFonts w:hint="eastAsia" w:ascii="宋体" w:hAnsi="宋体" w:eastAsia="宋体" w:cs="宋体"/>
                <w:color w:val="auto"/>
                <w:highlight w:val="none"/>
              </w:rPr>
            </w:pPr>
          </w:p>
        </w:tc>
        <w:tc>
          <w:tcPr>
            <w:tcW w:w="1559" w:type="dxa"/>
            <w:noWrap/>
            <w:vAlign w:val="center"/>
          </w:tcPr>
          <w:p w14:paraId="1001DAC2">
            <w:pPr>
              <w:pStyle w:val="18"/>
              <w:jc w:val="center"/>
              <w:rPr>
                <w:rFonts w:hint="eastAsia" w:ascii="宋体" w:hAnsi="宋体" w:eastAsia="宋体" w:cs="宋体"/>
                <w:color w:val="auto"/>
                <w:highlight w:val="none"/>
              </w:rPr>
            </w:pPr>
          </w:p>
        </w:tc>
        <w:tc>
          <w:tcPr>
            <w:tcW w:w="709" w:type="dxa"/>
            <w:noWrap/>
            <w:vAlign w:val="center"/>
          </w:tcPr>
          <w:p w14:paraId="3231FE9F">
            <w:pPr>
              <w:pStyle w:val="18"/>
              <w:jc w:val="center"/>
              <w:rPr>
                <w:rFonts w:hint="eastAsia" w:ascii="宋体" w:hAnsi="宋体" w:eastAsia="宋体" w:cs="宋体"/>
                <w:color w:val="auto"/>
                <w:highlight w:val="none"/>
              </w:rPr>
            </w:pPr>
          </w:p>
        </w:tc>
      </w:tr>
      <w:tr w14:paraId="3CEC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CA62FB9">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18</w:t>
            </w:r>
          </w:p>
        </w:tc>
        <w:tc>
          <w:tcPr>
            <w:tcW w:w="4536" w:type="dxa"/>
            <w:noWrap/>
            <w:vAlign w:val="center"/>
          </w:tcPr>
          <w:p w14:paraId="4E819569">
            <w:pPr>
              <w:pStyle w:val="18"/>
              <w:rPr>
                <w:rFonts w:hint="eastAsia" w:ascii="宋体" w:hAnsi="宋体" w:eastAsia="宋体" w:cs="宋体"/>
                <w:color w:val="auto"/>
                <w:highlight w:val="none"/>
              </w:rPr>
            </w:pPr>
            <w:r>
              <w:rPr>
                <w:rFonts w:hint="eastAsia" w:ascii="宋体" w:hAnsi="宋体" w:eastAsia="宋体" w:cs="宋体"/>
                <w:color w:val="auto"/>
                <w:highlight w:val="none"/>
              </w:rPr>
              <w:t>病案管理系统</w:t>
            </w:r>
          </w:p>
        </w:tc>
        <w:tc>
          <w:tcPr>
            <w:tcW w:w="767" w:type="dxa"/>
            <w:vAlign w:val="center"/>
          </w:tcPr>
          <w:p w14:paraId="5C4DC8BD">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2F1AF492">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38254CD2">
            <w:pPr>
              <w:pStyle w:val="18"/>
              <w:jc w:val="center"/>
              <w:rPr>
                <w:rFonts w:hint="eastAsia" w:ascii="宋体" w:hAnsi="宋体" w:eastAsia="宋体" w:cs="宋体"/>
                <w:color w:val="auto"/>
                <w:highlight w:val="none"/>
              </w:rPr>
            </w:pPr>
          </w:p>
        </w:tc>
        <w:tc>
          <w:tcPr>
            <w:tcW w:w="980" w:type="dxa"/>
            <w:noWrap/>
            <w:vAlign w:val="center"/>
          </w:tcPr>
          <w:p w14:paraId="0A00EE95">
            <w:pPr>
              <w:pStyle w:val="18"/>
              <w:jc w:val="center"/>
              <w:rPr>
                <w:rFonts w:hint="eastAsia" w:ascii="宋体" w:hAnsi="宋体" w:eastAsia="宋体" w:cs="宋体"/>
                <w:color w:val="auto"/>
                <w:highlight w:val="none"/>
              </w:rPr>
            </w:pPr>
          </w:p>
        </w:tc>
        <w:tc>
          <w:tcPr>
            <w:tcW w:w="1497" w:type="dxa"/>
            <w:noWrap/>
            <w:vAlign w:val="center"/>
          </w:tcPr>
          <w:p w14:paraId="45A35D21">
            <w:pPr>
              <w:pStyle w:val="18"/>
              <w:jc w:val="center"/>
              <w:rPr>
                <w:rFonts w:hint="eastAsia" w:ascii="宋体" w:hAnsi="宋体" w:eastAsia="宋体" w:cs="宋体"/>
                <w:color w:val="auto"/>
                <w:highlight w:val="none"/>
              </w:rPr>
            </w:pPr>
          </w:p>
        </w:tc>
        <w:tc>
          <w:tcPr>
            <w:tcW w:w="1559" w:type="dxa"/>
            <w:noWrap/>
            <w:vAlign w:val="center"/>
          </w:tcPr>
          <w:p w14:paraId="27388B77">
            <w:pPr>
              <w:pStyle w:val="18"/>
              <w:jc w:val="center"/>
              <w:rPr>
                <w:rFonts w:hint="eastAsia" w:ascii="宋体" w:hAnsi="宋体" w:eastAsia="宋体" w:cs="宋体"/>
                <w:color w:val="auto"/>
                <w:highlight w:val="none"/>
              </w:rPr>
            </w:pPr>
          </w:p>
        </w:tc>
        <w:tc>
          <w:tcPr>
            <w:tcW w:w="709" w:type="dxa"/>
            <w:noWrap/>
            <w:vAlign w:val="center"/>
          </w:tcPr>
          <w:p w14:paraId="3F4B0ADB">
            <w:pPr>
              <w:pStyle w:val="18"/>
              <w:jc w:val="center"/>
              <w:rPr>
                <w:rFonts w:hint="eastAsia" w:ascii="宋体" w:hAnsi="宋体" w:eastAsia="宋体" w:cs="宋体"/>
                <w:color w:val="auto"/>
                <w:highlight w:val="none"/>
              </w:rPr>
            </w:pPr>
          </w:p>
        </w:tc>
      </w:tr>
      <w:tr w14:paraId="10B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D069A6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19</w:t>
            </w:r>
          </w:p>
        </w:tc>
        <w:tc>
          <w:tcPr>
            <w:tcW w:w="4536" w:type="dxa"/>
            <w:noWrap/>
            <w:vAlign w:val="center"/>
          </w:tcPr>
          <w:p w14:paraId="115DF2A8">
            <w:pPr>
              <w:pStyle w:val="18"/>
              <w:rPr>
                <w:rFonts w:hint="eastAsia" w:ascii="宋体" w:hAnsi="宋体" w:eastAsia="宋体" w:cs="宋体"/>
                <w:color w:val="auto"/>
                <w:highlight w:val="none"/>
              </w:rPr>
            </w:pPr>
            <w:r>
              <w:rPr>
                <w:rFonts w:hint="eastAsia" w:ascii="宋体" w:hAnsi="宋体" w:eastAsia="宋体" w:cs="宋体"/>
                <w:color w:val="auto"/>
                <w:highlight w:val="none"/>
              </w:rPr>
              <w:t>危急值管理系统</w:t>
            </w:r>
          </w:p>
        </w:tc>
        <w:tc>
          <w:tcPr>
            <w:tcW w:w="767" w:type="dxa"/>
            <w:vAlign w:val="center"/>
          </w:tcPr>
          <w:p w14:paraId="5C32C1F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2247FDA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3EDA5F69">
            <w:pPr>
              <w:pStyle w:val="18"/>
              <w:jc w:val="center"/>
              <w:rPr>
                <w:rFonts w:hint="eastAsia" w:ascii="宋体" w:hAnsi="宋体" w:eastAsia="宋体" w:cs="宋体"/>
                <w:color w:val="auto"/>
                <w:highlight w:val="none"/>
              </w:rPr>
            </w:pPr>
          </w:p>
        </w:tc>
        <w:tc>
          <w:tcPr>
            <w:tcW w:w="980" w:type="dxa"/>
            <w:noWrap/>
            <w:vAlign w:val="center"/>
          </w:tcPr>
          <w:p w14:paraId="5A8B0906">
            <w:pPr>
              <w:pStyle w:val="18"/>
              <w:jc w:val="center"/>
              <w:rPr>
                <w:rFonts w:hint="eastAsia" w:ascii="宋体" w:hAnsi="宋体" w:eastAsia="宋体" w:cs="宋体"/>
                <w:color w:val="auto"/>
                <w:highlight w:val="none"/>
              </w:rPr>
            </w:pPr>
          </w:p>
        </w:tc>
        <w:tc>
          <w:tcPr>
            <w:tcW w:w="1497" w:type="dxa"/>
            <w:noWrap/>
            <w:vAlign w:val="center"/>
          </w:tcPr>
          <w:p w14:paraId="6DEB1C05">
            <w:pPr>
              <w:pStyle w:val="18"/>
              <w:jc w:val="center"/>
              <w:rPr>
                <w:rFonts w:hint="eastAsia" w:ascii="宋体" w:hAnsi="宋体" w:eastAsia="宋体" w:cs="宋体"/>
                <w:color w:val="auto"/>
                <w:highlight w:val="none"/>
              </w:rPr>
            </w:pPr>
          </w:p>
        </w:tc>
        <w:tc>
          <w:tcPr>
            <w:tcW w:w="1559" w:type="dxa"/>
            <w:noWrap/>
            <w:vAlign w:val="center"/>
          </w:tcPr>
          <w:p w14:paraId="6F9EDD55">
            <w:pPr>
              <w:pStyle w:val="18"/>
              <w:jc w:val="center"/>
              <w:rPr>
                <w:rFonts w:hint="eastAsia" w:ascii="宋体" w:hAnsi="宋体" w:eastAsia="宋体" w:cs="宋体"/>
                <w:color w:val="auto"/>
                <w:highlight w:val="none"/>
              </w:rPr>
            </w:pPr>
          </w:p>
        </w:tc>
        <w:tc>
          <w:tcPr>
            <w:tcW w:w="709" w:type="dxa"/>
            <w:noWrap/>
            <w:vAlign w:val="center"/>
          </w:tcPr>
          <w:p w14:paraId="3C9DE6E9">
            <w:pPr>
              <w:pStyle w:val="18"/>
              <w:jc w:val="center"/>
              <w:rPr>
                <w:rFonts w:hint="eastAsia" w:ascii="宋体" w:hAnsi="宋体" w:eastAsia="宋体" w:cs="宋体"/>
                <w:color w:val="auto"/>
                <w:highlight w:val="none"/>
              </w:rPr>
            </w:pPr>
          </w:p>
        </w:tc>
      </w:tr>
      <w:tr w14:paraId="5091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8A6A1B7">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20</w:t>
            </w:r>
          </w:p>
        </w:tc>
        <w:tc>
          <w:tcPr>
            <w:tcW w:w="4536" w:type="dxa"/>
            <w:noWrap/>
            <w:vAlign w:val="center"/>
          </w:tcPr>
          <w:p w14:paraId="0B96D78E">
            <w:pPr>
              <w:pStyle w:val="18"/>
              <w:rPr>
                <w:rFonts w:hint="eastAsia" w:ascii="宋体" w:hAnsi="宋体" w:eastAsia="宋体" w:cs="宋体"/>
                <w:color w:val="auto"/>
                <w:highlight w:val="none"/>
              </w:rPr>
            </w:pPr>
            <w:r>
              <w:rPr>
                <w:rFonts w:hint="eastAsia" w:ascii="宋体" w:hAnsi="宋体" w:eastAsia="宋体" w:cs="宋体"/>
                <w:color w:val="auto"/>
                <w:highlight w:val="none"/>
              </w:rPr>
              <w:t>不良事件管理系统</w:t>
            </w:r>
          </w:p>
        </w:tc>
        <w:tc>
          <w:tcPr>
            <w:tcW w:w="767" w:type="dxa"/>
            <w:vAlign w:val="center"/>
          </w:tcPr>
          <w:p w14:paraId="34D80F8B">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5FD920BC">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27C9B2F3">
            <w:pPr>
              <w:pStyle w:val="18"/>
              <w:jc w:val="center"/>
              <w:rPr>
                <w:rFonts w:hint="eastAsia" w:ascii="宋体" w:hAnsi="宋体" w:eastAsia="宋体" w:cs="宋体"/>
                <w:color w:val="auto"/>
                <w:highlight w:val="none"/>
              </w:rPr>
            </w:pPr>
          </w:p>
        </w:tc>
        <w:tc>
          <w:tcPr>
            <w:tcW w:w="980" w:type="dxa"/>
            <w:noWrap/>
            <w:vAlign w:val="center"/>
          </w:tcPr>
          <w:p w14:paraId="7FE2E845">
            <w:pPr>
              <w:pStyle w:val="18"/>
              <w:jc w:val="center"/>
              <w:rPr>
                <w:rFonts w:hint="eastAsia" w:ascii="宋体" w:hAnsi="宋体" w:eastAsia="宋体" w:cs="宋体"/>
                <w:color w:val="auto"/>
                <w:highlight w:val="none"/>
              </w:rPr>
            </w:pPr>
          </w:p>
        </w:tc>
        <w:tc>
          <w:tcPr>
            <w:tcW w:w="1497" w:type="dxa"/>
            <w:noWrap/>
            <w:vAlign w:val="center"/>
          </w:tcPr>
          <w:p w14:paraId="6DBB64F4">
            <w:pPr>
              <w:pStyle w:val="18"/>
              <w:jc w:val="center"/>
              <w:rPr>
                <w:rFonts w:hint="eastAsia" w:ascii="宋体" w:hAnsi="宋体" w:eastAsia="宋体" w:cs="宋体"/>
                <w:color w:val="auto"/>
                <w:highlight w:val="none"/>
              </w:rPr>
            </w:pPr>
          </w:p>
        </w:tc>
        <w:tc>
          <w:tcPr>
            <w:tcW w:w="1559" w:type="dxa"/>
            <w:noWrap/>
            <w:vAlign w:val="center"/>
          </w:tcPr>
          <w:p w14:paraId="491CE25F">
            <w:pPr>
              <w:pStyle w:val="18"/>
              <w:jc w:val="center"/>
              <w:rPr>
                <w:rFonts w:hint="eastAsia" w:ascii="宋体" w:hAnsi="宋体" w:eastAsia="宋体" w:cs="宋体"/>
                <w:color w:val="auto"/>
                <w:highlight w:val="none"/>
              </w:rPr>
            </w:pPr>
          </w:p>
        </w:tc>
        <w:tc>
          <w:tcPr>
            <w:tcW w:w="709" w:type="dxa"/>
            <w:noWrap/>
            <w:vAlign w:val="center"/>
          </w:tcPr>
          <w:p w14:paraId="7425288E">
            <w:pPr>
              <w:pStyle w:val="18"/>
              <w:jc w:val="center"/>
              <w:rPr>
                <w:rFonts w:hint="eastAsia" w:ascii="宋体" w:hAnsi="宋体" w:eastAsia="宋体" w:cs="宋体"/>
                <w:color w:val="auto"/>
                <w:highlight w:val="none"/>
              </w:rPr>
            </w:pPr>
          </w:p>
        </w:tc>
      </w:tr>
      <w:tr w14:paraId="64F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444F11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21</w:t>
            </w:r>
          </w:p>
        </w:tc>
        <w:tc>
          <w:tcPr>
            <w:tcW w:w="4536" w:type="dxa"/>
            <w:noWrap/>
            <w:vAlign w:val="center"/>
          </w:tcPr>
          <w:p w14:paraId="63E0A802">
            <w:pPr>
              <w:pStyle w:val="18"/>
              <w:rPr>
                <w:rFonts w:hint="eastAsia" w:ascii="宋体" w:hAnsi="宋体" w:eastAsia="宋体" w:cs="宋体"/>
                <w:color w:val="auto"/>
                <w:highlight w:val="none"/>
              </w:rPr>
            </w:pPr>
            <w:r>
              <w:rPr>
                <w:rFonts w:hint="eastAsia" w:ascii="宋体" w:hAnsi="宋体" w:eastAsia="宋体" w:cs="宋体"/>
                <w:color w:val="auto"/>
                <w:highlight w:val="none"/>
              </w:rPr>
              <w:t>疾病报卡管理系统</w:t>
            </w:r>
          </w:p>
        </w:tc>
        <w:tc>
          <w:tcPr>
            <w:tcW w:w="767" w:type="dxa"/>
            <w:vAlign w:val="center"/>
          </w:tcPr>
          <w:p w14:paraId="3C9A539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785427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1E537FB6">
            <w:pPr>
              <w:pStyle w:val="18"/>
              <w:jc w:val="center"/>
              <w:rPr>
                <w:rFonts w:hint="eastAsia" w:ascii="宋体" w:hAnsi="宋体" w:eastAsia="宋体" w:cs="宋体"/>
                <w:color w:val="auto"/>
                <w:highlight w:val="none"/>
              </w:rPr>
            </w:pPr>
          </w:p>
        </w:tc>
        <w:tc>
          <w:tcPr>
            <w:tcW w:w="980" w:type="dxa"/>
            <w:noWrap/>
            <w:vAlign w:val="center"/>
          </w:tcPr>
          <w:p w14:paraId="0457309A">
            <w:pPr>
              <w:pStyle w:val="18"/>
              <w:jc w:val="center"/>
              <w:rPr>
                <w:rFonts w:hint="eastAsia" w:ascii="宋体" w:hAnsi="宋体" w:eastAsia="宋体" w:cs="宋体"/>
                <w:color w:val="auto"/>
                <w:highlight w:val="none"/>
              </w:rPr>
            </w:pPr>
          </w:p>
        </w:tc>
        <w:tc>
          <w:tcPr>
            <w:tcW w:w="1497" w:type="dxa"/>
            <w:noWrap/>
            <w:vAlign w:val="center"/>
          </w:tcPr>
          <w:p w14:paraId="5F2EA906">
            <w:pPr>
              <w:pStyle w:val="18"/>
              <w:jc w:val="center"/>
              <w:rPr>
                <w:rFonts w:hint="eastAsia" w:ascii="宋体" w:hAnsi="宋体" w:eastAsia="宋体" w:cs="宋体"/>
                <w:color w:val="auto"/>
                <w:highlight w:val="none"/>
              </w:rPr>
            </w:pPr>
          </w:p>
        </w:tc>
        <w:tc>
          <w:tcPr>
            <w:tcW w:w="1559" w:type="dxa"/>
            <w:noWrap/>
            <w:vAlign w:val="center"/>
          </w:tcPr>
          <w:p w14:paraId="1C1730B6">
            <w:pPr>
              <w:pStyle w:val="18"/>
              <w:jc w:val="center"/>
              <w:rPr>
                <w:rFonts w:hint="eastAsia" w:ascii="宋体" w:hAnsi="宋体" w:eastAsia="宋体" w:cs="宋体"/>
                <w:color w:val="auto"/>
                <w:highlight w:val="none"/>
              </w:rPr>
            </w:pPr>
          </w:p>
        </w:tc>
        <w:tc>
          <w:tcPr>
            <w:tcW w:w="709" w:type="dxa"/>
            <w:noWrap/>
            <w:vAlign w:val="center"/>
          </w:tcPr>
          <w:p w14:paraId="40B46E50">
            <w:pPr>
              <w:pStyle w:val="18"/>
              <w:jc w:val="center"/>
              <w:rPr>
                <w:rFonts w:hint="eastAsia" w:ascii="宋体" w:hAnsi="宋体" w:eastAsia="宋体" w:cs="宋体"/>
                <w:color w:val="auto"/>
                <w:highlight w:val="none"/>
              </w:rPr>
            </w:pPr>
          </w:p>
        </w:tc>
      </w:tr>
      <w:tr w14:paraId="4775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92CBC5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22</w:t>
            </w:r>
          </w:p>
        </w:tc>
        <w:tc>
          <w:tcPr>
            <w:tcW w:w="4536" w:type="dxa"/>
            <w:noWrap/>
            <w:vAlign w:val="center"/>
          </w:tcPr>
          <w:p w14:paraId="0441C859">
            <w:pPr>
              <w:pStyle w:val="18"/>
              <w:rPr>
                <w:rFonts w:hint="eastAsia" w:ascii="宋体" w:hAnsi="宋体" w:eastAsia="宋体" w:cs="宋体"/>
                <w:color w:val="auto"/>
                <w:highlight w:val="none"/>
              </w:rPr>
            </w:pPr>
            <w:r>
              <w:rPr>
                <w:rFonts w:hint="eastAsia" w:ascii="宋体" w:hAnsi="宋体" w:eastAsia="宋体" w:cs="宋体"/>
                <w:color w:val="auto"/>
                <w:highlight w:val="none"/>
              </w:rPr>
              <w:t>DRG系统</w:t>
            </w:r>
          </w:p>
        </w:tc>
        <w:tc>
          <w:tcPr>
            <w:tcW w:w="767" w:type="dxa"/>
            <w:vAlign w:val="center"/>
          </w:tcPr>
          <w:p w14:paraId="6AAFAC0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7067CDD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595021D2">
            <w:pPr>
              <w:pStyle w:val="18"/>
              <w:jc w:val="center"/>
              <w:rPr>
                <w:rFonts w:hint="eastAsia" w:ascii="宋体" w:hAnsi="宋体" w:eastAsia="宋体" w:cs="宋体"/>
                <w:color w:val="auto"/>
                <w:highlight w:val="none"/>
              </w:rPr>
            </w:pPr>
          </w:p>
        </w:tc>
        <w:tc>
          <w:tcPr>
            <w:tcW w:w="980" w:type="dxa"/>
            <w:noWrap/>
            <w:vAlign w:val="center"/>
          </w:tcPr>
          <w:p w14:paraId="722E4D07">
            <w:pPr>
              <w:pStyle w:val="18"/>
              <w:jc w:val="center"/>
              <w:rPr>
                <w:rFonts w:hint="eastAsia" w:ascii="宋体" w:hAnsi="宋体" w:eastAsia="宋体" w:cs="宋体"/>
                <w:color w:val="auto"/>
                <w:highlight w:val="none"/>
              </w:rPr>
            </w:pPr>
          </w:p>
        </w:tc>
        <w:tc>
          <w:tcPr>
            <w:tcW w:w="1497" w:type="dxa"/>
            <w:noWrap/>
            <w:vAlign w:val="center"/>
          </w:tcPr>
          <w:p w14:paraId="4B8775FF">
            <w:pPr>
              <w:pStyle w:val="18"/>
              <w:jc w:val="center"/>
              <w:rPr>
                <w:rFonts w:hint="eastAsia" w:ascii="宋体" w:hAnsi="宋体" w:eastAsia="宋体" w:cs="宋体"/>
                <w:color w:val="auto"/>
                <w:highlight w:val="none"/>
              </w:rPr>
            </w:pPr>
          </w:p>
        </w:tc>
        <w:tc>
          <w:tcPr>
            <w:tcW w:w="1559" w:type="dxa"/>
            <w:noWrap/>
            <w:vAlign w:val="center"/>
          </w:tcPr>
          <w:p w14:paraId="26C68963">
            <w:pPr>
              <w:pStyle w:val="18"/>
              <w:jc w:val="center"/>
              <w:rPr>
                <w:rFonts w:hint="eastAsia" w:ascii="宋体" w:hAnsi="宋体" w:eastAsia="宋体" w:cs="宋体"/>
                <w:color w:val="auto"/>
                <w:highlight w:val="none"/>
              </w:rPr>
            </w:pPr>
          </w:p>
        </w:tc>
        <w:tc>
          <w:tcPr>
            <w:tcW w:w="709" w:type="dxa"/>
            <w:noWrap/>
            <w:vAlign w:val="center"/>
          </w:tcPr>
          <w:p w14:paraId="299154F6">
            <w:pPr>
              <w:pStyle w:val="18"/>
              <w:jc w:val="center"/>
              <w:rPr>
                <w:rFonts w:hint="eastAsia" w:ascii="宋体" w:hAnsi="宋体" w:eastAsia="宋体" w:cs="宋体"/>
                <w:color w:val="auto"/>
                <w:highlight w:val="none"/>
              </w:rPr>
            </w:pPr>
          </w:p>
        </w:tc>
      </w:tr>
      <w:tr w14:paraId="5826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5118D1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23</w:t>
            </w:r>
          </w:p>
        </w:tc>
        <w:tc>
          <w:tcPr>
            <w:tcW w:w="4536" w:type="dxa"/>
            <w:noWrap/>
            <w:vAlign w:val="center"/>
          </w:tcPr>
          <w:p w14:paraId="3D5E4D73">
            <w:pPr>
              <w:pStyle w:val="18"/>
              <w:rPr>
                <w:rFonts w:hint="eastAsia" w:ascii="宋体" w:hAnsi="宋体" w:eastAsia="宋体" w:cs="宋体"/>
                <w:color w:val="auto"/>
                <w:highlight w:val="none"/>
              </w:rPr>
            </w:pPr>
            <w:r>
              <w:rPr>
                <w:rFonts w:hint="eastAsia" w:ascii="宋体" w:hAnsi="宋体" w:eastAsia="宋体" w:cs="宋体"/>
                <w:color w:val="auto"/>
                <w:highlight w:val="none"/>
              </w:rPr>
              <w:t>医用物资管理系统</w:t>
            </w:r>
          </w:p>
        </w:tc>
        <w:tc>
          <w:tcPr>
            <w:tcW w:w="767" w:type="dxa"/>
            <w:vAlign w:val="center"/>
          </w:tcPr>
          <w:p w14:paraId="65CE012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2B0E2C5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59C8389C">
            <w:pPr>
              <w:pStyle w:val="18"/>
              <w:jc w:val="center"/>
              <w:rPr>
                <w:rFonts w:hint="eastAsia" w:ascii="宋体" w:hAnsi="宋体" w:eastAsia="宋体" w:cs="宋体"/>
                <w:color w:val="auto"/>
                <w:highlight w:val="none"/>
              </w:rPr>
            </w:pPr>
          </w:p>
        </w:tc>
        <w:tc>
          <w:tcPr>
            <w:tcW w:w="980" w:type="dxa"/>
            <w:noWrap/>
            <w:vAlign w:val="center"/>
          </w:tcPr>
          <w:p w14:paraId="7130902F">
            <w:pPr>
              <w:pStyle w:val="18"/>
              <w:jc w:val="center"/>
              <w:rPr>
                <w:rFonts w:hint="eastAsia" w:ascii="宋体" w:hAnsi="宋体" w:eastAsia="宋体" w:cs="宋体"/>
                <w:color w:val="auto"/>
                <w:highlight w:val="none"/>
              </w:rPr>
            </w:pPr>
          </w:p>
        </w:tc>
        <w:tc>
          <w:tcPr>
            <w:tcW w:w="1497" w:type="dxa"/>
            <w:noWrap/>
            <w:vAlign w:val="center"/>
          </w:tcPr>
          <w:p w14:paraId="15587A32">
            <w:pPr>
              <w:pStyle w:val="18"/>
              <w:jc w:val="center"/>
              <w:rPr>
                <w:rFonts w:hint="eastAsia" w:ascii="宋体" w:hAnsi="宋体" w:eastAsia="宋体" w:cs="宋体"/>
                <w:color w:val="auto"/>
                <w:highlight w:val="none"/>
              </w:rPr>
            </w:pPr>
          </w:p>
        </w:tc>
        <w:tc>
          <w:tcPr>
            <w:tcW w:w="1559" w:type="dxa"/>
            <w:noWrap/>
            <w:vAlign w:val="center"/>
          </w:tcPr>
          <w:p w14:paraId="7E5499D1">
            <w:pPr>
              <w:pStyle w:val="18"/>
              <w:jc w:val="center"/>
              <w:rPr>
                <w:rFonts w:hint="eastAsia" w:ascii="宋体" w:hAnsi="宋体" w:eastAsia="宋体" w:cs="宋体"/>
                <w:color w:val="auto"/>
                <w:highlight w:val="none"/>
              </w:rPr>
            </w:pPr>
          </w:p>
        </w:tc>
        <w:tc>
          <w:tcPr>
            <w:tcW w:w="709" w:type="dxa"/>
            <w:noWrap/>
            <w:vAlign w:val="center"/>
          </w:tcPr>
          <w:p w14:paraId="0E9DD5F9">
            <w:pPr>
              <w:pStyle w:val="18"/>
              <w:jc w:val="center"/>
              <w:rPr>
                <w:rFonts w:hint="eastAsia" w:ascii="宋体" w:hAnsi="宋体" w:eastAsia="宋体" w:cs="宋体"/>
                <w:color w:val="auto"/>
                <w:highlight w:val="none"/>
              </w:rPr>
            </w:pPr>
          </w:p>
        </w:tc>
      </w:tr>
      <w:tr w14:paraId="4D37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51A699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24</w:t>
            </w:r>
          </w:p>
        </w:tc>
        <w:tc>
          <w:tcPr>
            <w:tcW w:w="4536" w:type="dxa"/>
            <w:noWrap/>
            <w:vAlign w:val="center"/>
          </w:tcPr>
          <w:p w14:paraId="71509C97">
            <w:pPr>
              <w:pStyle w:val="18"/>
              <w:rPr>
                <w:rFonts w:hint="eastAsia" w:ascii="宋体" w:hAnsi="宋体" w:eastAsia="宋体" w:cs="宋体"/>
                <w:color w:val="auto"/>
                <w:highlight w:val="none"/>
              </w:rPr>
            </w:pPr>
            <w:r>
              <w:rPr>
                <w:rFonts w:hint="eastAsia" w:ascii="宋体" w:hAnsi="宋体" w:eastAsia="宋体" w:cs="宋体"/>
                <w:color w:val="auto"/>
                <w:highlight w:val="none"/>
              </w:rPr>
              <w:t>患者服务平台（微信公众号/小程序）</w:t>
            </w:r>
          </w:p>
        </w:tc>
        <w:tc>
          <w:tcPr>
            <w:tcW w:w="767" w:type="dxa"/>
            <w:vAlign w:val="center"/>
          </w:tcPr>
          <w:p w14:paraId="3C94408C">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1E7CFFB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3C6B0CE9">
            <w:pPr>
              <w:pStyle w:val="18"/>
              <w:jc w:val="center"/>
              <w:rPr>
                <w:rFonts w:hint="eastAsia" w:ascii="宋体" w:hAnsi="宋体" w:eastAsia="宋体" w:cs="宋体"/>
                <w:color w:val="auto"/>
                <w:highlight w:val="none"/>
              </w:rPr>
            </w:pPr>
          </w:p>
        </w:tc>
        <w:tc>
          <w:tcPr>
            <w:tcW w:w="980" w:type="dxa"/>
            <w:noWrap/>
            <w:vAlign w:val="center"/>
          </w:tcPr>
          <w:p w14:paraId="71DB2307">
            <w:pPr>
              <w:pStyle w:val="18"/>
              <w:jc w:val="center"/>
              <w:rPr>
                <w:rFonts w:hint="eastAsia" w:ascii="宋体" w:hAnsi="宋体" w:eastAsia="宋体" w:cs="宋体"/>
                <w:color w:val="auto"/>
                <w:highlight w:val="none"/>
              </w:rPr>
            </w:pPr>
          </w:p>
        </w:tc>
        <w:tc>
          <w:tcPr>
            <w:tcW w:w="1497" w:type="dxa"/>
            <w:noWrap/>
            <w:vAlign w:val="center"/>
          </w:tcPr>
          <w:p w14:paraId="4FBAAA84">
            <w:pPr>
              <w:pStyle w:val="18"/>
              <w:jc w:val="center"/>
              <w:rPr>
                <w:rFonts w:hint="eastAsia" w:ascii="宋体" w:hAnsi="宋体" w:eastAsia="宋体" w:cs="宋体"/>
                <w:color w:val="auto"/>
                <w:highlight w:val="none"/>
              </w:rPr>
            </w:pPr>
          </w:p>
        </w:tc>
        <w:tc>
          <w:tcPr>
            <w:tcW w:w="1559" w:type="dxa"/>
            <w:noWrap/>
            <w:vAlign w:val="center"/>
          </w:tcPr>
          <w:p w14:paraId="472C64FE">
            <w:pPr>
              <w:pStyle w:val="18"/>
              <w:jc w:val="center"/>
              <w:rPr>
                <w:rFonts w:hint="eastAsia" w:ascii="宋体" w:hAnsi="宋体" w:eastAsia="宋体" w:cs="宋体"/>
                <w:color w:val="auto"/>
                <w:highlight w:val="none"/>
              </w:rPr>
            </w:pPr>
          </w:p>
        </w:tc>
        <w:tc>
          <w:tcPr>
            <w:tcW w:w="709" w:type="dxa"/>
            <w:noWrap/>
            <w:vAlign w:val="center"/>
          </w:tcPr>
          <w:p w14:paraId="0D2B325A">
            <w:pPr>
              <w:pStyle w:val="18"/>
              <w:jc w:val="center"/>
              <w:rPr>
                <w:rFonts w:hint="eastAsia" w:ascii="宋体" w:hAnsi="宋体" w:eastAsia="宋体" w:cs="宋体"/>
                <w:color w:val="auto"/>
                <w:highlight w:val="none"/>
              </w:rPr>
            </w:pPr>
          </w:p>
        </w:tc>
      </w:tr>
      <w:tr w14:paraId="227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6117C9C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25</w:t>
            </w:r>
          </w:p>
        </w:tc>
        <w:tc>
          <w:tcPr>
            <w:tcW w:w="4536" w:type="dxa"/>
            <w:noWrap/>
            <w:vAlign w:val="center"/>
          </w:tcPr>
          <w:p w14:paraId="68A5EA54">
            <w:pPr>
              <w:pStyle w:val="18"/>
              <w:rPr>
                <w:rFonts w:hint="eastAsia" w:ascii="宋体" w:hAnsi="宋体" w:eastAsia="宋体" w:cs="宋体"/>
                <w:color w:val="auto"/>
                <w:highlight w:val="none"/>
              </w:rPr>
            </w:pPr>
            <w:r>
              <w:rPr>
                <w:rFonts w:hint="eastAsia" w:ascii="宋体" w:hAnsi="宋体" w:eastAsia="宋体" w:cs="宋体"/>
                <w:color w:val="auto"/>
                <w:highlight w:val="none"/>
              </w:rPr>
              <w:t>智能支付对账平台</w:t>
            </w:r>
          </w:p>
        </w:tc>
        <w:tc>
          <w:tcPr>
            <w:tcW w:w="767" w:type="dxa"/>
            <w:vAlign w:val="center"/>
          </w:tcPr>
          <w:p w14:paraId="401B9A7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7E00B98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CDAD0D3">
            <w:pPr>
              <w:pStyle w:val="18"/>
              <w:jc w:val="center"/>
              <w:rPr>
                <w:rFonts w:hint="eastAsia" w:ascii="宋体" w:hAnsi="宋体" w:eastAsia="宋体" w:cs="宋体"/>
                <w:color w:val="auto"/>
                <w:highlight w:val="none"/>
              </w:rPr>
            </w:pPr>
          </w:p>
        </w:tc>
        <w:tc>
          <w:tcPr>
            <w:tcW w:w="980" w:type="dxa"/>
            <w:noWrap/>
            <w:vAlign w:val="center"/>
          </w:tcPr>
          <w:p w14:paraId="718A2BDB">
            <w:pPr>
              <w:pStyle w:val="18"/>
              <w:jc w:val="center"/>
              <w:rPr>
                <w:rFonts w:hint="eastAsia" w:ascii="宋体" w:hAnsi="宋体" w:eastAsia="宋体" w:cs="宋体"/>
                <w:color w:val="auto"/>
                <w:highlight w:val="none"/>
              </w:rPr>
            </w:pPr>
          </w:p>
        </w:tc>
        <w:tc>
          <w:tcPr>
            <w:tcW w:w="1497" w:type="dxa"/>
            <w:noWrap/>
            <w:vAlign w:val="center"/>
          </w:tcPr>
          <w:p w14:paraId="01525A25">
            <w:pPr>
              <w:pStyle w:val="18"/>
              <w:jc w:val="center"/>
              <w:rPr>
                <w:rFonts w:hint="eastAsia" w:ascii="宋体" w:hAnsi="宋体" w:eastAsia="宋体" w:cs="宋体"/>
                <w:color w:val="auto"/>
                <w:highlight w:val="none"/>
              </w:rPr>
            </w:pPr>
          </w:p>
        </w:tc>
        <w:tc>
          <w:tcPr>
            <w:tcW w:w="1559" w:type="dxa"/>
            <w:noWrap/>
            <w:vAlign w:val="center"/>
          </w:tcPr>
          <w:p w14:paraId="4F58FF87">
            <w:pPr>
              <w:pStyle w:val="18"/>
              <w:jc w:val="center"/>
              <w:rPr>
                <w:rFonts w:hint="eastAsia" w:ascii="宋体" w:hAnsi="宋体" w:eastAsia="宋体" w:cs="宋体"/>
                <w:color w:val="auto"/>
                <w:highlight w:val="none"/>
              </w:rPr>
            </w:pPr>
          </w:p>
        </w:tc>
        <w:tc>
          <w:tcPr>
            <w:tcW w:w="709" w:type="dxa"/>
            <w:noWrap/>
            <w:vAlign w:val="center"/>
          </w:tcPr>
          <w:p w14:paraId="244FBFD4">
            <w:pPr>
              <w:pStyle w:val="18"/>
              <w:jc w:val="center"/>
              <w:rPr>
                <w:rFonts w:hint="eastAsia" w:ascii="宋体" w:hAnsi="宋体" w:eastAsia="宋体" w:cs="宋体"/>
                <w:color w:val="auto"/>
                <w:highlight w:val="none"/>
              </w:rPr>
            </w:pPr>
          </w:p>
        </w:tc>
      </w:tr>
      <w:tr w14:paraId="00F4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9AB6BF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26</w:t>
            </w:r>
          </w:p>
        </w:tc>
        <w:tc>
          <w:tcPr>
            <w:tcW w:w="4536" w:type="dxa"/>
            <w:noWrap/>
            <w:vAlign w:val="center"/>
          </w:tcPr>
          <w:p w14:paraId="4058E1C7">
            <w:pPr>
              <w:pStyle w:val="18"/>
              <w:rPr>
                <w:rFonts w:hint="eastAsia" w:ascii="宋体" w:hAnsi="宋体" w:eastAsia="宋体" w:cs="宋体"/>
                <w:color w:val="auto"/>
                <w:highlight w:val="none"/>
              </w:rPr>
            </w:pPr>
            <w:r>
              <w:rPr>
                <w:rFonts w:hint="eastAsia" w:ascii="宋体" w:hAnsi="宋体" w:eastAsia="宋体" w:cs="宋体"/>
                <w:color w:val="auto"/>
                <w:highlight w:val="none"/>
              </w:rPr>
              <w:t>银医自助服务系统</w:t>
            </w:r>
          </w:p>
        </w:tc>
        <w:tc>
          <w:tcPr>
            <w:tcW w:w="767" w:type="dxa"/>
            <w:vAlign w:val="center"/>
          </w:tcPr>
          <w:p w14:paraId="2CDA786B">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544A74A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47699444">
            <w:pPr>
              <w:pStyle w:val="18"/>
              <w:jc w:val="center"/>
              <w:rPr>
                <w:rFonts w:hint="eastAsia" w:ascii="宋体" w:hAnsi="宋体" w:eastAsia="宋体" w:cs="宋体"/>
                <w:color w:val="auto"/>
                <w:highlight w:val="none"/>
              </w:rPr>
            </w:pPr>
          </w:p>
        </w:tc>
        <w:tc>
          <w:tcPr>
            <w:tcW w:w="980" w:type="dxa"/>
            <w:noWrap/>
            <w:vAlign w:val="center"/>
          </w:tcPr>
          <w:p w14:paraId="3869C2A1">
            <w:pPr>
              <w:pStyle w:val="18"/>
              <w:jc w:val="center"/>
              <w:rPr>
                <w:rFonts w:hint="eastAsia" w:ascii="宋体" w:hAnsi="宋体" w:eastAsia="宋体" w:cs="宋体"/>
                <w:color w:val="auto"/>
                <w:highlight w:val="none"/>
              </w:rPr>
            </w:pPr>
          </w:p>
        </w:tc>
        <w:tc>
          <w:tcPr>
            <w:tcW w:w="1497" w:type="dxa"/>
            <w:noWrap/>
            <w:vAlign w:val="center"/>
          </w:tcPr>
          <w:p w14:paraId="115D9266">
            <w:pPr>
              <w:pStyle w:val="18"/>
              <w:jc w:val="center"/>
              <w:rPr>
                <w:rFonts w:hint="eastAsia" w:ascii="宋体" w:hAnsi="宋体" w:eastAsia="宋体" w:cs="宋体"/>
                <w:color w:val="auto"/>
                <w:highlight w:val="none"/>
              </w:rPr>
            </w:pPr>
          </w:p>
        </w:tc>
        <w:tc>
          <w:tcPr>
            <w:tcW w:w="1559" w:type="dxa"/>
            <w:noWrap/>
            <w:vAlign w:val="center"/>
          </w:tcPr>
          <w:p w14:paraId="4DC60C13">
            <w:pPr>
              <w:pStyle w:val="18"/>
              <w:jc w:val="center"/>
              <w:rPr>
                <w:rFonts w:hint="eastAsia" w:ascii="宋体" w:hAnsi="宋体" w:eastAsia="宋体" w:cs="宋体"/>
                <w:color w:val="auto"/>
                <w:highlight w:val="none"/>
              </w:rPr>
            </w:pPr>
          </w:p>
        </w:tc>
        <w:tc>
          <w:tcPr>
            <w:tcW w:w="709" w:type="dxa"/>
            <w:noWrap/>
            <w:vAlign w:val="center"/>
          </w:tcPr>
          <w:p w14:paraId="41CA1782">
            <w:pPr>
              <w:pStyle w:val="18"/>
              <w:jc w:val="center"/>
              <w:rPr>
                <w:rFonts w:hint="eastAsia" w:ascii="宋体" w:hAnsi="宋体" w:eastAsia="宋体" w:cs="宋体"/>
                <w:color w:val="auto"/>
                <w:highlight w:val="none"/>
              </w:rPr>
            </w:pPr>
          </w:p>
        </w:tc>
      </w:tr>
      <w:tr w14:paraId="10D3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64CCB4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27</w:t>
            </w:r>
          </w:p>
        </w:tc>
        <w:tc>
          <w:tcPr>
            <w:tcW w:w="4536" w:type="dxa"/>
            <w:noWrap/>
            <w:vAlign w:val="center"/>
          </w:tcPr>
          <w:p w14:paraId="0B1E9D0A">
            <w:pPr>
              <w:pStyle w:val="18"/>
              <w:rPr>
                <w:rFonts w:hint="eastAsia" w:ascii="宋体" w:hAnsi="宋体" w:eastAsia="宋体" w:cs="宋体"/>
                <w:color w:val="auto"/>
                <w:highlight w:val="none"/>
              </w:rPr>
            </w:pPr>
            <w:r>
              <w:rPr>
                <w:rFonts w:hint="eastAsia" w:ascii="宋体" w:hAnsi="宋体" w:eastAsia="宋体" w:cs="宋体"/>
                <w:color w:val="auto"/>
                <w:highlight w:val="none"/>
              </w:rPr>
              <w:t>住院病区查询机系统</w:t>
            </w:r>
          </w:p>
        </w:tc>
        <w:tc>
          <w:tcPr>
            <w:tcW w:w="767" w:type="dxa"/>
            <w:vAlign w:val="center"/>
          </w:tcPr>
          <w:p w14:paraId="307B437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3D7832C">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DCFF424">
            <w:pPr>
              <w:pStyle w:val="18"/>
              <w:jc w:val="center"/>
              <w:rPr>
                <w:rFonts w:hint="eastAsia" w:ascii="宋体" w:hAnsi="宋体" w:eastAsia="宋体" w:cs="宋体"/>
                <w:color w:val="auto"/>
                <w:highlight w:val="none"/>
              </w:rPr>
            </w:pPr>
          </w:p>
        </w:tc>
        <w:tc>
          <w:tcPr>
            <w:tcW w:w="980" w:type="dxa"/>
            <w:noWrap/>
            <w:vAlign w:val="center"/>
          </w:tcPr>
          <w:p w14:paraId="2DD5FC05">
            <w:pPr>
              <w:pStyle w:val="18"/>
              <w:jc w:val="center"/>
              <w:rPr>
                <w:rFonts w:hint="eastAsia" w:ascii="宋体" w:hAnsi="宋体" w:eastAsia="宋体" w:cs="宋体"/>
                <w:color w:val="auto"/>
                <w:highlight w:val="none"/>
              </w:rPr>
            </w:pPr>
          </w:p>
        </w:tc>
        <w:tc>
          <w:tcPr>
            <w:tcW w:w="1497" w:type="dxa"/>
            <w:noWrap/>
            <w:vAlign w:val="center"/>
          </w:tcPr>
          <w:p w14:paraId="6DCA877F">
            <w:pPr>
              <w:pStyle w:val="18"/>
              <w:jc w:val="center"/>
              <w:rPr>
                <w:rFonts w:hint="eastAsia" w:ascii="宋体" w:hAnsi="宋体" w:eastAsia="宋体" w:cs="宋体"/>
                <w:color w:val="auto"/>
                <w:highlight w:val="none"/>
              </w:rPr>
            </w:pPr>
          </w:p>
        </w:tc>
        <w:tc>
          <w:tcPr>
            <w:tcW w:w="1559" w:type="dxa"/>
            <w:noWrap/>
            <w:vAlign w:val="center"/>
          </w:tcPr>
          <w:p w14:paraId="0DBD09E7">
            <w:pPr>
              <w:pStyle w:val="18"/>
              <w:jc w:val="center"/>
              <w:rPr>
                <w:rFonts w:hint="eastAsia" w:ascii="宋体" w:hAnsi="宋体" w:eastAsia="宋体" w:cs="宋体"/>
                <w:color w:val="auto"/>
                <w:highlight w:val="none"/>
              </w:rPr>
            </w:pPr>
          </w:p>
        </w:tc>
        <w:tc>
          <w:tcPr>
            <w:tcW w:w="709" w:type="dxa"/>
            <w:noWrap/>
            <w:vAlign w:val="center"/>
          </w:tcPr>
          <w:p w14:paraId="283192A6">
            <w:pPr>
              <w:pStyle w:val="18"/>
              <w:jc w:val="center"/>
              <w:rPr>
                <w:rFonts w:hint="eastAsia" w:ascii="宋体" w:hAnsi="宋体" w:eastAsia="宋体" w:cs="宋体"/>
                <w:color w:val="auto"/>
                <w:highlight w:val="none"/>
              </w:rPr>
            </w:pPr>
          </w:p>
        </w:tc>
      </w:tr>
      <w:tr w14:paraId="4FB0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56684A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28</w:t>
            </w:r>
          </w:p>
        </w:tc>
        <w:tc>
          <w:tcPr>
            <w:tcW w:w="4536" w:type="dxa"/>
            <w:noWrap/>
            <w:vAlign w:val="center"/>
          </w:tcPr>
          <w:p w14:paraId="68FB696F">
            <w:pPr>
              <w:pStyle w:val="18"/>
              <w:rPr>
                <w:rFonts w:hint="eastAsia" w:ascii="宋体" w:hAnsi="宋体" w:eastAsia="宋体" w:cs="宋体"/>
                <w:color w:val="auto"/>
                <w:highlight w:val="none"/>
              </w:rPr>
            </w:pPr>
            <w:r>
              <w:rPr>
                <w:rFonts w:hint="eastAsia" w:ascii="宋体" w:hAnsi="宋体" w:eastAsia="宋体" w:cs="宋体"/>
                <w:color w:val="auto"/>
                <w:highlight w:val="none"/>
              </w:rPr>
              <w:t>多媒体分诊叫号系统</w:t>
            </w:r>
          </w:p>
        </w:tc>
        <w:tc>
          <w:tcPr>
            <w:tcW w:w="767" w:type="dxa"/>
            <w:vAlign w:val="center"/>
          </w:tcPr>
          <w:p w14:paraId="1008A9B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37634B3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7484062">
            <w:pPr>
              <w:pStyle w:val="18"/>
              <w:jc w:val="center"/>
              <w:rPr>
                <w:rFonts w:hint="eastAsia" w:ascii="宋体" w:hAnsi="宋体" w:eastAsia="宋体" w:cs="宋体"/>
                <w:color w:val="auto"/>
                <w:highlight w:val="none"/>
              </w:rPr>
            </w:pPr>
          </w:p>
        </w:tc>
        <w:tc>
          <w:tcPr>
            <w:tcW w:w="980" w:type="dxa"/>
            <w:noWrap/>
            <w:vAlign w:val="center"/>
          </w:tcPr>
          <w:p w14:paraId="29DAE88A">
            <w:pPr>
              <w:pStyle w:val="18"/>
              <w:jc w:val="center"/>
              <w:rPr>
                <w:rFonts w:hint="eastAsia" w:ascii="宋体" w:hAnsi="宋体" w:eastAsia="宋体" w:cs="宋体"/>
                <w:color w:val="auto"/>
                <w:highlight w:val="none"/>
              </w:rPr>
            </w:pPr>
          </w:p>
        </w:tc>
        <w:tc>
          <w:tcPr>
            <w:tcW w:w="1497" w:type="dxa"/>
            <w:noWrap/>
            <w:vAlign w:val="center"/>
          </w:tcPr>
          <w:p w14:paraId="7DCF8BF6">
            <w:pPr>
              <w:pStyle w:val="18"/>
              <w:jc w:val="center"/>
              <w:rPr>
                <w:rFonts w:hint="eastAsia" w:ascii="宋体" w:hAnsi="宋体" w:eastAsia="宋体" w:cs="宋体"/>
                <w:color w:val="auto"/>
                <w:highlight w:val="none"/>
              </w:rPr>
            </w:pPr>
          </w:p>
        </w:tc>
        <w:tc>
          <w:tcPr>
            <w:tcW w:w="1559" w:type="dxa"/>
            <w:noWrap/>
            <w:vAlign w:val="center"/>
          </w:tcPr>
          <w:p w14:paraId="1E394ABD">
            <w:pPr>
              <w:pStyle w:val="18"/>
              <w:jc w:val="center"/>
              <w:rPr>
                <w:rFonts w:hint="eastAsia" w:ascii="宋体" w:hAnsi="宋体" w:eastAsia="宋体" w:cs="宋体"/>
                <w:color w:val="auto"/>
                <w:highlight w:val="none"/>
              </w:rPr>
            </w:pPr>
          </w:p>
        </w:tc>
        <w:tc>
          <w:tcPr>
            <w:tcW w:w="709" w:type="dxa"/>
            <w:noWrap/>
            <w:vAlign w:val="center"/>
          </w:tcPr>
          <w:p w14:paraId="16F4FD91">
            <w:pPr>
              <w:pStyle w:val="18"/>
              <w:jc w:val="center"/>
              <w:rPr>
                <w:rFonts w:hint="eastAsia" w:ascii="宋体" w:hAnsi="宋体" w:eastAsia="宋体" w:cs="宋体"/>
                <w:color w:val="auto"/>
                <w:highlight w:val="none"/>
              </w:rPr>
            </w:pPr>
          </w:p>
        </w:tc>
      </w:tr>
      <w:tr w14:paraId="7A65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F47F416">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29</w:t>
            </w:r>
          </w:p>
        </w:tc>
        <w:tc>
          <w:tcPr>
            <w:tcW w:w="4536" w:type="dxa"/>
            <w:noWrap/>
            <w:vAlign w:val="center"/>
          </w:tcPr>
          <w:p w14:paraId="466BB646">
            <w:pPr>
              <w:pStyle w:val="18"/>
              <w:rPr>
                <w:rFonts w:hint="eastAsia" w:ascii="宋体" w:hAnsi="宋体" w:eastAsia="宋体" w:cs="宋体"/>
                <w:color w:val="auto"/>
                <w:highlight w:val="none"/>
              </w:rPr>
            </w:pPr>
            <w:r>
              <w:rPr>
                <w:rFonts w:hint="eastAsia" w:ascii="宋体" w:hAnsi="宋体" w:eastAsia="宋体" w:cs="宋体"/>
                <w:color w:val="auto"/>
                <w:highlight w:val="none"/>
              </w:rPr>
              <w:t>检验互认接入开发</w:t>
            </w:r>
          </w:p>
        </w:tc>
        <w:tc>
          <w:tcPr>
            <w:tcW w:w="767" w:type="dxa"/>
            <w:vAlign w:val="center"/>
          </w:tcPr>
          <w:p w14:paraId="2D3C83C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59950A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65B7CFD6">
            <w:pPr>
              <w:pStyle w:val="18"/>
              <w:jc w:val="center"/>
              <w:rPr>
                <w:rFonts w:hint="eastAsia" w:ascii="宋体" w:hAnsi="宋体" w:eastAsia="宋体" w:cs="宋体"/>
                <w:color w:val="auto"/>
                <w:highlight w:val="none"/>
              </w:rPr>
            </w:pPr>
          </w:p>
        </w:tc>
        <w:tc>
          <w:tcPr>
            <w:tcW w:w="980" w:type="dxa"/>
            <w:noWrap/>
            <w:vAlign w:val="center"/>
          </w:tcPr>
          <w:p w14:paraId="57AD3549">
            <w:pPr>
              <w:pStyle w:val="18"/>
              <w:jc w:val="center"/>
              <w:rPr>
                <w:rFonts w:hint="eastAsia" w:ascii="宋体" w:hAnsi="宋体" w:eastAsia="宋体" w:cs="宋体"/>
                <w:color w:val="auto"/>
                <w:highlight w:val="none"/>
              </w:rPr>
            </w:pPr>
          </w:p>
        </w:tc>
        <w:tc>
          <w:tcPr>
            <w:tcW w:w="1497" w:type="dxa"/>
            <w:noWrap/>
            <w:vAlign w:val="center"/>
          </w:tcPr>
          <w:p w14:paraId="3BD7E5BC">
            <w:pPr>
              <w:pStyle w:val="18"/>
              <w:jc w:val="center"/>
              <w:rPr>
                <w:rFonts w:hint="eastAsia" w:ascii="宋体" w:hAnsi="宋体" w:eastAsia="宋体" w:cs="宋体"/>
                <w:color w:val="auto"/>
                <w:highlight w:val="none"/>
              </w:rPr>
            </w:pPr>
          </w:p>
        </w:tc>
        <w:tc>
          <w:tcPr>
            <w:tcW w:w="1559" w:type="dxa"/>
            <w:noWrap/>
            <w:vAlign w:val="center"/>
          </w:tcPr>
          <w:p w14:paraId="649529F2">
            <w:pPr>
              <w:pStyle w:val="18"/>
              <w:jc w:val="center"/>
              <w:rPr>
                <w:rFonts w:hint="eastAsia" w:ascii="宋体" w:hAnsi="宋体" w:eastAsia="宋体" w:cs="宋体"/>
                <w:color w:val="auto"/>
                <w:highlight w:val="none"/>
              </w:rPr>
            </w:pPr>
          </w:p>
        </w:tc>
        <w:tc>
          <w:tcPr>
            <w:tcW w:w="709" w:type="dxa"/>
            <w:noWrap/>
            <w:vAlign w:val="center"/>
          </w:tcPr>
          <w:p w14:paraId="49772226">
            <w:pPr>
              <w:pStyle w:val="18"/>
              <w:jc w:val="center"/>
              <w:rPr>
                <w:rFonts w:hint="eastAsia" w:ascii="宋体" w:hAnsi="宋体" w:eastAsia="宋体" w:cs="宋体"/>
                <w:color w:val="auto"/>
                <w:highlight w:val="none"/>
              </w:rPr>
            </w:pPr>
          </w:p>
        </w:tc>
      </w:tr>
      <w:tr w14:paraId="4C02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18C8399">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30</w:t>
            </w:r>
          </w:p>
        </w:tc>
        <w:tc>
          <w:tcPr>
            <w:tcW w:w="4536" w:type="dxa"/>
            <w:noWrap/>
            <w:vAlign w:val="center"/>
          </w:tcPr>
          <w:p w14:paraId="76A15653">
            <w:pPr>
              <w:pStyle w:val="18"/>
              <w:rPr>
                <w:rFonts w:hint="eastAsia" w:ascii="宋体" w:hAnsi="宋体" w:eastAsia="宋体" w:cs="宋体"/>
                <w:color w:val="auto"/>
                <w:highlight w:val="none"/>
              </w:rPr>
            </w:pPr>
            <w:r>
              <w:rPr>
                <w:rFonts w:hint="eastAsia" w:ascii="宋体" w:hAnsi="宋体" w:eastAsia="宋体" w:cs="宋体"/>
                <w:color w:val="auto"/>
                <w:highlight w:val="none"/>
              </w:rPr>
              <w:t>影像云平台接入开发</w:t>
            </w:r>
          </w:p>
        </w:tc>
        <w:tc>
          <w:tcPr>
            <w:tcW w:w="767" w:type="dxa"/>
            <w:vAlign w:val="center"/>
          </w:tcPr>
          <w:p w14:paraId="2679B4E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261CBFA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37F05D8E">
            <w:pPr>
              <w:pStyle w:val="18"/>
              <w:jc w:val="center"/>
              <w:rPr>
                <w:rFonts w:hint="eastAsia" w:ascii="宋体" w:hAnsi="宋体" w:eastAsia="宋体" w:cs="宋体"/>
                <w:color w:val="auto"/>
                <w:highlight w:val="none"/>
              </w:rPr>
            </w:pPr>
          </w:p>
        </w:tc>
        <w:tc>
          <w:tcPr>
            <w:tcW w:w="980" w:type="dxa"/>
            <w:noWrap/>
            <w:vAlign w:val="center"/>
          </w:tcPr>
          <w:p w14:paraId="1B41D0CD">
            <w:pPr>
              <w:pStyle w:val="18"/>
              <w:jc w:val="center"/>
              <w:rPr>
                <w:rFonts w:hint="eastAsia" w:ascii="宋体" w:hAnsi="宋体" w:eastAsia="宋体" w:cs="宋体"/>
                <w:color w:val="auto"/>
                <w:highlight w:val="none"/>
              </w:rPr>
            </w:pPr>
          </w:p>
        </w:tc>
        <w:tc>
          <w:tcPr>
            <w:tcW w:w="1497" w:type="dxa"/>
            <w:noWrap/>
            <w:vAlign w:val="center"/>
          </w:tcPr>
          <w:p w14:paraId="1CE99EDA">
            <w:pPr>
              <w:pStyle w:val="18"/>
              <w:jc w:val="center"/>
              <w:rPr>
                <w:rFonts w:hint="eastAsia" w:ascii="宋体" w:hAnsi="宋体" w:eastAsia="宋体" w:cs="宋体"/>
                <w:color w:val="auto"/>
                <w:highlight w:val="none"/>
              </w:rPr>
            </w:pPr>
          </w:p>
        </w:tc>
        <w:tc>
          <w:tcPr>
            <w:tcW w:w="1559" w:type="dxa"/>
            <w:noWrap/>
            <w:vAlign w:val="center"/>
          </w:tcPr>
          <w:p w14:paraId="497FD262">
            <w:pPr>
              <w:pStyle w:val="18"/>
              <w:jc w:val="center"/>
              <w:rPr>
                <w:rFonts w:hint="eastAsia" w:ascii="宋体" w:hAnsi="宋体" w:eastAsia="宋体" w:cs="宋体"/>
                <w:color w:val="auto"/>
                <w:highlight w:val="none"/>
              </w:rPr>
            </w:pPr>
          </w:p>
        </w:tc>
        <w:tc>
          <w:tcPr>
            <w:tcW w:w="709" w:type="dxa"/>
            <w:noWrap/>
            <w:vAlign w:val="center"/>
          </w:tcPr>
          <w:p w14:paraId="47B6D47D">
            <w:pPr>
              <w:pStyle w:val="18"/>
              <w:jc w:val="center"/>
              <w:rPr>
                <w:rFonts w:hint="eastAsia" w:ascii="宋体" w:hAnsi="宋体" w:eastAsia="宋体" w:cs="宋体"/>
                <w:color w:val="auto"/>
                <w:highlight w:val="none"/>
              </w:rPr>
            </w:pPr>
          </w:p>
        </w:tc>
      </w:tr>
      <w:tr w14:paraId="606B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1CA3C811">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31</w:t>
            </w:r>
          </w:p>
        </w:tc>
        <w:tc>
          <w:tcPr>
            <w:tcW w:w="4536" w:type="dxa"/>
            <w:noWrap/>
            <w:vAlign w:val="center"/>
          </w:tcPr>
          <w:p w14:paraId="523F07A5">
            <w:pPr>
              <w:pStyle w:val="18"/>
              <w:rPr>
                <w:rFonts w:hint="eastAsia" w:ascii="宋体" w:hAnsi="宋体" w:eastAsia="宋体" w:cs="宋体"/>
                <w:color w:val="auto"/>
                <w:highlight w:val="none"/>
              </w:rPr>
            </w:pPr>
            <w:r>
              <w:rPr>
                <w:rFonts w:hint="eastAsia" w:ascii="宋体" w:hAnsi="宋体" w:eastAsia="宋体" w:cs="宋体"/>
                <w:color w:val="auto"/>
                <w:highlight w:val="none"/>
              </w:rPr>
              <w:t>院内信息系统对接彬州市医共体信息平台开发</w:t>
            </w:r>
          </w:p>
        </w:tc>
        <w:tc>
          <w:tcPr>
            <w:tcW w:w="767" w:type="dxa"/>
            <w:vAlign w:val="center"/>
          </w:tcPr>
          <w:p w14:paraId="57152C1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24A594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59510071">
            <w:pPr>
              <w:pStyle w:val="18"/>
              <w:jc w:val="center"/>
              <w:rPr>
                <w:rFonts w:hint="eastAsia" w:ascii="宋体" w:hAnsi="宋体" w:eastAsia="宋体" w:cs="宋体"/>
                <w:color w:val="auto"/>
                <w:highlight w:val="none"/>
              </w:rPr>
            </w:pPr>
          </w:p>
        </w:tc>
        <w:tc>
          <w:tcPr>
            <w:tcW w:w="980" w:type="dxa"/>
            <w:noWrap/>
            <w:vAlign w:val="center"/>
          </w:tcPr>
          <w:p w14:paraId="138AD99A">
            <w:pPr>
              <w:pStyle w:val="18"/>
              <w:jc w:val="center"/>
              <w:rPr>
                <w:rFonts w:hint="eastAsia" w:ascii="宋体" w:hAnsi="宋体" w:eastAsia="宋体" w:cs="宋体"/>
                <w:color w:val="auto"/>
                <w:highlight w:val="none"/>
              </w:rPr>
            </w:pPr>
          </w:p>
        </w:tc>
        <w:tc>
          <w:tcPr>
            <w:tcW w:w="1497" w:type="dxa"/>
            <w:noWrap/>
            <w:vAlign w:val="center"/>
          </w:tcPr>
          <w:p w14:paraId="098ED983">
            <w:pPr>
              <w:pStyle w:val="18"/>
              <w:jc w:val="center"/>
              <w:rPr>
                <w:rFonts w:hint="eastAsia" w:ascii="宋体" w:hAnsi="宋体" w:eastAsia="宋体" w:cs="宋体"/>
                <w:color w:val="auto"/>
                <w:highlight w:val="none"/>
              </w:rPr>
            </w:pPr>
          </w:p>
        </w:tc>
        <w:tc>
          <w:tcPr>
            <w:tcW w:w="1559" w:type="dxa"/>
            <w:noWrap/>
            <w:vAlign w:val="center"/>
          </w:tcPr>
          <w:p w14:paraId="483B2545">
            <w:pPr>
              <w:pStyle w:val="18"/>
              <w:jc w:val="center"/>
              <w:rPr>
                <w:rFonts w:hint="eastAsia" w:ascii="宋体" w:hAnsi="宋体" w:eastAsia="宋体" w:cs="宋体"/>
                <w:color w:val="auto"/>
                <w:highlight w:val="none"/>
              </w:rPr>
            </w:pPr>
          </w:p>
        </w:tc>
        <w:tc>
          <w:tcPr>
            <w:tcW w:w="709" w:type="dxa"/>
            <w:noWrap/>
            <w:vAlign w:val="center"/>
          </w:tcPr>
          <w:p w14:paraId="2011A820">
            <w:pPr>
              <w:pStyle w:val="18"/>
              <w:jc w:val="center"/>
              <w:rPr>
                <w:rFonts w:hint="eastAsia" w:ascii="宋体" w:hAnsi="宋体" w:eastAsia="宋体" w:cs="宋体"/>
                <w:color w:val="auto"/>
                <w:highlight w:val="none"/>
              </w:rPr>
            </w:pPr>
          </w:p>
        </w:tc>
      </w:tr>
      <w:tr w14:paraId="17B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1D2148F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32</w:t>
            </w:r>
          </w:p>
        </w:tc>
        <w:tc>
          <w:tcPr>
            <w:tcW w:w="4536" w:type="dxa"/>
            <w:noWrap/>
            <w:vAlign w:val="center"/>
          </w:tcPr>
          <w:p w14:paraId="20F8A5F7">
            <w:pPr>
              <w:pStyle w:val="18"/>
              <w:rPr>
                <w:rFonts w:hint="eastAsia" w:ascii="宋体" w:hAnsi="宋体" w:eastAsia="宋体" w:cs="宋体"/>
                <w:color w:val="auto"/>
                <w:highlight w:val="none"/>
              </w:rPr>
            </w:pPr>
            <w:r>
              <w:rPr>
                <w:rFonts w:hint="eastAsia" w:ascii="宋体" w:hAnsi="宋体" w:eastAsia="宋体" w:cs="宋体"/>
                <w:color w:val="auto"/>
                <w:highlight w:val="none"/>
              </w:rPr>
              <w:t>电子病历（智慧医疗）四级评级指导服务</w:t>
            </w:r>
          </w:p>
        </w:tc>
        <w:tc>
          <w:tcPr>
            <w:tcW w:w="767" w:type="dxa"/>
            <w:vAlign w:val="center"/>
          </w:tcPr>
          <w:p w14:paraId="7E03A8B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D6CEA0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065AA4CD">
            <w:pPr>
              <w:pStyle w:val="18"/>
              <w:jc w:val="center"/>
              <w:rPr>
                <w:rFonts w:hint="eastAsia" w:ascii="宋体" w:hAnsi="宋体" w:eastAsia="宋体" w:cs="宋体"/>
                <w:color w:val="auto"/>
                <w:highlight w:val="none"/>
              </w:rPr>
            </w:pPr>
          </w:p>
        </w:tc>
        <w:tc>
          <w:tcPr>
            <w:tcW w:w="980" w:type="dxa"/>
            <w:noWrap/>
            <w:vAlign w:val="center"/>
          </w:tcPr>
          <w:p w14:paraId="5E70FE00">
            <w:pPr>
              <w:pStyle w:val="18"/>
              <w:jc w:val="center"/>
              <w:rPr>
                <w:rFonts w:hint="eastAsia" w:ascii="宋体" w:hAnsi="宋体" w:eastAsia="宋体" w:cs="宋体"/>
                <w:color w:val="auto"/>
                <w:highlight w:val="none"/>
              </w:rPr>
            </w:pPr>
          </w:p>
        </w:tc>
        <w:tc>
          <w:tcPr>
            <w:tcW w:w="1497" w:type="dxa"/>
            <w:noWrap/>
            <w:vAlign w:val="center"/>
          </w:tcPr>
          <w:p w14:paraId="6BAA2882">
            <w:pPr>
              <w:pStyle w:val="18"/>
              <w:jc w:val="center"/>
              <w:rPr>
                <w:rFonts w:hint="eastAsia" w:ascii="宋体" w:hAnsi="宋体" w:eastAsia="宋体" w:cs="宋体"/>
                <w:color w:val="auto"/>
                <w:highlight w:val="none"/>
              </w:rPr>
            </w:pPr>
          </w:p>
        </w:tc>
        <w:tc>
          <w:tcPr>
            <w:tcW w:w="1559" w:type="dxa"/>
            <w:noWrap/>
            <w:vAlign w:val="center"/>
          </w:tcPr>
          <w:p w14:paraId="79E0EE12">
            <w:pPr>
              <w:pStyle w:val="18"/>
              <w:jc w:val="center"/>
              <w:rPr>
                <w:rFonts w:hint="eastAsia" w:ascii="宋体" w:hAnsi="宋体" w:eastAsia="宋体" w:cs="宋体"/>
                <w:color w:val="auto"/>
                <w:highlight w:val="none"/>
              </w:rPr>
            </w:pPr>
          </w:p>
        </w:tc>
        <w:tc>
          <w:tcPr>
            <w:tcW w:w="709" w:type="dxa"/>
            <w:noWrap/>
            <w:vAlign w:val="center"/>
          </w:tcPr>
          <w:p w14:paraId="451A29A4">
            <w:pPr>
              <w:pStyle w:val="18"/>
              <w:jc w:val="center"/>
              <w:rPr>
                <w:rFonts w:hint="eastAsia" w:ascii="宋体" w:hAnsi="宋体" w:eastAsia="宋体" w:cs="宋体"/>
                <w:color w:val="auto"/>
                <w:highlight w:val="none"/>
              </w:rPr>
            </w:pPr>
          </w:p>
        </w:tc>
      </w:tr>
      <w:tr w14:paraId="606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42" w:type="dxa"/>
            <w:gridSpan w:val="9"/>
            <w:vAlign w:val="center"/>
          </w:tcPr>
          <w:p w14:paraId="2E2F1C6F">
            <w:pPr>
              <w:pStyle w:val="18"/>
              <w:jc w:val="left"/>
              <w:rPr>
                <w:rFonts w:hint="eastAsia" w:ascii="宋体" w:hAnsi="宋体" w:eastAsia="宋体" w:cs="宋体"/>
                <w:b/>
                <w:color w:val="auto"/>
                <w:highlight w:val="none"/>
              </w:rPr>
            </w:pPr>
            <w:r>
              <w:rPr>
                <w:rFonts w:hint="eastAsia" w:ascii="宋体" w:hAnsi="宋体" w:eastAsia="宋体" w:cs="宋体"/>
                <w:b/>
                <w:color w:val="auto"/>
                <w:highlight w:val="none"/>
              </w:rPr>
              <w:t>（二）基础设施硬件设备</w:t>
            </w:r>
          </w:p>
        </w:tc>
      </w:tr>
      <w:tr w14:paraId="1065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AAA6C7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w:t>
            </w:r>
          </w:p>
        </w:tc>
        <w:tc>
          <w:tcPr>
            <w:tcW w:w="4536" w:type="dxa"/>
            <w:vAlign w:val="center"/>
          </w:tcPr>
          <w:p w14:paraId="670F2F26">
            <w:pPr>
              <w:pStyle w:val="18"/>
              <w:rPr>
                <w:rFonts w:hint="eastAsia" w:ascii="宋体" w:hAnsi="宋体" w:eastAsia="宋体" w:cs="宋体"/>
                <w:color w:val="auto"/>
                <w:highlight w:val="none"/>
              </w:rPr>
            </w:pPr>
            <w:r>
              <w:rPr>
                <w:rFonts w:hint="eastAsia" w:ascii="宋体" w:hAnsi="宋体" w:eastAsia="宋体" w:cs="宋体"/>
                <w:color w:val="auto"/>
                <w:highlight w:val="none"/>
              </w:rPr>
              <w:t>核心交换机</w:t>
            </w:r>
          </w:p>
        </w:tc>
        <w:tc>
          <w:tcPr>
            <w:tcW w:w="767" w:type="dxa"/>
            <w:vAlign w:val="center"/>
          </w:tcPr>
          <w:p w14:paraId="4C90A78F">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6479023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1157266B">
            <w:pPr>
              <w:pStyle w:val="18"/>
              <w:jc w:val="center"/>
              <w:rPr>
                <w:rFonts w:hint="eastAsia" w:ascii="宋体" w:hAnsi="宋体" w:eastAsia="宋体" w:cs="宋体"/>
                <w:color w:val="auto"/>
                <w:highlight w:val="none"/>
              </w:rPr>
            </w:pPr>
          </w:p>
        </w:tc>
        <w:tc>
          <w:tcPr>
            <w:tcW w:w="980" w:type="dxa"/>
            <w:noWrap/>
            <w:vAlign w:val="center"/>
          </w:tcPr>
          <w:p w14:paraId="576984F3">
            <w:pPr>
              <w:pStyle w:val="18"/>
              <w:jc w:val="center"/>
              <w:rPr>
                <w:rFonts w:hint="eastAsia" w:ascii="宋体" w:hAnsi="宋体" w:eastAsia="宋体" w:cs="宋体"/>
                <w:color w:val="auto"/>
                <w:highlight w:val="none"/>
              </w:rPr>
            </w:pPr>
          </w:p>
        </w:tc>
        <w:tc>
          <w:tcPr>
            <w:tcW w:w="1497" w:type="dxa"/>
            <w:noWrap/>
            <w:vAlign w:val="center"/>
          </w:tcPr>
          <w:p w14:paraId="546F19A0">
            <w:pPr>
              <w:pStyle w:val="18"/>
              <w:jc w:val="center"/>
              <w:rPr>
                <w:rFonts w:hint="eastAsia" w:ascii="宋体" w:hAnsi="宋体" w:eastAsia="宋体" w:cs="宋体"/>
                <w:color w:val="auto"/>
                <w:highlight w:val="none"/>
              </w:rPr>
            </w:pPr>
          </w:p>
        </w:tc>
        <w:tc>
          <w:tcPr>
            <w:tcW w:w="1559" w:type="dxa"/>
            <w:noWrap/>
            <w:vAlign w:val="center"/>
          </w:tcPr>
          <w:p w14:paraId="4536E8BD">
            <w:pPr>
              <w:pStyle w:val="18"/>
              <w:jc w:val="center"/>
              <w:rPr>
                <w:rFonts w:hint="eastAsia" w:ascii="宋体" w:hAnsi="宋体" w:eastAsia="宋体" w:cs="宋体"/>
                <w:color w:val="auto"/>
                <w:highlight w:val="none"/>
              </w:rPr>
            </w:pPr>
          </w:p>
        </w:tc>
        <w:tc>
          <w:tcPr>
            <w:tcW w:w="709" w:type="dxa"/>
            <w:noWrap/>
            <w:vAlign w:val="center"/>
          </w:tcPr>
          <w:p w14:paraId="668B7DCA">
            <w:pPr>
              <w:pStyle w:val="18"/>
              <w:jc w:val="center"/>
              <w:rPr>
                <w:rFonts w:hint="eastAsia" w:ascii="宋体" w:hAnsi="宋体" w:eastAsia="宋体" w:cs="宋体"/>
                <w:color w:val="auto"/>
                <w:highlight w:val="none"/>
              </w:rPr>
            </w:pPr>
          </w:p>
        </w:tc>
      </w:tr>
      <w:tr w14:paraId="688F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3F0CFD1">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w:t>
            </w:r>
          </w:p>
        </w:tc>
        <w:tc>
          <w:tcPr>
            <w:tcW w:w="4536" w:type="dxa"/>
            <w:vAlign w:val="center"/>
          </w:tcPr>
          <w:p w14:paraId="68615B3E">
            <w:pPr>
              <w:pStyle w:val="18"/>
              <w:rPr>
                <w:rFonts w:hint="eastAsia" w:ascii="宋体" w:hAnsi="宋体" w:eastAsia="宋体" w:cs="宋体"/>
                <w:color w:val="auto"/>
                <w:highlight w:val="none"/>
              </w:rPr>
            </w:pPr>
            <w:r>
              <w:rPr>
                <w:rFonts w:hint="eastAsia" w:ascii="宋体" w:hAnsi="宋体" w:eastAsia="宋体" w:cs="宋体"/>
                <w:color w:val="auto"/>
                <w:highlight w:val="none"/>
              </w:rPr>
              <w:t>服务器接入交换机</w:t>
            </w:r>
          </w:p>
        </w:tc>
        <w:tc>
          <w:tcPr>
            <w:tcW w:w="767" w:type="dxa"/>
            <w:vAlign w:val="center"/>
          </w:tcPr>
          <w:p w14:paraId="79F63CF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768D37E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22A67C0D">
            <w:pPr>
              <w:pStyle w:val="18"/>
              <w:jc w:val="center"/>
              <w:rPr>
                <w:rFonts w:hint="eastAsia" w:ascii="宋体" w:hAnsi="宋体" w:eastAsia="宋体" w:cs="宋体"/>
                <w:color w:val="auto"/>
                <w:highlight w:val="none"/>
              </w:rPr>
            </w:pPr>
          </w:p>
        </w:tc>
        <w:tc>
          <w:tcPr>
            <w:tcW w:w="980" w:type="dxa"/>
            <w:noWrap/>
            <w:vAlign w:val="center"/>
          </w:tcPr>
          <w:p w14:paraId="67F1BE2F">
            <w:pPr>
              <w:pStyle w:val="18"/>
              <w:jc w:val="center"/>
              <w:rPr>
                <w:rFonts w:hint="eastAsia" w:ascii="宋体" w:hAnsi="宋体" w:eastAsia="宋体" w:cs="宋体"/>
                <w:color w:val="auto"/>
                <w:highlight w:val="none"/>
              </w:rPr>
            </w:pPr>
          </w:p>
        </w:tc>
        <w:tc>
          <w:tcPr>
            <w:tcW w:w="1497" w:type="dxa"/>
            <w:noWrap/>
            <w:vAlign w:val="center"/>
          </w:tcPr>
          <w:p w14:paraId="42384C6C">
            <w:pPr>
              <w:pStyle w:val="18"/>
              <w:jc w:val="center"/>
              <w:rPr>
                <w:rFonts w:hint="eastAsia" w:ascii="宋体" w:hAnsi="宋体" w:eastAsia="宋体" w:cs="宋体"/>
                <w:color w:val="auto"/>
                <w:highlight w:val="none"/>
              </w:rPr>
            </w:pPr>
          </w:p>
        </w:tc>
        <w:tc>
          <w:tcPr>
            <w:tcW w:w="1559" w:type="dxa"/>
            <w:noWrap/>
            <w:vAlign w:val="center"/>
          </w:tcPr>
          <w:p w14:paraId="04D8AF0B">
            <w:pPr>
              <w:pStyle w:val="18"/>
              <w:jc w:val="center"/>
              <w:rPr>
                <w:rFonts w:hint="eastAsia" w:ascii="宋体" w:hAnsi="宋体" w:eastAsia="宋体" w:cs="宋体"/>
                <w:color w:val="auto"/>
                <w:highlight w:val="none"/>
              </w:rPr>
            </w:pPr>
          </w:p>
        </w:tc>
        <w:tc>
          <w:tcPr>
            <w:tcW w:w="709" w:type="dxa"/>
            <w:noWrap/>
            <w:vAlign w:val="center"/>
          </w:tcPr>
          <w:p w14:paraId="07BFEA61">
            <w:pPr>
              <w:pStyle w:val="18"/>
              <w:jc w:val="center"/>
              <w:rPr>
                <w:rFonts w:hint="eastAsia" w:ascii="宋体" w:hAnsi="宋体" w:eastAsia="宋体" w:cs="宋体"/>
                <w:color w:val="auto"/>
                <w:highlight w:val="none"/>
              </w:rPr>
            </w:pPr>
          </w:p>
        </w:tc>
      </w:tr>
      <w:tr w14:paraId="2B4C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8ADF7F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w:t>
            </w:r>
          </w:p>
        </w:tc>
        <w:tc>
          <w:tcPr>
            <w:tcW w:w="4536" w:type="dxa"/>
            <w:vAlign w:val="center"/>
          </w:tcPr>
          <w:p w14:paraId="250D9C4A">
            <w:pPr>
              <w:pStyle w:val="18"/>
              <w:rPr>
                <w:rFonts w:hint="eastAsia" w:ascii="宋体" w:hAnsi="宋体" w:eastAsia="宋体" w:cs="宋体"/>
                <w:color w:val="auto"/>
                <w:highlight w:val="none"/>
              </w:rPr>
            </w:pPr>
            <w:r>
              <w:rPr>
                <w:rFonts w:hint="eastAsia" w:ascii="宋体" w:hAnsi="宋体" w:eastAsia="宋体" w:cs="宋体"/>
                <w:color w:val="auto"/>
                <w:highlight w:val="none"/>
              </w:rPr>
              <w:t>HIS/EMR数据库服务器</w:t>
            </w:r>
          </w:p>
        </w:tc>
        <w:tc>
          <w:tcPr>
            <w:tcW w:w="767" w:type="dxa"/>
            <w:vAlign w:val="center"/>
          </w:tcPr>
          <w:p w14:paraId="16317E2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03C16BA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2E4B6BBD">
            <w:pPr>
              <w:pStyle w:val="18"/>
              <w:jc w:val="center"/>
              <w:rPr>
                <w:rFonts w:hint="eastAsia" w:ascii="宋体" w:hAnsi="宋体" w:eastAsia="宋体" w:cs="宋体"/>
                <w:color w:val="auto"/>
                <w:highlight w:val="none"/>
              </w:rPr>
            </w:pPr>
          </w:p>
        </w:tc>
        <w:tc>
          <w:tcPr>
            <w:tcW w:w="980" w:type="dxa"/>
            <w:noWrap/>
            <w:vAlign w:val="center"/>
          </w:tcPr>
          <w:p w14:paraId="1E71007D">
            <w:pPr>
              <w:pStyle w:val="18"/>
              <w:jc w:val="center"/>
              <w:rPr>
                <w:rFonts w:hint="eastAsia" w:ascii="宋体" w:hAnsi="宋体" w:eastAsia="宋体" w:cs="宋体"/>
                <w:color w:val="auto"/>
                <w:highlight w:val="none"/>
              </w:rPr>
            </w:pPr>
          </w:p>
        </w:tc>
        <w:tc>
          <w:tcPr>
            <w:tcW w:w="1497" w:type="dxa"/>
            <w:noWrap/>
            <w:vAlign w:val="center"/>
          </w:tcPr>
          <w:p w14:paraId="74254672">
            <w:pPr>
              <w:pStyle w:val="18"/>
              <w:jc w:val="center"/>
              <w:rPr>
                <w:rFonts w:hint="eastAsia" w:ascii="宋体" w:hAnsi="宋体" w:eastAsia="宋体" w:cs="宋体"/>
                <w:color w:val="auto"/>
                <w:highlight w:val="none"/>
              </w:rPr>
            </w:pPr>
          </w:p>
        </w:tc>
        <w:tc>
          <w:tcPr>
            <w:tcW w:w="1559" w:type="dxa"/>
            <w:noWrap/>
            <w:vAlign w:val="center"/>
          </w:tcPr>
          <w:p w14:paraId="550C6771">
            <w:pPr>
              <w:pStyle w:val="18"/>
              <w:jc w:val="center"/>
              <w:rPr>
                <w:rFonts w:hint="eastAsia" w:ascii="宋体" w:hAnsi="宋体" w:eastAsia="宋体" w:cs="宋体"/>
                <w:color w:val="auto"/>
                <w:highlight w:val="none"/>
              </w:rPr>
            </w:pPr>
          </w:p>
        </w:tc>
        <w:tc>
          <w:tcPr>
            <w:tcW w:w="709" w:type="dxa"/>
            <w:noWrap/>
            <w:vAlign w:val="center"/>
          </w:tcPr>
          <w:p w14:paraId="57E946C5">
            <w:pPr>
              <w:pStyle w:val="18"/>
              <w:jc w:val="center"/>
              <w:rPr>
                <w:rFonts w:hint="eastAsia" w:ascii="宋体" w:hAnsi="宋体" w:eastAsia="宋体" w:cs="宋体"/>
                <w:color w:val="auto"/>
                <w:highlight w:val="none"/>
              </w:rPr>
            </w:pPr>
          </w:p>
        </w:tc>
      </w:tr>
      <w:tr w14:paraId="628E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FA9DB56">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4</w:t>
            </w:r>
          </w:p>
        </w:tc>
        <w:tc>
          <w:tcPr>
            <w:tcW w:w="4536" w:type="dxa"/>
            <w:vAlign w:val="center"/>
          </w:tcPr>
          <w:p w14:paraId="72505226">
            <w:pPr>
              <w:pStyle w:val="18"/>
              <w:rPr>
                <w:rFonts w:hint="eastAsia" w:ascii="宋体" w:hAnsi="宋体" w:eastAsia="宋体" w:cs="宋体"/>
                <w:color w:val="auto"/>
                <w:highlight w:val="none"/>
              </w:rPr>
            </w:pPr>
            <w:r>
              <w:rPr>
                <w:rFonts w:hint="eastAsia" w:ascii="宋体" w:hAnsi="宋体" w:eastAsia="宋体" w:cs="宋体"/>
                <w:color w:val="auto"/>
                <w:highlight w:val="none"/>
              </w:rPr>
              <w:t>核心存储</w:t>
            </w:r>
          </w:p>
        </w:tc>
        <w:tc>
          <w:tcPr>
            <w:tcW w:w="767" w:type="dxa"/>
            <w:vAlign w:val="center"/>
          </w:tcPr>
          <w:p w14:paraId="0E6C68D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6FFE4B9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09A6604F">
            <w:pPr>
              <w:pStyle w:val="18"/>
              <w:jc w:val="center"/>
              <w:rPr>
                <w:rFonts w:hint="eastAsia" w:ascii="宋体" w:hAnsi="宋体" w:eastAsia="宋体" w:cs="宋体"/>
                <w:color w:val="auto"/>
                <w:highlight w:val="none"/>
              </w:rPr>
            </w:pPr>
          </w:p>
        </w:tc>
        <w:tc>
          <w:tcPr>
            <w:tcW w:w="980" w:type="dxa"/>
            <w:noWrap/>
            <w:vAlign w:val="center"/>
          </w:tcPr>
          <w:p w14:paraId="4EC96DC5">
            <w:pPr>
              <w:pStyle w:val="18"/>
              <w:jc w:val="center"/>
              <w:rPr>
                <w:rFonts w:hint="eastAsia" w:ascii="宋体" w:hAnsi="宋体" w:eastAsia="宋体" w:cs="宋体"/>
                <w:color w:val="auto"/>
                <w:highlight w:val="none"/>
              </w:rPr>
            </w:pPr>
          </w:p>
        </w:tc>
        <w:tc>
          <w:tcPr>
            <w:tcW w:w="1497" w:type="dxa"/>
            <w:noWrap/>
            <w:vAlign w:val="center"/>
          </w:tcPr>
          <w:p w14:paraId="2B22FDF6">
            <w:pPr>
              <w:pStyle w:val="18"/>
              <w:jc w:val="center"/>
              <w:rPr>
                <w:rFonts w:hint="eastAsia" w:ascii="宋体" w:hAnsi="宋体" w:eastAsia="宋体" w:cs="宋体"/>
                <w:color w:val="auto"/>
                <w:highlight w:val="none"/>
              </w:rPr>
            </w:pPr>
          </w:p>
        </w:tc>
        <w:tc>
          <w:tcPr>
            <w:tcW w:w="1559" w:type="dxa"/>
            <w:noWrap/>
            <w:vAlign w:val="center"/>
          </w:tcPr>
          <w:p w14:paraId="78758035">
            <w:pPr>
              <w:pStyle w:val="18"/>
              <w:jc w:val="center"/>
              <w:rPr>
                <w:rFonts w:hint="eastAsia" w:ascii="宋体" w:hAnsi="宋体" w:eastAsia="宋体" w:cs="宋体"/>
                <w:color w:val="auto"/>
                <w:highlight w:val="none"/>
              </w:rPr>
            </w:pPr>
          </w:p>
        </w:tc>
        <w:tc>
          <w:tcPr>
            <w:tcW w:w="709" w:type="dxa"/>
            <w:noWrap/>
            <w:vAlign w:val="center"/>
          </w:tcPr>
          <w:p w14:paraId="4EC47A26">
            <w:pPr>
              <w:pStyle w:val="18"/>
              <w:jc w:val="center"/>
              <w:rPr>
                <w:rFonts w:hint="eastAsia" w:ascii="宋体" w:hAnsi="宋体" w:eastAsia="宋体" w:cs="宋体"/>
                <w:color w:val="auto"/>
                <w:highlight w:val="none"/>
              </w:rPr>
            </w:pPr>
          </w:p>
        </w:tc>
      </w:tr>
      <w:tr w14:paraId="2722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1D0ADDED">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5</w:t>
            </w:r>
          </w:p>
        </w:tc>
        <w:tc>
          <w:tcPr>
            <w:tcW w:w="4536" w:type="dxa"/>
            <w:vAlign w:val="center"/>
          </w:tcPr>
          <w:p w14:paraId="44F09C4C">
            <w:pPr>
              <w:pStyle w:val="18"/>
              <w:rPr>
                <w:rFonts w:hint="eastAsia" w:ascii="宋体" w:hAnsi="宋体" w:eastAsia="宋体" w:cs="宋体"/>
                <w:color w:val="auto"/>
                <w:highlight w:val="none"/>
              </w:rPr>
            </w:pPr>
            <w:r>
              <w:rPr>
                <w:rFonts w:hint="eastAsia" w:ascii="宋体" w:hAnsi="宋体" w:eastAsia="宋体" w:cs="宋体"/>
                <w:color w:val="auto"/>
                <w:highlight w:val="none"/>
              </w:rPr>
              <w:t>光纤交换机</w:t>
            </w:r>
          </w:p>
        </w:tc>
        <w:tc>
          <w:tcPr>
            <w:tcW w:w="767" w:type="dxa"/>
            <w:vAlign w:val="center"/>
          </w:tcPr>
          <w:p w14:paraId="5DA8E93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340812D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34C7817F">
            <w:pPr>
              <w:pStyle w:val="18"/>
              <w:jc w:val="center"/>
              <w:rPr>
                <w:rFonts w:hint="eastAsia" w:ascii="宋体" w:hAnsi="宋体" w:eastAsia="宋体" w:cs="宋体"/>
                <w:color w:val="auto"/>
                <w:highlight w:val="none"/>
              </w:rPr>
            </w:pPr>
          </w:p>
        </w:tc>
        <w:tc>
          <w:tcPr>
            <w:tcW w:w="980" w:type="dxa"/>
            <w:noWrap/>
            <w:vAlign w:val="center"/>
          </w:tcPr>
          <w:p w14:paraId="64BFB23C">
            <w:pPr>
              <w:pStyle w:val="18"/>
              <w:jc w:val="center"/>
              <w:rPr>
                <w:rFonts w:hint="eastAsia" w:ascii="宋体" w:hAnsi="宋体" w:eastAsia="宋体" w:cs="宋体"/>
                <w:color w:val="auto"/>
                <w:highlight w:val="none"/>
              </w:rPr>
            </w:pPr>
          </w:p>
        </w:tc>
        <w:tc>
          <w:tcPr>
            <w:tcW w:w="1497" w:type="dxa"/>
            <w:noWrap/>
            <w:vAlign w:val="center"/>
          </w:tcPr>
          <w:p w14:paraId="2423BFC1">
            <w:pPr>
              <w:pStyle w:val="18"/>
              <w:jc w:val="center"/>
              <w:rPr>
                <w:rFonts w:hint="eastAsia" w:ascii="宋体" w:hAnsi="宋体" w:eastAsia="宋体" w:cs="宋体"/>
                <w:color w:val="auto"/>
                <w:highlight w:val="none"/>
              </w:rPr>
            </w:pPr>
          </w:p>
        </w:tc>
        <w:tc>
          <w:tcPr>
            <w:tcW w:w="1559" w:type="dxa"/>
            <w:noWrap/>
            <w:vAlign w:val="center"/>
          </w:tcPr>
          <w:p w14:paraId="0A800404">
            <w:pPr>
              <w:pStyle w:val="18"/>
              <w:jc w:val="center"/>
              <w:rPr>
                <w:rFonts w:hint="eastAsia" w:ascii="宋体" w:hAnsi="宋体" w:eastAsia="宋体" w:cs="宋体"/>
                <w:color w:val="auto"/>
                <w:highlight w:val="none"/>
              </w:rPr>
            </w:pPr>
          </w:p>
        </w:tc>
        <w:tc>
          <w:tcPr>
            <w:tcW w:w="709" w:type="dxa"/>
            <w:noWrap/>
            <w:vAlign w:val="center"/>
          </w:tcPr>
          <w:p w14:paraId="6C26CA11">
            <w:pPr>
              <w:pStyle w:val="18"/>
              <w:jc w:val="center"/>
              <w:rPr>
                <w:rFonts w:hint="eastAsia" w:ascii="宋体" w:hAnsi="宋体" w:eastAsia="宋体" w:cs="宋体"/>
                <w:color w:val="auto"/>
                <w:highlight w:val="none"/>
              </w:rPr>
            </w:pPr>
          </w:p>
        </w:tc>
      </w:tr>
      <w:tr w14:paraId="2E32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1D23468">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6</w:t>
            </w:r>
          </w:p>
        </w:tc>
        <w:tc>
          <w:tcPr>
            <w:tcW w:w="4536" w:type="dxa"/>
            <w:vAlign w:val="center"/>
          </w:tcPr>
          <w:p w14:paraId="783128FC">
            <w:pPr>
              <w:pStyle w:val="18"/>
              <w:rPr>
                <w:rFonts w:hint="eastAsia" w:ascii="宋体" w:hAnsi="宋体" w:eastAsia="宋体" w:cs="宋体"/>
                <w:color w:val="auto"/>
                <w:highlight w:val="none"/>
              </w:rPr>
            </w:pPr>
            <w:r>
              <w:rPr>
                <w:rFonts w:hint="eastAsia" w:ascii="宋体" w:hAnsi="宋体" w:eastAsia="宋体" w:cs="宋体"/>
                <w:color w:val="auto"/>
                <w:highlight w:val="none"/>
              </w:rPr>
              <w:t>备份一体机</w:t>
            </w:r>
          </w:p>
        </w:tc>
        <w:tc>
          <w:tcPr>
            <w:tcW w:w="767" w:type="dxa"/>
            <w:vAlign w:val="center"/>
          </w:tcPr>
          <w:p w14:paraId="10FE360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36B52EF">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47594AA1">
            <w:pPr>
              <w:pStyle w:val="18"/>
              <w:jc w:val="center"/>
              <w:rPr>
                <w:rFonts w:hint="eastAsia" w:ascii="宋体" w:hAnsi="宋体" w:eastAsia="宋体" w:cs="宋体"/>
                <w:color w:val="auto"/>
                <w:highlight w:val="none"/>
              </w:rPr>
            </w:pPr>
          </w:p>
        </w:tc>
        <w:tc>
          <w:tcPr>
            <w:tcW w:w="980" w:type="dxa"/>
            <w:noWrap/>
            <w:vAlign w:val="center"/>
          </w:tcPr>
          <w:p w14:paraId="4790D7FB">
            <w:pPr>
              <w:pStyle w:val="18"/>
              <w:jc w:val="center"/>
              <w:rPr>
                <w:rFonts w:hint="eastAsia" w:ascii="宋体" w:hAnsi="宋体" w:eastAsia="宋体" w:cs="宋体"/>
                <w:color w:val="auto"/>
                <w:highlight w:val="none"/>
              </w:rPr>
            </w:pPr>
          </w:p>
        </w:tc>
        <w:tc>
          <w:tcPr>
            <w:tcW w:w="1497" w:type="dxa"/>
            <w:noWrap/>
            <w:vAlign w:val="center"/>
          </w:tcPr>
          <w:p w14:paraId="03F3912C">
            <w:pPr>
              <w:pStyle w:val="18"/>
              <w:jc w:val="center"/>
              <w:rPr>
                <w:rFonts w:hint="eastAsia" w:ascii="宋体" w:hAnsi="宋体" w:eastAsia="宋体" w:cs="宋体"/>
                <w:color w:val="auto"/>
                <w:highlight w:val="none"/>
              </w:rPr>
            </w:pPr>
          </w:p>
        </w:tc>
        <w:tc>
          <w:tcPr>
            <w:tcW w:w="1559" w:type="dxa"/>
            <w:noWrap/>
            <w:vAlign w:val="center"/>
          </w:tcPr>
          <w:p w14:paraId="3214FD7B">
            <w:pPr>
              <w:pStyle w:val="18"/>
              <w:jc w:val="center"/>
              <w:rPr>
                <w:rFonts w:hint="eastAsia" w:ascii="宋体" w:hAnsi="宋体" w:eastAsia="宋体" w:cs="宋体"/>
                <w:color w:val="auto"/>
                <w:highlight w:val="none"/>
              </w:rPr>
            </w:pPr>
          </w:p>
        </w:tc>
        <w:tc>
          <w:tcPr>
            <w:tcW w:w="709" w:type="dxa"/>
            <w:noWrap/>
            <w:vAlign w:val="center"/>
          </w:tcPr>
          <w:p w14:paraId="6A4D2FDF">
            <w:pPr>
              <w:pStyle w:val="18"/>
              <w:jc w:val="center"/>
              <w:rPr>
                <w:rFonts w:hint="eastAsia" w:ascii="宋体" w:hAnsi="宋体" w:eastAsia="宋体" w:cs="宋体"/>
                <w:color w:val="auto"/>
                <w:highlight w:val="none"/>
              </w:rPr>
            </w:pPr>
          </w:p>
        </w:tc>
      </w:tr>
      <w:tr w14:paraId="684A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60ED437D">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7</w:t>
            </w:r>
          </w:p>
        </w:tc>
        <w:tc>
          <w:tcPr>
            <w:tcW w:w="4536" w:type="dxa"/>
            <w:vAlign w:val="center"/>
          </w:tcPr>
          <w:p w14:paraId="0942FEC3">
            <w:pPr>
              <w:pStyle w:val="18"/>
              <w:rPr>
                <w:rFonts w:hint="eastAsia" w:ascii="宋体" w:hAnsi="宋体" w:eastAsia="宋体" w:cs="宋体"/>
                <w:color w:val="auto"/>
                <w:highlight w:val="none"/>
              </w:rPr>
            </w:pPr>
            <w:r>
              <w:rPr>
                <w:rFonts w:hint="eastAsia" w:ascii="宋体" w:hAnsi="宋体" w:eastAsia="宋体" w:cs="宋体"/>
                <w:color w:val="auto"/>
                <w:highlight w:val="none"/>
              </w:rPr>
              <w:t>企业级网络存储NAS</w:t>
            </w:r>
          </w:p>
        </w:tc>
        <w:tc>
          <w:tcPr>
            <w:tcW w:w="767" w:type="dxa"/>
            <w:vAlign w:val="center"/>
          </w:tcPr>
          <w:p w14:paraId="6A3424F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D7B761D">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346F3AEF">
            <w:pPr>
              <w:pStyle w:val="18"/>
              <w:jc w:val="center"/>
              <w:rPr>
                <w:rFonts w:hint="eastAsia" w:ascii="宋体" w:hAnsi="宋体" w:eastAsia="宋体" w:cs="宋体"/>
                <w:color w:val="auto"/>
                <w:highlight w:val="none"/>
              </w:rPr>
            </w:pPr>
          </w:p>
        </w:tc>
        <w:tc>
          <w:tcPr>
            <w:tcW w:w="980" w:type="dxa"/>
            <w:noWrap/>
            <w:vAlign w:val="center"/>
          </w:tcPr>
          <w:p w14:paraId="2A34BB2B">
            <w:pPr>
              <w:pStyle w:val="18"/>
              <w:jc w:val="center"/>
              <w:rPr>
                <w:rFonts w:hint="eastAsia" w:ascii="宋体" w:hAnsi="宋体" w:eastAsia="宋体" w:cs="宋体"/>
                <w:color w:val="auto"/>
                <w:highlight w:val="none"/>
              </w:rPr>
            </w:pPr>
          </w:p>
        </w:tc>
        <w:tc>
          <w:tcPr>
            <w:tcW w:w="1497" w:type="dxa"/>
            <w:noWrap/>
            <w:vAlign w:val="center"/>
          </w:tcPr>
          <w:p w14:paraId="5FDBEA89">
            <w:pPr>
              <w:pStyle w:val="18"/>
              <w:jc w:val="center"/>
              <w:rPr>
                <w:rFonts w:hint="eastAsia" w:ascii="宋体" w:hAnsi="宋体" w:eastAsia="宋体" w:cs="宋体"/>
                <w:color w:val="auto"/>
                <w:highlight w:val="none"/>
              </w:rPr>
            </w:pPr>
          </w:p>
        </w:tc>
        <w:tc>
          <w:tcPr>
            <w:tcW w:w="1559" w:type="dxa"/>
            <w:noWrap/>
            <w:vAlign w:val="center"/>
          </w:tcPr>
          <w:p w14:paraId="12C176DE">
            <w:pPr>
              <w:pStyle w:val="18"/>
              <w:jc w:val="center"/>
              <w:rPr>
                <w:rFonts w:hint="eastAsia" w:ascii="宋体" w:hAnsi="宋体" w:eastAsia="宋体" w:cs="宋体"/>
                <w:color w:val="auto"/>
                <w:highlight w:val="none"/>
              </w:rPr>
            </w:pPr>
          </w:p>
        </w:tc>
        <w:tc>
          <w:tcPr>
            <w:tcW w:w="709" w:type="dxa"/>
            <w:noWrap/>
            <w:vAlign w:val="center"/>
          </w:tcPr>
          <w:p w14:paraId="22F9E81C">
            <w:pPr>
              <w:pStyle w:val="18"/>
              <w:jc w:val="center"/>
              <w:rPr>
                <w:rFonts w:hint="eastAsia" w:ascii="宋体" w:hAnsi="宋体" w:eastAsia="宋体" w:cs="宋体"/>
                <w:color w:val="auto"/>
                <w:highlight w:val="none"/>
              </w:rPr>
            </w:pPr>
          </w:p>
        </w:tc>
      </w:tr>
      <w:tr w14:paraId="12BA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2F691C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8</w:t>
            </w:r>
          </w:p>
        </w:tc>
        <w:tc>
          <w:tcPr>
            <w:tcW w:w="4536" w:type="dxa"/>
            <w:vAlign w:val="center"/>
          </w:tcPr>
          <w:p w14:paraId="48429AE4">
            <w:pPr>
              <w:pStyle w:val="18"/>
              <w:rPr>
                <w:rFonts w:hint="eastAsia" w:ascii="宋体" w:hAnsi="宋体" w:eastAsia="宋体" w:cs="宋体"/>
                <w:color w:val="auto"/>
                <w:highlight w:val="none"/>
              </w:rPr>
            </w:pPr>
            <w:r>
              <w:rPr>
                <w:rFonts w:hint="eastAsia" w:ascii="宋体" w:hAnsi="宋体" w:eastAsia="宋体" w:cs="宋体"/>
                <w:color w:val="auto"/>
                <w:highlight w:val="none"/>
              </w:rPr>
              <w:t>操作系统1</w:t>
            </w:r>
          </w:p>
        </w:tc>
        <w:tc>
          <w:tcPr>
            <w:tcW w:w="767" w:type="dxa"/>
            <w:vAlign w:val="center"/>
          </w:tcPr>
          <w:p w14:paraId="3E3CE762">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4185812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39B98EBD">
            <w:pPr>
              <w:pStyle w:val="18"/>
              <w:jc w:val="center"/>
              <w:rPr>
                <w:rFonts w:hint="eastAsia" w:ascii="宋体" w:hAnsi="宋体" w:eastAsia="宋体" w:cs="宋体"/>
                <w:color w:val="auto"/>
                <w:highlight w:val="none"/>
              </w:rPr>
            </w:pPr>
          </w:p>
        </w:tc>
        <w:tc>
          <w:tcPr>
            <w:tcW w:w="980" w:type="dxa"/>
            <w:noWrap/>
            <w:vAlign w:val="center"/>
          </w:tcPr>
          <w:p w14:paraId="1EA5B803">
            <w:pPr>
              <w:pStyle w:val="18"/>
              <w:jc w:val="center"/>
              <w:rPr>
                <w:rFonts w:hint="eastAsia" w:ascii="宋体" w:hAnsi="宋体" w:eastAsia="宋体" w:cs="宋体"/>
                <w:color w:val="auto"/>
                <w:highlight w:val="none"/>
              </w:rPr>
            </w:pPr>
          </w:p>
        </w:tc>
        <w:tc>
          <w:tcPr>
            <w:tcW w:w="1497" w:type="dxa"/>
            <w:noWrap/>
            <w:vAlign w:val="center"/>
          </w:tcPr>
          <w:p w14:paraId="1590DAAF">
            <w:pPr>
              <w:pStyle w:val="18"/>
              <w:jc w:val="center"/>
              <w:rPr>
                <w:rFonts w:hint="eastAsia" w:ascii="宋体" w:hAnsi="宋体" w:eastAsia="宋体" w:cs="宋体"/>
                <w:color w:val="auto"/>
                <w:highlight w:val="none"/>
              </w:rPr>
            </w:pPr>
          </w:p>
        </w:tc>
        <w:tc>
          <w:tcPr>
            <w:tcW w:w="1559" w:type="dxa"/>
            <w:noWrap/>
            <w:vAlign w:val="center"/>
          </w:tcPr>
          <w:p w14:paraId="71222BB6">
            <w:pPr>
              <w:pStyle w:val="18"/>
              <w:jc w:val="center"/>
              <w:rPr>
                <w:rFonts w:hint="eastAsia" w:ascii="宋体" w:hAnsi="宋体" w:eastAsia="宋体" w:cs="宋体"/>
                <w:color w:val="auto"/>
                <w:highlight w:val="none"/>
              </w:rPr>
            </w:pPr>
          </w:p>
        </w:tc>
        <w:tc>
          <w:tcPr>
            <w:tcW w:w="709" w:type="dxa"/>
            <w:noWrap/>
            <w:vAlign w:val="center"/>
          </w:tcPr>
          <w:p w14:paraId="46F3D18A">
            <w:pPr>
              <w:pStyle w:val="18"/>
              <w:jc w:val="center"/>
              <w:rPr>
                <w:rFonts w:hint="eastAsia" w:ascii="宋体" w:hAnsi="宋体" w:eastAsia="宋体" w:cs="宋体"/>
                <w:color w:val="auto"/>
                <w:highlight w:val="none"/>
              </w:rPr>
            </w:pPr>
          </w:p>
        </w:tc>
      </w:tr>
      <w:tr w14:paraId="763A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1534D0F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9</w:t>
            </w:r>
          </w:p>
        </w:tc>
        <w:tc>
          <w:tcPr>
            <w:tcW w:w="4536" w:type="dxa"/>
            <w:vAlign w:val="center"/>
          </w:tcPr>
          <w:p w14:paraId="26427A90">
            <w:pPr>
              <w:pStyle w:val="18"/>
              <w:rPr>
                <w:rFonts w:hint="eastAsia" w:ascii="宋体" w:hAnsi="宋体" w:eastAsia="宋体" w:cs="宋体"/>
                <w:color w:val="auto"/>
                <w:highlight w:val="none"/>
              </w:rPr>
            </w:pPr>
            <w:r>
              <w:rPr>
                <w:rFonts w:hint="eastAsia" w:ascii="宋体" w:hAnsi="宋体" w:eastAsia="宋体" w:cs="宋体"/>
                <w:color w:val="auto"/>
                <w:highlight w:val="none"/>
              </w:rPr>
              <w:t>操作系统2</w:t>
            </w:r>
          </w:p>
        </w:tc>
        <w:tc>
          <w:tcPr>
            <w:tcW w:w="767" w:type="dxa"/>
            <w:vAlign w:val="center"/>
          </w:tcPr>
          <w:p w14:paraId="5F64BB6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367751FD">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1A912763">
            <w:pPr>
              <w:pStyle w:val="18"/>
              <w:jc w:val="center"/>
              <w:rPr>
                <w:rFonts w:hint="eastAsia" w:ascii="宋体" w:hAnsi="宋体" w:eastAsia="宋体" w:cs="宋体"/>
                <w:color w:val="auto"/>
                <w:highlight w:val="none"/>
              </w:rPr>
            </w:pPr>
          </w:p>
        </w:tc>
        <w:tc>
          <w:tcPr>
            <w:tcW w:w="980" w:type="dxa"/>
            <w:noWrap/>
            <w:vAlign w:val="center"/>
          </w:tcPr>
          <w:p w14:paraId="4DA0B796">
            <w:pPr>
              <w:pStyle w:val="18"/>
              <w:jc w:val="center"/>
              <w:rPr>
                <w:rFonts w:hint="eastAsia" w:ascii="宋体" w:hAnsi="宋体" w:eastAsia="宋体" w:cs="宋体"/>
                <w:color w:val="auto"/>
                <w:highlight w:val="none"/>
              </w:rPr>
            </w:pPr>
          </w:p>
        </w:tc>
        <w:tc>
          <w:tcPr>
            <w:tcW w:w="1497" w:type="dxa"/>
            <w:noWrap/>
            <w:vAlign w:val="center"/>
          </w:tcPr>
          <w:p w14:paraId="5B160601">
            <w:pPr>
              <w:pStyle w:val="18"/>
              <w:jc w:val="center"/>
              <w:rPr>
                <w:rFonts w:hint="eastAsia" w:ascii="宋体" w:hAnsi="宋体" w:eastAsia="宋体" w:cs="宋体"/>
                <w:color w:val="auto"/>
                <w:highlight w:val="none"/>
              </w:rPr>
            </w:pPr>
          </w:p>
        </w:tc>
        <w:tc>
          <w:tcPr>
            <w:tcW w:w="1559" w:type="dxa"/>
            <w:noWrap/>
            <w:vAlign w:val="center"/>
          </w:tcPr>
          <w:p w14:paraId="76F13252">
            <w:pPr>
              <w:pStyle w:val="18"/>
              <w:jc w:val="center"/>
              <w:rPr>
                <w:rFonts w:hint="eastAsia" w:ascii="宋体" w:hAnsi="宋体" w:eastAsia="宋体" w:cs="宋体"/>
                <w:color w:val="auto"/>
                <w:highlight w:val="none"/>
              </w:rPr>
            </w:pPr>
          </w:p>
        </w:tc>
        <w:tc>
          <w:tcPr>
            <w:tcW w:w="709" w:type="dxa"/>
            <w:noWrap/>
            <w:vAlign w:val="center"/>
          </w:tcPr>
          <w:p w14:paraId="1E246B74">
            <w:pPr>
              <w:pStyle w:val="18"/>
              <w:jc w:val="center"/>
              <w:rPr>
                <w:rFonts w:hint="eastAsia" w:ascii="宋体" w:hAnsi="宋体" w:eastAsia="宋体" w:cs="宋体"/>
                <w:color w:val="auto"/>
                <w:highlight w:val="none"/>
              </w:rPr>
            </w:pPr>
          </w:p>
        </w:tc>
      </w:tr>
      <w:tr w14:paraId="0D13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F3FDDA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10</w:t>
            </w:r>
          </w:p>
        </w:tc>
        <w:tc>
          <w:tcPr>
            <w:tcW w:w="4536" w:type="dxa"/>
            <w:vAlign w:val="center"/>
          </w:tcPr>
          <w:p w14:paraId="6026A256">
            <w:pPr>
              <w:pStyle w:val="18"/>
              <w:rPr>
                <w:rFonts w:hint="eastAsia" w:ascii="宋体" w:hAnsi="宋体" w:eastAsia="宋体" w:cs="宋体"/>
                <w:color w:val="auto"/>
                <w:highlight w:val="none"/>
              </w:rPr>
            </w:pPr>
            <w:r>
              <w:rPr>
                <w:rFonts w:hint="eastAsia" w:ascii="宋体" w:hAnsi="宋体" w:eastAsia="宋体" w:cs="宋体"/>
                <w:color w:val="auto"/>
                <w:highlight w:val="none"/>
              </w:rPr>
              <w:t>数据库系统服务</w:t>
            </w:r>
          </w:p>
        </w:tc>
        <w:tc>
          <w:tcPr>
            <w:tcW w:w="767" w:type="dxa"/>
            <w:vAlign w:val="center"/>
          </w:tcPr>
          <w:p w14:paraId="452E9B3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2804EB3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c>
          <w:tcPr>
            <w:tcW w:w="1341" w:type="dxa"/>
            <w:noWrap/>
            <w:vAlign w:val="center"/>
          </w:tcPr>
          <w:p w14:paraId="5FBF6D59">
            <w:pPr>
              <w:pStyle w:val="18"/>
              <w:jc w:val="center"/>
              <w:rPr>
                <w:rFonts w:hint="eastAsia" w:ascii="宋体" w:hAnsi="宋体" w:eastAsia="宋体" w:cs="宋体"/>
                <w:color w:val="auto"/>
                <w:highlight w:val="none"/>
              </w:rPr>
            </w:pPr>
          </w:p>
        </w:tc>
        <w:tc>
          <w:tcPr>
            <w:tcW w:w="980" w:type="dxa"/>
            <w:noWrap/>
            <w:vAlign w:val="center"/>
          </w:tcPr>
          <w:p w14:paraId="4DD2D229">
            <w:pPr>
              <w:pStyle w:val="18"/>
              <w:jc w:val="center"/>
              <w:rPr>
                <w:rFonts w:hint="eastAsia" w:ascii="宋体" w:hAnsi="宋体" w:eastAsia="宋体" w:cs="宋体"/>
                <w:color w:val="auto"/>
                <w:highlight w:val="none"/>
              </w:rPr>
            </w:pPr>
          </w:p>
        </w:tc>
        <w:tc>
          <w:tcPr>
            <w:tcW w:w="1497" w:type="dxa"/>
            <w:noWrap/>
            <w:vAlign w:val="center"/>
          </w:tcPr>
          <w:p w14:paraId="33AF9F4D">
            <w:pPr>
              <w:pStyle w:val="18"/>
              <w:jc w:val="center"/>
              <w:rPr>
                <w:rFonts w:hint="eastAsia" w:ascii="宋体" w:hAnsi="宋体" w:eastAsia="宋体" w:cs="宋体"/>
                <w:color w:val="auto"/>
                <w:highlight w:val="none"/>
              </w:rPr>
            </w:pPr>
          </w:p>
        </w:tc>
        <w:tc>
          <w:tcPr>
            <w:tcW w:w="1559" w:type="dxa"/>
            <w:noWrap/>
            <w:vAlign w:val="center"/>
          </w:tcPr>
          <w:p w14:paraId="737F21CA">
            <w:pPr>
              <w:pStyle w:val="18"/>
              <w:jc w:val="center"/>
              <w:rPr>
                <w:rFonts w:hint="eastAsia" w:ascii="宋体" w:hAnsi="宋体" w:eastAsia="宋体" w:cs="宋体"/>
                <w:color w:val="auto"/>
                <w:highlight w:val="none"/>
              </w:rPr>
            </w:pPr>
          </w:p>
        </w:tc>
        <w:tc>
          <w:tcPr>
            <w:tcW w:w="709" w:type="dxa"/>
            <w:noWrap/>
            <w:vAlign w:val="center"/>
          </w:tcPr>
          <w:p w14:paraId="6F4033E6">
            <w:pPr>
              <w:pStyle w:val="18"/>
              <w:jc w:val="center"/>
              <w:rPr>
                <w:rFonts w:hint="eastAsia" w:ascii="宋体" w:hAnsi="宋体" w:eastAsia="宋体" w:cs="宋体"/>
                <w:color w:val="auto"/>
                <w:highlight w:val="none"/>
              </w:rPr>
            </w:pPr>
          </w:p>
        </w:tc>
      </w:tr>
      <w:tr w14:paraId="4953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E756006">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11</w:t>
            </w:r>
          </w:p>
        </w:tc>
        <w:tc>
          <w:tcPr>
            <w:tcW w:w="4536" w:type="dxa"/>
            <w:vAlign w:val="center"/>
          </w:tcPr>
          <w:p w14:paraId="07F19A8D">
            <w:pPr>
              <w:pStyle w:val="18"/>
              <w:rPr>
                <w:rFonts w:hint="eastAsia" w:ascii="宋体" w:hAnsi="宋体" w:eastAsia="宋体" w:cs="宋体"/>
                <w:color w:val="auto"/>
                <w:highlight w:val="none"/>
              </w:rPr>
            </w:pPr>
            <w:r>
              <w:rPr>
                <w:rFonts w:hint="eastAsia" w:ascii="宋体" w:hAnsi="宋体" w:eastAsia="宋体" w:cs="宋体"/>
                <w:color w:val="auto"/>
                <w:highlight w:val="none"/>
              </w:rPr>
              <w:t>数据迁移</w:t>
            </w:r>
          </w:p>
        </w:tc>
        <w:tc>
          <w:tcPr>
            <w:tcW w:w="767" w:type="dxa"/>
            <w:vAlign w:val="center"/>
          </w:tcPr>
          <w:p w14:paraId="5AC2DAED">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055AFC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c>
          <w:tcPr>
            <w:tcW w:w="1341" w:type="dxa"/>
            <w:noWrap/>
            <w:vAlign w:val="center"/>
          </w:tcPr>
          <w:p w14:paraId="724564E5">
            <w:pPr>
              <w:pStyle w:val="18"/>
              <w:jc w:val="center"/>
              <w:rPr>
                <w:rFonts w:hint="eastAsia" w:ascii="宋体" w:hAnsi="宋体" w:eastAsia="宋体" w:cs="宋体"/>
                <w:color w:val="auto"/>
                <w:highlight w:val="none"/>
              </w:rPr>
            </w:pPr>
          </w:p>
        </w:tc>
        <w:tc>
          <w:tcPr>
            <w:tcW w:w="980" w:type="dxa"/>
            <w:noWrap/>
            <w:vAlign w:val="center"/>
          </w:tcPr>
          <w:p w14:paraId="6B3C8BD8">
            <w:pPr>
              <w:pStyle w:val="18"/>
              <w:jc w:val="center"/>
              <w:rPr>
                <w:rFonts w:hint="eastAsia" w:ascii="宋体" w:hAnsi="宋体" w:eastAsia="宋体" w:cs="宋体"/>
                <w:color w:val="auto"/>
                <w:highlight w:val="none"/>
              </w:rPr>
            </w:pPr>
          </w:p>
        </w:tc>
        <w:tc>
          <w:tcPr>
            <w:tcW w:w="1497" w:type="dxa"/>
            <w:noWrap/>
            <w:vAlign w:val="center"/>
          </w:tcPr>
          <w:p w14:paraId="4C45D4B4">
            <w:pPr>
              <w:pStyle w:val="18"/>
              <w:jc w:val="center"/>
              <w:rPr>
                <w:rFonts w:hint="eastAsia" w:ascii="宋体" w:hAnsi="宋体" w:eastAsia="宋体" w:cs="宋体"/>
                <w:color w:val="auto"/>
                <w:highlight w:val="none"/>
              </w:rPr>
            </w:pPr>
          </w:p>
        </w:tc>
        <w:tc>
          <w:tcPr>
            <w:tcW w:w="1559" w:type="dxa"/>
            <w:noWrap/>
            <w:vAlign w:val="center"/>
          </w:tcPr>
          <w:p w14:paraId="2DFDD44F">
            <w:pPr>
              <w:pStyle w:val="18"/>
              <w:jc w:val="center"/>
              <w:rPr>
                <w:rFonts w:hint="eastAsia" w:ascii="宋体" w:hAnsi="宋体" w:eastAsia="宋体" w:cs="宋体"/>
                <w:color w:val="auto"/>
                <w:highlight w:val="none"/>
              </w:rPr>
            </w:pPr>
          </w:p>
        </w:tc>
        <w:tc>
          <w:tcPr>
            <w:tcW w:w="709" w:type="dxa"/>
            <w:noWrap/>
            <w:vAlign w:val="center"/>
          </w:tcPr>
          <w:p w14:paraId="7DC6A925">
            <w:pPr>
              <w:pStyle w:val="18"/>
              <w:jc w:val="center"/>
              <w:rPr>
                <w:rFonts w:hint="eastAsia" w:ascii="宋体" w:hAnsi="宋体" w:eastAsia="宋体" w:cs="宋体"/>
                <w:color w:val="auto"/>
                <w:highlight w:val="none"/>
              </w:rPr>
            </w:pPr>
          </w:p>
        </w:tc>
      </w:tr>
      <w:tr w14:paraId="7651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5494FF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12</w:t>
            </w:r>
          </w:p>
        </w:tc>
        <w:tc>
          <w:tcPr>
            <w:tcW w:w="4536" w:type="dxa"/>
            <w:vAlign w:val="center"/>
          </w:tcPr>
          <w:p w14:paraId="588EB337">
            <w:pPr>
              <w:pStyle w:val="18"/>
              <w:rPr>
                <w:rFonts w:hint="eastAsia" w:ascii="宋体" w:hAnsi="宋体" w:eastAsia="宋体" w:cs="宋体"/>
                <w:color w:val="auto"/>
                <w:highlight w:val="none"/>
              </w:rPr>
            </w:pPr>
            <w:r>
              <w:rPr>
                <w:rFonts w:hint="eastAsia" w:ascii="宋体" w:hAnsi="宋体" w:eastAsia="宋体" w:cs="宋体"/>
                <w:color w:val="auto"/>
                <w:highlight w:val="none"/>
              </w:rPr>
              <w:t>集成服务</w:t>
            </w:r>
          </w:p>
        </w:tc>
        <w:tc>
          <w:tcPr>
            <w:tcW w:w="767" w:type="dxa"/>
            <w:vAlign w:val="center"/>
          </w:tcPr>
          <w:p w14:paraId="757E2D0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493576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c>
          <w:tcPr>
            <w:tcW w:w="1341" w:type="dxa"/>
            <w:noWrap/>
            <w:vAlign w:val="center"/>
          </w:tcPr>
          <w:p w14:paraId="238C60FC">
            <w:pPr>
              <w:pStyle w:val="18"/>
              <w:jc w:val="center"/>
              <w:rPr>
                <w:rFonts w:hint="eastAsia" w:ascii="宋体" w:hAnsi="宋体" w:eastAsia="宋体" w:cs="宋体"/>
                <w:color w:val="auto"/>
                <w:highlight w:val="none"/>
              </w:rPr>
            </w:pPr>
          </w:p>
        </w:tc>
        <w:tc>
          <w:tcPr>
            <w:tcW w:w="980" w:type="dxa"/>
            <w:noWrap/>
            <w:vAlign w:val="center"/>
          </w:tcPr>
          <w:p w14:paraId="5B716C3A">
            <w:pPr>
              <w:pStyle w:val="18"/>
              <w:jc w:val="center"/>
              <w:rPr>
                <w:rFonts w:hint="eastAsia" w:ascii="宋体" w:hAnsi="宋体" w:eastAsia="宋体" w:cs="宋体"/>
                <w:color w:val="auto"/>
                <w:highlight w:val="none"/>
              </w:rPr>
            </w:pPr>
          </w:p>
        </w:tc>
        <w:tc>
          <w:tcPr>
            <w:tcW w:w="1497" w:type="dxa"/>
            <w:noWrap/>
            <w:vAlign w:val="center"/>
          </w:tcPr>
          <w:p w14:paraId="42625DA5">
            <w:pPr>
              <w:pStyle w:val="18"/>
              <w:jc w:val="center"/>
              <w:rPr>
                <w:rFonts w:hint="eastAsia" w:ascii="宋体" w:hAnsi="宋体" w:eastAsia="宋体" w:cs="宋体"/>
                <w:color w:val="auto"/>
                <w:highlight w:val="none"/>
              </w:rPr>
            </w:pPr>
          </w:p>
        </w:tc>
        <w:tc>
          <w:tcPr>
            <w:tcW w:w="1559" w:type="dxa"/>
            <w:noWrap/>
            <w:vAlign w:val="center"/>
          </w:tcPr>
          <w:p w14:paraId="52AF4819">
            <w:pPr>
              <w:pStyle w:val="18"/>
              <w:jc w:val="center"/>
              <w:rPr>
                <w:rFonts w:hint="eastAsia" w:ascii="宋体" w:hAnsi="宋体" w:eastAsia="宋体" w:cs="宋体"/>
                <w:color w:val="auto"/>
                <w:highlight w:val="none"/>
              </w:rPr>
            </w:pPr>
          </w:p>
        </w:tc>
        <w:tc>
          <w:tcPr>
            <w:tcW w:w="709" w:type="dxa"/>
            <w:noWrap/>
            <w:vAlign w:val="center"/>
          </w:tcPr>
          <w:p w14:paraId="296DDA06">
            <w:pPr>
              <w:pStyle w:val="18"/>
              <w:jc w:val="center"/>
              <w:rPr>
                <w:rFonts w:hint="eastAsia" w:ascii="宋体" w:hAnsi="宋体" w:eastAsia="宋体" w:cs="宋体"/>
                <w:color w:val="auto"/>
                <w:highlight w:val="none"/>
              </w:rPr>
            </w:pPr>
          </w:p>
        </w:tc>
      </w:tr>
      <w:tr w14:paraId="5F23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42" w:type="dxa"/>
            <w:gridSpan w:val="9"/>
            <w:vAlign w:val="center"/>
          </w:tcPr>
          <w:p w14:paraId="35823476">
            <w:pPr>
              <w:pStyle w:val="18"/>
              <w:jc w:val="left"/>
              <w:rPr>
                <w:rFonts w:hint="eastAsia" w:ascii="宋体" w:hAnsi="宋体" w:eastAsia="宋体" w:cs="宋体"/>
                <w:b/>
                <w:color w:val="auto"/>
                <w:highlight w:val="none"/>
              </w:rPr>
            </w:pPr>
            <w:r>
              <w:rPr>
                <w:rFonts w:hint="eastAsia" w:ascii="宋体" w:hAnsi="宋体" w:eastAsia="宋体" w:cs="宋体"/>
                <w:b/>
                <w:color w:val="auto"/>
                <w:highlight w:val="none"/>
              </w:rPr>
              <w:t>（三）护理终端设施硬件设备</w:t>
            </w:r>
          </w:p>
        </w:tc>
      </w:tr>
      <w:tr w14:paraId="56BC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EA7D38B">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w:t>
            </w:r>
          </w:p>
        </w:tc>
        <w:tc>
          <w:tcPr>
            <w:tcW w:w="4536" w:type="dxa"/>
            <w:vAlign w:val="center"/>
          </w:tcPr>
          <w:p w14:paraId="476B5423">
            <w:pPr>
              <w:pStyle w:val="18"/>
              <w:rPr>
                <w:rFonts w:hint="eastAsia" w:ascii="宋体" w:hAnsi="宋体" w:eastAsia="宋体" w:cs="宋体"/>
                <w:color w:val="auto"/>
                <w:highlight w:val="none"/>
              </w:rPr>
            </w:pPr>
            <w:r>
              <w:rPr>
                <w:rFonts w:hint="eastAsia" w:ascii="宋体" w:hAnsi="宋体" w:eastAsia="宋体" w:cs="宋体"/>
                <w:color w:val="auto"/>
                <w:highlight w:val="none"/>
              </w:rPr>
              <w:t>移动护理PDA</w:t>
            </w:r>
          </w:p>
        </w:tc>
        <w:tc>
          <w:tcPr>
            <w:tcW w:w="767" w:type="dxa"/>
            <w:vAlign w:val="center"/>
          </w:tcPr>
          <w:p w14:paraId="7B8797FB">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70</w:t>
            </w:r>
          </w:p>
        </w:tc>
        <w:tc>
          <w:tcPr>
            <w:tcW w:w="852" w:type="dxa"/>
            <w:vAlign w:val="center"/>
          </w:tcPr>
          <w:p w14:paraId="1BDE6D2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3F0E131C">
            <w:pPr>
              <w:pStyle w:val="18"/>
              <w:jc w:val="center"/>
              <w:rPr>
                <w:rFonts w:hint="eastAsia" w:ascii="宋体" w:hAnsi="宋体" w:eastAsia="宋体" w:cs="宋体"/>
                <w:color w:val="auto"/>
                <w:highlight w:val="none"/>
              </w:rPr>
            </w:pPr>
          </w:p>
        </w:tc>
        <w:tc>
          <w:tcPr>
            <w:tcW w:w="980" w:type="dxa"/>
            <w:noWrap/>
            <w:vAlign w:val="center"/>
          </w:tcPr>
          <w:p w14:paraId="19FFFDE1">
            <w:pPr>
              <w:pStyle w:val="18"/>
              <w:jc w:val="center"/>
              <w:rPr>
                <w:rFonts w:hint="eastAsia" w:ascii="宋体" w:hAnsi="宋体" w:eastAsia="宋体" w:cs="宋体"/>
                <w:color w:val="auto"/>
                <w:highlight w:val="none"/>
              </w:rPr>
            </w:pPr>
          </w:p>
        </w:tc>
        <w:tc>
          <w:tcPr>
            <w:tcW w:w="1497" w:type="dxa"/>
            <w:noWrap/>
            <w:vAlign w:val="center"/>
          </w:tcPr>
          <w:p w14:paraId="0A528B61">
            <w:pPr>
              <w:pStyle w:val="18"/>
              <w:jc w:val="center"/>
              <w:rPr>
                <w:rFonts w:hint="eastAsia" w:ascii="宋体" w:hAnsi="宋体" w:eastAsia="宋体" w:cs="宋体"/>
                <w:color w:val="auto"/>
                <w:highlight w:val="none"/>
              </w:rPr>
            </w:pPr>
          </w:p>
        </w:tc>
        <w:tc>
          <w:tcPr>
            <w:tcW w:w="1559" w:type="dxa"/>
            <w:noWrap/>
            <w:vAlign w:val="center"/>
          </w:tcPr>
          <w:p w14:paraId="1BB9C010">
            <w:pPr>
              <w:pStyle w:val="18"/>
              <w:jc w:val="center"/>
              <w:rPr>
                <w:rFonts w:hint="eastAsia" w:ascii="宋体" w:hAnsi="宋体" w:eastAsia="宋体" w:cs="宋体"/>
                <w:color w:val="auto"/>
                <w:highlight w:val="none"/>
              </w:rPr>
            </w:pPr>
          </w:p>
        </w:tc>
        <w:tc>
          <w:tcPr>
            <w:tcW w:w="709" w:type="dxa"/>
            <w:noWrap/>
            <w:vAlign w:val="center"/>
          </w:tcPr>
          <w:p w14:paraId="4009E5A7">
            <w:pPr>
              <w:pStyle w:val="18"/>
              <w:jc w:val="center"/>
              <w:rPr>
                <w:rFonts w:hint="eastAsia" w:ascii="宋体" w:hAnsi="宋体" w:eastAsia="宋体" w:cs="宋体"/>
                <w:color w:val="auto"/>
                <w:highlight w:val="none"/>
              </w:rPr>
            </w:pPr>
          </w:p>
        </w:tc>
      </w:tr>
      <w:tr w14:paraId="39EF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tcBorders>
              <w:bottom w:val="single" w:color="auto" w:sz="4" w:space="0"/>
            </w:tcBorders>
            <w:vAlign w:val="center"/>
          </w:tcPr>
          <w:p w14:paraId="069409F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w:t>
            </w:r>
          </w:p>
        </w:tc>
        <w:tc>
          <w:tcPr>
            <w:tcW w:w="4536" w:type="dxa"/>
            <w:vAlign w:val="center"/>
          </w:tcPr>
          <w:p w14:paraId="784DFB80">
            <w:pPr>
              <w:pStyle w:val="18"/>
              <w:rPr>
                <w:rFonts w:hint="eastAsia" w:ascii="宋体" w:hAnsi="宋体" w:eastAsia="宋体" w:cs="宋体"/>
                <w:color w:val="auto"/>
                <w:highlight w:val="none"/>
              </w:rPr>
            </w:pPr>
            <w:r>
              <w:rPr>
                <w:rFonts w:hint="eastAsia" w:ascii="宋体" w:hAnsi="宋体" w:eastAsia="宋体" w:cs="宋体"/>
                <w:color w:val="auto"/>
                <w:highlight w:val="none"/>
              </w:rPr>
              <w:t>护理大屏</w:t>
            </w:r>
          </w:p>
        </w:tc>
        <w:tc>
          <w:tcPr>
            <w:tcW w:w="767" w:type="dxa"/>
            <w:vAlign w:val="center"/>
          </w:tcPr>
          <w:p w14:paraId="62B649FF">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852" w:type="dxa"/>
            <w:vAlign w:val="center"/>
          </w:tcPr>
          <w:p w14:paraId="0641961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1D2739F6">
            <w:pPr>
              <w:pStyle w:val="18"/>
              <w:jc w:val="center"/>
              <w:rPr>
                <w:rFonts w:hint="eastAsia" w:ascii="宋体" w:hAnsi="宋体" w:eastAsia="宋体" w:cs="宋体"/>
                <w:color w:val="auto"/>
                <w:highlight w:val="none"/>
              </w:rPr>
            </w:pPr>
          </w:p>
        </w:tc>
        <w:tc>
          <w:tcPr>
            <w:tcW w:w="980" w:type="dxa"/>
            <w:noWrap/>
            <w:vAlign w:val="center"/>
          </w:tcPr>
          <w:p w14:paraId="04E74ACB">
            <w:pPr>
              <w:pStyle w:val="18"/>
              <w:jc w:val="center"/>
              <w:rPr>
                <w:rFonts w:hint="eastAsia" w:ascii="宋体" w:hAnsi="宋体" w:eastAsia="宋体" w:cs="宋体"/>
                <w:color w:val="auto"/>
                <w:highlight w:val="none"/>
              </w:rPr>
            </w:pPr>
          </w:p>
        </w:tc>
        <w:tc>
          <w:tcPr>
            <w:tcW w:w="1497" w:type="dxa"/>
            <w:noWrap/>
            <w:vAlign w:val="center"/>
          </w:tcPr>
          <w:p w14:paraId="304A2841">
            <w:pPr>
              <w:pStyle w:val="18"/>
              <w:jc w:val="center"/>
              <w:rPr>
                <w:rFonts w:hint="eastAsia" w:ascii="宋体" w:hAnsi="宋体" w:eastAsia="宋体" w:cs="宋体"/>
                <w:color w:val="auto"/>
                <w:highlight w:val="none"/>
              </w:rPr>
            </w:pPr>
          </w:p>
        </w:tc>
        <w:tc>
          <w:tcPr>
            <w:tcW w:w="1559" w:type="dxa"/>
            <w:noWrap/>
            <w:vAlign w:val="center"/>
          </w:tcPr>
          <w:p w14:paraId="27F70634">
            <w:pPr>
              <w:pStyle w:val="18"/>
              <w:jc w:val="center"/>
              <w:rPr>
                <w:rFonts w:hint="eastAsia" w:ascii="宋体" w:hAnsi="宋体" w:eastAsia="宋体" w:cs="宋体"/>
                <w:color w:val="auto"/>
                <w:highlight w:val="none"/>
              </w:rPr>
            </w:pPr>
          </w:p>
        </w:tc>
        <w:tc>
          <w:tcPr>
            <w:tcW w:w="709" w:type="dxa"/>
            <w:noWrap/>
            <w:vAlign w:val="center"/>
          </w:tcPr>
          <w:p w14:paraId="4AB5C265">
            <w:pPr>
              <w:pStyle w:val="18"/>
              <w:jc w:val="center"/>
              <w:rPr>
                <w:rFonts w:hint="eastAsia" w:ascii="宋体" w:hAnsi="宋体" w:eastAsia="宋体" w:cs="宋体"/>
                <w:color w:val="auto"/>
                <w:highlight w:val="none"/>
              </w:rPr>
            </w:pPr>
          </w:p>
        </w:tc>
      </w:tr>
      <w:tr w14:paraId="4696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42" w:type="dxa"/>
            <w:gridSpan w:val="9"/>
            <w:tcBorders>
              <w:top w:val="single" w:color="auto" w:sz="4" w:space="0"/>
            </w:tcBorders>
            <w:vAlign w:val="center"/>
          </w:tcPr>
          <w:p w14:paraId="3D60D349">
            <w:pPr>
              <w:pStyle w:val="18"/>
              <w:jc w:val="left"/>
              <w:rPr>
                <w:rFonts w:hint="eastAsia" w:ascii="宋体" w:hAnsi="宋体" w:eastAsia="宋体" w:cs="宋体"/>
                <w:b/>
                <w:color w:val="auto"/>
                <w:highlight w:val="none"/>
              </w:rPr>
            </w:pPr>
            <w:r>
              <w:rPr>
                <w:rFonts w:hint="eastAsia" w:ascii="宋体" w:hAnsi="宋体" w:eastAsia="宋体" w:cs="宋体"/>
                <w:b/>
                <w:color w:val="auto"/>
                <w:highlight w:val="none"/>
              </w:rPr>
              <w:t>（四）基础终端设施硬件设备</w:t>
            </w:r>
          </w:p>
        </w:tc>
      </w:tr>
      <w:tr w14:paraId="6CAD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tcBorders>
              <w:top w:val="single" w:color="auto" w:sz="4" w:space="0"/>
            </w:tcBorders>
            <w:vAlign w:val="center"/>
          </w:tcPr>
          <w:p w14:paraId="7405FFDD">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w:t>
            </w:r>
          </w:p>
        </w:tc>
        <w:tc>
          <w:tcPr>
            <w:tcW w:w="12241" w:type="dxa"/>
            <w:gridSpan w:val="8"/>
            <w:vAlign w:val="center"/>
          </w:tcPr>
          <w:p w14:paraId="1D234225">
            <w:pPr>
              <w:pStyle w:val="18"/>
              <w:rPr>
                <w:rFonts w:hint="eastAsia" w:ascii="宋体" w:hAnsi="宋体" w:eastAsia="宋体" w:cs="宋体"/>
                <w:color w:val="auto"/>
                <w:highlight w:val="none"/>
              </w:rPr>
            </w:pPr>
            <w:r>
              <w:rPr>
                <w:rFonts w:hint="eastAsia" w:ascii="宋体" w:hAnsi="宋体" w:eastAsia="宋体" w:cs="宋体"/>
                <w:color w:val="auto"/>
                <w:highlight w:val="none"/>
              </w:rPr>
              <w:t>医技护工作站（PC）</w:t>
            </w:r>
          </w:p>
        </w:tc>
      </w:tr>
      <w:tr w14:paraId="71AF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tcBorders>
              <w:top w:val="single" w:color="auto" w:sz="4" w:space="0"/>
            </w:tcBorders>
            <w:vAlign w:val="center"/>
          </w:tcPr>
          <w:p w14:paraId="6A4F5466">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1.1</w:t>
            </w:r>
          </w:p>
        </w:tc>
        <w:tc>
          <w:tcPr>
            <w:tcW w:w="4536" w:type="dxa"/>
            <w:vAlign w:val="center"/>
          </w:tcPr>
          <w:p w14:paraId="0065B44F">
            <w:pPr>
              <w:pStyle w:val="18"/>
              <w:rPr>
                <w:rFonts w:hint="eastAsia" w:ascii="宋体" w:hAnsi="宋体" w:eastAsia="宋体" w:cs="宋体"/>
                <w:color w:val="auto"/>
                <w:highlight w:val="none"/>
              </w:rPr>
            </w:pPr>
            <w:r>
              <w:rPr>
                <w:rFonts w:hint="eastAsia" w:ascii="宋体" w:hAnsi="宋体" w:eastAsia="宋体" w:cs="宋体"/>
                <w:color w:val="auto"/>
                <w:highlight w:val="none"/>
              </w:rPr>
              <w:t>云桌面服务器</w:t>
            </w:r>
          </w:p>
        </w:tc>
        <w:tc>
          <w:tcPr>
            <w:tcW w:w="767" w:type="dxa"/>
            <w:vAlign w:val="center"/>
          </w:tcPr>
          <w:p w14:paraId="58C2F9B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4AF2B21B">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5BA788C1">
            <w:pPr>
              <w:pStyle w:val="18"/>
              <w:jc w:val="center"/>
              <w:rPr>
                <w:rFonts w:hint="eastAsia" w:ascii="宋体" w:hAnsi="宋体" w:eastAsia="宋体" w:cs="宋体"/>
                <w:color w:val="auto"/>
                <w:highlight w:val="none"/>
              </w:rPr>
            </w:pPr>
          </w:p>
        </w:tc>
        <w:tc>
          <w:tcPr>
            <w:tcW w:w="980" w:type="dxa"/>
            <w:noWrap/>
            <w:vAlign w:val="center"/>
          </w:tcPr>
          <w:p w14:paraId="453630E0">
            <w:pPr>
              <w:pStyle w:val="18"/>
              <w:jc w:val="center"/>
              <w:rPr>
                <w:rFonts w:hint="eastAsia" w:ascii="宋体" w:hAnsi="宋体" w:eastAsia="宋体" w:cs="宋体"/>
                <w:color w:val="auto"/>
                <w:highlight w:val="none"/>
              </w:rPr>
            </w:pPr>
          </w:p>
        </w:tc>
        <w:tc>
          <w:tcPr>
            <w:tcW w:w="1497" w:type="dxa"/>
            <w:noWrap/>
            <w:vAlign w:val="center"/>
          </w:tcPr>
          <w:p w14:paraId="0711E731">
            <w:pPr>
              <w:pStyle w:val="18"/>
              <w:jc w:val="center"/>
              <w:rPr>
                <w:rFonts w:hint="eastAsia" w:ascii="宋体" w:hAnsi="宋体" w:eastAsia="宋体" w:cs="宋体"/>
                <w:color w:val="auto"/>
                <w:highlight w:val="none"/>
              </w:rPr>
            </w:pPr>
          </w:p>
        </w:tc>
        <w:tc>
          <w:tcPr>
            <w:tcW w:w="1559" w:type="dxa"/>
            <w:noWrap/>
            <w:vAlign w:val="center"/>
          </w:tcPr>
          <w:p w14:paraId="54DEF946">
            <w:pPr>
              <w:pStyle w:val="18"/>
              <w:jc w:val="center"/>
              <w:rPr>
                <w:rFonts w:hint="eastAsia" w:ascii="宋体" w:hAnsi="宋体" w:eastAsia="宋体" w:cs="宋体"/>
                <w:color w:val="auto"/>
                <w:highlight w:val="none"/>
              </w:rPr>
            </w:pPr>
          </w:p>
        </w:tc>
        <w:tc>
          <w:tcPr>
            <w:tcW w:w="709" w:type="dxa"/>
            <w:noWrap/>
            <w:vAlign w:val="center"/>
          </w:tcPr>
          <w:p w14:paraId="090DCE4C">
            <w:pPr>
              <w:pStyle w:val="18"/>
              <w:jc w:val="center"/>
              <w:rPr>
                <w:rFonts w:hint="eastAsia" w:ascii="宋体" w:hAnsi="宋体" w:eastAsia="宋体" w:cs="宋体"/>
                <w:color w:val="auto"/>
                <w:highlight w:val="none"/>
              </w:rPr>
            </w:pPr>
          </w:p>
        </w:tc>
      </w:tr>
      <w:tr w14:paraId="50DA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3610B1A">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1.2</w:t>
            </w:r>
          </w:p>
        </w:tc>
        <w:tc>
          <w:tcPr>
            <w:tcW w:w="4536" w:type="dxa"/>
            <w:vAlign w:val="center"/>
          </w:tcPr>
          <w:p w14:paraId="3CF3966C">
            <w:pPr>
              <w:pStyle w:val="18"/>
              <w:rPr>
                <w:rFonts w:hint="eastAsia" w:ascii="宋体" w:hAnsi="宋体" w:eastAsia="宋体" w:cs="宋体"/>
                <w:color w:val="auto"/>
                <w:highlight w:val="none"/>
              </w:rPr>
            </w:pPr>
            <w:r>
              <w:rPr>
                <w:rFonts w:hint="eastAsia" w:ascii="宋体" w:hAnsi="宋体" w:eastAsia="宋体" w:cs="宋体"/>
                <w:color w:val="auto"/>
                <w:highlight w:val="none"/>
              </w:rPr>
              <w:t>云终端</w:t>
            </w:r>
          </w:p>
        </w:tc>
        <w:tc>
          <w:tcPr>
            <w:tcW w:w="767" w:type="dxa"/>
            <w:vAlign w:val="center"/>
          </w:tcPr>
          <w:p w14:paraId="67DE8CF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852" w:type="dxa"/>
            <w:vAlign w:val="center"/>
          </w:tcPr>
          <w:p w14:paraId="5FD3CB5B">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5B2D4F27">
            <w:pPr>
              <w:pStyle w:val="18"/>
              <w:jc w:val="center"/>
              <w:rPr>
                <w:rFonts w:hint="eastAsia" w:ascii="宋体" w:hAnsi="宋体" w:eastAsia="宋体" w:cs="宋体"/>
                <w:color w:val="auto"/>
                <w:highlight w:val="none"/>
              </w:rPr>
            </w:pPr>
          </w:p>
        </w:tc>
        <w:tc>
          <w:tcPr>
            <w:tcW w:w="980" w:type="dxa"/>
            <w:noWrap/>
            <w:vAlign w:val="center"/>
          </w:tcPr>
          <w:p w14:paraId="744276FD">
            <w:pPr>
              <w:pStyle w:val="18"/>
              <w:jc w:val="center"/>
              <w:rPr>
                <w:rFonts w:hint="eastAsia" w:ascii="宋体" w:hAnsi="宋体" w:eastAsia="宋体" w:cs="宋体"/>
                <w:color w:val="auto"/>
                <w:highlight w:val="none"/>
              </w:rPr>
            </w:pPr>
          </w:p>
        </w:tc>
        <w:tc>
          <w:tcPr>
            <w:tcW w:w="1497" w:type="dxa"/>
            <w:noWrap/>
            <w:vAlign w:val="center"/>
          </w:tcPr>
          <w:p w14:paraId="6B099B5A">
            <w:pPr>
              <w:pStyle w:val="18"/>
              <w:jc w:val="center"/>
              <w:rPr>
                <w:rFonts w:hint="eastAsia" w:ascii="宋体" w:hAnsi="宋体" w:eastAsia="宋体" w:cs="宋体"/>
                <w:color w:val="auto"/>
                <w:highlight w:val="none"/>
              </w:rPr>
            </w:pPr>
          </w:p>
        </w:tc>
        <w:tc>
          <w:tcPr>
            <w:tcW w:w="1559" w:type="dxa"/>
            <w:noWrap/>
            <w:vAlign w:val="center"/>
          </w:tcPr>
          <w:p w14:paraId="6A99B50B">
            <w:pPr>
              <w:pStyle w:val="18"/>
              <w:jc w:val="center"/>
              <w:rPr>
                <w:rFonts w:hint="eastAsia" w:ascii="宋体" w:hAnsi="宋体" w:eastAsia="宋体" w:cs="宋体"/>
                <w:color w:val="auto"/>
                <w:highlight w:val="none"/>
              </w:rPr>
            </w:pPr>
          </w:p>
        </w:tc>
        <w:tc>
          <w:tcPr>
            <w:tcW w:w="709" w:type="dxa"/>
            <w:noWrap/>
            <w:vAlign w:val="center"/>
          </w:tcPr>
          <w:p w14:paraId="25C34FD3">
            <w:pPr>
              <w:pStyle w:val="18"/>
              <w:jc w:val="center"/>
              <w:rPr>
                <w:rFonts w:hint="eastAsia" w:ascii="宋体" w:hAnsi="宋体" w:eastAsia="宋体" w:cs="宋体"/>
                <w:color w:val="auto"/>
                <w:highlight w:val="none"/>
              </w:rPr>
            </w:pPr>
          </w:p>
        </w:tc>
      </w:tr>
      <w:tr w14:paraId="5B0F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7AD2D07">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1.3</w:t>
            </w:r>
          </w:p>
        </w:tc>
        <w:tc>
          <w:tcPr>
            <w:tcW w:w="4536" w:type="dxa"/>
            <w:vAlign w:val="center"/>
          </w:tcPr>
          <w:p w14:paraId="29A55856">
            <w:pPr>
              <w:pStyle w:val="18"/>
              <w:rPr>
                <w:rFonts w:hint="eastAsia" w:ascii="宋体" w:hAnsi="宋体" w:eastAsia="宋体" w:cs="宋体"/>
                <w:color w:val="auto"/>
                <w:highlight w:val="none"/>
              </w:rPr>
            </w:pPr>
            <w:r>
              <w:rPr>
                <w:rFonts w:hint="eastAsia" w:ascii="宋体" w:hAnsi="宋体" w:eastAsia="宋体" w:cs="宋体"/>
                <w:color w:val="auto"/>
                <w:highlight w:val="none"/>
              </w:rPr>
              <w:t>云桌面授权软件</w:t>
            </w:r>
          </w:p>
        </w:tc>
        <w:tc>
          <w:tcPr>
            <w:tcW w:w="767" w:type="dxa"/>
            <w:vAlign w:val="center"/>
          </w:tcPr>
          <w:p w14:paraId="473A993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852" w:type="dxa"/>
            <w:vAlign w:val="center"/>
          </w:tcPr>
          <w:p w14:paraId="2E14686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5FF65C09">
            <w:pPr>
              <w:pStyle w:val="18"/>
              <w:jc w:val="center"/>
              <w:rPr>
                <w:rFonts w:hint="eastAsia" w:ascii="宋体" w:hAnsi="宋体" w:eastAsia="宋体" w:cs="宋体"/>
                <w:color w:val="auto"/>
                <w:highlight w:val="none"/>
              </w:rPr>
            </w:pPr>
          </w:p>
        </w:tc>
        <w:tc>
          <w:tcPr>
            <w:tcW w:w="980" w:type="dxa"/>
            <w:noWrap/>
            <w:vAlign w:val="center"/>
          </w:tcPr>
          <w:p w14:paraId="0935A196">
            <w:pPr>
              <w:pStyle w:val="18"/>
              <w:jc w:val="center"/>
              <w:rPr>
                <w:rFonts w:hint="eastAsia" w:ascii="宋体" w:hAnsi="宋体" w:eastAsia="宋体" w:cs="宋体"/>
                <w:color w:val="auto"/>
                <w:highlight w:val="none"/>
              </w:rPr>
            </w:pPr>
          </w:p>
        </w:tc>
        <w:tc>
          <w:tcPr>
            <w:tcW w:w="1497" w:type="dxa"/>
            <w:noWrap/>
            <w:vAlign w:val="center"/>
          </w:tcPr>
          <w:p w14:paraId="205DCC41">
            <w:pPr>
              <w:pStyle w:val="18"/>
              <w:jc w:val="center"/>
              <w:rPr>
                <w:rFonts w:hint="eastAsia" w:ascii="宋体" w:hAnsi="宋体" w:eastAsia="宋体" w:cs="宋体"/>
                <w:color w:val="auto"/>
                <w:highlight w:val="none"/>
              </w:rPr>
            </w:pPr>
          </w:p>
        </w:tc>
        <w:tc>
          <w:tcPr>
            <w:tcW w:w="1559" w:type="dxa"/>
            <w:noWrap/>
            <w:vAlign w:val="center"/>
          </w:tcPr>
          <w:p w14:paraId="49718DD7">
            <w:pPr>
              <w:pStyle w:val="18"/>
              <w:jc w:val="center"/>
              <w:rPr>
                <w:rFonts w:hint="eastAsia" w:ascii="宋体" w:hAnsi="宋体" w:eastAsia="宋体" w:cs="宋体"/>
                <w:color w:val="auto"/>
                <w:highlight w:val="none"/>
              </w:rPr>
            </w:pPr>
          </w:p>
        </w:tc>
        <w:tc>
          <w:tcPr>
            <w:tcW w:w="709" w:type="dxa"/>
            <w:noWrap/>
            <w:vAlign w:val="center"/>
          </w:tcPr>
          <w:p w14:paraId="245B3BBC">
            <w:pPr>
              <w:pStyle w:val="18"/>
              <w:jc w:val="center"/>
              <w:rPr>
                <w:rFonts w:hint="eastAsia" w:ascii="宋体" w:hAnsi="宋体" w:eastAsia="宋体" w:cs="宋体"/>
                <w:color w:val="auto"/>
                <w:highlight w:val="none"/>
              </w:rPr>
            </w:pPr>
          </w:p>
        </w:tc>
      </w:tr>
      <w:tr w14:paraId="523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A8F171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1.4</w:t>
            </w:r>
          </w:p>
        </w:tc>
        <w:tc>
          <w:tcPr>
            <w:tcW w:w="4536" w:type="dxa"/>
            <w:vAlign w:val="center"/>
          </w:tcPr>
          <w:p w14:paraId="5E75292A">
            <w:pPr>
              <w:pStyle w:val="18"/>
              <w:rPr>
                <w:rFonts w:hint="eastAsia" w:ascii="宋体" w:hAnsi="宋体" w:eastAsia="宋体" w:cs="宋体"/>
                <w:color w:val="auto"/>
                <w:highlight w:val="none"/>
              </w:rPr>
            </w:pPr>
            <w:r>
              <w:rPr>
                <w:rFonts w:hint="eastAsia" w:ascii="宋体" w:hAnsi="宋体" w:eastAsia="宋体" w:cs="宋体"/>
                <w:color w:val="auto"/>
                <w:highlight w:val="none"/>
              </w:rPr>
              <w:t>显示器</w:t>
            </w:r>
          </w:p>
        </w:tc>
        <w:tc>
          <w:tcPr>
            <w:tcW w:w="767" w:type="dxa"/>
            <w:vAlign w:val="center"/>
          </w:tcPr>
          <w:p w14:paraId="4FB9147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852" w:type="dxa"/>
            <w:vAlign w:val="center"/>
          </w:tcPr>
          <w:p w14:paraId="0A51E0E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022E046B">
            <w:pPr>
              <w:pStyle w:val="18"/>
              <w:jc w:val="center"/>
              <w:rPr>
                <w:rFonts w:hint="eastAsia" w:ascii="宋体" w:hAnsi="宋体" w:eastAsia="宋体" w:cs="宋体"/>
                <w:color w:val="auto"/>
                <w:highlight w:val="none"/>
              </w:rPr>
            </w:pPr>
          </w:p>
        </w:tc>
        <w:tc>
          <w:tcPr>
            <w:tcW w:w="980" w:type="dxa"/>
            <w:noWrap/>
            <w:vAlign w:val="center"/>
          </w:tcPr>
          <w:p w14:paraId="3A6C3212">
            <w:pPr>
              <w:pStyle w:val="18"/>
              <w:jc w:val="center"/>
              <w:rPr>
                <w:rFonts w:hint="eastAsia" w:ascii="宋体" w:hAnsi="宋体" w:eastAsia="宋体" w:cs="宋体"/>
                <w:color w:val="auto"/>
                <w:highlight w:val="none"/>
              </w:rPr>
            </w:pPr>
          </w:p>
        </w:tc>
        <w:tc>
          <w:tcPr>
            <w:tcW w:w="1497" w:type="dxa"/>
            <w:noWrap/>
            <w:vAlign w:val="center"/>
          </w:tcPr>
          <w:p w14:paraId="4C32D23E">
            <w:pPr>
              <w:pStyle w:val="18"/>
              <w:jc w:val="center"/>
              <w:rPr>
                <w:rFonts w:hint="eastAsia" w:ascii="宋体" w:hAnsi="宋体" w:eastAsia="宋体" w:cs="宋体"/>
                <w:color w:val="auto"/>
                <w:highlight w:val="none"/>
              </w:rPr>
            </w:pPr>
          </w:p>
        </w:tc>
        <w:tc>
          <w:tcPr>
            <w:tcW w:w="1559" w:type="dxa"/>
            <w:noWrap/>
            <w:vAlign w:val="center"/>
          </w:tcPr>
          <w:p w14:paraId="54B8624C">
            <w:pPr>
              <w:pStyle w:val="18"/>
              <w:jc w:val="center"/>
              <w:rPr>
                <w:rFonts w:hint="eastAsia" w:ascii="宋体" w:hAnsi="宋体" w:eastAsia="宋体" w:cs="宋体"/>
                <w:color w:val="auto"/>
                <w:highlight w:val="none"/>
              </w:rPr>
            </w:pPr>
          </w:p>
        </w:tc>
        <w:tc>
          <w:tcPr>
            <w:tcW w:w="709" w:type="dxa"/>
            <w:noWrap/>
            <w:vAlign w:val="center"/>
          </w:tcPr>
          <w:p w14:paraId="409FEC47">
            <w:pPr>
              <w:pStyle w:val="18"/>
              <w:jc w:val="center"/>
              <w:rPr>
                <w:rFonts w:hint="eastAsia" w:ascii="宋体" w:hAnsi="宋体" w:eastAsia="宋体" w:cs="宋体"/>
                <w:color w:val="auto"/>
                <w:highlight w:val="none"/>
              </w:rPr>
            </w:pPr>
          </w:p>
        </w:tc>
      </w:tr>
      <w:tr w14:paraId="426B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3A89AC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1.5</w:t>
            </w:r>
          </w:p>
        </w:tc>
        <w:tc>
          <w:tcPr>
            <w:tcW w:w="4536" w:type="dxa"/>
            <w:vAlign w:val="center"/>
          </w:tcPr>
          <w:p w14:paraId="06466138">
            <w:pPr>
              <w:pStyle w:val="18"/>
              <w:rPr>
                <w:rFonts w:hint="eastAsia" w:ascii="宋体" w:hAnsi="宋体" w:eastAsia="宋体" w:cs="宋体"/>
                <w:color w:val="auto"/>
                <w:highlight w:val="none"/>
              </w:rPr>
            </w:pPr>
            <w:r>
              <w:rPr>
                <w:rFonts w:hint="eastAsia" w:ascii="宋体" w:hAnsi="宋体" w:eastAsia="宋体" w:cs="宋体"/>
                <w:color w:val="auto"/>
                <w:highlight w:val="none"/>
              </w:rPr>
              <w:t>键盘</w:t>
            </w:r>
          </w:p>
        </w:tc>
        <w:tc>
          <w:tcPr>
            <w:tcW w:w="767" w:type="dxa"/>
            <w:vAlign w:val="center"/>
          </w:tcPr>
          <w:p w14:paraId="550C592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852" w:type="dxa"/>
            <w:vAlign w:val="center"/>
          </w:tcPr>
          <w:p w14:paraId="55C5867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15C42D6B">
            <w:pPr>
              <w:pStyle w:val="18"/>
              <w:jc w:val="center"/>
              <w:rPr>
                <w:rFonts w:hint="eastAsia" w:ascii="宋体" w:hAnsi="宋体" w:eastAsia="宋体" w:cs="宋体"/>
                <w:color w:val="auto"/>
                <w:highlight w:val="none"/>
              </w:rPr>
            </w:pPr>
          </w:p>
        </w:tc>
        <w:tc>
          <w:tcPr>
            <w:tcW w:w="980" w:type="dxa"/>
            <w:noWrap/>
            <w:vAlign w:val="center"/>
          </w:tcPr>
          <w:p w14:paraId="220F1F77">
            <w:pPr>
              <w:pStyle w:val="18"/>
              <w:jc w:val="center"/>
              <w:rPr>
                <w:rFonts w:hint="eastAsia" w:ascii="宋体" w:hAnsi="宋体" w:eastAsia="宋体" w:cs="宋体"/>
                <w:color w:val="auto"/>
                <w:highlight w:val="none"/>
              </w:rPr>
            </w:pPr>
          </w:p>
        </w:tc>
        <w:tc>
          <w:tcPr>
            <w:tcW w:w="1497" w:type="dxa"/>
            <w:noWrap/>
            <w:vAlign w:val="center"/>
          </w:tcPr>
          <w:p w14:paraId="07F7DBFF">
            <w:pPr>
              <w:pStyle w:val="18"/>
              <w:jc w:val="center"/>
              <w:rPr>
                <w:rFonts w:hint="eastAsia" w:ascii="宋体" w:hAnsi="宋体" w:eastAsia="宋体" w:cs="宋体"/>
                <w:color w:val="auto"/>
                <w:highlight w:val="none"/>
              </w:rPr>
            </w:pPr>
          </w:p>
        </w:tc>
        <w:tc>
          <w:tcPr>
            <w:tcW w:w="1559" w:type="dxa"/>
            <w:noWrap/>
            <w:vAlign w:val="center"/>
          </w:tcPr>
          <w:p w14:paraId="4ABF79B6">
            <w:pPr>
              <w:pStyle w:val="18"/>
              <w:jc w:val="center"/>
              <w:rPr>
                <w:rFonts w:hint="eastAsia" w:ascii="宋体" w:hAnsi="宋体" w:eastAsia="宋体" w:cs="宋体"/>
                <w:color w:val="auto"/>
                <w:highlight w:val="none"/>
              </w:rPr>
            </w:pPr>
          </w:p>
        </w:tc>
        <w:tc>
          <w:tcPr>
            <w:tcW w:w="709" w:type="dxa"/>
            <w:noWrap/>
            <w:vAlign w:val="center"/>
          </w:tcPr>
          <w:p w14:paraId="2EAD1E2C">
            <w:pPr>
              <w:pStyle w:val="18"/>
              <w:jc w:val="center"/>
              <w:rPr>
                <w:rFonts w:hint="eastAsia" w:ascii="宋体" w:hAnsi="宋体" w:eastAsia="宋体" w:cs="宋体"/>
                <w:color w:val="auto"/>
                <w:highlight w:val="none"/>
              </w:rPr>
            </w:pPr>
          </w:p>
        </w:tc>
      </w:tr>
      <w:tr w14:paraId="5D21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BD2C2CA">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1.6</w:t>
            </w:r>
          </w:p>
        </w:tc>
        <w:tc>
          <w:tcPr>
            <w:tcW w:w="4536" w:type="dxa"/>
            <w:vAlign w:val="center"/>
          </w:tcPr>
          <w:p w14:paraId="4F879553">
            <w:pPr>
              <w:pStyle w:val="18"/>
              <w:rPr>
                <w:rFonts w:hint="eastAsia" w:ascii="宋体" w:hAnsi="宋体" w:eastAsia="宋体" w:cs="宋体"/>
                <w:color w:val="auto"/>
                <w:highlight w:val="none"/>
              </w:rPr>
            </w:pPr>
            <w:r>
              <w:rPr>
                <w:rFonts w:hint="eastAsia" w:ascii="宋体" w:hAnsi="宋体" w:eastAsia="宋体" w:cs="宋体"/>
                <w:color w:val="auto"/>
                <w:highlight w:val="none"/>
              </w:rPr>
              <w:t>鼠标</w:t>
            </w:r>
          </w:p>
        </w:tc>
        <w:tc>
          <w:tcPr>
            <w:tcW w:w="767" w:type="dxa"/>
            <w:vAlign w:val="center"/>
          </w:tcPr>
          <w:p w14:paraId="1F78781B">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280</w:t>
            </w:r>
          </w:p>
        </w:tc>
        <w:tc>
          <w:tcPr>
            <w:tcW w:w="852" w:type="dxa"/>
            <w:vAlign w:val="center"/>
          </w:tcPr>
          <w:p w14:paraId="6BA46D5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1E02772C">
            <w:pPr>
              <w:pStyle w:val="18"/>
              <w:jc w:val="center"/>
              <w:rPr>
                <w:rFonts w:hint="eastAsia" w:ascii="宋体" w:hAnsi="宋体" w:eastAsia="宋体" w:cs="宋体"/>
                <w:color w:val="auto"/>
                <w:highlight w:val="none"/>
              </w:rPr>
            </w:pPr>
          </w:p>
        </w:tc>
        <w:tc>
          <w:tcPr>
            <w:tcW w:w="980" w:type="dxa"/>
            <w:noWrap/>
            <w:vAlign w:val="center"/>
          </w:tcPr>
          <w:p w14:paraId="5FA2960B">
            <w:pPr>
              <w:pStyle w:val="18"/>
              <w:jc w:val="center"/>
              <w:rPr>
                <w:rFonts w:hint="eastAsia" w:ascii="宋体" w:hAnsi="宋体" w:eastAsia="宋体" w:cs="宋体"/>
                <w:color w:val="auto"/>
                <w:highlight w:val="none"/>
              </w:rPr>
            </w:pPr>
          </w:p>
        </w:tc>
        <w:tc>
          <w:tcPr>
            <w:tcW w:w="1497" w:type="dxa"/>
            <w:noWrap/>
            <w:vAlign w:val="center"/>
          </w:tcPr>
          <w:p w14:paraId="22F546C8">
            <w:pPr>
              <w:pStyle w:val="18"/>
              <w:jc w:val="center"/>
              <w:rPr>
                <w:rFonts w:hint="eastAsia" w:ascii="宋体" w:hAnsi="宋体" w:eastAsia="宋体" w:cs="宋体"/>
                <w:color w:val="auto"/>
                <w:highlight w:val="none"/>
              </w:rPr>
            </w:pPr>
          </w:p>
        </w:tc>
        <w:tc>
          <w:tcPr>
            <w:tcW w:w="1559" w:type="dxa"/>
            <w:noWrap/>
            <w:vAlign w:val="center"/>
          </w:tcPr>
          <w:p w14:paraId="36A93628">
            <w:pPr>
              <w:pStyle w:val="18"/>
              <w:jc w:val="center"/>
              <w:rPr>
                <w:rFonts w:hint="eastAsia" w:ascii="宋体" w:hAnsi="宋体" w:eastAsia="宋体" w:cs="宋体"/>
                <w:color w:val="auto"/>
                <w:highlight w:val="none"/>
              </w:rPr>
            </w:pPr>
          </w:p>
        </w:tc>
        <w:tc>
          <w:tcPr>
            <w:tcW w:w="709" w:type="dxa"/>
            <w:noWrap/>
            <w:vAlign w:val="center"/>
          </w:tcPr>
          <w:p w14:paraId="148F6BA9">
            <w:pPr>
              <w:pStyle w:val="18"/>
              <w:jc w:val="center"/>
              <w:rPr>
                <w:rFonts w:hint="eastAsia" w:ascii="宋体" w:hAnsi="宋体" w:eastAsia="宋体" w:cs="宋体"/>
                <w:color w:val="auto"/>
                <w:highlight w:val="none"/>
              </w:rPr>
            </w:pPr>
          </w:p>
        </w:tc>
      </w:tr>
      <w:tr w14:paraId="08BD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7687A19">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w:t>
            </w:r>
          </w:p>
        </w:tc>
        <w:tc>
          <w:tcPr>
            <w:tcW w:w="4536" w:type="dxa"/>
            <w:vAlign w:val="center"/>
          </w:tcPr>
          <w:p w14:paraId="7E20F675">
            <w:pPr>
              <w:pStyle w:val="18"/>
              <w:rPr>
                <w:rFonts w:hint="eastAsia" w:ascii="宋体" w:hAnsi="宋体" w:eastAsia="宋体" w:cs="宋体"/>
                <w:color w:val="auto"/>
                <w:highlight w:val="none"/>
              </w:rPr>
            </w:pPr>
            <w:r>
              <w:rPr>
                <w:rFonts w:hint="eastAsia" w:ascii="宋体" w:hAnsi="宋体" w:eastAsia="宋体" w:cs="宋体"/>
                <w:color w:val="auto"/>
                <w:highlight w:val="none"/>
              </w:rPr>
              <w:t>医用热敏腕带打印机</w:t>
            </w:r>
          </w:p>
        </w:tc>
        <w:tc>
          <w:tcPr>
            <w:tcW w:w="767" w:type="dxa"/>
            <w:vAlign w:val="center"/>
          </w:tcPr>
          <w:p w14:paraId="519BDD9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852" w:type="dxa"/>
            <w:vAlign w:val="center"/>
          </w:tcPr>
          <w:p w14:paraId="638FCF4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1F0FBB33">
            <w:pPr>
              <w:pStyle w:val="18"/>
              <w:jc w:val="center"/>
              <w:rPr>
                <w:rFonts w:hint="eastAsia" w:ascii="宋体" w:hAnsi="宋体" w:eastAsia="宋体" w:cs="宋体"/>
                <w:color w:val="auto"/>
                <w:highlight w:val="none"/>
              </w:rPr>
            </w:pPr>
          </w:p>
        </w:tc>
        <w:tc>
          <w:tcPr>
            <w:tcW w:w="980" w:type="dxa"/>
            <w:noWrap/>
            <w:vAlign w:val="center"/>
          </w:tcPr>
          <w:p w14:paraId="398D564A">
            <w:pPr>
              <w:pStyle w:val="18"/>
              <w:jc w:val="center"/>
              <w:rPr>
                <w:rFonts w:hint="eastAsia" w:ascii="宋体" w:hAnsi="宋体" w:eastAsia="宋体" w:cs="宋体"/>
                <w:color w:val="auto"/>
                <w:highlight w:val="none"/>
              </w:rPr>
            </w:pPr>
          </w:p>
        </w:tc>
        <w:tc>
          <w:tcPr>
            <w:tcW w:w="1497" w:type="dxa"/>
            <w:noWrap/>
            <w:vAlign w:val="center"/>
          </w:tcPr>
          <w:p w14:paraId="32086B5B">
            <w:pPr>
              <w:pStyle w:val="18"/>
              <w:jc w:val="center"/>
              <w:rPr>
                <w:rFonts w:hint="eastAsia" w:ascii="宋体" w:hAnsi="宋体" w:eastAsia="宋体" w:cs="宋体"/>
                <w:color w:val="auto"/>
                <w:highlight w:val="none"/>
              </w:rPr>
            </w:pPr>
          </w:p>
        </w:tc>
        <w:tc>
          <w:tcPr>
            <w:tcW w:w="1559" w:type="dxa"/>
            <w:noWrap/>
            <w:vAlign w:val="center"/>
          </w:tcPr>
          <w:p w14:paraId="080B5010">
            <w:pPr>
              <w:pStyle w:val="18"/>
              <w:jc w:val="center"/>
              <w:rPr>
                <w:rFonts w:hint="eastAsia" w:ascii="宋体" w:hAnsi="宋体" w:eastAsia="宋体" w:cs="宋体"/>
                <w:color w:val="auto"/>
                <w:highlight w:val="none"/>
              </w:rPr>
            </w:pPr>
          </w:p>
        </w:tc>
        <w:tc>
          <w:tcPr>
            <w:tcW w:w="709" w:type="dxa"/>
            <w:noWrap/>
            <w:vAlign w:val="center"/>
          </w:tcPr>
          <w:p w14:paraId="350B2CA9">
            <w:pPr>
              <w:pStyle w:val="18"/>
              <w:jc w:val="center"/>
              <w:rPr>
                <w:rFonts w:hint="eastAsia" w:ascii="宋体" w:hAnsi="宋体" w:eastAsia="宋体" w:cs="宋体"/>
                <w:color w:val="auto"/>
                <w:highlight w:val="none"/>
              </w:rPr>
            </w:pPr>
          </w:p>
        </w:tc>
      </w:tr>
      <w:tr w14:paraId="5356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BAA370E">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w:t>
            </w:r>
          </w:p>
        </w:tc>
        <w:tc>
          <w:tcPr>
            <w:tcW w:w="4536" w:type="dxa"/>
            <w:vAlign w:val="center"/>
          </w:tcPr>
          <w:p w14:paraId="2C0EF32C">
            <w:pPr>
              <w:pStyle w:val="18"/>
              <w:rPr>
                <w:rFonts w:hint="eastAsia" w:ascii="宋体" w:hAnsi="宋体" w:eastAsia="宋体" w:cs="宋体"/>
                <w:color w:val="auto"/>
                <w:highlight w:val="none"/>
              </w:rPr>
            </w:pPr>
            <w:r>
              <w:rPr>
                <w:rFonts w:hint="eastAsia" w:ascii="宋体" w:hAnsi="宋体" w:eastAsia="宋体" w:cs="宋体"/>
                <w:color w:val="auto"/>
                <w:highlight w:val="none"/>
              </w:rPr>
              <w:t>激光打印机</w:t>
            </w:r>
          </w:p>
        </w:tc>
        <w:tc>
          <w:tcPr>
            <w:tcW w:w="767" w:type="dxa"/>
            <w:vAlign w:val="center"/>
          </w:tcPr>
          <w:p w14:paraId="5493A5B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40</w:t>
            </w:r>
          </w:p>
        </w:tc>
        <w:tc>
          <w:tcPr>
            <w:tcW w:w="852" w:type="dxa"/>
            <w:vAlign w:val="center"/>
          </w:tcPr>
          <w:p w14:paraId="3F49494D">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798DF76B">
            <w:pPr>
              <w:pStyle w:val="18"/>
              <w:jc w:val="center"/>
              <w:rPr>
                <w:rFonts w:hint="eastAsia" w:ascii="宋体" w:hAnsi="宋体" w:eastAsia="宋体" w:cs="宋体"/>
                <w:color w:val="auto"/>
                <w:highlight w:val="none"/>
              </w:rPr>
            </w:pPr>
          </w:p>
        </w:tc>
        <w:tc>
          <w:tcPr>
            <w:tcW w:w="980" w:type="dxa"/>
            <w:noWrap/>
            <w:vAlign w:val="center"/>
          </w:tcPr>
          <w:p w14:paraId="5659CC04">
            <w:pPr>
              <w:pStyle w:val="18"/>
              <w:jc w:val="center"/>
              <w:rPr>
                <w:rFonts w:hint="eastAsia" w:ascii="宋体" w:hAnsi="宋体" w:eastAsia="宋体" w:cs="宋体"/>
                <w:color w:val="auto"/>
                <w:highlight w:val="none"/>
              </w:rPr>
            </w:pPr>
          </w:p>
        </w:tc>
        <w:tc>
          <w:tcPr>
            <w:tcW w:w="1497" w:type="dxa"/>
            <w:noWrap/>
            <w:vAlign w:val="center"/>
          </w:tcPr>
          <w:p w14:paraId="3A693F13">
            <w:pPr>
              <w:pStyle w:val="18"/>
              <w:jc w:val="center"/>
              <w:rPr>
                <w:rFonts w:hint="eastAsia" w:ascii="宋体" w:hAnsi="宋体" w:eastAsia="宋体" w:cs="宋体"/>
                <w:color w:val="auto"/>
                <w:highlight w:val="none"/>
              </w:rPr>
            </w:pPr>
          </w:p>
        </w:tc>
        <w:tc>
          <w:tcPr>
            <w:tcW w:w="1559" w:type="dxa"/>
            <w:noWrap/>
            <w:vAlign w:val="center"/>
          </w:tcPr>
          <w:p w14:paraId="72A5875A">
            <w:pPr>
              <w:pStyle w:val="18"/>
              <w:jc w:val="center"/>
              <w:rPr>
                <w:rFonts w:hint="eastAsia" w:ascii="宋体" w:hAnsi="宋体" w:eastAsia="宋体" w:cs="宋体"/>
                <w:color w:val="auto"/>
                <w:highlight w:val="none"/>
              </w:rPr>
            </w:pPr>
          </w:p>
        </w:tc>
        <w:tc>
          <w:tcPr>
            <w:tcW w:w="709" w:type="dxa"/>
            <w:noWrap/>
            <w:vAlign w:val="center"/>
          </w:tcPr>
          <w:p w14:paraId="53468486">
            <w:pPr>
              <w:pStyle w:val="18"/>
              <w:jc w:val="center"/>
              <w:rPr>
                <w:rFonts w:hint="eastAsia" w:ascii="宋体" w:hAnsi="宋体" w:eastAsia="宋体" w:cs="宋体"/>
                <w:color w:val="auto"/>
                <w:highlight w:val="none"/>
              </w:rPr>
            </w:pPr>
          </w:p>
        </w:tc>
      </w:tr>
      <w:tr w14:paraId="1C5A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AC9311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4</w:t>
            </w:r>
          </w:p>
        </w:tc>
        <w:tc>
          <w:tcPr>
            <w:tcW w:w="4536" w:type="dxa"/>
            <w:vAlign w:val="center"/>
          </w:tcPr>
          <w:p w14:paraId="236E4DC0">
            <w:pPr>
              <w:pStyle w:val="18"/>
              <w:rPr>
                <w:rFonts w:hint="eastAsia" w:ascii="宋体" w:hAnsi="宋体" w:eastAsia="宋体" w:cs="宋体"/>
                <w:color w:val="auto"/>
                <w:highlight w:val="none"/>
              </w:rPr>
            </w:pPr>
            <w:r>
              <w:rPr>
                <w:rFonts w:hint="eastAsia" w:ascii="宋体" w:hAnsi="宋体" w:eastAsia="宋体" w:cs="宋体"/>
                <w:color w:val="auto"/>
                <w:highlight w:val="none"/>
              </w:rPr>
              <w:t>读卡器</w:t>
            </w:r>
          </w:p>
        </w:tc>
        <w:tc>
          <w:tcPr>
            <w:tcW w:w="767" w:type="dxa"/>
            <w:vAlign w:val="center"/>
          </w:tcPr>
          <w:p w14:paraId="59A9904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120</w:t>
            </w:r>
          </w:p>
        </w:tc>
        <w:tc>
          <w:tcPr>
            <w:tcW w:w="852" w:type="dxa"/>
            <w:vAlign w:val="center"/>
          </w:tcPr>
          <w:p w14:paraId="591098E2">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6CC5EC91">
            <w:pPr>
              <w:pStyle w:val="18"/>
              <w:jc w:val="center"/>
              <w:rPr>
                <w:rFonts w:hint="eastAsia" w:ascii="宋体" w:hAnsi="宋体" w:eastAsia="宋体" w:cs="宋体"/>
                <w:color w:val="auto"/>
                <w:highlight w:val="none"/>
              </w:rPr>
            </w:pPr>
          </w:p>
        </w:tc>
        <w:tc>
          <w:tcPr>
            <w:tcW w:w="980" w:type="dxa"/>
            <w:noWrap/>
            <w:vAlign w:val="center"/>
          </w:tcPr>
          <w:p w14:paraId="0011680C">
            <w:pPr>
              <w:pStyle w:val="18"/>
              <w:jc w:val="center"/>
              <w:rPr>
                <w:rFonts w:hint="eastAsia" w:ascii="宋体" w:hAnsi="宋体" w:eastAsia="宋体" w:cs="宋体"/>
                <w:color w:val="auto"/>
                <w:highlight w:val="none"/>
              </w:rPr>
            </w:pPr>
          </w:p>
        </w:tc>
        <w:tc>
          <w:tcPr>
            <w:tcW w:w="1497" w:type="dxa"/>
            <w:noWrap/>
            <w:vAlign w:val="center"/>
          </w:tcPr>
          <w:p w14:paraId="14BAFA0F">
            <w:pPr>
              <w:pStyle w:val="18"/>
              <w:jc w:val="center"/>
              <w:rPr>
                <w:rFonts w:hint="eastAsia" w:ascii="宋体" w:hAnsi="宋体" w:eastAsia="宋体" w:cs="宋体"/>
                <w:color w:val="auto"/>
                <w:highlight w:val="none"/>
              </w:rPr>
            </w:pPr>
          </w:p>
        </w:tc>
        <w:tc>
          <w:tcPr>
            <w:tcW w:w="1559" w:type="dxa"/>
            <w:noWrap/>
            <w:vAlign w:val="center"/>
          </w:tcPr>
          <w:p w14:paraId="6417C55F">
            <w:pPr>
              <w:pStyle w:val="18"/>
              <w:jc w:val="center"/>
              <w:rPr>
                <w:rFonts w:hint="eastAsia" w:ascii="宋体" w:hAnsi="宋体" w:eastAsia="宋体" w:cs="宋体"/>
                <w:color w:val="auto"/>
                <w:highlight w:val="none"/>
              </w:rPr>
            </w:pPr>
          </w:p>
        </w:tc>
        <w:tc>
          <w:tcPr>
            <w:tcW w:w="709" w:type="dxa"/>
            <w:noWrap/>
            <w:vAlign w:val="center"/>
          </w:tcPr>
          <w:p w14:paraId="7EFBC8FD">
            <w:pPr>
              <w:pStyle w:val="18"/>
              <w:jc w:val="center"/>
              <w:rPr>
                <w:rFonts w:hint="eastAsia" w:ascii="宋体" w:hAnsi="宋体" w:eastAsia="宋体" w:cs="宋体"/>
                <w:color w:val="auto"/>
                <w:highlight w:val="none"/>
              </w:rPr>
            </w:pPr>
          </w:p>
        </w:tc>
      </w:tr>
      <w:tr w14:paraId="7175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42" w:type="dxa"/>
            <w:gridSpan w:val="9"/>
            <w:vAlign w:val="center"/>
          </w:tcPr>
          <w:p w14:paraId="038070D7">
            <w:pPr>
              <w:pStyle w:val="18"/>
              <w:jc w:val="left"/>
              <w:rPr>
                <w:rFonts w:hint="eastAsia" w:ascii="宋体" w:hAnsi="宋体" w:eastAsia="宋体" w:cs="宋体"/>
                <w:b/>
                <w:color w:val="auto"/>
                <w:highlight w:val="none"/>
              </w:rPr>
            </w:pPr>
            <w:r>
              <w:rPr>
                <w:rFonts w:hint="eastAsia" w:ascii="宋体" w:hAnsi="宋体" w:eastAsia="宋体" w:cs="宋体"/>
                <w:b/>
                <w:color w:val="auto"/>
                <w:highlight w:val="none"/>
              </w:rPr>
              <w:t>（五）智慧服务配套硬件设备</w:t>
            </w:r>
          </w:p>
        </w:tc>
      </w:tr>
      <w:tr w14:paraId="03C8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2BD4BB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w:t>
            </w:r>
          </w:p>
        </w:tc>
        <w:tc>
          <w:tcPr>
            <w:tcW w:w="4536" w:type="dxa"/>
            <w:vAlign w:val="center"/>
          </w:tcPr>
          <w:p w14:paraId="530FA485">
            <w:pPr>
              <w:pStyle w:val="18"/>
              <w:rPr>
                <w:rFonts w:hint="eastAsia" w:ascii="宋体" w:hAnsi="宋体" w:eastAsia="宋体" w:cs="宋体"/>
                <w:color w:val="auto"/>
                <w:highlight w:val="none"/>
              </w:rPr>
            </w:pPr>
            <w:r>
              <w:rPr>
                <w:rFonts w:hint="eastAsia" w:ascii="宋体" w:hAnsi="宋体" w:eastAsia="宋体" w:cs="宋体"/>
                <w:color w:val="auto"/>
                <w:highlight w:val="none"/>
              </w:rPr>
              <w:t>多媒体诊区大屏</w:t>
            </w:r>
          </w:p>
        </w:tc>
        <w:tc>
          <w:tcPr>
            <w:tcW w:w="767" w:type="dxa"/>
            <w:vAlign w:val="center"/>
          </w:tcPr>
          <w:p w14:paraId="1A275CC2">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852" w:type="dxa"/>
            <w:vAlign w:val="center"/>
          </w:tcPr>
          <w:p w14:paraId="731E3B2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69D0BF67">
            <w:pPr>
              <w:pStyle w:val="18"/>
              <w:jc w:val="center"/>
              <w:rPr>
                <w:rFonts w:hint="eastAsia" w:ascii="宋体" w:hAnsi="宋体" w:eastAsia="宋体" w:cs="宋体"/>
                <w:color w:val="auto"/>
                <w:highlight w:val="none"/>
              </w:rPr>
            </w:pPr>
          </w:p>
        </w:tc>
        <w:tc>
          <w:tcPr>
            <w:tcW w:w="980" w:type="dxa"/>
            <w:noWrap/>
            <w:vAlign w:val="center"/>
          </w:tcPr>
          <w:p w14:paraId="084BCA15">
            <w:pPr>
              <w:pStyle w:val="18"/>
              <w:jc w:val="center"/>
              <w:rPr>
                <w:rFonts w:hint="eastAsia" w:ascii="宋体" w:hAnsi="宋体" w:eastAsia="宋体" w:cs="宋体"/>
                <w:color w:val="auto"/>
                <w:highlight w:val="none"/>
              </w:rPr>
            </w:pPr>
          </w:p>
        </w:tc>
        <w:tc>
          <w:tcPr>
            <w:tcW w:w="1497" w:type="dxa"/>
            <w:noWrap/>
            <w:vAlign w:val="center"/>
          </w:tcPr>
          <w:p w14:paraId="7822272D">
            <w:pPr>
              <w:pStyle w:val="18"/>
              <w:jc w:val="center"/>
              <w:rPr>
                <w:rFonts w:hint="eastAsia" w:ascii="宋体" w:hAnsi="宋体" w:eastAsia="宋体" w:cs="宋体"/>
                <w:color w:val="auto"/>
                <w:highlight w:val="none"/>
              </w:rPr>
            </w:pPr>
          </w:p>
        </w:tc>
        <w:tc>
          <w:tcPr>
            <w:tcW w:w="1559" w:type="dxa"/>
            <w:noWrap/>
            <w:vAlign w:val="center"/>
          </w:tcPr>
          <w:p w14:paraId="5145D997">
            <w:pPr>
              <w:pStyle w:val="18"/>
              <w:jc w:val="center"/>
              <w:rPr>
                <w:rFonts w:hint="eastAsia" w:ascii="宋体" w:hAnsi="宋体" w:eastAsia="宋体" w:cs="宋体"/>
                <w:color w:val="auto"/>
                <w:highlight w:val="none"/>
              </w:rPr>
            </w:pPr>
          </w:p>
        </w:tc>
        <w:tc>
          <w:tcPr>
            <w:tcW w:w="709" w:type="dxa"/>
            <w:noWrap/>
            <w:vAlign w:val="center"/>
          </w:tcPr>
          <w:p w14:paraId="7FB95396">
            <w:pPr>
              <w:pStyle w:val="18"/>
              <w:jc w:val="center"/>
              <w:rPr>
                <w:rFonts w:hint="eastAsia" w:ascii="宋体" w:hAnsi="宋体" w:eastAsia="宋体" w:cs="宋体"/>
                <w:color w:val="auto"/>
                <w:highlight w:val="none"/>
              </w:rPr>
            </w:pPr>
          </w:p>
        </w:tc>
      </w:tr>
      <w:tr w14:paraId="2D0C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4460C19">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w:t>
            </w:r>
          </w:p>
        </w:tc>
        <w:tc>
          <w:tcPr>
            <w:tcW w:w="4536" w:type="dxa"/>
            <w:vAlign w:val="center"/>
          </w:tcPr>
          <w:p w14:paraId="4E4AE45D">
            <w:pPr>
              <w:pStyle w:val="18"/>
              <w:rPr>
                <w:rFonts w:hint="eastAsia" w:ascii="宋体" w:hAnsi="宋体" w:eastAsia="宋体" w:cs="宋体"/>
                <w:color w:val="auto"/>
                <w:highlight w:val="none"/>
              </w:rPr>
            </w:pPr>
            <w:r>
              <w:rPr>
                <w:rFonts w:hint="eastAsia" w:ascii="宋体" w:hAnsi="宋体" w:eastAsia="宋体" w:cs="宋体"/>
                <w:color w:val="auto"/>
                <w:highlight w:val="none"/>
              </w:rPr>
              <w:t>多媒体诊室小屏</w:t>
            </w:r>
          </w:p>
        </w:tc>
        <w:tc>
          <w:tcPr>
            <w:tcW w:w="767" w:type="dxa"/>
            <w:vAlign w:val="center"/>
          </w:tcPr>
          <w:p w14:paraId="2A278FFD">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42</w:t>
            </w:r>
          </w:p>
        </w:tc>
        <w:tc>
          <w:tcPr>
            <w:tcW w:w="852" w:type="dxa"/>
            <w:vAlign w:val="center"/>
          </w:tcPr>
          <w:p w14:paraId="4ACBAC5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029F2767">
            <w:pPr>
              <w:pStyle w:val="18"/>
              <w:jc w:val="center"/>
              <w:rPr>
                <w:rFonts w:hint="eastAsia" w:ascii="宋体" w:hAnsi="宋体" w:eastAsia="宋体" w:cs="宋体"/>
                <w:color w:val="auto"/>
                <w:highlight w:val="none"/>
              </w:rPr>
            </w:pPr>
          </w:p>
        </w:tc>
        <w:tc>
          <w:tcPr>
            <w:tcW w:w="980" w:type="dxa"/>
            <w:noWrap/>
            <w:vAlign w:val="center"/>
          </w:tcPr>
          <w:p w14:paraId="2EB74AD3">
            <w:pPr>
              <w:pStyle w:val="18"/>
              <w:jc w:val="center"/>
              <w:rPr>
                <w:rFonts w:hint="eastAsia" w:ascii="宋体" w:hAnsi="宋体" w:eastAsia="宋体" w:cs="宋体"/>
                <w:color w:val="auto"/>
                <w:highlight w:val="none"/>
              </w:rPr>
            </w:pPr>
          </w:p>
        </w:tc>
        <w:tc>
          <w:tcPr>
            <w:tcW w:w="1497" w:type="dxa"/>
            <w:noWrap/>
            <w:vAlign w:val="center"/>
          </w:tcPr>
          <w:p w14:paraId="45D6E829">
            <w:pPr>
              <w:pStyle w:val="18"/>
              <w:jc w:val="center"/>
              <w:rPr>
                <w:rFonts w:hint="eastAsia" w:ascii="宋体" w:hAnsi="宋体" w:eastAsia="宋体" w:cs="宋体"/>
                <w:color w:val="auto"/>
                <w:highlight w:val="none"/>
              </w:rPr>
            </w:pPr>
          </w:p>
        </w:tc>
        <w:tc>
          <w:tcPr>
            <w:tcW w:w="1559" w:type="dxa"/>
            <w:noWrap/>
            <w:vAlign w:val="center"/>
          </w:tcPr>
          <w:p w14:paraId="6095490E">
            <w:pPr>
              <w:pStyle w:val="18"/>
              <w:jc w:val="center"/>
              <w:rPr>
                <w:rFonts w:hint="eastAsia" w:ascii="宋体" w:hAnsi="宋体" w:eastAsia="宋体" w:cs="宋体"/>
                <w:color w:val="auto"/>
                <w:highlight w:val="none"/>
              </w:rPr>
            </w:pPr>
          </w:p>
        </w:tc>
        <w:tc>
          <w:tcPr>
            <w:tcW w:w="709" w:type="dxa"/>
            <w:noWrap/>
            <w:vAlign w:val="center"/>
          </w:tcPr>
          <w:p w14:paraId="5A2087F5">
            <w:pPr>
              <w:pStyle w:val="18"/>
              <w:jc w:val="center"/>
              <w:rPr>
                <w:rFonts w:hint="eastAsia" w:ascii="宋体" w:hAnsi="宋体" w:eastAsia="宋体" w:cs="宋体"/>
                <w:color w:val="auto"/>
                <w:highlight w:val="none"/>
              </w:rPr>
            </w:pPr>
          </w:p>
        </w:tc>
      </w:tr>
      <w:tr w14:paraId="5749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B8C338E">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w:t>
            </w:r>
          </w:p>
        </w:tc>
        <w:tc>
          <w:tcPr>
            <w:tcW w:w="4536" w:type="dxa"/>
            <w:vAlign w:val="center"/>
          </w:tcPr>
          <w:p w14:paraId="2CA2C69F">
            <w:pPr>
              <w:pStyle w:val="18"/>
              <w:rPr>
                <w:rFonts w:hint="eastAsia" w:ascii="宋体" w:hAnsi="宋体" w:eastAsia="宋体" w:cs="宋体"/>
                <w:color w:val="auto"/>
                <w:highlight w:val="none"/>
              </w:rPr>
            </w:pPr>
            <w:r>
              <w:rPr>
                <w:rFonts w:hint="eastAsia" w:ascii="宋体" w:hAnsi="宋体" w:eastAsia="宋体" w:cs="宋体"/>
                <w:color w:val="auto"/>
                <w:highlight w:val="none"/>
              </w:rPr>
              <w:t>服务器</w:t>
            </w:r>
          </w:p>
        </w:tc>
        <w:tc>
          <w:tcPr>
            <w:tcW w:w="767" w:type="dxa"/>
            <w:vAlign w:val="center"/>
          </w:tcPr>
          <w:p w14:paraId="7BAA9B2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52" w:type="dxa"/>
            <w:vAlign w:val="center"/>
          </w:tcPr>
          <w:p w14:paraId="5B0EF56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67E8EF71">
            <w:pPr>
              <w:pStyle w:val="18"/>
              <w:jc w:val="center"/>
              <w:rPr>
                <w:rFonts w:hint="eastAsia" w:ascii="宋体" w:hAnsi="宋体" w:eastAsia="宋体" w:cs="宋体"/>
                <w:color w:val="auto"/>
                <w:highlight w:val="none"/>
              </w:rPr>
            </w:pPr>
          </w:p>
        </w:tc>
        <w:tc>
          <w:tcPr>
            <w:tcW w:w="980" w:type="dxa"/>
            <w:noWrap/>
            <w:vAlign w:val="center"/>
          </w:tcPr>
          <w:p w14:paraId="6E36B464">
            <w:pPr>
              <w:pStyle w:val="18"/>
              <w:jc w:val="center"/>
              <w:rPr>
                <w:rFonts w:hint="eastAsia" w:ascii="宋体" w:hAnsi="宋体" w:eastAsia="宋体" w:cs="宋体"/>
                <w:color w:val="auto"/>
                <w:highlight w:val="none"/>
              </w:rPr>
            </w:pPr>
          </w:p>
        </w:tc>
        <w:tc>
          <w:tcPr>
            <w:tcW w:w="1497" w:type="dxa"/>
            <w:noWrap/>
            <w:vAlign w:val="center"/>
          </w:tcPr>
          <w:p w14:paraId="4ED98936">
            <w:pPr>
              <w:pStyle w:val="18"/>
              <w:jc w:val="center"/>
              <w:rPr>
                <w:rFonts w:hint="eastAsia" w:ascii="宋体" w:hAnsi="宋体" w:eastAsia="宋体" w:cs="宋体"/>
                <w:color w:val="auto"/>
                <w:highlight w:val="none"/>
              </w:rPr>
            </w:pPr>
          </w:p>
        </w:tc>
        <w:tc>
          <w:tcPr>
            <w:tcW w:w="1559" w:type="dxa"/>
            <w:noWrap/>
            <w:vAlign w:val="center"/>
          </w:tcPr>
          <w:p w14:paraId="0A71B93B">
            <w:pPr>
              <w:pStyle w:val="18"/>
              <w:jc w:val="center"/>
              <w:rPr>
                <w:rFonts w:hint="eastAsia" w:ascii="宋体" w:hAnsi="宋体" w:eastAsia="宋体" w:cs="宋体"/>
                <w:color w:val="auto"/>
                <w:highlight w:val="none"/>
              </w:rPr>
            </w:pPr>
          </w:p>
        </w:tc>
        <w:tc>
          <w:tcPr>
            <w:tcW w:w="709" w:type="dxa"/>
            <w:noWrap/>
            <w:vAlign w:val="center"/>
          </w:tcPr>
          <w:p w14:paraId="47DBD364">
            <w:pPr>
              <w:pStyle w:val="18"/>
              <w:jc w:val="center"/>
              <w:rPr>
                <w:rFonts w:hint="eastAsia" w:ascii="宋体" w:hAnsi="宋体" w:eastAsia="宋体" w:cs="宋体"/>
                <w:color w:val="auto"/>
                <w:highlight w:val="none"/>
              </w:rPr>
            </w:pPr>
          </w:p>
        </w:tc>
      </w:tr>
      <w:tr w14:paraId="2D86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967CB6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4</w:t>
            </w:r>
          </w:p>
        </w:tc>
        <w:tc>
          <w:tcPr>
            <w:tcW w:w="4536" w:type="dxa"/>
            <w:vAlign w:val="center"/>
          </w:tcPr>
          <w:p w14:paraId="5DF277DE">
            <w:pPr>
              <w:pStyle w:val="18"/>
              <w:rPr>
                <w:rFonts w:hint="eastAsia" w:ascii="宋体" w:hAnsi="宋体" w:eastAsia="宋体" w:cs="宋体"/>
                <w:color w:val="auto"/>
                <w:highlight w:val="none"/>
              </w:rPr>
            </w:pPr>
            <w:r>
              <w:rPr>
                <w:rFonts w:hint="eastAsia" w:ascii="宋体" w:hAnsi="宋体" w:eastAsia="宋体" w:cs="宋体"/>
                <w:color w:val="auto"/>
                <w:highlight w:val="none"/>
              </w:rPr>
              <w:t>防火墙</w:t>
            </w:r>
          </w:p>
        </w:tc>
        <w:tc>
          <w:tcPr>
            <w:tcW w:w="767" w:type="dxa"/>
            <w:vAlign w:val="center"/>
          </w:tcPr>
          <w:p w14:paraId="39ED76DC">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5F5AF62">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1D563E29">
            <w:pPr>
              <w:pStyle w:val="18"/>
              <w:jc w:val="center"/>
              <w:rPr>
                <w:rFonts w:hint="eastAsia" w:ascii="宋体" w:hAnsi="宋体" w:eastAsia="宋体" w:cs="宋体"/>
                <w:color w:val="auto"/>
                <w:highlight w:val="none"/>
              </w:rPr>
            </w:pPr>
          </w:p>
        </w:tc>
        <w:tc>
          <w:tcPr>
            <w:tcW w:w="980" w:type="dxa"/>
            <w:noWrap/>
            <w:vAlign w:val="center"/>
          </w:tcPr>
          <w:p w14:paraId="109B7287">
            <w:pPr>
              <w:pStyle w:val="18"/>
              <w:jc w:val="center"/>
              <w:rPr>
                <w:rFonts w:hint="eastAsia" w:ascii="宋体" w:hAnsi="宋体" w:eastAsia="宋体" w:cs="宋体"/>
                <w:color w:val="auto"/>
                <w:highlight w:val="none"/>
              </w:rPr>
            </w:pPr>
          </w:p>
        </w:tc>
        <w:tc>
          <w:tcPr>
            <w:tcW w:w="1497" w:type="dxa"/>
            <w:noWrap/>
            <w:vAlign w:val="center"/>
          </w:tcPr>
          <w:p w14:paraId="385C0D0E">
            <w:pPr>
              <w:pStyle w:val="18"/>
              <w:jc w:val="center"/>
              <w:rPr>
                <w:rFonts w:hint="eastAsia" w:ascii="宋体" w:hAnsi="宋体" w:eastAsia="宋体" w:cs="宋体"/>
                <w:color w:val="auto"/>
                <w:highlight w:val="none"/>
              </w:rPr>
            </w:pPr>
          </w:p>
        </w:tc>
        <w:tc>
          <w:tcPr>
            <w:tcW w:w="1559" w:type="dxa"/>
            <w:noWrap/>
            <w:vAlign w:val="center"/>
          </w:tcPr>
          <w:p w14:paraId="3E6D9200">
            <w:pPr>
              <w:pStyle w:val="18"/>
              <w:jc w:val="center"/>
              <w:rPr>
                <w:rFonts w:hint="eastAsia" w:ascii="宋体" w:hAnsi="宋体" w:eastAsia="宋体" w:cs="宋体"/>
                <w:color w:val="auto"/>
                <w:highlight w:val="none"/>
              </w:rPr>
            </w:pPr>
          </w:p>
        </w:tc>
        <w:tc>
          <w:tcPr>
            <w:tcW w:w="709" w:type="dxa"/>
            <w:noWrap/>
            <w:vAlign w:val="center"/>
          </w:tcPr>
          <w:p w14:paraId="0C86E185">
            <w:pPr>
              <w:pStyle w:val="18"/>
              <w:jc w:val="center"/>
              <w:rPr>
                <w:rFonts w:hint="eastAsia" w:ascii="宋体" w:hAnsi="宋体" w:eastAsia="宋体" w:cs="宋体"/>
                <w:color w:val="auto"/>
                <w:highlight w:val="none"/>
              </w:rPr>
            </w:pPr>
          </w:p>
        </w:tc>
      </w:tr>
      <w:tr w14:paraId="7766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17D5591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5</w:t>
            </w:r>
          </w:p>
        </w:tc>
        <w:tc>
          <w:tcPr>
            <w:tcW w:w="4536" w:type="dxa"/>
            <w:vAlign w:val="center"/>
          </w:tcPr>
          <w:p w14:paraId="6EC6F083">
            <w:pPr>
              <w:pStyle w:val="18"/>
              <w:rPr>
                <w:rFonts w:hint="eastAsia" w:ascii="宋体" w:hAnsi="宋体" w:eastAsia="宋体" w:cs="宋体"/>
                <w:color w:val="auto"/>
                <w:highlight w:val="none"/>
              </w:rPr>
            </w:pPr>
            <w:r>
              <w:rPr>
                <w:rFonts w:hint="eastAsia" w:ascii="宋体" w:hAnsi="宋体" w:eastAsia="宋体" w:cs="宋体"/>
                <w:color w:val="auto"/>
                <w:highlight w:val="none"/>
              </w:rPr>
              <w:t>门诊自助机</w:t>
            </w:r>
          </w:p>
        </w:tc>
        <w:tc>
          <w:tcPr>
            <w:tcW w:w="767" w:type="dxa"/>
            <w:vAlign w:val="center"/>
          </w:tcPr>
          <w:p w14:paraId="6105BDC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852" w:type="dxa"/>
            <w:vAlign w:val="center"/>
          </w:tcPr>
          <w:p w14:paraId="344EACF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494DB374">
            <w:pPr>
              <w:pStyle w:val="18"/>
              <w:jc w:val="center"/>
              <w:rPr>
                <w:rFonts w:hint="eastAsia" w:ascii="宋体" w:hAnsi="宋体" w:eastAsia="宋体" w:cs="宋体"/>
                <w:color w:val="auto"/>
                <w:highlight w:val="none"/>
              </w:rPr>
            </w:pPr>
          </w:p>
        </w:tc>
        <w:tc>
          <w:tcPr>
            <w:tcW w:w="980" w:type="dxa"/>
            <w:noWrap/>
            <w:vAlign w:val="center"/>
          </w:tcPr>
          <w:p w14:paraId="44EA466D">
            <w:pPr>
              <w:pStyle w:val="18"/>
              <w:jc w:val="center"/>
              <w:rPr>
                <w:rFonts w:hint="eastAsia" w:ascii="宋体" w:hAnsi="宋体" w:eastAsia="宋体" w:cs="宋体"/>
                <w:color w:val="auto"/>
                <w:highlight w:val="none"/>
              </w:rPr>
            </w:pPr>
          </w:p>
        </w:tc>
        <w:tc>
          <w:tcPr>
            <w:tcW w:w="1497" w:type="dxa"/>
            <w:noWrap/>
            <w:vAlign w:val="center"/>
          </w:tcPr>
          <w:p w14:paraId="162279EC">
            <w:pPr>
              <w:pStyle w:val="18"/>
              <w:jc w:val="center"/>
              <w:rPr>
                <w:rFonts w:hint="eastAsia" w:ascii="宋体" w:hAnsi="宋体" w:eastAsia="宋体" w:cs="宋体"/>
                <w:color w:val="auto"/>
                <w:highlight w:val="none"/>
              </w:rPr>
            </w:pPr>
          </w:p>
        </w:tc>
        <w:tc>
          <w:tcPr>
            <w:tcW w:w="1559" w:type="dxa"/>
            <w:noWrap/>
            <w:vAlign w:val="center"/>
          </w:tcPr>
          <w:p w14:paraId="43AC0BD4">
            <w:pPr>
              <w:pStyle w:val="18"/>
              <w:jc w:val="center"/>
              <w:rPr>
                <w:rFonts w:hint="eastAsia" w:ascii="宋体" w:hAnsi="宋体" w:eastAsia="宋体" w:cs="宋体"/>
                <w:color w:val="auto"/>
                <w:highlight w:val="none"/>
              </w:rPr>
            </w:pPr>
          </w:p>
        </w:tc>
        <w:tc>
          <w:tcPr>
            <w:tcW w:w="709" w:type="dxa"/>
            <w:noWrap/>
            <w:vAlign w:val="center"/>
          </w:tcPr>
          <w:p w14:paraId="3A4EAD97">
            <w:pPr>
              <w:pStyle w:val="18"/>
              <w:jc w:val="center"/>
              <w:rPr>
                <w:rFonts w:hint="eastAsia" w:ascii="宋体" w:hAnsi="宋体" w:eastAsia="宋体" w:cs="宋体"/>
                <w:color w:val="auto"/>
                <w:highlight w:val="none"/>
              </w:rPr>
            </w:pPr>
          </w:p>
        </w:tc>
      </w:tr>
      <w:tr w14:paraId="14C9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B4109DD">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6</w:t>
            </w:r>
          </w:p>
        </w:tc>
        <w:tc>
          <w:tcPr>
            <w:tcW w:w="4536" w:type="dxa"/>
            <w:vAlign w:val="center"/>
          </w:tcPr>
          <w:p w14:paraId="79243388">
            <w:pPr>
              <w:pStyle w:val="18"/>
              <w:rPr>
                <w:rFonts w:hint="eastAsia" w:ascii="宋体" w:hAnsi="宋体" w:eastAsia="宋体" w:cs="宋体"/>
                <w:color w:val="auto"/>
                <w:highlight w:val="none"/>
              </w:rPr>
            </w:pPr>
            <w:r>
              <w:rPr>
                <w:rFonts w:hint="eastAsia" w:ascii="宋体" w:hAnsi="宋体" w:eastAsia="宋体" w:cs="宋体"/>
                <w:color w:val="auto"/>
                <w:highlight w:val="none"/>
              </w:rPr>
              <w:t>壁挂式查询机</w:t>
            </w:r>
          </w:p>
        </w:tc>
        <w:tc>
          <w:tcPr>
            <w:tcW w:w="767" w:type="dxa"/>
            <w:vAlign w:val="center"/>
          </w:tcPr>
          <w:p w14:paraId="7CD9D6D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852" w:type="dxa"/>
            <w:vAlign w:val="center"/>
          </w:tcPr>
          <w:p w14:paraId="4C14392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3EE11316">
            <w:pPr>
              <w:pStyle w:val="18"/>
              <w:jc w:val="center"/>
              <w:rPr>
                <w:rFonts w:hint="eastAsia" w:ascii="宋体" w:hAnsi="宋体" w:eastAsia="宋体" w:cs="宋体"/>
                <w:color w:val="auto"/>
                <w:highlight w:val="none"/>
              </w:rPr>
            </w:pPr>
          </w:p>
        </w:tc>
        <w:tc>
          <w:tcPr>
            <w:tcW w:w="980" w:type="dxa"/>
            <w:noWrap/>
            <w:vAlign w:val="center"/>
          </w:tcPr>
          <w:p w14:paraId="5BA61A3E">
            <w:pPr>
              <w:pStyle w:val="18"/>
              <w:jc w:val="center"/>
              <w:rPr>
                <w:rFonts w:hint="eastAsia" w:ascii="宋体" w:hAnsi="宋体" w:eastAsia="宋体" w:cs="宋体"/>
                <w:color w:val="auto"/>
                <w:highlight w:val="none"/>
              </w:rPr>
            </w:pPr>
          </w:p>
        </w:tc>
        <w:tc>
          <w:tcPr>
            <w:tcW w:w="1497" w:type="dxa"/>
            <w:noWrap/>
            <w:vAlign w:val="center"/>
          </w:tcPr>
          <w:p w14:paraId="39D4EB8B">
            <w:pPr>
              <w:pStyle w:val="18"/>
              <w:jc w:val="center"/>
              <w:rPr>
                <w:rFonts w:hint="eastAsia" w:ascii="宋体" w:hAnsi="宋体" w:eastAsia="宋体" w:cs="宋体"/>
                <w:color w:val="auto"/>
                <w:highlight w:val="none"/>
              </w:rPr>
            </w:pPr>
          </w:p>
        </w:tc>
        <w:tc>
          <w:tcPr>
            <w:tcW w:w="1559" w:type="dxa"/>
            <w:noWrap/>
            <w:vAlign w:val="center"/>
          </w:tcPr>
          <w:p w14:paraId="385CF80E">
            <w:pPr>
              <w:pStyle w:val="18"/>
              <w:jc w:val="center"/>
              <w:rPr>
                <w:rFonts w:hint="eastAsia" w:ascii="宋体" w:hAnsi="宋体" w:eastAsia="宋体" w:cs="宋体"/>
                <w:color w:val="auto"/>
                <w:highlight w:val="none"/>
              </w:rPr>
            </w:pPr>
          </w:p>
        </w:tc>
        <w:tc>
          <w:tcPr>
            <w:tcW w:w="709" w:type="dxa"/>
            <w:noWrap/>
            <w:vAlign w:val="center"/>
          </w:tcPr>
          <w:p w14:paraId="61A512A4">
            <w:pPr>
              <w:pStyle w:val="18"/>
              <w:jc w:val="center"/>
              <w:rPr>
                <w:rFonts w:hint="eastAsia" w:ascii="宋体" w:hAnsi="宋体" w:eastAsia="宋体" w:cs="宋体"/>
                <w:color w:val="auto"/>
                <w:highlight w:val="none"/>
              </w:rPr>
            </w:pPr>
          </w:p>
        </w:tc>
      </w:tr>
      <w:tr w14:paraId="1EFB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042" w:type="dxa"/>
            <w:gridSpan w:val="9"/>
            <w:vAlign w:val="center"/>
          </w:tcPr>
          <w:p w14:paraId="25A0A589">
            <w:pPr>
              <w:pStyle w:val="18"/>
              <w:jc w:val="left"/>
              <w:rPr>
                <w:rFonts w:hint="eastAsia" w:ascii="宋体" w:hAnsi="宋体" w:eastAsia="宋体" w:cs="宋体"/>
                <w:b/>
                <w:color w:val="auto"/>
                <w:highlight w:val="none"/>
              </w:rPr>
            </w:pPr>
            <w:r>
              <w:rPr>
                <w:rFonts w:hint="eastAsia" w:ascii="宋体" w:hAnsi="宋体" w:eastAsia="宋体" w:cs="宋体"/>
                <w:b/>
                <w:color w:val="auto"/>
                <w:highlight w:val="none"/>
              </w:rPr>
              <w:t>（六）无线AP及综合布线</w:t>
            </w:r>
          </w:p>
        </w:tc>
      </w:tr>
      <w:tr w14:paraId="7FF5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64E3C44">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w:t>
            </w:r>
          </w:p>
        </w:tc>
        <w:tc>
          <w:tcPr>
            <w:tcW w:w="4536" w:type="dxa"/>
            <w:vAlign w:val="center"/>
          </w:tcPr>
          <w:p w14:paraId="326AE9A6">
            <w:pPr>
              <w:pStyle w:val="18"/>
              <w:rPr>
                <w:rFonts w:hint="eastAsia" w:ascii="宋体" w:hAnsi="宋体" w:eastAsia="宋体" w:cs="宋体"/>
                <w:color w:val="auto"/>
                <w:highlight w:val="none"/>
              </w:rPr>
            </w:pPr>
            <w:r>
              <w:rPr>
                <w:rFonts w:hint="eastAsia" w:ascii="宋体" w:hAnsi="宋体" w:eastAsia="宋体" w:cs="宋体"/>
                <w:color w:val="auto"/>
                <w:highlight w:val="none"/>
              </w:rPr>
              <w:t>全千兆交换机8口千兆电口</w:t>
            </w:r>
          </w:p>
        </w:tc>
        <w:tc>
          <w:tcPr>
            <w:tcW w:w="767" w:type="dxa"/>
            <w:vAlign w:val="center"/>
          </w:tcPr>
          <w:p w14:paraId="4A92635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CF9D8D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c>
          <w:tcPr>
            <w:tcW w:w="1341" w:type="dxa"/>
            <w:noWrap/>
            <w:vAlign w:val="center"/>
          </w:tcPr>
          <w:p w14:paraId="4801BBCD">
            <w:pPr>
              <w:pStyle w:val="18"/>
              <w:jc w:val="center"/>
              <w:rPr>
                <w:rFonts w:hint="eastAsia" w:ascii="宋体" w:hAnsi="宋体" w:eastAsia="宋体" w:cs="宋体"/>
                <w:color w:val="auto"/>
                <w:highlight w:val="none"/>
              </w:rPr>
            </w:pPr>
          </w:p>
        </w:tc>
        <w:tc>
          <w:tcPr>
            <w:tcW w:w="980" w:type="dxa"/>
            <w:noWrap/>
            <w:vAlign w:val="center"/>
          </w:tcPr>
          <w:p w14:paraId="058E8AC2">
            <w:pPr>
              <w:pStyle w:val="18"/>
              <w:jc w:val="center"/>
              <w:rPr>
                <w:rFonts w:hint="eastAsia" w:ascii="宋体" w:hAnsi="宋体" w:eastAsia="宋体" w:cs="宋体"/>
                <w:color w:val="auto"/>
                <w:highlight w:val="none"/>
              </w:rPr>
            </w:pPr>
          </w:p>
        </w:tc>
        <w:tc>
          <w:tcPr>
            <w:tcW w:w="1497" w:type="dxa"/>
            <w:noWrap/>
            <w:vAlign w:val="center"/>
          </w:tcPr>
          <w:p w14:paraId="398842E9">
            <w:pPr>
              <w:pStyle w:val="18"/>
              <w:jc w:val="center"/>
              <w:rPr>
                <w:rFonts w:hint="eastAsia" w:ascii="宋体" w:hAnsi="宋体" w:eastAsia="宋体" w:cs="宋体"/>
                <w:color w:val="auto"/>
                <w:highlight w:val="none"/>
              </w:rPr>
            </w:pPr>
          </w:p>
        </w:tc>
        <w:tc>
          <w:tcPr>
            <w:tcW w:w="1559" w:type="dxa"/>
            <w:noWrap/>
            <w:vAlign w:val="center"/>
          </w:tcPr>
          <w:p w14:paraId="3B7BBBB6">
            <w:pPr>
              <w:pStyle w:val="18"/>
              <w:jc w:val="center"/>
              <w:rPr>
                <w:rFonts w:hint="eastAsia" w:ascii="宋体" w:hAnsi="宋体" w:eastAsia="宋体" w:cs="宋体"/>
                <w:color w:val="auto"/>
                <w:highlight w:val="none"/>
              </w:rPr>
            </w:pPr>
          </w:p>
        </w:tc>
        <w:tc>
          <w:tcPr>
            <w:tcW w:w="709" w:type="dxa"/>
            <w:noWrap/>
            <w:vAlign w:val="center"/>
          </w:tcPr>
          <w:p w14:paraId="14DD1182">
            <w:pPr>
              <w:pStyle w:val="18"/>
              <w:jc w:val="center"/>
              <w:rPr>
                <w:rFonts w:hint="eastAsia" w:ascii="宋体" w:hAnsi="宋体" w:eastAsia="宋体" w:cs="宋体"/>
                <w:color w:val="auto"/>
                <w:highlight w:val="none"/>
              </w:rPr>
            </w:pPr>
          </w:p>
        </w:tc>
      </w:tr>
      <w:tr w14:paraId="64C8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2953C86">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w:t>
            </w:r>
          </w:p>
        </w:tc>
        <w:tc>
          <w:tcPr>
            <w:tcW w:w="4536" w:type="dxa"/>
            <w:vAlign w:val="center"/>
          </w:tcPr>
          <w:p w14:paraId="323F955B">
            <w:pPr>
              <w:pStyle w:val="18"/>
              <w:rPr>
                <w:rFonts w:hint="eastAsia" w:ascii="宋体" w:hAnsi="宋体" w:eastAsia="宋体" w:cs="宋体"/>
                <w:color w:val="auto"/>
                <w:highlight w:val="none"/>
              </w:rPr>
            </w:pPr>
            <w:r>
              <w:rPr>
                <w:rFonts w:hint="eastAsia" w:ascii="宋体" w:hAnsi="宋体" w:eastAsia="宋体" w:cs="宋体"/>
                <w:color w:val="auto"/>
                <w:highlight w:val="none"/>
              </w:rPr>
              <w:t>全千兆交换机8口POE交换机</w:t>
            </w:r>
          </w:p>
        </w:tc>
        <w:tc>
          <w:tcPr>
            <w:tcW w:w="767" w:type="dxa"/>
            <w:vAlign w:val="center"/>
          </w:tcPr>
          <w:p w14:paraId="4C51922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70601D8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c>
          <w:tcPr>
            <w:tcW w:w="1341" w:type="dxa"/>
            <w:noWrap/>
            <w:vAlign w:val="center"/>
          </w:tcPr>
          <w:p w14:paraId="3259DBEC">
            <w:pPr>
              <w:pStyle w:val="18"/>
              <w:jc w:val="center"/>
              <w:rPr>
                <w:rFonts w:hint="eastAsia" w:ascii="宋体" w:hAnsi="宋体" w:eastAsia="宋体" w:cs="宋体"/>
                <w:color w:val="auto"/>
                <w:highlight w:val="none"/>
              </w:rPr>
            </w:pPr>
          </w:p>
        </w:tc>
        <w:tc>
          <w:tcPr>
            <w:tcW w:w="980" w:type="dxa"/>
            <w:noWrap/>
            <w:vAlign w:val="center"/>
          </w:tcPr>
          <w:p w14:paraId="3C56CDC4">
            <w:pPr>
              <w:pStyle w:val="18"/>
              <w:jc w:val="center"/>
              <w:rPr>
                <w:rFonts w:hint="eastAsia" w:ascii="宋体" w:hAnsi="宋体" w:eastAsia="宋体" w:cs="宋体"/>
                <w:color w:val="auto"/>
                <w:highlight w:val="none"/>
              </w:rPr>
            </w:pPr>
          </w:p>
        </w:tc>
        <w:tc>
          <w:tcPr>
            <w:tcW w:w="1497" w:type="dxa"/>
            <w:noWrap/>
            <w:vAlign w:val="center"/>
          </w:tcPr>
          <w:p w14:paraId="27A5B2CC">
            <w:pPr>
              <w:pStyle w:val="18"/>
              <w:jc w:val="center"/>
              <w:rPr>
                <w:rFonts w:hint="eastAsia" w:ascii="宋体" w:hAnsi="宋体" w:eastAsia="宋体" w:cs="宋体"/>
                <w:color w:val="auto"/>
                <w:highlight w:val="none"/>
              </w:rPr>
            </w:pPr>
          </w:p>
        </w:tc>
        <w:tc>
          <w:tcPr>
            <w:tcW w:w="1559" w:type="dxa"/>
            <w:noWrap/>
            <w:vAlign w:val="center"/>
          </w:tcPr>
          <w:p w14:paraId="1AC907F0">
            <w:pPr>
              <w:pStyle w:val="18"/>
              <w:jc w:val="center"/>
              <w:rPr>
                <w:rFonts w:hint="eastAsia" w:ascii="宋体" w:hAnsi="宋体" w:eastAsia="宋体" w:cs="宋体"/>
                <w:color w:val="auto"/>
                <w:highlight w:val="none"/>
              </w:rPr>
            </w:pPr>
          </w:p>
        </w:tc>
        <w:tc>
          <w:tcPr>
            <w:tcW w:w="709" w:type="dxa"/>
            <w:noWrap/>
            <w:vAlign w:val="center"/>
          </w:tcPr>
          <w:p w14:paraId="2D425522">
            <w:pPr>
              <w:pStyle w:val="18"/>
              <w:jc w:val="center"/>
              <w:rPr>
                <w:rFonts w:hint="eastAsia" w:ascii="宋体" w:hAnsi="宋体" w:eastAsia="宋体" w:cs="宋体"/>
                <w:color w:val="auto"/>
                <w:highlight w:val="none"/>
              </w:rPr>
            </w:pPr>
          </w:p>
        </w:tc>
      </w:tr>
      <w:tr w14:paraId="4B5A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7CAEB6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3</w:t>
            </w:r>
          </w:p>
        </w:tc>
        <w:tc>
          <w:tcPr>
            <w:tcW w:w="4536" w:type="dxa"/>
            <w:vAlign w:val="center"/>
          </w:tcPr>
          <w:p w14:paraId="0EB6AD16">
            <w:pPr>
              <w:pStyle w:val="18"/>
              <w:rPr>
                <w:rFonts w:hint="eastAsia" w:ascii="宋体" w:hAnsi="宋体" w:eastAsia="宋体" w:cs="宋体"/>
                <w:color w:val="auto"/>
                <w:highlight w:val="none"/>
              </w:rPr>
            </w:pPr>
            <w:r>
              <w:rPr>
                <w:rFonts w:hint="eastAsia" w:ascii="宋体" w:hAnsi="宋体" w:eastAsia="宋体" w:cs="宋体"/>
                <w:color w:val="auto"/>
                <w:highlight w:val="none"/>
              </w:rPr>
              <w:t>全千兆交换机8口POE交换机</w:t>
            </w:r>
          </w:p>
        </w:tc>
        <w:tc>
          <w:tcPr>
            <w:tcW w:w="767" w:type="dxa"/>
            <w:vAlign w:val="center"/>
          </w:tcPr>
          <w:p w14:paraId="111ADB7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4E62401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c>
          <w:tcPr>
            <w:tcW w:w="1341" w:type="dxa"/>
            <w:noWrap/>
            <w:vAlign w:val="center"/>
          </w:tcPr>
          <w:p w14:paraId="2A41A6B9">
            <w:pPr>
              <w:pStyle w:val="18"/>
              <w:jc w:val="center"/>
              <w:rPr>
                <w:rFonts w:hint="eastAsia" w:ascii="宋体" w:hAnsi="宋体" w:eastAsia="宋体" w:cs="宋体"/>
                <w:color w:val="auto"/>
                <w:highlight w:val="none"/>
              </w:rPr>
            </w:pPr>
          </w:p>
        </w:tc>
        <w:tc>
          <w:tcPr>
            <w:tcW w:w="980" w:type="dxa"/>
            <w:noWrap/>
            <w:vAlign w:val="center"/>
          </w:tcPr>
          <w:p w14:paraId="33A5BE0E">
            <w:pPr>
              <w:pStyle w:val="18"/>
              <w:jc w:val="center"/>
              <w:rPr>
                <w:rFonts w:hint="eastAsia" w:ascii="宋体" w:hAnsi="宋体" w:eastAsia="宋体" w:cs="宋体"/>
                <w:color w:val="auto"/>
                <w:highlight w:val="none"/>
              </w:rPr>
            </w:pPr>
          </w:p>
        </w:tc>
        <w:tc>
          <w:tcPr>
            <w:tcW w:w="1497" w:type="dxa"/>
            <w:noWrap/>
            <w:vAlign w:val="center"/>
          </w:tcPr>
          <w:p w14:paraId="53B8F05B">
            <w:pPr>
              <w:pStyle w:val="18"/>
              <w:jc w:val="center"/>
              <w:rPr>
                <w:rFonts w:hint="eastAsia" w:ascii="宋体" w:hAnsi="宋体" w:eastAsia="宋体" w:cs="宋体"/>
                <w:color w:val="auto"/>
                <w:highlight w:val="none"/>
              </w:rPr>
            </w:pPr>
          </w:p>
        </w:tc>
        <w:tc>
          <w:tcPr>
            <w:tcW w:w="1559" w:type="dxa"/>
            <w:noWrap/>
            <w:vAlign w:val="center"/>
          </w:tcPr>
          <w:p w14:paraId="78E9B24A">
            <w:pPr>
              <w:pStyle w:val="18"/>
              <w:jc w:val="center"/>
              <w:rPr>
                <w:rFonts w:hint="eastAsia" w:ascii="宋体" w:hAnsi="宋体" w:eastAsia="宋体" w:cs="宋体"/>
                <w:color w:val="auto"/>
                <w:highlight w:val="none"/>
              </w:rPr>
            </w:pPr>
          </w:p>
        </w:tc>
        <w:tc>
          <w:tcPr>
            <w:tcW w:w="709" w:type="dxa"/>
            <w:noWrap/>
            <w:vAlign w:val="center"/>
          </w:tcPr>
          <w:p w14:paraId="3869BBEA">
            <w:pPr>
              <w:pStyle w:val="18"/>
              <w:jc w:val="center"/>
              <w:rPr>
                <w:rFonts w:hint="eastAsia" w:ascii="宋体" w:hAnsi="宋体" w:eastAsia="宋体" w:cs="宋体"/>
                <w:color w:val="auto"/>
                <w:highlight w:val="none"/>
              </w:rPr>
            </w:pPr>
          </w:p>
        </w:tc>
      </w:tr>
      <w:tr w14:paraId="4F3A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8DF9A6E">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4</w:t>
            </w:r>
          </w:p>
        </w:tc>
        <w:tc>
          <w:tcPr>
            <w:tcW w:w="4536" w:type="dxa"/>
            <w:vAlign w:val="center"/>
          </w:tcPr>
          <w:p w14:paraId="353466D2">
            <w:pPr>
              <w:pStyle w:val="18"/>
              <w:rPr>
                <w:rFonts w:hint="eastAsia" w:ascii="宋体" w:hAnsi="宋体" w:eastAsia="宋体" w:cs="宋体"/>
                <w:color w:val="auto"/>
                <w:highlight w:val="none"/>
              </w:rPr>
            </w:pPr>
            <w:r>
              <w:rPr>
                <w:rFonts w:hint="eastAsia" w:ascii="宋体" w:hAnsi="宋体" w:eastAsia="宋体" w:cs="宋体"/>
                <w:color w:val="auto"/>
                <w:highlight w:val="none"/>
              </w:rPr>
              <w:t>全千兆交换机24口POE交换机</w:t>
            </w:r>
          </w:p>
        </w:tc>
        <w:tc>
          <w:tcPr>
            <w:tcW w:w="767" w:type="dxa"/>
            <w:vAlign w:val="center"/>
          </w:tcPr>
          <w:p w14:paraId="36595FA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852" w:type="dxa"/>
            <w:vAlign w:val="center"/>
          </w:tcPr>
          <w:p w14:paraId="1DB8647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45F1E871">
            <w:pPr>
              <w:pStyle w:val="18"/>
              <w:jc w:val="center"/>
              <w:rPr>
                <w:rFonts w:hint="eastAsia" w:ascii="宋体" w:hAnsi="宋体" w:eastAsia="宋体" w:cs="宋体"/>
                <w:color w:val="auto"/>
                <w:highlight w:val="none"/>
              </w:rPr>
            </w:pPr>
          </w:p>
        </w:tc>
        <w:tc>
          <w:tcPr>
            <w:tcW w:w="980" w:type="dxa"/>
            <w:noWrap/>
            <w:vAlign w:val="center"/>
          </w:tcPr>
          <w:p w14:paraId="6C6F0307">
            <w:pPr>
              <w:pStyle w:val="18"/>
              <w:jc w:val="center"/>
              <w:rPr>
                <w:rFonts w:hint="eastAsia" w:ascii="宋体" w:hAnsi="宋体" w:eastAsia="宋体" w:cs="宋体"/>
                <w:color w:val="auto"/>
                <w:highlight w:val="none"/>
              </w:rPr>
            </w:pPr>
          </w:p>
        </w:tc>
        <w:tc>
          <w:tcPr>
            <w:tcW w:w="1497" w:type="dxa"/>
            <w:noWrap/>
            <w:vAlign w:val="center"/>
          </w:tcPr>
          <w:p w14:paraId="55BA9E31">
            <w:pPr>
              <w:pStyle w:val="18"/>
              <w:jc w:val="center"/>
              <w:rPr>
                <w:rFonts w:hint="eastAsia" w:ascii="宋体" w:hAnsi="宋体" w:eastAsia="宋体" w:cs="宋体"/>
                <w:color w:val="auto"/>
                <w:highlight w:val="none"/>
              </w:rPr>
            </w:pPr>
          </w:p>
        </w:tc>
        <w:tc>
          <w:tcPr>
            <w:tcW w:w="1559" w:type="dxa"/>
            <w:noWrap/>
            <w:vAlign w:val="center"/>
          </w:tcPr>
          <w:p w14:paraId="73539A7C">
            <w:pPr>
              <w:pStyle w:val="18"/>
              <w:jc w:val="center"/>
              <w:rPr>
                <w:rFonts w:hint="eastAsia" w:ascii="宋体" w:hAnsi="宋体" w:eastAsia="宋体" w:cs="宋体"/>
                <w:color w:val="auto"/>
                <w:highlight w:val="none"/>
              </w:rPr>
            </w:pPr>
          </w:p>
        </w:tc>
        <w:tc>
          <w:tcPr>
            <w:tcW w:w="709" w:type="dxa"/>
            <w:noWrap/>
            <w:vAlign w:val="center"/>
          </w:tcPr>
          <w:p w14:paraId="695A7B55">
            <w:pPr>
              <w:pStyle w:val="18"/>
              <w:jc w:val="center"/>
              <w:rPr>
                <w:rFonts w:hint="eastAsia" w:ascii="宋体" w:hAnsi="宋体" w:eastAsia="宋体" w:cs="宋体"/>
                <w:color w:val="auto"/>
                <w:highlight w:val="none"/>
              </w:rPr>
            </w:pPr>
          </w:p>
        </w:tc>
      </w:tr>
      <w:tr w14:paraId="3854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EC7398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5</w:t>
            </w:r>
          </w:p>
        </w:tc>
        <w:tc>
          <w:tcPr>
            <w:tcW w:w="4536" w:type="dxa"/>
            <w:vAlign w:val="center"/>
          </w:tcPr>
          <w:p w14:paraId="0BF60F9D">
            <w:pPr>
              <w:pStyle w:val="18"/>
              <w:rPr>
                <w:rFonts w:hint="eastAsia" w:ascii="宋体" w:hAnsi="宋体" w:eastAsia="宋体" w:cs="宋体"/>
                <w:color w:val="auto"/>
                <w:highlight w:val="none"/>
              </w:rPr>
            </w:pPr>
            <w:r>
              <w:rPr>
                <w:rFonts w:hint="eastAsia" w:ascii="宋体" w:hAnsi="宋体" w:eastAsia="宋体" w:cs="宋体"/>
                <w:color w:val="auto"/>
                <w:highlight w:val="none"/>
              </w:rPr>
              <w:t>AP</w:t>
            </w:r>
          </w:p>
        </w:tc>
        <w:tc>
          <w:tcPr>
            <w:tcW w:w="767" w:type="dxa"/>
            <w:vAlign w:val="center"/>
          </w:tcPr>
          <w:p w14:paraId="79C1B64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62</w:t>
            </w:r>
          </w:p>
        </w:tc>
        <w:tc>
          <w:tcPr>
            <w:tcW w:w="852" w:type="dxa"/>
            <w:vAlign w:val="center"/>
          </w:tcPr>
          <w:p w14:paraId="177A9D22">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c>
          <w:tcPr>
            <w:tcW w:w="1341" w:type="dxa"/>
            <w:noWrap/>
            <w:vAlign w:val="center"/>
          </w:tcPr>
          <w:p w14:paraId="55EAE503">
            <w:pPr>
              <w:pStyle w:val="18"/>
              <w:jc w:val="center"/>
              <w:rPr>
                <w:rFonts w:hint="eastAsia" w:ascii="宋体" w:hAnsi="宋体" w:eastAsia="宋体" w:cs="宋体"/>
                <w:color w:val="auto"/>
                <w:highlight w:val="none"/>
              </w:rPr>
            </w:pPr>
          </w:p>
        </w:tc>
        <w:tc>
          <w:tcPr>
            <w:tcW w:w="980" w:type="dxa"/>
            <w:noWrap/>
            <w:vAlign w:val="center"/>
          </w:tcPr>
          <w:p w14:paraId="2F607EC1">
            <w:pPr>
              <w:pStyle w:val="18"/>
              <w:jc w:val="center"/>
              <w:rPr>
                <w:rFonts w:hint="eastAsia" w:ascii="宋体" w:hAnsi="宋体" w:eastAsia="宋体" w:cs="宋体"/>
                <w:color w:val="auto"/>
                <w:highlight w:val="none"/>
              </w:rPr>
            </w:pPr>
          </w:p>
        </w:tc>
        <w:tc>
          <w:tcPr>
            <w:tcW w:w="1497" w:type="dxa"/>
            <w:noWrap/>
            <w:vAlign w:val="center"/>
          </w:tcPr>
          <w:p w14:paraId="1D28AF8A">
            <w:pPr>
              <w:pStyle w:val="18"/>
              <w:jc w:val="center"/>
              <w:rPr>
                <w:rFonts w:hint="eastAsia" w:ascii="宋体" w:hAnsi="宋体" w:eastAsia="宋体" w:cs="宋体"/>
                <w:color w:val="auto"/>
                <w:highlight w:val="none"/>
              </w:rPr>
            </w:pPr>
          </w:p>
        </w:tc>
        <w:tc>
          <w:tcPr>
            <w:tcW w:w="1559" w:type="dxa"/>
            <w:noWrap/>
            <w:vAlign w:val="center"/>
          </w:tcPr>
          <w:p w14:paraId="3CE3137B">
            <w:pPr>
              <w:pStyle w:val="18"/>
              <w:jc w:val="center"/>
              <w:rPr>
                <w:rFonts w:hint="eastAsia" w:ascii="宋体" w:hAnsi="宋体" w:eastAsia="宋体" w:cs="宋体"/>
                <w:color w:val="auto"/>
                <w:highlight w:val="none"/>
              </w:rPr>
            </w:pPr>
          </w:p>
        </w:tc>
        <w:tc>
          <w:tcPr>
            <w:tcW w:w="709" w:type="dxa"/>
            <w:noWrap/>
            <w:vAlign w:val="center"/>
          </w:tcPr>
          <w:p w14:paraId="6E6F210F">
            <w:pPr>
              <w:pStyle w:val="18"/>
              <w:jc w:val="center"/>
              <w:rPr>
                <w:rFonts w:hint="eastAsia" w:ascii="宋体" w:hAnsi="宋体" w:eastAsia="宋体" w:cs="宋体"/>
                <w:color w:val="auto"/>
                <w:highlight w:val="none"/>
              </w:rPr>
            </w:pPr>
          </w:p>
        </w:tc>
      </w:tr>
      <w:tr w14:paraId="67C1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111AF644">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6</w:t>
            </w:r>
          </w:p>
        </w:tc>
        <w:tc>
          <w:tcPr>
            <w:tcW w:w="4536" w:type="dxa"/>
            <w:vAlign w:val="center"/>
          </w:tcPr>
          <w:p w14:paraId="526641F4">
            <w:pPr>
              <w:pStyle w:val="18"/>
              <w:rPr>
                <w:rFonts w:hint="eastAsia" w:ascii="宋体" w:hAnsi="宋体" w:eastAsia="宋体" w:cs="宋体"/>
                <w:color w:val="auto"/>
                <w:highlight w:val="none"/>
              </w:rPr>
            </w:pPr>
            <w:r>
              <w:rPr>
                <w:rFonts w:hint="eastAsia" w:ascii="宋体" w:hAnsi="宋体" w:eastAsia="宋体" w:cs="宋体"/>
                <w:color w:val="auto"/>
                <w:highlight w:val="none"/>
              </w:rPr>
              <w:t>AC</w:t>
            </w:r>
          </w:p>
        </w:tc>
        <w:tc>
          <w:tcPr>
            <w:tcW w:w="767" w:type="dxa"/>
            <w:vAlign w:val="center"/>
          </w:tcPr>
          <w:p w14:paraId="37FD10C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02793B5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c>
          <w:tcPr>
            <w:tcW w:w="1341" w:type="dxa"/>
            <w:noWrap/>
            <w:vAlign w:val="center"/>
          </w:tcPr>
          <w:p w14:paraId="7FE585E3">
            <w:pPr>
              <w:pStyle w:val="18"/>
              <w:jc w:val="center"/>
              <w:rPr>
                <w:rFonts w:hint="eastAsia" w:ascii="宋体" w:hAnsi="宋体" w:eastAsia="宋体" w:cs="宋体"/>
                <w:color w:val="auto"/>
                <w:highlight w:val="none"/>
              </w:rPr>
            </w:pPr>
          </w:p>
        </w:tc>
        <w:tc>
          <w:tcPr>
            <w:tcW w:w="980" w:type="dxa"/>
            <w:noWrap/>
            <w:vAlign w:val="center"/>
          </w:tcPr>
          <w:p w14:paraId="234E5226">
            <w:pPr>
              <w:pStyle w:val="18"/>
              <w:jc w:val="center"/>
              <w:rPr>
                <w:rFonts w:hint="eastAsia" w:ascii="宋体" w:hAnsi="宋体" w:eastAsia="宋体" w:cs="宋体"/>
                <w:color w:val="auto"/>
                <w:highlight w:val="none"/>
              </w:rPr>
            </w:pPr>
          </w:p>
        </w:tc>
        <w:tc>
          <w:tcPr>
            <w:tcW w:w="1497" w:type="dxa"/>
            <w:noWrap/>
            <w:vAlign w:val="center"/>
          </w:tcPr>
          <w:p w14:paraId="69B1F671">
            <w:pPr>
              <w:pStyle w:val="18"/>
              <w:jc w:val="center"/>
              <w:rPr>
                <w:rFonts w:hint="eastAsia" w:ascii="宋体" w:hAnsi="宋体" w:eastAsia="宋体" w:cs="宋体"/>
                <w:color w:val="auto"/>
                <w:highlight w:val="none"/>
              </w:rPr>
            </w:pPr>
          </w:p>
        </w:tc>
        <w:tc>
          <w:tcPr>
            <w:tcW w:w="1559" w:type="dxa"/>
            <w:noWrap/>
            <w:vAlign w:val="center"/>
          </w:tcPr>
          <w:p w14:paraId="6B482CBB">
            <w:pPr>
              <w:pStyle w:val="18"/>
              <w:jc w:val="center"/>
              <w:rPr>
                <w:rFonts w:hint="eastAsia" w:ascii="宋体" w:hAnsi="宋体" w:eastAsia="宋体" w:cs="宋体"/>
                <w:color w:val="auto"/>
                <w:highlight w:val="none"/>
              </w:rPr>
            </w:pPr>
          </w:p>
        </w:tc>
        <w:tc>
          <w:tcPr>
            <w:tcW w:w="709" w:type="dxa"/>
            <w:noWrap/>
            <w:vAlign w:val="center"/>
          </w:tcPr>
          <w:p w14:paraId="4AE9006A">
            <w:pPr>
              <w:pStyle w:val="18"/>
              <w:jc w:val="center"/>
              <w:rPr>
                <w:rFonts w:hint="eastAsia" w:ascii="宋体" w:hAnsi="宋体" w:eastAsia="宋体" w:cs="宋体"/>
                <w:color w:val="auto"/>
                <w:highlight w:val="none"/>
              </w:rPr>
            </w:pPr>
          </w:p>
        </w:tc>
      </w:tr>
      <w:tr w14:paraId="10BE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C248DDF">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7</w:t>
            </w:r>
          </w:p>
        </w:tc>
        <w:tc>
          <w:tcPr>
            <w:tcW w:w="4536" w:type="dxa"/>
            <w:vAlign w:val="center"/>
          </w:tcPr>
          <w:p w14:paraId="7163699E">
            <w:pPr>
              <w:pStyle w:val="18"/>
              <w:rPr>
                <w:rFonts w:hint="eastAsia" w:ascii="宋体" w:hAnsi="宋体" w:eastAsia="宋体" w:cs="宋体"/>
                <w:color w:val="auto"/>
                <w:highlight w:val="none"/>
              </w:rPr>
            </w:pPr>
            <w:r>
              <w:rPr>
                <w:rFonts w:hint="eastAsia" w:ascii="宋体" w:hAnsi="宋体" w:eastAsia="宋体" w:cs="宋体"/>
                <w:color w:val="auto"/>
                <w:highlight w:val="none"/>
              </w:rPr>
              <w:t>光缆</w:t>
            </w:r>
          </w:p>
        </w:tc>
        <w:tc>
          <w:tcPr>
            <w:tcW w:w="767" w:type="dxa"/>
            <w:vAlign w:val="center"/>
          </w:tcPr>
          <w:p w14:paraId="0DD7C8C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600</w:t>
            </w:r>
          </w:p>
        </w:tc>
        <w:tc>
          <w:tcPr>
            <w:tcW w:w="852" w:type="dxa"/>
            <w:vAlign w:val="center"/>
          </w:tcPr>
          <w:p w14:paraId="2A3EA08F">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c>
          <w:tcPr>
            <w:tcW w:w="1341" w:type="dxa"/>
            <w:noWrap/>
            <w:vAlign w:val="center"/>
          </w:tcPr>
          <w:p w14:paraId="3FA26A1D">
            <w:pPr>
              <w:pStyle w:val="18"/>
              <w:jc w:val="center"/>
              <w:rPr>
                <w:rFonts w:hint="eastAsia" w:ascii="宋体" w:hAnsi="宋体" w:eastAsia="宋体" w:cs="宋体"/>
                <w:color w:val="auto"/>
                <w:highlight w:val="none"/>
              </w:rPr>
            </w:pPr>
          </w:p>
        </w:tc>
        <w:tc>
          <w:tcPr>
            <w:tcW w:w="980" w:type="dxa"/>
            <w:noWrap/>
            <w:vAlign w:val="center"/>
          </w:tcPr>
          <w:p w14:paraId="54CD9E0B">
            <w:pPr>
              <w:pStyle w:val="18"/>
              <w:jc w:val="center"/>
              <w:rPr>
                <w:rFonts w:hint="eastAsia" w:ascii="宋体" w:hAnsi="宋体" w:eastAsia="宋体" w:cs="宋体"/>
                <w:color w:val="auto"/>
                <w:highlight w:val="none"/>
              </w:rPr>
            </w:pPr>
          </w:p>
        </w:tc>
        <w:tc>
          <w:tcPr>
            <w:tcW w:w="1497" w:type="dxa"/>
            <w:noWrap/>
            <w:vAlign w:val="center"/>
          </w:tcPr>
          <w:p w14:paraId="5F2AC8D4">
            <w:pPr>
              <w:pStyle w:val="18"/>
              <w:jc w:val="center"/>
              <w:rPr>
                <w:rFonts w:hint="eastAsia" w:ascii="宋体" w:hAnsi="宋体" w:eastAsia="宋体" w:cs="宋体"/>
                <w:color w:val="auto"/>
                <w:highlight w:val="none"/>
              </w:rPr>
            </w:pPr>
          </w:p>
        </w:tc>
        <w:tc>
          <w:tcPr>
            <w:tcW w:w="1559" w:type="dxa"/>
            <w:noWrap/>
            <w:vAlign w:val="center"/>
          </w:tcPr>
          <w:p w14:paraId="07676521">
            <w:pPr>
              <w:pStyle w:val="18"/>
              <w:jc w:val="center"/>
              <w:rPr>
                <w:rFonts w:hint="eastAsia" w:ascii="宋体" w:hAnsi="宋体" w:eastAsia="宋体" w:cs="宋体"/>
                <w:color w:val="auto"/>
                <w:highlight w:val="none"/>
              </w:rPr>
            </w:pPr>
          </w:p>
        </w:tc>
        <w:tc>
          <w:tcPr>
            <w:tcW w:w="709" w:type="dxa"/>
            <w:noWrap/>
            <w:vAlign w:val="center"/>
          </w:tcPr>
          <w:p w14:paraId="249F5CFC">
            <w:pPr>
              <w:pStyle w:val="18"/>
              <w:jc w:val="center"/>
              <w:rPr>
                <w:rFonts w:hint="eastAsia" w:ascii="宋体" w:hAnsi="宋体" w:eastAsia="宋体" w:cs="宋体"/>
                <w:color w:val="auto"/>
                <w:highlight w:val="none"/>
              </w:rPr>
            </w:pPr>
          </w:p>
        </w:tc>
      </w:tr>
      <w:tr w14:paraId="096D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97C47CC">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8</w:t>
            </w:r>
          </w:p>
        </w:tc>
        <w:tc>
          <w:tcPr>
            <w:tcW w:w="4536" w:type="dxa"/>
            <w:vAlign w:val="center"/>
          </w:tcPr>
          <w:p w14:paraId="7FDB2590">
            <w:pPr>
              <w:pStyle w:val="18"/>
              <w:rPr>
                <w:rFonts w:hint="eastAsia" w:ascii="宋体" w:hAnsi="宋体" w:eastAsia="宋体" w:cs="宋体"/>
                <w:color w:val="auto"/>
                <w:highlight w:val="none"/>
              </w:rPr>
            </w:pPr>
            <w:r>
              <w:rPr>
                <w:rFonts w:hint="eastAsia" w:ascii="宋体" w:hAnsi="宋体" w:eastAsia="宋体" w:cs="宋体"/>
                <w:color w:val="auto"/>
                <w:highlight w:val="none"/>
              </w:rPr>
              <w:t>熔纤</w:t>
            </w:r>
          </w:p>
        </w:tc>
        <w:tc>
          <w:tcPr>
            <w:tcW w:w="767" w:type="dxa"/>
            <w:vAlign w:val="center"/>
          </w:tcPr>
          <w:p w14:paraId="153CF7F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96</w:t>
            </w:r>
          </w:p>
        </w:tc>
        <w:tc>
          <w:tcPr>
            <w:tcW w:w="852" w:type="dxa"/>
            <w:vAlign w:val="center"/>
          </w:tcPr>
          <w:p w14:paraId="5F01222E">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芯</w:t>
            </w:r>
          </w:p>
        </w:tc>
        <w:tc>
          <w:tcPr>
            <w:tcW w:w="1341" w:type="dxa"/>
            <w:noWrap/>
            <w:vAlign w:val="center"/>
          </w:tcPr>
          <w:p w14:paraId="4989370C">
            <w:pPr>
              <w:pStyle w:val="18"/>
              <w:jc w:val="center"/>
              <w:rPr>
                <w:rFonts w:hint="eastAsia" w:ascii="宋体" w:hAnsi="宋体" w:eastAsia="宋体" w:cs="宋体"/>
                <w:color w:val="auto"/>
                <w:highlight w:val="none"/>
              </w:rPr>
            </w:pPr>
          </w:p>
        </w:tc>
        <w:tc>
          <w:tcPr>
            <w:tcW w:w="980" w:type="dxa"/>
            <w:noWrap/>
            <w:vAlign w:val="center"/>
          </w:tcPr>
          <w:p w14:paraId="30119643">
            <w:pPr>
              <w:pStyle w:val="18"/>
              <w:jc w:val="center"/>
              <w:rPr>
                <w:rFonts w:hint="eastAsia" w:ascii="宋体" w:hAnsi="宋体" w:eastAsia="宋体" w:cs="宋体"/>
                <w:color w:val="auto"/>
                <w:highlight w:val="none"/>
              </w:rPr>
            </w:pPr>
          </w:p>
        </w:tc>
        <w:tc>
          <w:tcPr>
            <w:tcW w:w="1497" w:type="dxa"/>
            <w:noWrap/>
            <w:vAlign w:val="center"/>
          </w:tcPr>
          <w:p w14:paraId="779360E0">
            <w:pPr>
              <w:pStyle w:val="18"/>
              <w:jc w:val="center"/>
              <w:rPr>
                <w:rFonts w:hint="eastAsia" w:ascii="宋体" w:hAnsi="宋体" w:eastAsia="宋体" w:cs="宋体"/>
                <w:color w:val="auto"/>
                <w:highlight w:val="none"/>
              </w:rPr>
            </w:pPr>
          </w:p>
        </w:tc>
        <w:tc>
          <w:tcPr>
            <w:tcW w:w="1559" w:type="dxa"/>
            <w:noWrap/>
            <w:vAlign w:val="center"/>
          </w:tcPr>
          <w:p w14:paraId="6BF87BFD">
            <w:pPr>
              <w:pStyle w:val="18"/>
              <w:jc w:val="center"/>
              <w:rPr>
                <w:rFonts w:hint="eastAsia" w:ascii="宋体" w:hAnsi="宋体" w:eastAsia="宋体" w:cs="宋体"/>
                <w:color w:val="auto"/>
                <w:highlight w:val="none"/>
              </w:rPr>
            </w:pPr>
          </w:p>
        </w:tc>
        <w:tc>
          <w:tcPr>
            <w:tcW w:w="709" w:type="dxa"/>
            <w:noWrap/>
            <w:vAlign w:val="center"/>
          </w:tcPr>
          <w:p w14:paraId="36B99A9D">
            <w:pPr>
              <w:pStyle w:val="18"/>
              <w:jc w:val="center"/>
              <w:rPr>
                <w:rFonts w:hint="eastAsia" w:ascii="宋体" w:hAnsi="宋体" w:eastAsia="宋体" w:cs="宋体"/>
                <w:color w:val="auto"/>
                <w:highlight w:val="none"/>
              </w:rPr>
            </w:pPr>
          </w:p>
        </w:tc>
      </w:tr>
      <w:tr w14:paraId="674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3EBE5354">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9</w:t>
            </w:r>
          </w:p>
        </w:tc>
        <w:tc>
          <w:tcPr>
            <w:tcW w:w="4536" w:type="dxa"/>
            <w:vAlign w:val="center"/>
          </w:tcPr>
          <w:p w14:paraId="268F8F1D">
            <w:pPr>
              <w:pStyle w:val="18"/>
              <w:rPr>
                <w:rFonts w:hint="eastAsia" w:ascii="宋体" w:hAnsi="宋体" w:eastAsia="宋体" w:cs="宋体"/>
                <w:color w:val="auto"/>
                <w:highlight w:val="none"/>
              </w:rPr>
            </w:pPr>
            <w:r>
              <w:rPr>
                <w:rFonts w:hint="eastAsia" w:ascii="宋体" w:hAnsi="宋体" w:eastAsia="宋体" w:cs="宋体"/>
                <w:color w:val="auto"/>
                <w:highlight w:val="none"/>
              </w:rPr>
              <w:t>光纤配线架（单模24芯）</w:t>
            </w:r>
          </w:p>
        </w:tc>
        <w:tc>
          <w:tcPr>
            <w:tcW w:w="767" w:type="dxa"/>
            <w:vAlign w:val="center"/>
          </w:tcPr>
          <w:p w14:paraId="6C721DF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852" w:type="dxa"/>
            <w:vAlign w:val="center"/>
          </w:tcPr>
          <w:p w14:paraId="70F4125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个</w:t>
            </w:r>
          </w:p>
        </w:tc>
        <w:tc>
          <w:tcPr>
            <w:tcW w:w="1341" w:type="dxa"/>
            <w:noWrap/>
            <w:vAlign w:val="center"/>
          </w:tcPr>
          <w:p w14:paraId="5E70D226">
            <w:pPr>
              <w:pStyle w:val="18"/>
              <w:jc w:val="center"/>
              <w:rPr>
                <w:rFonts w:hint="eastAsia" w:ascii="宋体" w:hAnsi="宋体" w:eastAsia="宋体" w:cs="宋体"/>
                <w:color w:val="auto"/>
                <w:highlight w:val="none"/>
              </w:rPr>
            </w:pPr>
          </w:p>
        </w:tc>
        <w:tc>
          <w:tcPr>
            <w:tcW w:w="980" w:type="dxa"/>
            <w:noWrap/>
            <w:vAlign w:val="center"/>
          </w:tcPr>
          <w:p w14:paraId="293AD259">
            <w:pPr>
              <w:pStyle w:val="18"/>
              <w:jc w:val="center"/>
              <w:rPr>
                <w:rFonts w:hint="eastAsia" w:ascii="宋体" w:hAnsi="宋体" w:eastAsia="宋体" w:cs="宋体"/>
                <w:color w:val="auto"/>
                <w:highlight w:val="none"/>
              </w:rPr>
            </w:pPr>
          </w:p>
        </w:tc>
        <w:tc>
          <w:tcPr>
            <w:tcW w:w="1497" w:type="dxa"/>
            <w:noWrap/>
            <w:vAlign w:val="center"/>
          </w:tcPr>
          <w:p w14:paraId="4FC1E93C">
            <w:pPr>
              <w:pStyle w:val="18"/>
              <w:jc w:val="center"/>
              <w:rPr>
                <w:rFonts w:hint="eastAsia" w:ascii="宋体" w:hAnsi="宋体" w:eastAsia="宋体" w:cs="宋体"/>
                <w:color w:val="auto"/>
                <w:highlight w:val="none"/>
              </w:rPr>
            </w:pPr>
          </w:p>
        </w:tc>
        <w:tc>
          <w:tcPr>
            <w:tcW w:w="1559" w:type="dxa"/>
            <w:noWrap/>
            <w:vAlign w:val="center"/>
          </w:tcPr>
          <w:p w14:paraId="5D1D86E6">
            <w:pPr>
              <w:pStyle w:val="18"/>
              <w:jc w:val="center"/>
              <w:rPr>
                <w:rFonts w:hint="eastAsia" w:ascii="宋体" w:hAnsi="宋体" w:eastAsia="宋体" w:cs="宋体"/>
                <w:color w:val="auto"/>
                <w:highlight w:val="none"/>
              </w:rPr>
            </w:pPr>
          </w:p>
        </w:tc>
        <w:tc>
          <w:tcPr>
            <w:tcW w:w="709" w:type="dxa"/>
            <w:noWrap/>
            <w:vAlign w:val="center"/>
          </w:tcPr>
          <w:p w14:paraId="50CD192B">
            <w:pPr>
              <w:pStyle w:val="18"/>
              <w:jc w:val="center"/>
              <w:rPr>
                <w:rFonts w:hint="eastAsia" w:ascii="宋体" w:hAnsi="宋体" w:eastAsia="宋体" w:cs="宋体"/>
                <w:color w:val="auto"/>
                <w:highlight w:val="none"/>
              </w:rPr>
            </w:pPr>
          </w:p>
        </w:tc>
      </w:tr>
      <w:tr w14:paraId="436D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34FEE9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10</w:t>
            </w:r>
          </w:p>
        </w:tc>
        <w:tc>
          <w:tcPr>
            <w:tcW w:w="4536" w:type="dxa"/>
            <w:vAlign w:val="center"/>
          </w:tcPr>
          <w:p w14:paraId="3C7FE653">
            <w:pPr>
              <w:pStyle w:val="18"/>
              <w:rPr>
                <w:rFonts w:hint="eastAsia" w:ascii="宋体" w:hAnsi="宋体" w:eastAsia="宋体" w:cs="宋体"/>
                <w:color w:val="auto"/>
                <w:highlight w:val="none"/>
              </w:rPr>
            </w:pPr>
            <w:r>
              <w:rPr>
                <w:rFonts w:hint="eastAsia" w:ascii="宋体" w:hAnsi="宋体" w:eastAsia="宋体" w:cs="宋体"/>
                <w:color w:val="auto"/>
                <w:highlight w:val="none"/>
              </w:rPr>
              <w:t>全千兆交换机24口交换机</w:t>
            </w:r>
          </w:p>
        </w:tc>
        <w:tc>
          <w:tcPr>
            <w:tcW w:w="767" w:type="dxa"/>
            <w:vAlign w:val="center"/>
          </w:tcPr>
          <w:p w14:paraId="11B3DA1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852" w:type="dxa"/>
            <w:vAlign w:val="center"/>
          </w:tcPr>
          <w:p w14:paraId="3BC2795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341" w:type="dxa"/>
            <w:noWrap/>
            <w:vAlign w:val="center"/>
          </w:tcPr>
          <w:p w14:paraId="2EB53E3E">
            <w:pPr>
              <w:pStyle w:val="18"/>
              <w:jc w:val="center"/>
              <w:rPr>
                <w:rFonts w:hint="eastAsia" w:ascii="宋体" w:hAnsi="宋体" w:eastAsia="宋体" w:cs="宋体"/>
                <w:color w:val="auto"/>
                <w:highlight w:val="none"/>
              </w:rPr>
            </w:pPr>
          </w:p>
        </w:tc>
        <w:tc>
          <w:tcPr>
            <w:tcW w:w="980" w:type="dxa"/>
            <w:noWrap/>
            <w:vAlign w:val="center"/>
          </w:tcPr>
          <w:p w14:paraId="7A21A93C">
            <w:pPr>
              <w:pStyle w:val="18"/>
              <w:jc w:val="center"/>
              <w:rPr>
                <w:rFonts w:hint="eastAsia" w:ascii="宋体" w:hAnsi="宋体" w:eastAsia="宋体" w:cs="宋体"/>
                <w:color w:val="auto"/>
                <w:highlight w:val="none"/>
              </w:rPr>
            </w:pPr>
          </w:p>
        </w:tc>
        <w:tc>
          <w:tcPr>
            <w:tcW w:w="1497" w:type="dxa"/>
            <w:noWrap/>
            <w:vAlign w:val="center"/>
          </w:tcPr>
          <w:p w14:paraId="0B4CC49D">
            <w:pPr>
              <w:pStyle w:val="18"/>
              <w:jc w:val="center"/>
              <w:rPr>
                <w:rFonts w:hint="eastAsia" w:ascii="宋体" w:hAnsi="宋体" w:eastAsia="宋体" w:cs="宋体"/>
                <w:color w:val="auto"/>
                <w:highlight w:val="none"/>
              </w:rPr>
            </w:pPr>
          </w:p>
        </w:tc>
        <w:tc>
          <w:tcPr>
            <w:tcW w:w="1559" w:type="dxa"/>
            <w:noWrap/>
            <w:vAlign w:val="center"/>
          </w:tcPr>
          <w:p w14:paraId="1B1F6453">
            <w:pPr>
              <w:pStyle w:val="18"/>
              <w:jc w:val="center"/>
              <w:rPr>
                <w:rFonts w:hint="eastAsia" w:ascii="宋体" w:hAnsi="宋体" w:eastAsia="宋体" w:cs="宋体"/>
                <w:color w:val="auto"/>
                <w:highlight w:val="none"/>
              </w:rPr>
            </w:pPr>
          </w:p>
        </w:tc>
        <w:tc>
          <w:tcPr>
            <w:tcW w:w="709" w:type="dxa"/>
            <w:noWrap/>
            <w:vAlign w:val="center"/>
          </w:tcPr>
          <w:p w14:paraId="1E587ADA">
            <w:pPr>
              <w:pStyle w:val="18"/>
              <w:jc w:val="center"/>
              <w:rPr>
                <w:rFonts w:hint="eastAsia" w:ascii="宋体" w:hAnsi="宋体" w:eastAsia="宋体" w:cs="宋体"/>
                <w:color w:val="auto"/>
                <w:highlight w:val="none"/>
              </w:rPr>
            </w:pPr>
          </w:p>
        </w:tc>
      </w:tr>
      <w:tr w14:paraId="62EB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658F2095">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11</w:t>
            </w:r>
          </w:p>
        </w:tc>
        <w:tc>
          <w:tcPr>
            <w:tcW w:w="4536" w:type="dxa"/>
            <w:vAlign w:val="center"/>
          </w:tcPr>
          <w:p w14:paraId="3EE1D277">
            <w:pPr>
              <w:pStyle w:val="18"/>
              <w:rPr>
                <w:rFonts w:hint="eastAsia" w:ascii="宋体" w:hAnsi="宋体" w:eastAsia="宋体" w:cs="宋体"/>
                <w:color w:val="auto"/>
                <w:highlight w:val="none"/>
              </w:rPr>
            </w:pPr>
            <w:r>
              <w:rPr>
                <w:rFonts w:hint="eastAsia" w:ascii="宋体" w:hAnsi="宋体" w:eastAsia="宋体" w:cs="宋体"/>
                <w:color w:val="auto"/>
                <w:highlight w:val="none"/>
              </w:rPr>
              <w:t>配线架理线器</w:t>
            </w:r>
          </w:p>
        </w:tc>
        <w:tc>
          <w:tcPr>
            <w:tcW w:w="767" w:type="dxa"/>
            <w:vAlign w:val="center"/>
          </w:tcPr>
          <w:p w14:paraId="7853ED0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852" w:type="dxa"/>
            <w:vAlign w:val="center"/>
          </w:tcPr>
          <w:p w14:paraId="46B82E0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22CACDB0">
            <w:pPr>
              <w:pStyle w:val="18"/>
              <w:jc w:val="center"/>
              <w:rPr>
                <w:rFonts w:hint="eastAsia" w:ascii="宋体" w:hAnsi="宋体" w:eastAsia="宋体" w:cs="宋体"/>
                <w:color w:val="auto"/>
                <w:highlight w:val="none"/>
              </w:rPr>
            </w:pPr>
          </w:p>
        </w:tc>
        <w:tc>
          <w:tcPr>
            <w:tcW w:w="980" w:type="dxa"/>
            <w:noWrap/>
            <w:vAlign w:val="center"/>
          </w:tcPr>
          <w:p w14:paraId="5941982D">
            <w:pPr>
              <w:pStyle w:val="18"/>
              <w:jc w:val="center"/>
              <w:rPr>
                <w:rFonts w:hint="eastAsia" w:ascii="宋体" w:hAnsi="宋体" w:eastAsia="宋体" w:cs="宋体"/>
                <w:color w:val="auto"/>
                <w:highlight w:val="none"/>
              </w:rPr>
            </w:pPr>
          </w:p>
        </w:tc>
        <w:tc>
          <w:tcPr>
            <w:tcW w:w="1497" w:type="dxa"/>
            <w:noWrap/>
            <w:vAlign w:val="center"/>
          </w:tcPr>
          <w:p w14:paraId="453AFEEF">
            <w:pPr>
              <w:pStyle w:val="18"/>
              <w:jc w:val="center"/>
              <w:rPr>
                <w:rFonts w:hint="eastAsia" w:ascii="宋体" w:hAnsi="宋体" w:eastAsia="宋体" w:cs="宋体"/>
                <w:color w:val="auto"/>
                <w:highlight w:val="none"/>
              </w:rPr>
            </w:pPr>
          </w:p>
        </w:tc>
        <w:tc>
          <w:tcPr>
            <w:tcW w:w="1559" w:type="dxa"/>
            <w:noWrap/>
            <w:vAlign w:val="center"/>
          </w:tcPr>
          <w:p w14:paraId="0352F982">
            <w:pPr>
              <w:pStyle w:val="18"/>
              <w:jc w:val="center"/>
              <w:rPr>
                <w:rFonts w:hint="eastAsia" w:ascii="宋体" w:hAnsi="宋体" w:eastAsia="宋体" w:cs="宋体"/>
                <w:color w:val="auto"/>
                <w:highlight w:val="none"/>
              </w:rPr>
            </w:pPr>
          </w:p>
        </w:tc>
        <w:tc>
          <w:tcPr>
            <w:tcW w:w="709" w:type="dxa"/>
            <w:noWrap/>
            <w:vAlign w:val="center"/>
          </w:tcPr>
          <w:p w14:paraId="213AAC2C">
            <w:pPr>
              <w:pStyle w:val="18"/>
              <w:jc w:val="center"/>
              <w:rPr>
                <w:rFonts w:hint="eastAsia" w:ascii="宋体" w:hAnsi="宋体" w:eastAsia="宋体" w:cs="宋体"/>
                <w:color w:val="auto"/>
                <w:highlight w:val="none"/>
              </w:rPr>
            </w:pPr>
          </w:p>
        </w:tc>
      </w:tr>
      <w:tr w14:paraId="5002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C1BCDDA">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12</w:t>
            </w:r>
          </w:p>
        </w:tc>
        <w:tc>
          <w:tcPr>
            <w:tcW w:w="4536" w:type="dxa"/>
            <w:vAlign w:val="center"/>
          </w:tcPr>
          <w:p w14:paraId="21B4ED54">
            <w:pPr>
              <w:pStyle w:val="18"/>
              <w:rPr>
                <w:rFonts w:hint="eastAsia" w:ascii="宋体" w:hAnsi="宋体" w:eastAsia="宋体" w:cs="宋体"/>
                <w:color w:val="auto"/>
                <w:highlight w:val="none"/>
              </w:rPr>
            </w:pPr>
            <w:r>
              <w:rPr>
                <w:rFonts w:hint="eastAsia" w:ascii="宋体" w:hAnsi="宋体" w:eastAsia="宋体" w:cs="宋体"/>
                <w:color w:val="auto"/>
                <w:highlight w:val="none"/>
              </w:rPr>
              <w:t>网线</w:t>
            </w:r>
          </w:p>
        </w:tc>
        <w:tc>
          <w:tcPr>
            <w:tcW w:w="767" w:type="dxa"/>
            <w:vAlign w:val="center"/>
          </w:tcPr>
          <w:p w14:paraId="35016DC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6000</w:t>
            </w:r>
          </w:p>
        </w:tc>
        <w:tc>
          <w:tcPr>
            <w:tcW w:w="852" w:type="dxa"/>
            <w:vAlign w:val="center"/>
          </w:tcPr>
          <w:p w14:paraId="12DD695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c>
          <w:tcPr>
            <w:tcW w:w="1341" w:type="dxa"/>
            <w:noWrap/>
            <w:vAlign w:val="center"/>
          </w:tcPr>
          <w:p w14:paraId="531E5C8F">
            <w:pPr>
              <w:pStyle w:val="18"/>
              <w:jc w:val="center"/>
              <w:rPr>
                <w:rFonts w:hint="eastAsia" w:ascii="宋体" w:hAnsi="宋体" w:eastAsia="宋体" w:cs="宋体"/>
                <w:color w:val="auto"/>
                <w:highlight w:val="none"/>
              </w:rPr>
            </w:pPr>
          </w:p>
        </w:tc>
        <w:tc>
          <w:tcPr>
            <w:tcW w:w="980" w:type="dxa"/>
            <w:noWrap/>
            <w:vAlign w:val="center"/>
          </w:tcPr>
          <w:p w14:paraId="4ED1B7C2">
            <w:pPr>
              <w:pStyle w:val="18"/>
              <w:jc w:val="center"/>
              <w:rPr>
                <w:rFonts w:hint="eastAsia" w:ascii="宋体" w:hAnsi="宋体" w:eastAsia="宋体" w:cs="宋体"/>
                <w:color w:val="auto"/>
                <w:highlight w:val="none"/>
              </w:rPr>
            </w:pPr>
          </w:p>
        </w:tc>
        <w:tc>
          <w:tcPr>
            <w:tcW w:w="1497" w:type="dxa"/>
            <w:noWrap/>
            <w:vAlign w:val="center"/>
          </w:tcPr>
          <w:p w14:paraId="7480C4AD">
            <w:pPr>
              <w:pStyle w:val="18"/>
              <w:jc w:val="center"/>
              <w:rPr>
                <w:rFonts w:hint="eastAsia" w:ascii="宋体" w:hAnsi="宋体" w:eastAsia="宋体" w:cs="宋体"/>
                <w:color w:val="auto"/>
                <w:highlight w:val="none"/>
              </w:rPr>
            </w:pPr>
          </w:p>
        </w:tc>
        <w:tc>
          <w:tcPr>
            <w:tcW w:w="1559" w:type="dxa"/>
            <w:noWrap/>
            <w:vAlign w:val="center"/>
          </w:tcPr>
          <w:p w14:paraId="0B06294C">
            <w:pPr>
              <w:pStyle w:val="18"/>
              <w:jc w:val="center"/>
              <w:rPr>
                <w:rFonts w:hint="eastAsia" w:ascii="宋体" w:hAnsi="宋体" w:eastAsia="宋体" w:cs="宋体"/>
                <w:color w:val="auto"/>
                <w:highlight w:val="none"/>
              </w:rPr>
            </w:pPr>
          </w:p>
        </w:tc>
        <w:tc>
          <w:tcPr>
            <w:tcW w:w="709" w:type="dxa"/>
            <w:noWrap/>
            <w:vAlign w:val="center"/>
          </w:tcPr>
          <w:p w14:paraId="066AF33F">
            <w:pPr>
              <w:pStyle w:val="18"/>
              <w:jc w:val="center"/>
              <w:rPr>
                <w:rFonts w:hint="eastAsia" w:ascii="宋体" w:hAnsi="宋体" w:eastAsia="宋体" w:cs="宋体"/>
                <w:color w:val="auto"/>
                <w:highlight w:val="none"/>
              </w:rPr>
            </w:pPr>
          </w:p>
        </w:tc>
      </w:tr>
      <w:tr w14:paraId="436F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9E5E90D">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13</w:t>
            </w:r>
          </w:p>
        </w:tc>
        <w:tc>
          <w:tcPr>
            <w:tcW w:w="4536" w:type="dxa"/>
            <w:vAlign w:val="center"/>
          </w:tcPr>
          <w:p w14:paraId="542A601A">
            <w:pPr>
              <w:pStyle w:val="18"/>
              <w:rPr>
                <w:rFonts w:hint="eastAsia" w:ascii="宋体" w:hAnsi="宋体" w:eastAsia="宋体" w:cs="宋体"/>
                <w:color w:val="auto"/>
                <w:highlight w:val="none"/>
              </w:rPr>
            </w:pPr>
            <w:r>
              <w:rPr>
                <w:rFonts w:hint="eastAsia" w:ascii="宋体" w:hAnsi="宋体" w:eastAsia="宋体" w:cs="宋体"/>
                <w:color w:val="auto"/>
                <w:highlight w:val="none"/>
              </w:rPr>
              <w:t>信息插座</w:t>
            </w:r>
          </w:p>
        </w:tc>
        <w:tc>
          <w:tcPr>
            <w:tcW w:w="767" w:type="dxa"/>
            <w:vAlign w:val="center"/>
          </w:tcPr>
          <w:p w14:paraId="78B5B11D">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145</w:t>
            </w:r>
          </w:p>
        </w:tc>
        <w:tc>
          <w:tcPr>
            <w:tcW w:w="852" w:type="dxa"/>
            <w:vAlign w:val="center"/>
          </w:tcPr>
          <w:p w14:paraId="6D58A669">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7CF4F42A">
            <w:pPr>
              <w:pStyle w:val="18"/>
              <w:jc w:val="center"/>
              <w:rPr>
                <w:rFonts w:hint="eastAsia" w:ascii="宋体" w:hAnsi="宋体" w:eastAsia="宋体" w:cs="宋体"/>
                <w:color w:val="auto"/>
                <w:highlight w:val="none"/>
              </w:rPr>
            </w:pPr>
          </w:p>
        </w:tc>
        <w:tc>
          <w:tcPr>
            <w:tcW w:w="980" w:type="dxa"/>
            <w:noWrap/>
            <w:vAlign w:val="center"/>
          </w:tcPr>
          <w:p w14:paraId="5C47F05C">
            <w:pPr>
              <w:pStyle w:val="18"/>
              <w:jc w:val="center"/>
              <w:rPr>
                <w:rFonts w:hint="eastAsia" w:ascii="宋体" w:hAnsi="宋体" w:eastAsia="宋体" w:cs="宋体"/>
                <w:color w:val="auto"/>
                <w:highlight w:val="none"/>
              </w:rPr>
            </w:pPr>
          </w:p>
        </w:tc>
        <w:tc>
          <w:tcPr>
            <w:tcW w:w="1497" w:type="dxa"/>
            <w:noWrap/>
            <w:vAlign w:val="center"/>
          </w:tcPr>
          <w:p w14:paraId="08738516">
            <w:pPr>
              <w:pStyle w:val="18"/>
              <w:jc w:val="center"/>
              <w:rPr>
                <w:rFonts w:hint="eastAsia" w:ascii="宋体" w:hAnsi="宋体" w:eastAsia="宋体" w:cs="宋体"/>
                <w:color w:val="auto"/>
                <w:highlight w:val="none"/>
              </w:rPr>
            </w:pPr>
          </w:p>
        </w:tc>
        <w:tc>
          <w:tcPr>
            <w:tcW w:w="1559" w:type="dxa"/>
            <w:noWrap/>
            <w:vAlign w:val="center"/>
          </w:tcPr>
          <w:p w14:paraId="52C5453A">
            <w:pPr>
              <w:pStyle w:val="18"/>
              <w:jc w:val="center"/>
              <w:rPr>
                <w:rFonts w:hint="eastAsia" w:ascii="宋体" w:hAnsi="宋体" w:eastAsia="宋体" w:cs="宋体"/>
                <w:color w:val="auto"/>
                <w:highlight w:val="none"/>
              </w:rPr>
            </w:pPr>
          </w:p>
        </w:tc>
        <w:tc>
          <w:tcPr>
            <w:tcW w:w="709" w:type="dxa"/>
            <w:noWrap/>
            <w:vAlign w:val="center"/>
          </w:tcPr>
          <w:p w14:paraId="74FDB0A9">
            <w:pPr>
              <w:pStyle w:val="18"/>
              <w:jc w:val="center"/>
              <w:rPr>
                <w:rFonts w:hint="eastAsia" w:ascii="宋体" w:hAnsi="宋体" w:eastAsia="宋体" w:cs="宋体"/>
                <w:color w:val="auto"/>
                <w:highlight w:val="none"/>
              </w:rPr>
            </w:pPr>
          </w:p>
        </w:tc>
      </w:tr>
      <w:tr w14:paraId="0A3D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1F168F9B">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14</w:t>
            </w:r>
          </w:p>
        </w:tc>
        <w:tc>
          <w:tcPr>
            <w:tcW w:w="4536" w:type="dxa"/>
            <w:vAlign w:val="center"/>
          </w:tcPr>
          <w:p w14:paraId="3F8FF730">
            <w:pPr>
              <w:pStyle w:val="18"/>
              <w:rPr>
                <w:rFonts w:hint="eastAsia" w:ascii="宋体" w:hAnsi="宋体" w:eastAsia="宋体" w:cs="宋体"/>
                <w:color w:val="auto"/>
                <w:highlight w:val="none"/>
              </w:rPr>
            </w:pPr>
            <w:r>
              <w:rPr>
                <w:rFonts w:hint="eastAsia" w:ascii="宋体" w:hAnsi="宋体" w:eastAsia="宋体" w:cs="宋体"/>
                <w:color w:val="auto"/>
                <w:highlight w:val="none"/>
              </w:rPr>
              <w:t>综合布线</w:t>
            </w:r>
          </w:p>
        </w:tc>
        <w:tc>
          <w:tcPr>
            <w:tcW w:w="767" w:type="dxa"/>
            <w:vAlign w:val="center"/>
          </w:tcPr>
          <w:p w14:paraId="110ACA07">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6000</w:t>
            </w:r>
          </w:p>
        </w:tc>
        <w:tc>
          <w:tcPr>
            <w:tcW w:w="852" w:type="dxa"/>
            <w:vAlign w:val="center"/>
          </w:tcPr>
          <w:p w14:paraId="65F51CFF">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c>
          <w:tcPr>
            <w:tcW w:w="1341" w:type="dxa"/>
            <w:noWrap/>
            <w:vAlign w:val="center"/>
          </w:tcPr>
          <w:p w14:paraId="07665428">
            <w:pPr>
              <w:pStyle w:val="18"/>
              <w:jc w:val="center"/>
              <w:rPr>
                <w:rFonts w:hint="eastAsia" w:ascii="宋体" w:hAnsi="宋体" w:eastAsia="宋体" w:cs="宋体"/>
                <w:color w:val="auto"/>
                <w:highlight w:val="none"/>
              </w:rPr>
            </w:pPr>
          </w:p>
        </w:tc>
        <w:tc>
          <w:tcPr>
            <w:tcW w:w="980" w:type="dxa"/>
            <w:noWrap/>
            <w:vAlign w:val="center"/>
          </w:tcPr>
          <w:p w14:paraId="7BB73D1F">
            <w:pPr>
              <w:pStyle w:val="18"/>
              <w:jc w:val="center"/>
              <w:rPr>
                <w:rFonts w:hint="eastAsia" w:ascii="宋体" w:hAnsi="宋体" w:eastAsia="宋体" w:cs="宋体"/>
                <w:color w:val="auto"/>
                <w:highlight w:val="none"/>
              </w:rPr>
            </w:pPr>
          </w:p>
        </w:tc>
        <w:tc>
          <w:tcPr>
            <w:tcW w:w="1497" w:type="dxa"/>
            <w:noWrap/>
            <w:vAlign w:val="center"/>
          </w:tcPr>
          <w:p w14:paraId="7D2CBA21">
            <w:pPr>
              <w:pStyle w:val="18"/>
              <w:jc w:val="center"/>
              <w:rPr>
                <w:rFonts w:hint="eastAsia" w:ascii="宋体" w:hAnsi="宋体" w:eastAsia="宋体" w:cs="宋体"/>
                <w:color w:val="auto"/>
                <w:highlight w:val="none"/>
              </w:rPr>
            </w:pPr>
          </w:p>
        </w:tc>
        <w:tc>
          <w:tcPr>
            <w:tcW w:w="1559" w:type="dxa"/>
            <w:noWrap/>
            <w:vAlign w:val="center"/>
          </w:tcPr>
          <w:p w14:paraId="37ED7CC6">
            <w:pPr>
              <w:pStyle w:val="18"/>
              <w:jc w:val="center"/>
              <w:rPr>
                <w:rFonts w:hint="eastAsia" w:ascii="宋体" w:hAnsi="宋体" w:eastAsia="宋体" w:cs="宋体"/>
                <w:color w:val="auto"/>
                <w:highlight w:val="none"/>
              </w:rPr>
            </w:pPr>
          </w:p>
        </w:tc>
        <w:tc>
          <w:tcPr>
            <w:tcW w:w="709" w:type="dxa"/>
            <w:noWrap/>
            <w:vAlign w:val="center"/>
          </w:tcPr>
          <w:p w14:paraId="2CD88A47">
            <w:pPr>
              <w:pStyle w:val="18"/>
              <w:jc w:val="center"/>
              <w:rPr>
                <w:rFonts w:hint="eastAsia" w:ascii="宋体" w:hAnsi="宋体" w:eastAsia="宋体" w:cs="宋体"/>
                <w:color w:val="auto"/>
                <w:highlight w:val="none"/>
              </w:rPr>
            </w:pPr>
          </w:p>
        </w:tc>
      </w:tr>
      <w:tr w14:paraId="05EA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76F7147B">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15</w:t>
            </w:r>
          </w:p>
        </w:tc>
        <w:tc>
          <w:tcPr>
            <w:tcW w:w="4536" w:type="dxa"/>
            <w:vAlign w:val="center"/>
          </w:tcPr>
          <w:p w14:paraId="7FD9A82B">
            <w:pPr>
              <w:pStyle w:val="18"/>
              <w:rPr>
                <w:rFonts w:hint="eastAsia" w:ascii="宋体" w:hAnsi="宋体" w:eastAsia="宋体" w:cs="宋体"/>
                <w:color w:val="auto"/>
                <w:highlight w:val="none"/>
              </w:rPr>
            </w:pPr>
            <w:r>
              <w:rPr>
                <w:rFonts w:hint="eastAsia" w:ascii="宋体" w:hAnsi="宋体" w:eastAsia="宋体" w:cs="宋体"/>
                <w:color w:val="auto"/>
                <w:highlight w:val="none"/>
              </w:rPr>
              <w:t>AP安装实施费用</w:t>
            </w:r>
          </w:p>
        </w:tc>
        <w:tc>
          <w:tcPr>
            <w:tcW w:w="767" w:type="dxa"/>
            <w:vAlign w:val="center"/>
          </w:tcPr>
          <w:p w14:paraId="5C1572A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62</w:t>
            </w:r>
          </w:p>
        </w:tc>
        <w:tc>
          <w:tcPr>
            <w:tcW w:w="852" w:type="dxa"/>
            <w:vAlign w:val="center"/>
          </w:tcPr>
          <w:p w14:paraId="3DDB71D1">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26AA24E9">
            <w:pPr>
              <w:pStyle w:val="18"/>
              <w:jc w:val="center"/>
              <w:rPr>
                <w:rFonts w:hint="eastAsia" w:ascii="宋体" w:hAnsi="宋体" w:eastAsia="宋体" w:cs="宋体"/>
                <w:color w:val="auto"/>
                <w:highlight w:val="none"/>
              </w:rPr>
            </w:pPr>
          </w:p>
        </w:tc>
        <w:tc>
          <w:tcPr>
            <w:tcW w:w="980" w:type="dxa"/>
            <w:noWrap/>
            <w:vAlign w:val="center"/>
          </w:tcPr>
          <w:p w14:paraId="6856CB25">
            <w:pPr>
              <w:pStyle w:val="18"/>
              <w:jc w:val="center"/>
              <w:rPr>
                <w:rFonts w:hint="eastAsia" w:ascii="宋体" w:hAnsi="宋体" w:eastAsia="宋体" w:cs="宋体"/>
                <w:color w:val="auto"/>
                <w:highlight w:val="none"/>
              </w:rPr>
            </w:pPr>
          </w:p>
        </w:tc>
        <w:tc>
          <w:tcPr>
            <w:tcW w:w="1497" w:type="dxa"/>
            <w:noWrap/>
            <w:vAlign w:val="center"/>
          </w:tcPr>
          <w:p w14:paraId="236671B2">
            <w:pPr>
              <w:pStyle w:val="18"/>
              <w:jc w:val="center"/>
              <w:rPr>
                <w:rFonts w:hint="eastAsia" w:ascii="宋体" w:hAnsi="宋体" w:eastAsia="宋体" w:cs="宋体"/>
                <w:color w:val="auto"/>
                <w:highlight w:val="none"/>
              </w:rPr>
            </w:pPr>
          </w:p>
        </w:tc>
        <w:tc>
          <w:tcPr>
            <w:tcW w:w="1559" w:type="dxa"/>
            <w:noWrap/>
            <w:vAlign w:val="center"/>
          </w:tcPr>
          <w:p w14:paraId="2C2491EE">
            <w:pPr>
              <w:pStyle w:val="18"/>
              <w:jc w:val="center"/>
              <w:rPr>
                <w:rFonts w:hint="eastAsia" w:ascii="宋体" w:hAnsi="宋体" w:eastAsia="宋体" w:cs="宋体"/>
                <w:color w:val="auto"/>
                <w:highlight w:val="none"/>
              </w:rPr>
            </w:pPr>
          </w:p>
        </w:tc>
        <w:tc>
          <w:tcPr>
            <w:tcW w:w="709" w:type="dxa"/>
            <w:noWrap/>
            <w:vAlign w:val="center"/>
          </w:tcPr>
          <w:p w14:paraId="11FF3041">
            <w:pPr>
              <w:pStyle w:val="18"/>
              <w:jc w:val="center"/>
              <w:rPr>
                <w:rFonts w:hint="eastAsia" w:ascii="宋体" w:hAnsi="宋体" w:eastAsia="宋体" w:cs="宋体"/>
                <w:color w:val="auto"/>
                <w:highlight w:val="none"/>
              </w:rPr>
            </w:pPr>
          </w:p>
        </w:tc>
      </w:tr>
      <w:tr w14:paraId="228A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203150DD">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16</w:t>
            </w:r>
          </w:p>
        </w:tc>
        <w:tc>
          <w:tcPr>
            <w:tcW w:w="4536" w:type="dxa"/>
            <w:vAlign w:val="center"/>
          </w:tcPr>
          <w:p w14:paraId="1EF7F745">
            <w:pPr>
              <w:pStyle w:val="18"/>
              <w:rPr>
                <w:rFonts w:hint="eastAsia" w:ascii="宋体" w:hAnsi="宋体" w:eastAsia="宋体" w:cs="宋体"/>
                <w:color w:val="auto"/>
                <w:highlight w:val="none"/>
              </w:rPr>
            </w:pPr>
            <w:r>
              <w:rPr>
                <w:rFonts w:hint="eastAsia" w:ascii="宋体" w:hAnsi="宋体" w:eastAsia="宋体" w:cs="宋体"/>
                <w:color w:val="auto"/>
                <w:highlight w:val="none"/>
              </w:rPr>
              <w:t>设备安装调试费用</w:t>
            </w:r>
          </w:p>
        </w:tc>
        <w:tc>
          <w:tcPr>
            <w:tcW w:w="767" w:type="dxa"/>
            <w:vAlign w:val="center"/>
          </w:tcPr>
          <w:p w14:paraId="29D5C26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83</w:t>
            </w:r>
          </w:p>
        </w:tc>
        <w:tc>
          <w:tcPr>
            <w:tcW w:w="852" w:type="dxa"/>
            <w:vAlign w:val="center"/>
          </w:tcPr>
          <w:p w14:paraId="088F7C9A">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1341" w:type="dxa"/>
            <w:noWrap/>
            <w:vAlign w:val="center"/>
          </w:tcPr>
          <w:p w14:paraId="03ABE69B">
            <w:pPr>
              <w:pStyle w:val="18"/>
              <w:jc w:val="center"/>
              <w:rPr>
                <w:rFonts w:hint="eastAsia" w:ascii="宋体" w:hAnsi="宋体" w:eastAsia="宋体" w:cs="宋体"/>
                <w:color w:val="auto"/>
                <w:highlight w:val="none"/>
              </w:rPr>
            </w:pPr>
          </w:p>
        </w:tc>
        <w:tc>
          <w:tcPr>
            <w:tcW w:w="980" w:type="dxa"/>
            <w:noWrap/>
            <w:vAlign w:val="center"/>
          </w:tcPr>
          <w:p w14:paraId="74BA86CC">
            <w:pPr>
              <w:pStyle w:val="18"/>
              <w:jc w:val="center"/>
              <w:rPr>
                <w:rFonts w:hint="eastAsia" w:ascii="宋体" w:hAnsi="宋体" w:eastAsia="宋体" w:cs="宋体"/>
                <w:color w:val="auto"/>
                <w:highlight w:val="none"/>
              </w:rPr>
            </w:pPr>
          </w:p>
        </w:tc>
        <w:tc>
          <w:tcPr>
            <w:tcW w:w="1497" w:type="dxa"/>
            <w:noWrap/>
            <w:vAlign w:val="center"/>
          </w:tcPr>
          <w:p w14:paraId="4408F0B1">
            <w:pPr>
              <w:pStyle w:val="18"/>
              <w:jc w:val="center"/>
              <w:rPr>
                <w:rFonts w:hint="eastAsia" w:ascii="宋体" w:hAnsi="宋体" w:eastAsia="宋体" w:cs="宋体"/>
                <w:color w:val="auto"/>
                <w:highlight w:val="none"/>
              </w:rPr>
            </w:pPr>
          </w:p>
        </w:tc>
        <w:tc>
          <w:tcPr>
            <w:tcW w:w="1559" w:type="dxa"/>
            <w:noWrap/>
            <w:vAlign w:val="center"/>
          </w:tcPr>
          <w:p w14:paraId="26069C35">
            <w:pPr>
              <w:pStyle w:val="18"/>
              <w:jc w:val="center"/>
              <w:rPr>
                <w:rFonts w:hint="eastAsia" w:ascii="宋体" w:hAnsi="宋体" w:eastAsia="宋体" w:cs="宋体"/>
                <w:color w:val="auto"/>
                <w:highlight w:val="none"/>
              </w:rPr>
            </w:pPr>
          </w:p>
        </w:tc>
        <w:tc>
          <w:tcPr>
            <w:tcW w:w="709" w:type="dxa"/>
            <w:noWrap/>
            <w:vAlign w:val="center"/>
          </w:tcPr>
          <w:p w14:paraId="66A351ED">
            <w:pPr>
              <w:pStyle w:val="18"/>
              <w:jc w:val="center"/>
              <w:rPr>
                <w:rFonts w:hint="eastAsia" w:ascii="宋体" w:hAnsi="宋体" w:eastAsia="宋体" w:cs="宋体"/>
                <w:color w:val="auto"/>
                <w:highlight w:val="none"/>
              </w:rPr>
            </w:pPr>
          </w:p>
        </w:tc>
      </w:tr>
      <w:tr w14:paraId="6B1B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5949CF3">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17</w:t>
            </w:r>
          </w:p>
        </w:tc>
        <w:tc>
          <w:tcPr>
            <w:tcW w:w="4536" w:type="dxa"/>
            <w:vAlign w:val="center"/>
          </w:tcPr>
          <w:p w14:paraId="7155EA7E">
            <w:pPr>
              <w:pStyle w:val="18"/>
              <w:rPr>
                <w:rFonts w:hint="eastAsia" w:ascii="宋体" w:hAnsi="宋体" w:eastAsia="宋体" w:cs="宋体"/>
                <w:color w:val="auto"/>
                <w:highlight w:val="none"/>
              </w:rPr>
            </w:pPr>
            <w:r>
              <w:rPr>
                <w:rFonts w:hint="eastAsia" w:ascii="宋体" w:hAnsi="宋体" w:eastAsia="宋体" w:cs="宋体"/>
                <w:color w:val="auto"/>
                <w:highlight w:val="none"/>
              </w:rPr>
              <w:t>电源线</w:t>
            </w:r>
          </w:p>
        </w:tc>
        <w:tc>
          <w:tcPr>
            <w:tcW w:w="767" w:type="dxa"/>
            <w:vAlign w:val="center"/>
          </w:tcPr>
          <w:p w14:paraId="0811EA4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500</w:t>
            </w:r>
          </w:p>
        </w:tc>
        <w:tc>
          <w:tcPr>
            <w:tcW w:w="852" w:type="dxa"/>
            <w:vAlign w:val="center"/>
          </w:tcPr>
          <w:p w14:paraId="325534B4">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米</w:t>
            </w:r>
          </w:p>
        </w:tc>
        <w:tc>
          <w:tcPr>
            <w:tcW w:w="1341" w:type="dxa"/>
            <w:noWrap/>
            <w:vAlign w:val="center"/>
          </w:tcPr>
          <w:p w14:paraId="09D3BCDA">
            <w:pPr>
              <w:pStyle w:val="18"/>
              <w:jc w:val="center"/>
              <w:rPr>
                <w:rFonts w:hint="eastAsia" w:ascii="宋体" w:hAnsi="宋体" w:eastAsia="宋体" w:cs="宋体"/>
                <w:color w:val="auto"/>
                <w:highlight w:val="none"/>
              </w:rPr>
            </w:pPr>
          </w:p>
        </w:tc>
        <w:tc>
          <w:tcPr>
            <w:tcW w:w="980" w:type="dxa"/>
            <w:noWrap/>
            <w:vAlign w:val="center"/>
          </w:tcPr>
          <w:p w14:paraId="1B00BA69">
            <w:pPr>
              <w:pStyle w:val="18"/>
              <w:jc w:val="center"/>
              <w:rPr>
                <w:rFonts w:hint="eastAsia" w:ascii="宋体" w:hAnsi="宋体" w:eastAsia="宋体" w:cs="宋体"/>
                <w:color w:val="auto"/>
                <w:highlight w:val="none"/>
              </w:rPr>
            </w:pPr>
          </w:p>
        </w:tc>
        <w:tc>
          <w:tcPr>
            <w:tcW w:w="1497" w:type="dxa"/>
            <w:noWrap/>
            <w:vAlign w:val="center"/>
          </w:tcPr>
          <w:p w14:paraId="2F7266F6">
            <w:pPr>
              <w:pStyle w:val="18"/>
              <w:jc w:val="center"/>
              <w:rPr>
                <w:rFonts w:hint="eastAsia" w:ascii="宋体" w:hAnsi="宋体" w:eastAsia="宋体" w:cs="宋体"/>
                <w:color w:val="auto"/>
                <w:highlight w:val="none"/>
              </w:rPr>
            </w:pPr>
          </w:p>
        </w:tc>
        <w:tc>
          <w:tcPr>
            <w:tcW w:w="1559" w:type="dxa"/>
            <w:noWrap/>
            <w:vAlign w:val="center"/>
          </w:tcPr>
          <w:p w14:paraId="52E4BB8A">
            <w:pPr>
              <w:pStyle w:val="18"/>
              <w:jc w:val="center"/>
              <w:rPr>
                <w:rFonts w:hint="eastAsia" w:ascii="宋体" w:hAnsi="宋体" w:eastAsia="宋体" w:cs="宋体"/>
                <w:color w:val="auto"/>
                <w:highlight w:val="none"/>
              </w:rPr>
            </w:pPr>
          </w:p>
        </w:tc>
        <w:tc>
          <w:tcPr>
            <w:tcW w:w="709" w:type="dxa"/>
            <w:noWrap/>
            <w:vAlign w:val="center"/>
          </w:tcPr>
          <w:p w14:paraId="2BFB849C">
            <w:pPr>
              <w:pStyle w:val="18"/>
              <w:jc w:val="center"/>
              <w:rPr>
                <w:rFonts w:hint="eastAsia" w:ascii="宋体" w:hAnsi="宋体" w:eastAsia="宋体" w:cs="宋体"/>
                <w:color w:val="auto"/>
                <w:highlight w:val="none"/>
              </w:rPr>
            </w:pPr>
          </w:p>
        </w:tc>
      </w:tr>
      <w:tr w14:paraId="5086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0BF1137B">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18</w:t>
            </w:r>
          </w:p>
        </w:tc>
        <w:tc>
          <w:tcPr>
            <w:tcW w:w="4536" w:type="dxa"/>
            <w:vAlign w:val="center"/>
          </w:tcPr>
          <w:p w14:paraId="3A851B71">
            <w:pPr>
              <w:pStyle w:val="18"/>
              <w:rPr>
                <w:rFonts w:hint="eastAsia" w:ascii="宋体" w:hAnsi="宋体" w:eastAsia="宋体" w:cs="宋体"/>
                <w:color w:val="auto"/>
                <w:highlight w:val="none"/>
              </w:rPr>
            </w:pPr>
            <w:r>
              <w:rPr>
                <w:rFonts w:hint="eastAsia" w:ascii="宋体" w:hAnsi="宋体" w:eastAsia="宋体" w:cs="宋体"/>
                <w:color w:val="auto"/>
                <w:highlight w:val="none"/>
              </w:rPr>
              <w:t>数据跳线</w:t>
            </w:r>
          </w:p>
        </w:tc>
        <w:tc>
          <w:tcPr>
            <w:tcW w:w="767" w:type="dxa"/>
            <w:vAlign w:val="center"/>
          </w:tcPr>
          <w:p w14:paraId="1F7A9C0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852" w:type="dxa"/>
            <w:vAlign w:val="center"/>
          </w:tcPr>
          <w:p w14:paraId="3DBFF063">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341" w:type="dxa"/>
            <w:noWrap/>
            <w:vAlign w:val="center"/>
          </w:tcPr>
          <w:p w14:paraId="0775E2E1">
            <w:pPr>
              <w:pStyle w:val="18"/>
              <w:jc w:val="center"/>
              <w:rPr>
                <w:rFonts w:hint="eastAsia" w:ascii="宋体" w:hAnsi="宋体" w:eastAsia="宋体" w:cs="宋体"/>
                <w:color w:val="auto"/>
                <w:highlight w:val="none"/>
              </w:rPr>
            </w:pPr>
          </w:p>
        </w:tc>
        <w:tc>
          <w:tcPr>
            <w:tcW w:w="980" w:type="dxa"/>
            <w:noWrap/>
            <w:vAlign w:val="center"/>
          </w:tcPr>
          <w:p w14:paraId="508D8E34">
            <w:pPr>
              <w:pStyle w:val="18"/>
              <w:jc w:val="center"/>
              <w:rPr>
                <w:rFonts w:hint="eastAsia" w:ascii="宋体" w:hAnsi="宋体" w:eastAsia="宋体" w:cs="宋体"/>
                <w:color w:val="auto"/>
                <w:highlight w:val="none"/>
              </w:rPr>
            </w:pPr>
          </w:p>
        </w:tc>
        <w:tc>
          <w:tcPr>
            <w:tcW w:w="1497" w:type="dxa"/>
            <w:noWrap/>
            <w:vAlign w:val="center"/>
          </w:tcPr>
          <w:p w14:paraId="385662F0">
            <w:pPr>
              <w:pStyle w:val="18"/>
              <w:jc w:val="center"/>
              <w:rPr>
                <w:rFonts w:hint="eastAsia" w:ascii="宋体" w:hAnsi="宋体" w:eastAsia="宋体" w:cs="宋体"/>
                <w:color w:val="auto"/>
                <w:highlight w:val="none"/>
              </w:rPr>
            </w:pPr>
          </w:p>
        </w:tc>
        <w:tc>
          <w:tcPr>
            <w:tcW w:w="1559" w:type="dxa"/>
            <w:noWrap/>
            <w:vAlign w:val="center"/>
          </w:tcPr>
          <w:p w14:paraId="651E6601">
            <w:pPr>
              <w:pStyle w:val="18"/>
              <w:jc w:val="center"/>
              <w:rPr>
                <w:rFonts w:hint="eastAsia" w:ascii="宋体" w:hAnsi="宋体" w:eastAsia="宋体" w:cs="宋体"/>
                <w:color w:val="auto"/>
                <w:highlight w:val="none"/>
              </w:rPr>
            </w:pPr>
          </w:p>
        </w:tc>
        <w:tc>
          <w:tcPr>
            <w:tcW w:w="709" w:type="dxa"/>
            <w:noWrap/>
            <w:vAlign w:val="center"/>
          </w:tcPr>
          <w:p w14:paraId="5A3C25E1">
            <w:pPr>
              <w:pStyle w:val="18"/>
              <w:jc w:val="center"/>
              <w:rPr>
                <w:rFonts w:hint="eastAsia" w:ascii="宋体" w:hAnsi="宋体" w:eastAsia="宋体" w:cs="宋体"/>
                <w:color w:val="auto"/>
                <w:highlight w:val="none"/>
              </w:rPr>
            </w:pPr>
          </w:p>
        </w:tc>
      </w:tr>
      <w:tr w14:paraId="6E01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412ECD27">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19</w:t>
            </w:r>
          </w:p>
        </w:tc>
        <w:tc>
          <w:tcPr>
            <w:tcW w:w="4536" w:type="dxa"/>
            <w:vAlign w:val="center"/>
          </w:tcPr>
          <w:p w14:paraId="3B8122B1">
            <w:pPr>
              <w:pStyle w:val="18"/>
              <w:rPr>
                <w:rFonts w:hint="eastAsia" w:ascii="宋体" w:hAnsi="宋体" w:eastAsia="宋体" w:cs="宋体"/>
                <w:color w:val="auto"/>
                <w:highlight w:val="none"/>
              </w:rPr>
            </w:pPr>
            <w:r>
              <w:rPr>
                <w:rFonts w:hint="eastAsia" w:ascii="宋体" w:hAnsi="宋体" w:eastAsia="宋体" w:cs="宋体"/>
                <w:color w:val="auto"/>
                <w:highlight w:val="none"/>
              </w:rPr>
              <w:t>光纤跳线</w:t>
            </w:r>
          </w:p>
        </w:tc>
        <w:tc>
          <w:tcPr>
            <w:tcW w:w="767" w:type="dxa"/>
            <w:vAlign w:val="center"/>
          </w:tcPr>
          <w:p w14:paraId="641CABC0">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96</w:t>
            </w:r>
          </w:p>
        </w:tc>
        <w:tc>
          <w:tcPr>
            <w:tcW w:w="852" w:type="dxa"/>
            <w:vAlign w:val="center"/>
          </w:tcPr>
          <w:p w14:paraId="3AF5E195">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341" w:type="dxa"/>
            <w:noWrap/>
            <w:vAlign w:val="center"/>
          </w:tcPr>
          <w:p w14:paraId="05DBDC23">
            <w:pPr>
              <w:pStyle w:val="18"/>
              <w:jc w:val="center"/>
              <w:rPr>
                <w:rFonts w:hint="eastAsia" w:ascii="宋体" w:hAnsi="宋体" w:eastAsia="宋体" w:cs="宋体"/>
                <w:color w:val="auto"/>
                <w:highlight w:val="none"/>
              </w:rPr>
            </w:pPr>
          </w:p>
        </w:tc>
        <w:tc>
          <w:tcPr>
            <w:tcW w:w="980" w:type="dxa"/>
            <w:noWrap/>
            <w:vAlign w:val="center"/>
          </w:tcPr>
          <w:p w14:paraId="5E98D75F">
            <w:pPr>
              <w:pStyle w:val="18"/>
              <w:jc w:val="center"/>
              <w:rPr>
                <w:rFonts w:hint="eastAsia" w:ascii="宋体" w:hAnsi="宋体" w:eastAsia="宋体" w:cs="宋体"/>
                <w:color w:val="auto"/>
                <w:highlight w:val="none"/>
              </w:rPr>
            </w:pPr>
          </w:p>
        </w:tc>
        <w:tc>
          <w:tcPr>
            <w:tcW w:w="1497" w:type="dxa"/>
            <w:noWrap/>
            <w:vAlign w:val="center"/>
          </w:tcPr>
          <w:p w14:paraId="006C8A4D">
            <w:pPr>
              <w:pStyle w:val="18"/>
              <w:jc w:val="center"/>
              <w:rPr>
                <w:rFonts w:hint="eastAsia" w:ascii="宋体" w:hAnsi="宋体" w:eastAsia="宋体" w:cs="宋体"/>
                <w:color w:val="auto"/>
                <w:highlight w:val="none"/>
              </w:rPr>
            </w:pPr>
          </w:p>
        </w:tc>
        <w:tc>
          <w:tcPr>
            <w:tcW w:w="1559" w:type="dxa"/>
            <w:noWrap/>
            <w:vAlign w:val="center"/>
          </w:tcPr>
          <w:p w14:paraId="5F02581B">
            <w:pPr>
              <w:pStyle w:val="18"/>
              <w:jc w:val="center"/>
              <w:rPr>
                <w:rFonts w:hint="eastAsia" w:ascii="宋体" w:hAnsi="宋体" w:eastAsia="宋体" w:cs="宋体"/>
                <w:color w:val="auto"/>
                <w:highlight w:val="none"/>
              </w:rPr>
            </w:pPr>
          </w:p>
        </w:tc>
        <w:tc>
          <w:tcPr>
            <w:tcW w:w="709" w:type="dxa"/>
            <w:noWrap/>
            <w:vAlign w:val="center"/>
          </w:tcPr>
          <w:p w14:paraId="77FADD1F">
            <w:pPr>
              <w:pStyle w:val="18"/>
              <w:jc w:val="center"/>
              <w:rPr>
                <w:rFonts w:hint="eastAsia" w:ascii="宋体" w:hAnsi="宋体" w:eastAsia="宋体" w:cs="宋体"/>
                <w:color w:val="auto"/>
                <w:highlight w:val="none"/>
              </w:rPr>
            </w:pPr>
          </w:p>
        </w:tc>
      </w:tr>
      <w:tr w14:paraId="680D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1" w:type="dxa"/>
            <w:vAlign w:val="center"/>
          </w:tcPr>
          <w:p w14:paraId="5A150930">
            <w:pPr>
              <w:pStyle w:val="18"/>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20</w:t>
            </w:r>
          </w:p>
        </w:tc>
        <w:tc>
          <w:tcPr>
            <w:tcW w:w="4536" w:type="dxa"/>
            <w:vAlign w:val="center"/>
          </w:tcPr>
          <w:p w14:paraId="740E57C4">
            <w:pPr>
              <w:pStyle w:val="18"/>
              <w:rPr>
                <w:rFonts w:hint="eastAsia" w:ascii="宋体" w:hAnsi="宋体" w:eastAsia="宋体" w:cs="宋体"/>
                <w:color w:val="auto"/>
                <w:highlight w:val="none"/>
              </w:rPr>
            </w:pPr>
            <w:r>
              <w:rPr>
                <w:rFonts w:hint="eastAsia" w:ascii="宋体" w:hAnsi="宋体" w:eastAsia="宋体" w:cs="宋体"/>
                <w:color w:val="auto"/>
                <w:highlight w:val="none"/>
              </w:rPr>
              <w:t>辅材</w:t>
            </w:r>
          </w:p>
        </w:tc>
        <w:tc>
          <w:tcPr>
            <w:tcW w:w="767" w:type="dxa"/>
            <w:vAlign w:val="center"/>
          </w:tcPr>
          <w:p w14:paraId="6549F888">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52" w:type="dxa"/>
            <w:vAlign w:val="center"/>
          </w:tcPr>
          <w:p w14:paraId="61D05CD6">
            <w:pPr>
              <w:pStyle w:val="18"/>
              <w:jc w:val="center"/>
              <w:rPr>
                <w:rFonts w:hint="eastAsia" w:ascii="宋体" w:hAnsi="宋体" w:eastAsia="宋体" w:cs="宋体"/>
                <w:color w:val="auto"/>
                <w:highlight w:val="none"/>
              </w:rPr>
            </w:pPr>
            <w:r>
              <w:rPr>
                <w:rFonts w:hint="eastAsia" w:ascii="宋体" w:hAnsi="宋体" w:eastAsia="宋体" w:cs="宋体"/>
                <w:color w:val="auto"/>
                <w:highlight w:val="none"/>
              </w:rPr>
              <w:t>批</w:t>
            </w:r>
          </w:p>
        </w:tc>
        <w:tc>
          <w:tcPr>
            <w:tcW w:w="1341" w:type="dxa"/>
            <w:noWrap/>
            <w:vAlign w:val="center"/>
          </w:tcPr>
          <w:p w14:paraId="11865902">
            <w:pPr>
              <w:pStyle w:val="18"/>
              <w:jc w:val="center"/>
              <w:rPr>
                <w:rFonts w:hint="eastAsia" w:ascii="宋体" w:hAnsi="宋体" w:eastAsia="宋体" w:cs="宋体"/>
                <w:color w:val="auto"/>
                <w:highlight w:val="none"/>
              </w:rPr>
            </w:pPr>
          </w:p>
        </w:tc>
        <w:tc>
          <w:tcPr>
            <w:tcW w:w="980" w:type="dxa"/>
            <w:noWrap/>
            <w:vAlign w:val="center"/>
          </w:tcPr>
          <w:p w14:paraId="6A115E57">
            <w:pPr>
              <w:pStyle w:val="18"/>
              <w:jc w:val="center"/>
              <w:rPr>
                <w:rFonts w:hint="eastAsia" w:ascii="宋体" w:hAnsi="宋体" w:eastAsia="宋体" w:cs="宋体"/>
                <w:color w:val="auto"/>
                <w:highlight w:val="none"/>
              </w:rPr>
            </w:pPr>
          </w:p>
        </w:tc>
        <w:tc>
          <w:tcPr>
            <w:tcW w:w="1497" w:type="dxa"/>
            <w:noWrap/>
            <w:vAlign w:val="center"/>
          </w:tcPr>
          <w:p w14:paraId="0CB24D5E">
            <w:pPr>
              <w:pStyle w:val="18"/>
              <w:jc w:val="center"/>
              <w:rPr>
                <w:rFonts w:hint="eastAsia" w:ascii="宋体" w:hAnsi="宋体" w:eastAsia="宋体" w:cs="宋体"/>
                <w:color w:val="auto"/>
                <w:highlight w:val="none"/>
              </w:rPr>
            </w:pPr>
          </w:p>
        </w:tc>
        <w:tc>
          <w:tcPr>
            <w:tcW w:w="1559" w:type="dxa"/>
            <w:noWrap/>
            <w:vAlign w:val="center"/>
          </w:tcPr>
          <w:p w14:paraId="2F4EBE5B">
            <w:pPr>
              <w:pStyle w:val="18"/>
              <w:jc w:val="center"/>
              <w:rPr>
                <w:rFonts w:hint="eastAsia" w:ascii="宋体" w:hAnsi="宋体" w:eastAsia="宋体" w:cs="宋体"/>
                <w:color w:val="auto"/>
                <w:highlight w:val="none"/>
              </w:rPr>
            </w:pPr>
          </w:p>
        </w:tc>
        <w:tc>
          <w:tcPr>
            <w:tcW w:w="709" w:type="dxa"/>
            <w:noWrap/>
            <w:vAlign w:val="center"/>
          </w:tcPr>
          <w:p w14:paraId="7AE96D2A">
            <w:pPr>
              <w:pStyle w:val="18"/>
              <w:jc w:val="center"/>
              <w:rPr>
                <w:rFonts w:hint="eastAsia" w:ascii="宋体" w:hAnsi="宋体" w:eastAsia="宋体" w:cs="宋体"/>
                <w:color w:val="auto"/>
                <w:highlight w:val="none"/>
              </w:rPr>
            </w:pPr>
          </w:p>
        </w:tc>
      </w:tr>
      <w:tr w14:paraId="0069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774" w:type="dxa"/>
            <w:gridSpan w:val="7"/>
            <w:vAlign w:val="center"/>
          </w:tcPr>
          <w:p w14:paraId="155B4CBD">
            <w:pPr>
              <w:pStyle w:val="18"/>
              <w:jc w:val="center"/>
              <w:rPr>
                <w:rFonts w:hint="eastAsia" w:ascii="宋体" w:hAnsi="宋体" w:eastAsia="宋体" w:cs="宋体"/>
                <w:b/>
                <w:color w:val="auto"/>
                <w:highlight w:val="none"/>
              </w:rPr>
            </w:pPr>
            <w:r>
              <w:rPr>
                <w:rFonts w:hint="eastAsia" w:ascii="宋体" w:hAnsi="宋体" w:eastAsia="宋体" w:cs="宋体"/>
                <w:b/>
                <w:color w:val="auto"/>
                <w:highlight w:val="none"/>
              </w:rPr>
              <w:t>合计：大写</w:t>
            </w:r>
          </w:p>
        </w:tc>
        <w:tc>
          <w:tcPr>
            <w:tcW w:w="1559" w:type="dxa"/>
            <w:noWrap/>
            <w:vAlign w:val="center"/>
          </w:tcPr>
          <w:p w14:paraId="6A9B9A1E">
            <w:pPr>
              <w:pStyle w:val="18"/>
              <w:jc w:val="left"/>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709" w:type="dxa"/>
            <w:noWrap/>
            <w:vAlign w:val="center"/>
          </w:tcPr>
          <w:p w14:paraId="6E745839">
            <w:pPr>
              <w:pStyle w:val="18"/>
              <w:jc w:val="center"/>
              <w:rPr>
                <w:rFonts w:hint="eastAsia" w:ascii="宋体" w:hAnsi="宋体" w:eastAsia="宋体" w:cs="宋体"/>
                <w:b/>
                <w:color w:val="auto"/>
                <w:highlight w:val="none"/>
              </w:rPr>
            </w:pPr>
          </w:p>
        </w:tc>
      </w:tr>
    </w:tbl>
    <w:p w14:paraId="6BDE2E19">
      <w:pPr>
        <w:rPr>
          <w:rFonts w:hint="eastAsia" w:ascii="宋体" w:hAnsi="宋体" w:eastAsia="宋体" w:cs="宋体"/>
          <w:color w:val="auto"/>
          <w:highlight w:val="none"/>
        </w:rPr>
      </w:pPr>
    </w:p>
    <w:p w14:paraId="1C84A779">
      <w:pPr>
        <w:tabs>
          <w:tab w:val="left" w:pos="1800"/>
          <w:tab w:val="left" w:pos="5580"/>
        </w:tabs>
        <w:spacing w:line="360" w:lineRule="auto"/>
        <w:ind w:right="-867" w:rightChars="-4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报价单位：（人民币）元 </w:t>
      </w:r>
    </w:p>
    <w:p w14:paraId="685FBF46">
      <w:pPr>
        <w:tabs>
          <w:tab w:val="left" w:pos="480"/>
        </w:tabs>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备注：供应商可根据</w:t>
      </w:r>
      <w:r>
        <w:rPr>
          <w:rFonts w:hint="eastAsia" w:ascii="宋体" w:hAnsi="宋体" w:eastAsia="宋体" w:cs="宋体"/>
          <w:b/>
          <w:bCs/>
          <w:color w:val="auto"/>
          <w:sz w:val="21"/>
          <w:szCs w:val="21"/>
          <w:highlight w:val="none"/>
          <w:lang w:val="en-US" w:eastAsia="zh-CN"/>
        </w:rPr>
        <w:t>上述</w:t>
      </w:r>
      <w:r>
        <w:rPr>
          <w:rFonts w:hint="eastAsia" w:ascii="宋体" w:hAnsi="宋体" w:eastAsia="宋体" w:cs="宋体"/>
          <w:b/>
          <w:bCs/>
          <w:color w:val="auto"/>
          <w:sz w:val="21"/>
          <w:szCs w:val="21"/>
          <w:highlight w:val="none"/>
        </w:rPr>
        <w:t>格式，自主报价。</w:t>
      </w:r>
    </w:p>
    <w:p w14:paraId="080B0A16">
      <w:pPr>
        <w:jc w:val="right"/>
        <w:rPr>
          <w:rFonts w:hint="eastAsia" w:ascii="宋体" w:hAnsi="宋体" w:eastAsia="宋体" w:cs="宋体"/>
          <w:color w:val="auto"/>
          <w:highlight w:val="none"/>
        </w:rPr>
      </w:pPr>
      <w:r>
        <w:rPr>
          <w:rFonts w:hint="eastAsia" w:ascii="宋体" w:hAnsi="宋体" w:eastAsia="宋体" w:cs="宋体"/>
          <w:color w:val="auto"/>
          <w:kern w:val="21"/>
          <w:szCs w:val="21"/>
          <w:highlight w:val="none"/>
        </w:rPr>
        <w:t>供应商：</w:t>
      </w:r>
      <w:r>
        <w:rPr>
          <w:rFonts w:hint="eastAsia" w:ascii="宋体" w:hAnsi="宋体" w:eastAsia="宋体" w:cs="宋体"/>
          <w:color w:val="auto"/>
          <w:kern w:val="21"/>
          <w:szCs w:val="21"/>
          <w:highlight w:val="none"/>
          <w:lang w:val="en-US" w:eastAsia="zh-CN"/>
        </w:rPr>
        <w:t xml:space="preserve"> </w:t>
      </w:r>
      <w:r>
        <w:rPr>
          <w:rFonts w:hint="eastAsia" w:ascii="宋体" w:hAnsi="宋体" w:eastAsia="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rPr>
        <w:t>(盖单位公章)</w:t>
      </w:r>
    </w:p>
    <w:p w14:paraId="03EDF44E">
      <w:pPr>
        <w:ind w:firstLine="2940" w:firstLineChars="1400"/>
        <w:jc w:val="right"/>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法定代表人或委托代理人：</w:t>
      </w:r>
      <w:r>
        <w:rPr>
          <w:rFonts w:hint="eastAsia" w:ascii="宋体" w:hAnsi="宋体" w:eastAsia="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rPr>
        <w:t>(签字或盖章)</w:t>
      </w:r>
    </w:p>
    <w:p w14:paraId="18889D3E">
      <w:pPr>
        <w:widowControl w:val="0"/>
        <w:snapToGrid w:val="0"/>
        <w:spacing w:before="240" w:beforeLines="100" w:after="240" w:afterLines="100" w:line="360" w:lineRule="auto"/>
        <w:ind w:firstLine="2940" w:firstLineChars="1400"/>
        <w:jc w:val="center"/>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lang w:val="en-US" w:eastAsia="zh-CN"/>
        </w:rPr>
        <w:t xml:space="preserve">          </w:t>
      </w:r>
      <w:r>
        <w:rPr>
          <w:rFonts w:hint="eastAsia" w:ascii="宋体" w:hAnsi="宋体" w:eastAsia="宋体" w:cs="宋体"/>
          <w:color w:val="auto"/>
          <w:kern w:val="21"/>
          <w:szCs w:val="21"/>
          <w:highlight w:val="none"/>
        </w:rPr>
        <w:t>日   期：</w:t>
      </w:r>
      <w:r>
        <w:rPr>
          <w:rFonts w:hint="eastAsia" w:ascii="宋体" w:hAnsi="宋体" w:eastAsia="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rPr>
        <w:t>年</w:t>
      </w:r>
      <w:r>
        <w:rPr>
          <w:rFonts w:hint="eastAsia" w:ascii="宋体" w:hAnsi="宋体" w:eastAsia="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rPr>
        <w:t>月</w:t>
      </w:r>
      <w:r>
        <w:rPr>
          <w:rFonts w:hint="eastAsia" w:ascii="宋体" w:hAnsi="宋体" w:eastAsia="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rPr>
        <w:t xml:space="preserve">日 </w:t>
      </w:r>
    </w:p>
    <w:p w14:paraId="5CE2C66E">
      <w:pPr>
        <w:rPr>
          <w:rFonts w:hint="eastAsia" w:ascii="宋体" w:hAnsi="宋体" w:eastAsia="宋体" w:cs="宋体"/>
          <w:color w:val="auto"/>
          <w:kern w:val="21"/>
          <w:szCs w:val="21"/>
          <w:highlight w:val="none"/>
        </w:rPr>
        <w:sectPr>
          <w:pgSz w:w="16838" w:h="11906" w:orient="landscape"/>
          <w:pgMar w:top="1417" w:right="1440" w:bottom="1701" w:left="1440" w:header="850" w:footer="992" w:gutter="0"/>
          <w:pgNumType w:fmt="decimal"/>
          <w:cols w:space="0" w:num="1"/>
          <w:rtlGutter w:val="0"/>
          <w:docGrid w:linePitch="312" w:charSpace="0"/>
        </w:sectPr>
      </w:pPr>
    </w:p>
    <w:bookmarkEnd w:id="85"/>
    <w:bookmarkEnd w:id="86"/>
    <w:bookmarkEnd w:id="87"/>
    <w:p w14:paraId="071BA589">
      <w:pPr>
        <w:pStyle w:val="5"/>
        <w:rPr>
          <w:rFonts w:hint="eastAsia" w:ascii="宋体" w:hAnsi="宋体" w:eastAsia="宋体" w:cs="宋体"/>
          <w:color w:val="auto"/>
          <w:kern w:val="21"/>
          <w:highlight w:val="none"/>
        </w:rPr>
      </w:pPr>
      <w:bookmarkStart w:id="88" w:name="_Toc14107"/>
      <w:bookmarkStart w:id="89" w:name="_Toc32382"/>
      <w:r>
        <w:rPr>
          <w:rFonts w:hint="eastAsia" w:ascii="宋体" w:hAnsi="宋体" w:eastAsia="宋体" w:cs="宋体"/>
          <w:color w:val="auto"/>
          <w:kern w:val="21"/>
          <w:highlight w:val="none"/>
        </w:rPr>
        <w:t>2. 投标函</w:t>
      </w:r>
      <w:bookmarkEnd w:id="88"/>
    </w:p>
    <w:p w14:paraId="7C63D425">
      <w:pPr>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 xml:space="preserve">（采购人名称）: </w:t>
      </w:r>
    </w:p>
    <w:p w14:paraId="1E759517">
      <w:pPr>
        <w:tabs>
          <w:tab w:val="left" w:pos="6300"/>
        </w:tabs>
        <w:snapToGrid w:val="0"/>
        <w:spacing w:before="0" w:beforeAutospacing="0" w:after="0" w:afterAutospacing="0" w:line="36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我方收到</w:t>
      </w:r>
      <w:r>
        <w:rPr>
          <w:rFonts w:hint="eastAsia" w:ascii="宋体" w:hAnsi="宋体" w:eastAsia="宋体" w:cs="宋体"/>
          <w:b w:val="0"/>
          <w:i w:val="0"/>
          <w:caps w:val="0"/>
          <w:color w:val="auto"/>
          <w:spacing w:val="0"/>
          <w:w w:val="100"/>
          <w:sz w:val="21"/>
          <w:szCs w:val="21"/>
          <w:highlight w:val="none"/>
          <w:u w:val="single" w:color="auto"/>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（项目编号、项目名称）的招标文件，经详细研究，决定参加该项目的公开招标。我方就参加本次投标有关事项郑重声明如下：</w:t>
      </w:r>
    </w:p>
    <w:p w14:paraId="3E5A1725">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w:t>
      </w:r>
      <w:r>
        <w:rPr>
          <w:rFonts w:hint="eastAsia" w:ascii="宋体" w:hAnsi="宋体" w:eastAsia="宋体" w:cs="宋体"/>
          <w:b w:val="0"/>
          <w:i w:val="0"/>
          <w:caps w:val="0"/>
          <w:color w:val="auto"/>
          <w:spacing w:val="0"/>
          <w:w w:val="100"/>
          <w:sz w:val="21"/>
          <w:szCs w:val="21"/>
          <w:highlight w:val="none"/>
        </w:rPr>
        <w:tab/>
      </w:r>
      <w:r>
        <w:rPr>
          <w:rFonts w:hint="eastAsia" w:ascii="宋体" w:hAnsi="宋体" w:eastAsia="宋体" w:cs="宋体"/>
          <w:b w:val="0"/>
          <w:i w:val="0"/>
          <w:caps w:val="0"/>
          <w:color w:val="auto"/>
          <w:spacing w:val="0"/>
          <w:w w:val="100"/>
          <w:sz w:val="21"/>
          <w:szCs w:val="21"/>
          <w:highlight w:val="none"/>
        </w:rPr>
        <w:t>我方已详细审核全部招标文件，包括招标文件修改书（如有的话）、参考资料及有关附件，确认无误。我方完全理解和接受贵方招标文件的一切规定和要求及评审办法，完全理解报价超过采购预算金额时，投标将被拒绝。我方理解，最低报价不是中标的唯一条件。</w:t>
      </w:r>
    </w:p>
    <w:p w14:paraId="5A559199">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w:t>
      </w:r>
      <w:r>
        <w:rPr>
          <w:rFonts w:hint="eastAsia" w:ascii="宋体" w:hAnsi="宋体" w:eastAsia="宋体" w:cs="宋体"/>
          <w:b w:val="0"/>
          <w:i w:val="0"/>
          <w:caps w:val="0"/>
          <w:color w:val="auto"/>
          <w:spacing w:val="0"/>
          <w:w w:val="100"/>
          <w:sz w:val="21"/>
          <w:szCs w:val="21"/>
          <w:highlight w:val="none"/>
        </w:rPr>
        <w:tab/>
      </w:r>
      <w:r>
        <w:rPr>
          <w:rFonts w:hint="eastAsia" w:ascii="宋体" w:hAnsi="宋体" w:eastAsia="宋体" w:cs="宋体"/>
          <w:b w:val="0"/>
          <w:i w:val="0"/>
          <w:caps w:val="0"/>
          <w:color w:val="auto"/>
          <w:spacing w:val="0"/>
          <w:w w:val="100"/>
          <w:sz w:val="21"/>
          <w:szCs w:val="21"/>
          <w:highlight w:val="none"/>
        </w:rPr>
        <w:t>我方提交的所有投标文件、资料都是准确和真实的，如有虚假或隐瞒，我方愿意承担一切法律责任。</w:t>
      </w:r>
    </w:p>
    <w:p w14:paraId="485F9E30">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 xml:space="preserve">3. </w:t>
      </w:r>
      <w:r>
        <w:rPr>
          <w:rFonts w:hint="eastAsia" w:ascii="宋体" w:hAnsi="宋体" w:eastAsia="宋体" w:cs="宋体"/>
          <w:b w:val="0"/>
          <w:i w:val="0"/>
          <w:caps w:val="0"/>
          <w:color w:val="auto"/>
          <w:spacing w:val="0"/>
          <w:w w:val="100"/>
          <w:kern w:val="21"/>
          <w:sz w:val="21"/>
          <w:szCs w:val="21"/>
          <w:highlight w:val="none"/>
        </w:rPr>
        <w:t>我方愿以(大写</w:t>
      </w:r>
      <w:r>
        <w:rPr>
          <w:rFonts w:hint="eastAsia" w:ascii="宋体" w:hAnsi="宋体" w:eastAsia="宋体" w:cs="宋体"/>
          <w:b w:val="0"/>
          <w:i w:val="0"/>
          <w:caps w:val="0"/>
          <w:color w:val="auto"/>
          <w:spacing w:val="0"/>
          <w:w w:val="100"/>
          <w:kern w:val="21"/>
          <w:sz w:val="21"/>
          <w:szCs w:val="21"/>
          <w:highlight w:val="none"/>
          <w:lang w:eastAsia="zh-CN"/>
        </w:rPr>
        <w:t>：</w:t>
      </w:r>
      <w:r>
        <w:rPr>
          <w:rFonts w:hint="eastAsia" w:ascii="宋体" w:hAnsi="宋体" w:eastAsia="宋体" w:cs="宋体"/>
          <w:b w:val="0"/>
          <w:i w:val="0"/>
          <w:caps w:val="0"/>
          <w:color w:val="auto"/>
          <w:spacing w:val="0"/>
          <w:w w:val="100"/>
          <w:kern w:val="21"/>
          <w:sz w:val="21"/>
          <w:szCs w:val="21"/>
          <w:highlight w:val="none"/>
          <w:u w:val="single" w:color="000000"/>
        </w:rPr>
        <w:t xml:space="preserve">       </w:t>
      </w:r>
      <w:r>
        <w:rPr>
          <w:rFonts w:hint="eastAsia" w:ascii="宋体" w:hAnsi="宋体" w:eastAsia="宋体" w:cs="宋体"/>
          <w:b w:val="0"/>
          <w:i w:val="0"/>
          <w:caps w:val="0"/>
          <w:color w:val="auto"/>
          <w:spacing w:val="0"/>
          <w:w w:val="100"/>
          <w:kern w:val="21"/>
          <w:sz w:val="21"/>
          <w:szCs w:val="21"/>
          <w:highlight w:val="none"/>
        </w:rPr>
        <w:t>)人民币（</w:t>
      </w:r>
      <w:r>
        <w:rPr>
          <w:rFonts w:hint="eastAsia" w:ascii="宋体" w:hAnsi="宋体" w:eastAsia="宋体" w:cs="宋体"/>
          <w:b w:val="0"/>
          <w:i w:val="0"/>
          <w:caps w:val="0"/>
          <w:color w:val="auto"/>
          <w:spacing w:val="0"/>
          <w:w w:val="100"/>
          <w:kern w:val="21"/>
          <w:sz w:val="21"/>
          <w:szCs w:val="21"/>
          <w:highlight w:val="none"/>
          <w:lang w:val="en-US" w:eastAsia="zh-CN"/>
        </w:rPr>
        <w:t>小写：</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元）的投标总报价，</w:t>
      </w:r>
      <w:r>
        <w:rPr>
          <w:rFonts w:hint="eastAsia" w:ascii="宋体" w:hAnsi="宋体" w:eastAsia="宋体" w:cs="宋体"/>
          <w:b w:val="0"/>
          <w:i w:val="0"/>
          <w:caps w:val="0"/>
          <w:color w:val="auto"/>
          <w:spacing w:val="0"/>
          <w:w w:val="100"/>
          <w:kern w:val="21"/>
          <w:sz w:val="21"/>
          <w:szCs w:val="21"/>
          <w:highlight w:val="none"/>
          <w:lang w:val="en-US" w:eastAsia="zh-CN"/>
        </w:rPr>
        <w:t>工期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，质保期：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，按合同约定实施和完成项目，质量达到</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w:t>
      </w:r>
    </w:p>
    <w:p w14:paraId="43F3AEC2">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我方现提交的投标文件为：纸质文件正本</w:t>
      </w:r>
      <w:r>
        <w:rPr>
          <w:rFonts w:hint="eastAsia" w:ascii="宋体" w:hAnsi="宋体" w:eastAsia="宋体" w:cs="宋体"/>
          <w:b w:val="0"/>
          <w:i w:val="0"/>
          <w:caps w:val="0"/>
          <w:color w:val="auto"/>
          <w:spacing w:val="0"/>
          <w:w w:val="100"/>
          <w:sz w:val="21"/>
          <w:szCs w:val="21"/>
          <w:highlight w:val="none"/>
          <w:u w:val="single" w:color="000000"/>
        </w:rPr>
        <w:t xml:space="preserve">     </w:t>
      </w:r>
      <w:r>
        <w:rPr>
          <w:rFonts w:hint="eastAsia" w:ascii="宋体" w:hAnsi="宋体" w:eastAsia="宋体" w:cs="宋体"/>
          <w:b w:val="0"/>
          <w:i w:val="0"/>
          <w:caps w:val="0"/>
          <w:color w:val="auto"/>
          <w:spacing w:val="0"/>
          <w:w w:val="100"/>
          <w:sz w:val="21"/>
          <w:szCs w:val="21"/>
          <w:highlight w:val="none"/>
        </w:rPr>
        <w:t>份，副本</w:t>
      </w:r>
      <w:r>
        <w:rPr>
          <w:rFonts w:hint="eastAsia" w:ascii="宋体" w:hAnsi="宋体" w:eastAsia="宋体" w:cs="宋体"/>
          <w:b w:val="0"/>
          <w:i w:val="0"/>
          <w:caps w:val="0"/>
          <w:color w:val="auto"/>
          <w:spacing w:val="0"/>
          <w:w w:val="100"/>
          <w:sz w:val="21"/>
          <w:szCs w:val="21"/>
          <w:highlight w:val="none"/>
          <w:u w:val="single" w:color="000000"/>
        </w:rPr>
        <w:t xml:space="preserve">     </w:t>
      </w:r>
      <w:r>
        <w:rPr>
          <w:rFonts w:hint="eastAsia" w:ascii="宋体" w:hAnsi="宋体" w:eastAsia="宋体" w:cs="宋体"/>
          <w:b w:val="0"/>
          <w:i w:val="0"/>
          <w:caps w:val="0"/>
          <w:color w:val="auto"/>
          <w:spacing w:val="0"/>
          <w:w w:val="100"/>
          <w:sz w:val="21"/>
          <w:szCs w:val="21"/>
          <w:highlight w:val="none"/>
        </w:rPr>
        <w:t>份。电子版文件</w:t>
      </w:r>
      <w:r>
        <w:rPr>
          <w:rFonts w:hint="eastAsia" w:ascii="宋体" w:hAnsi="宋体" w:eastAsia="宋体" w:cs="宋体"/>
          <w:b w:val="0"/>
          <w:i w:val="0"/>
          <w:caps w:val="0"/>
          <w:color w:val="auto"/>
          <w:spacing w:val="0"/>
          <w:w w:val="100"/>
          <w:sz w:val="21"/>
          <w:szCs w:val="21"/>
          <w:highlight w:val="none"/>
          <w:u w:val="single" w:color="000000"/>
        </w:rPr>
        <w:t xml:space="preserve"> </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u w:val="single" w:color="000000"/>
        </w:rPr>
        <w:t xml:space="preserve"> </w:t>
      </w:r>
      <w:r>
        <w:rPr>
          <w:rFonts w:hint="eastAsia" w:ascii="宋体" w:hAnsi="宋体" w:eastAsia="宋体" w:cs="宋体"/>
          <w:b w:val="0"/>
          <w:i w:val="0"/>
          <w:caps w:val="0"/>
          <w:color w:val="auto"/>
          <w:spacing w:val="0"/>
          <w:w w:val="100"/>
          <w:sz w:val="21"/>
          <w:szCs w:val="21"/>
          <w:highlight w:val="none"/>
          <w:lang w:val="en-US" w:eastAsia="zh-CN"/>
        </w:rPr>
        <w:t>份</w:t>
      </w:r>
      <w:r>
        <w:rPr>
          <w:rFonts w:hint="eastAsia" w:ascii="宋体" w:hAnsi="宋体" w:eastAsia="宋体" w:cs="宋体"/>
          <w:b w:val="0"/>
          <w:i w:val="0"/>
          <w:caps w:val="0"/>
          <w:color w:val="auto"/>
          <w:spacing w:val="0"/>
          <w:w w:val="100"/>
          <w:sz w:val="21"/>
          <w:szCs w:val="21"/>
          <w:highlight w:val="none"/>
        </w:rPr>
        <w:t>，U盘提交。</w:t>
      </w:r>
    </w:p>
    <w:p w14:paraId="7DC249F1">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w:t>
      </w:r>
      <w:r>
        <w:rPr>
          <w:rFonts w:hint="eastAsia" w:ascii="宋体" w:hAnsi="宋体" w:eastAsia="宋体" w:cs="宋体"/>
          <w:b w:val="0"/>
          <w:i w:val="0"/>
          <w:caps w:val="0"/>
          <w:color w:val="auto"/>
          <w:spacing w:val="0"/>
          <w:w w:val="100"/>
          <w:sz w:val="21"/>
          <w:szCs w:val="21"/>
          <w:highlight w:val="none"/>
        </w:rPr>
        <w:tab/>
      </w:r>
      <w:r>
        <w:rPr>
          <w:rFonts w:hint="eastAsia" w:ascii="宋体" w:hAnsi="宋体" w:eastAsia="宋体" w:cs="宋体"/>
          <w:b w:val="0"/>
          <w:i w:val="0"/>
          <w:caps w:val="0"/>
          <w:color w:val="auto"/>
          <w:spacing w:val="0"/>
          <w:w w:val="100"/>
          <w:sz w:val="21"/>
          <w:szCs w:val="21"/>
          <w:highlight w:val="none"/>
        </w:rPr>
        <w:t>我方承诺：本投标文件投标有效期：投标截止之日起</w:t>
      </w: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天内保持有效（日历天数）。</w:t>
      </w:r>
    </w:p>
    <w:p w14:paraId="0AFFC3B2">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5.</w:t>
      </w:r>
      <w:r>
        <w:rPr>
          <w:rFonts w:hint="eastAsia" w:ascii="宋体" w:hAnsi="宋体" w:eastAsia="宋体" w:cs="宋体"/>
          <w:b w:val="0"/>
          <w:i w:val="0"/>
          <w:caps w:val="0"/>
          <w:color w:val="auto"/>
          <w:spacing w:val="0"/>
          <w:w w:val="100"/>
          <w:sz w:val="21"/>
          <w:szCs w:val="21"/>
          <w:highlight w:val="none"/>
        </w:rPr>
        <w:tab/>
      </w:r>
      <w:r>
        <w:rPr>
          <w:rFonts w:hint="eastAsia" w:ascii="宋体" w:hAnsi="宋体" w:eastAsia="宋体" w:cs="宋体"/>
          <w:b w:val="0"/>
          <w:i w:val="0"/>
          <w:caps w:val="0"/>
          <w:color w:val="auto"/>
          <w:spacing w:val="0"/>
          <w:w w:val="100"/>
          <w:sz w:val="21"/>
          <w:szCs w:val="21"/>
          <w:highlight w:val="none"/>
        </w:rPr>
        <w:t>在整个招标与投标过程中，我方若有违规行为，接受按照《中华人民共和国政府采购法》等相关法律法规之规定给予惩罚。</w:t>
      </w:r>
    </w:p>
    <w:p w14:paraId="1D549B8A">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6.</w:t>
      </w:r>
      <w:r>
        <w:rPr>
          <w:rFonts w:hint="eastAsia" w:ascii="宋体" w:hAnsi="宋体" w:eastAsia="宋体" w:cs="宋体"/>
          <w:b w:val="0"/>
          <w:i w:val="0"/>
          <w:caps w:val="0"/>
          <w:color w:val="auto"/>
          <w:spacing w:val="0"/>
          <w:w w:val="100"/>
          <w:sz w:val="21"/>
          <w:szCs w:val="21"/>
          <w:highlight w:val="none"/>
        </w:rPr>
        <w:tab/>
      </w:r>
      <w:r>
        <w:rPr>
          <w:rFonts w:hint="eastAsia" w:ascii="宋体" w:hAnsi="宋体" w:eastAsia="宋体" w:cs="宋体"/>
          <w:b w:val="0"/>
          <w:i w:val="0"/>
          <w:caps w:val="0"/>
          <w:color w:val="auto"/>
          <w:spacing w:val="0"/>
          <w:w w:val="100"/>
          <w:sz w:val="21"/>
          <w:szCs w:val="21"/>
          <w:highlight w:val="none"/>
        </w:rPr>
        <w:t>我方未为本采购项目提供整体设计、规范编制或者项目管理、监理、检测等服务。</w:t>
      </w:r>
    </w:p>
    <w:p w14:paraId="7DDFFFC3">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7.</w:t>
      </w:r>
      <w:r>
        <w:rPr>
          <w:rFonts w:hint="eastAsia" w:ascii="宋体" w:hAnsi="宋体" w:eastAsia="宋体" w:cs="宋体"/>
          <w:b w:val="0"/>
          <w:i w:val="0"/>
          <w:caps w:val="0"/>
          <w:color w:val="auto"/>
          <w:spacing w:val="0"/>
          <w:w w:val="100"/>
          <w:sz w:val="21"/>
          <w:szCs w:val="21"/>
          <w:highlight w:val="none"/>
        </w:rPr>
        <w:tab/>
      </w:r>
      <w:r>
        <w:rPr>
          <w:rFonts w:hint="eastAsia" w:ascii="宋体" w:hAnsi="宋体" w:eastAsia="宋体" w:cs="宋体"/>
          <w:b w:val="0"/>
          <w:i w:val="0"/>
          <w:caps w:val="0"/>
          <w:color w:val="auto"/>
          <w:spacing w:val="0"/>
          <w:w w:val="100"/>
          <w:sz w:val="21"/>
          <w:szCs w:val="21"/>
          <w:highlight w:val="none"/>
        </w:rPr>
        <w:t>如果我方中标，我方将履行招标文件中规定的各项要求以及我方投标文件的各项承诺，按《政府采购法》、《</w:t>
      </w:r>
      <w:r>
        <w:rPr>
          <w:rFonts w:hint="eastAsia" w:ascii="宋体" w:hAnsi="宋体" w:eastAsia="宋体" w:cs="宋体"/>
          <w:b w:val="0"/>
          <w:i w:val="0"/>
          <w:caps w:val="0"/>
          <w:color w:val="auto"/>
          <w:spacing w:val="0"/>
          <w:w w:val="100"/>
          <w:sz w:val="21"/>
          <w:szCs w:val="21"/>
          <w:highlight w:val="none"/>
          <w:lang w:val="en-US" w:eastAsia="zh-CN"/>
        </w:rPr>
        <w:t>民法典</w:t>
      </w:r>
      <w:r>
        <w:rPr>
          <w:rFonts w:hint="eastAsia" w:ascii="宋体" w:hAnsi="宋体" w:eastAsia="宋体" w:cs="宋体"/>
          <w:b w:val="0"/>
          <w:i w:val="0"/>
          <w:caps w:val="0"/>
          <w:color w:val="auto"/>
          <w:spacing w:val="0"/>
          <w:w w:val="100"/>
          <w:sz w:val="21"/>
          <w:szCs w:val="21"/>
          <w:highlight w:val="none"/>
        </w:rPr>
        <w:t>》及合同约定条款承担我方责任。本承诺函将成为合同不可分割的一部分，与合同具有同等的法律效力。</w:t>
      </w:r>
    </w:p>
    <w:p w14:paraId="29B762E7">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8.</w:t>
      </w:r>
      <w:r>
        <w:rPr>
          <w:rFonts w:hint="eastAsia" w:ascii="宋体" w:hAnsi="宋体" w:eastAsia="宋体" w:cs="宋体"/>
          <w:b w:val="0"/>
          <w:i w:val="0"/>
          <w:caps w:val="0"/>
          <w:color w:val="auto"/>
          <w:spacing w:val="0"/>
          <w:w w:val="100"/>
          <w:sz w:val="21"/>
          <w:szCs w:val="21"/>
          <w:highlight w:val="none"/>
        </w:rPr>
        <w:tab/>
      </w:r>
      <w:r>
        <w:rPr>
          <w:rFonts w:hint="eastAsia" w:ascii="宋体" w:hAnsi="宋体" w:eastAsia="宋体" w:cs="宋体"/>
          <w:b w:val="0"/>
          <w:i w:val="0"/>
          <w:caps w:val="0"/>
          <w:color w:val="auto"/>
          <w:spacing w:val="0"/>
          <w:w w:val="100"/>
          <w:sz w:val="21"/>
          <w:szCs w:val="21"/>
          <w:highlight w:val="none"/>
        </w:rPr>
        <w:t>我方承诺：采购人若需追加采购本项目招标文件所列相关服务或货物的，在不改变合同其他实质性条款的前提下，按相同或更优惠的折扣率保证供货。</w:t>
      </w:r>
    </w:p>
    <w:p w14:paraId="778B6E8E">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 xml:space="preserve">9. 若我方中标，愿意按有关规定及招标文件要求缴纳招标代理服务费。 </w:t>
      </w:r>
    </w:p>
    <w:p w14:paraId="3154D6BA">
      <w:pPr>
        <w:tabs>
          <w:tab w:val="left" w:pos="0"/>
        </w:tabs>
        <w:snapToGrid w:val="0"/>
        <w:spacing w:before="0" w:beforeAutospacing="0" w:after="0" w:afterAutospacing="0" w:line="360" w:lineRule="auto"/>
        <w:ind w:firstLine="567"/>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sz w:val="21"/>
          <w:szCs w:val="21"/>
          <w:highlight w:val="none"/>
        </w:rPr>
        <w:t>10.我方将严格遵守《中华人民共和国政府采购法》及其实施条例的有关规定，若有违法违规行为，将接受相关法律、法规的处罚</w:t>
      </w:r>
      <w:r>
        <w:rPr>
          <w:rFonts w:hint="eastAsia" w:ascii="宋体" w:hAnsi="宋体" w:eastAsia="宋体" w:cs="宋体"/>
          <w:b w:val="0"/>
          <w:i w:val="0"/>
          <w:caps w:val="0"/>
          <w:color w:val="auto"/>
          <w:spacing w:val="0"/>
          <w:w w:val="100"/>
          <w:sz w:val="21"/>
          <w:szCs w:val="21"/>
          <w:highlight w:val="none"/>
          <w:lang w:eastAsia="zh-CN"/>
        </w:rPr>
        <w:t>。</w:t>
      </w:r>
    </w:p>
    <w:p w14:paraId="79CC52C6">
      <w:pPr>
        <w:snapToGrid w:val="0"/>
        <w:spacing w:before="0" w:beforeAutospacing="0" w:after="0" w:afterAutospacing="0" w:line="380" w:lineRule="exact"/>
        <w:ind w:firstLine="40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p>
    <w:p w14:paraId="089F1206">
      <w:pPr>
        <w:snapToGrid w:val="0"/>
        <w:spacing w:before="0" w:beforeAutospacing="0" w:after="0" w:afterAutospacing="0" w:line="380" w:lineRule="exact"/>
        <w:ind w:left="3360" w:leftChars="16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供应商：</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（盖单位公章）</w:t>
      </w:r>
    </w:p>
    <w:p w14:paraId="57B4E836">
      <w:pPr>
        <w:snapToGrid w:val="0"/>
        <w:spacing w:before="0" w:beforeAutospacing="0" w:after="0" w:afterAutospacing="0" w:line="380" w:lineRule="exact"/>
        <w:ind w:left="3360" w:leftChars="16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法定代表人或委托代理人：</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(签字或盖章)</w:t>
      </w:r>
    </w:p>
    <w:p w14:paraId="43FDE9E7">
      <w:pPr>
        <w:snapToGrid w:val="0"/>
        <w:spacing w:before="0" w:beforeAutospacing="0" w:after="0" w:afterAutospacing="0" w:line="380" w:lineRule="exact"/>
        <w:ind w:left="3360" w:leftChars="1600"/>
        <w:jc w:val="both"/>
        <w:textAlignment w:val="baseline"/>
        <w:rPr>
          <w:rFonts w:hint="eastAsia" w:ascii="宋体" w:hAnsi="宋体" w:eastAsia="宋体" w:cs="宋体"/>
          <w:b w:val="0"/>
          <w:i w:val="0"/>
          <w:caps w:val="0"/>
          <w:color w:val="auto"/>
          <w:spacing w:val="0"/>
          <w:w w:val="100"/>
          <w:kern w:val="21"/>
          <w:sz w:val="20"/>
          <w:szCs w:val="21"/>
          <w:highlight w:val="none"/>
          <w:u w:val="single"/>
        </w:rPr>
      </w:pPr>
      <w:r>
        <w:rPr>
          <w:rFonts w:hint="eastAsia" w:ascii="宋体" w:hAnsi="宋体" w:eastAsia="宋体" w:cs="宋体"/>
          <w:b w:val="0"/>
          <w:i w:val="0"/>
          <w:caps w:val="0"/>
          <w:color w:val="auto"/>
          <w:spacing w:val="0"/>
          <w:w w:val="100"/>
          <w:kern w:val="21"/>
          <w:sz w:val="21"/>
          <w:szCs w:val="21"/>
          <w:highlight w:val="none"/>
        </w:rPr>
        <w:t>地址：</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1A392DD0">
      <w:pPr>
        <w:snapToGrid w:val="0"/>
        <w:spacing w:before="0" w:beforeAutospacing="0" w:after="0" w:afterAutospacing="0" w:line="380" w:lineRule="exact"/>
        <w:ind w:left="3360" w:leftChars="1600"/>
        <w:jc w:val="both"/>
        <w:textAlignment w:val="baseline"/>
        <w:rPr>
          <w:rFonts w:hint="eastAsia" w:ascii="宋体" w:hAnsi="宋体" w:eastAsia="宋体" w:cs="宋体"/>
          <w:b w:val="0"/>
          <w:i w:val="0"/>
          <w:caps w:val="0"/>
          <w:color w:val="auto"/>
          <w:spacing w:val="0"/>
          <w:w w:val="100"/>
          <w:kern w:val="21"/>
          <w:sz w:val="20"/>
          <w:szCs w:val="21"/>
          <w:highlight w:val="none"/>
          <w:u w:val="single"/>
        </w:rPr>
      </w:pPr>
      <w:r>
        <w:rPr>
          <w:rFonts w:hint="eastAsia" w:ascii="宋体" w:hAnsi="宋体" w:eastAsia="宋体" w:cs="宋体"/>
          <w:b w:val="0"/>
          <w:i w:val="0"/>
          <w:caps w:val="0"/>
          <w:color w:val="auto"/>
          <w:spacing w:val="0"/>
          <w:w w:val="100"/>
          <w:kern w:val="21"/>
          <w:sz w:val="21"/>
          <w:szCs w:val="21"/>
          <w:highlight w:val="none"/>
        </w:rPr>
        <w:t>网址：</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5501BEC7">
      <w:pPr>
        <w:snapToGrid w:val="0"/>
        <w:spacing w:before="0" w:beforeAutospacing="0" w:after="0" w:afterAutospacing="0" w:line="380" w:lineRule="exact"/>
        <w:ind w:left="3360" w:leftChars="1600"/>
        <w:jc w:val="both"/>
        <w:textAlignment w:val="baseline"/>
        <w:rPr>
          <w:rFonts w:hint="eastAsia" w:ascii="宋体" w:hAnsi="宋体" w:eastAsia="宋体" w:cs="宋体"/>
          <w:b w:val="0"/>
          <w:i w:val="0"/>
          <w:caps w:val="0"/>
          <w:color w:val="auto"/>
          <w:spacing w:val="0"/>
          <w:w w:val="100"/>
          <w:kern w:val="21"/>
          <w:sz w:val="20"/>
          <w:szCs w:val="21"/>
          <w:highlight w:val="none"/>
          <w:u w:val="single"/>
        </w:rPr>
      </w:pPr>
      <w:r>
        <w:rPr>
          <w:rFonts w:hint="eastAsia" w:ascii="宋体" w:hAnsi="宋体" w:eastAsia="宋体" w:cs="宋体"/>
          <w:b w:val="0"/>
          <w:i w:val="0"/>
          <w:caps w:val="0"/>
          <w:color w:val="auto"/>
          <w:spacing w:val="0"/>
          <w:w w:val="100"/>
          <w:kern w:val="21"/>
          <w:sz w:val="21"/>
          <w:szCs w:val="21"/>
          <w:highlight w:val="none"/>
        </w:rPr>
        <w:t>电话：</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14AD9487">
      <w:pPr>
        <w:snapToGrid w:val="0"/>
        <w:spacing w:before="0" w:beforeAutospacing="0" w:after="0" w:afterAutospacing="0" w:line="380" w:lineRule="exact"/>
        <w:ind w:left="3360" w:leftChars="1600"/>
        <w:jc w:val="both"/>
        <w:textAlignment w:val="baseline"/>
        <w:rPr>
          <w:rFonts w:hint="eastAsia" w:ascii="宋体" w:hAnsi="宋体" w:eastAsia="宋体" w:cs="宋体"/>
          <w:b w:val="0"/>
          <w:i w:val="0"/>
          <w:caps w:val="0"/>
          <w:color w:val="auto"/>
          <w:spacing w:val="0"/>
          <w:w w:val="100"/>
          <w:kern w:val="21"/>
          <w:sz w:val="20"/>
          <w:szCs w:val="21"/>
          <w:highlight w:val="none"/>
          <w:u w:val="single"/>
        </w:rPr>
      </w:pPr>
      <w:r>
        <w:rPr>
          <w:rFonts w:hint="eastAsia" w:ascii="宋体" w:hAnsi="宋体" w:eastAsia="宋体" w:cs="宋体"/>
          <w:b w:val="0"/>
          <w:i w:val="0"/>
          <w:caps w:val="0"/>
          <w:color w:val="auto"/>
          <w:spacing w:val="0"/>
          <w:w w:val="100"/>
          <w:kern w:val="21"/>
          <w:sz w:val="21"/>
          <w:szCs w:val="21"/>
          <w:highlight w:val="none"/>
        </w:rPr>
        <w:t>传真：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7DE22590">
      <w:pPr>
        <w:snapToGrid w:val="0"/>
        <w:spacing w:before="0" w:beforeAutospacing="0" w:after="0" w:afterAutospacing="0" w:line="380" w:lineRule="exact"/>
        <w:ind w:left="3360" w:leftChars="1600"/>
        <w:jc w:val="both"/>
        <w:textAlignment w:val="baseline"/>
        <w:rPr>
          <w:rFonts w:hint="eastAsia" w:ascii="宋体" w:hAnsi="宋体" w:eastAsia="宋体" w:cs="宋体"/>
          <w:b w:val="0"/>
          <w:i w:val="0"/>
          <w:caps w:val="0"/>
          <w:color w:val="auto"/>
          <w:spacing w:val="0"/>
          <w:w w:val="100"/>
          <w:kern w:val="21"/>
          <w:sz w:val="20"/>
          <w:szCs w:val="21"/>
          <w:highlight w:val="none"/>
          <w:u w:val="single"/>
        </w:rPr>
      </w:pPr>
      <w:r>
        <w:rPr>
          <w:rFonts w:hint="eastAsia" w:ascii="宋体" w:hAnsi="宋体" w:eastAsia="宋体" w:cs="宋体"/>
          <w:b w:val="0"/>
          <w:i w:val="0"/>
          <w:caps w:val="0"/>
          <w:color w:val="auto"/>
          <w:spacing w:val="0"/>
          <w:w w:val="100"/>
          <w:kern w:val="21"/>
          <w:sz w:val="21"/>
          <w:szCs w:val="21"/>
          <w:highlight w:val="none"/>
        </w:rPr>
        <w:t>邮政编码：</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0AC729EE">
      <w:pPr>
        <w:snapToGrid w:val="0"/>
        <w:spacing w:before="0" w:beforeAutospacing="0" w:after="0" w:afterAutospacing="0" w:line="380" w:lineRule="exact"/>
        <w:ind w:firstLine="5670" w:firstLineChars="270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日</w:t>
      </w:r>
    </w:p>
    <w:p w14:paraId="68745E11">
      <w:pPr>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br w:type="page"/>
      </w:r>
    </w:p>
    <w:p w14:paraId="7338C264">
      <w:pPr>
        <w:pStyle w:val="5"/>
        <w:snapToGrid w:val="0"/>
        <w:spacing w:before="140" w:beforeAutospacing="0" w:after="140" w:afterAutospacing="0" w:line="240" w:lineRule="auto"/>
        <w:jc w:val="center"/>
        <w:textAlignment w:val="baseline"/>
        <w:rPr>
          <w:rFonts w:hint="eastAsia" w:ascii="宋体" w:hAnsi="宋体" w:eastAsia="宋体" w:cs="宋体"/>
          <w:b/>
          <w:i w:val="0"/>
          <w:caps w:val="0"/>
          <w:color w:val="auto"/>
          <w:spacing w:val="0"/>
          <w:w w:val="100"/>
          <w:kern w:val="21"/>
          <w:sz w:val="24"/>
          <w:highlight w:val="none"/>
        </w:rPr>
      </w:pPr>
      <w:r>
        <w:rPr>
          <w:rFonts w:hint="eastAsia" w:ascii="宋体" w:hAnsi="宋体" w:eastAsia="宋体" w:cs="宋体"/>
          <w:b/>
          <w:i w:val="0"/>
          <w:caps w:val="0"/>
          <w:color w:val="auto"/>
          <w:spacing w:val="0"/>
          <w:w w:val="100"/>
          <w:kern w:val="21"/>
          <w:sz w:val="24"/>
          <w:highlight w:val="none"/>
          <w:lang w:val="en-US" w:eastAsia="zh-CN"/>
        </w:rPr>
        <w:t>3</w:t>
      </w:r>
      <w:r>
        <w:rPr>
          <w:rFonts w:hint="eastAsia" w:ascii="宋体" w:hAnsi="宋体" w:eastAsia="宋体" w:cs="宋体"/>
          <w:b/>
          <w:i w:val="0"/>
          <w:caps w:val="0"/>
          <w:color w:val="auto"/>
          <w:spacing w:val="0"/>
          <w:w w:val="100"/>
          <w:kern w:val="21"/>
          <w:sz w:val="24"/>
          <w:highlight w:val="none"/>
        </w:rPr>
        <w:t>、法定代表人身份证明</w:t>
      </w:r>
      <w:bookmarkEnd w:id="89"/>
    </w:p>
    <w:p w14:paraId="218051BF">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u w:val="single"/>
          <w:lang w:val="en-US" w:eastAsia="zh-CN"/>
        </w:rPr>
      </w:pPr>
      <w:r>
        <w:rPr>
          <w:rFonts w:hint="eastAsia" w:ascii="宋体" w:hAnsi="宋体" w:eastAsia="宋体" w:cs="宋体"/>
          <w:b w:val="0"/>
          <w:i w:val="0"/>
          <w:caps w:val="0"/>
          <w:color w:val="auto"/>
          <w:spacing w:val="0"/>
          <w:w w:val="100"/>
          <w:kern w:val="21"/>
          <w:sz w:val="21"/>
          <w:szCs w:val="21"/>
          <w:highlight w:val="none"/>
        </w:rPr>
        <w:t>供应商名称：</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5D117DDA">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 xml:space="preserve">单位性质： </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3D87B2FD">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地    址：</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1F552544">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成立时间：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日</w:t>
      </w:r>
    </w:p>
    <w:p w14:paraId="5F841927">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经营期限：</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3FC2F11D">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姓名：</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性别：</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年龄：</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职务：</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723547CF">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系</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（供应商名称）的法定代表人。</w:t>
      </w:r>
    </w:p>
    <w:p w14:paraId="1F187E2A">
      <w:pPr>
        <w:snapToGrid w:val="0"/>
        <w:spacing w:before="0" w:beforeAutospacing="0" w:after="0" w:afterAutospacing="0" w:line="600" w:lineRule="exact"/>
        <w:ind w:firstLine="840" w:firstLineChars="4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特此证明。</w:t>
      </w:r>
    </w:p>
    <w:p w14:paraId="58C3A40B">
      <w:pPr>
        <w:snapToGrid w:val="0"/>
        <w:spacing w:before="0" w:beforeAutospacing="0" w:after="0" w:afterAutospacing="0" w:line="600" w:lineRule="exact"/>
        <w:ind w:firstLine="2900" w:firstLineChars="1450"/>
        <w:jc w:val="both"/>
        <w:textAlignment w:val="baseline"/>
        <w:rPr>
          <w:rFonts w:hint="eastAsia" w:ascii="宋体" w:hAnsi="宋体" w:eastAsia="宋体" w:cs="宋体"/>
          <w:b w:val="0"/>
          <w:i w:val="0"/>
          <w:caps w:val="0"/>
          <w:color w:val="auto"/>
          <w:spacing w:val="0"/>
          <w:w w:val="100"/>
          <w:kern w:val="21"/>
          <w:sz w:val="20"/>
          <w:szCs w:val="21"/>
          <w:highlight w:val="none"/>
        </w:rPr>
      </w:pPr>
    </w:p>
    <w:p w14:paraId="49C2C1A9">
      <w:pPr>
        <w:snapToGrid w:val="0"/>
        <w:spacing w:before="0" w:beforeAutospacing="0" w:after="0" w:afterAutospacing="0" w:line="600" w:lineRule="exact"/>
        <w:ind w:firstLine="2900" w:firstLineChars="1450"/>
        <w:jc w:val="both"/>
        <w:textAlignment w:val="baseline"/>
        <w:rPr>
          <w:rFonts w:hint="eastAsia" w:ascii="宋体" w:hAnsi="宋体" w:eastAsia="宋体" w:cs="宋体"/>
          <w:b w:val="0"/>
          <w:i w:val="0"/>
          <w:caps w:val="0"/>
          <w:color w:val="auto"/>
          <w:spacing w:val="0"/>
          <w:w w:val="100"/>
          <w:kern w:val="21"/>
          <w:sz w:val="20"/>
          <w:szCs w:val="21"/>
          <w:highlight w:val="none"/>
        </w:rPr>
      </w:pPr>
    </w:p>
    <w:p w14:paraId="6C5AB338">
      <w:pPr>
        <w:snapToGrid w:val="0"/>
        <w:spacing w:before="0" w:beforeAutospacing="0" w:after="0" w:afterAutospacing="0" w:line="600" w:lineRule="exact"/>
        <w:ind w:firstLine="3150" w:firstLineChars="15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供应商：</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（盖单位公章）</w:t>
      </w:r>
    </w:p>
    <w:p w14:paraId="6CEC1288">
      <w:pPr>
        <w:snapToGrid w:val="0"/>
        <w:spacing w:before="0" w:beforeAutospacing="0" w:after="0" w:afterAutospacing="0" w:line="600" w:lineRule="exact"/>
        <w:jc w:val="both"/>
        <w:textAlignment w:val="baseline"/>
        <w:rPr>
          <w:rFonts w:hint="eastAsia" w:ascii="宋体" w:hAnsi="宋体" w:eastAsia="宋体" w:cs="宋体"/>
          <w:b w:val="0"/>
          <w:i w:val="0"/>
          <w:caps w:val="0"/>
          <w:color w:val="auto"/>
          <w:spacing w:val="0"/>
          <w:w w:val="100"/>
          <w:kern w:val="21"/>
          <w:sz w:val="20"/>
          <w:szCs w:val="21"/>
          <w:highlight w:val="none"/>
        </w:rPr>
      </w:pPr>
    </w:p>
    <w:p w14:paraId="4A7C82CC">
      <w:pPr>
        <w:snapToGrid w:val="0"/>
        <w:spacing w:before="0" w:beforeAutospacing="0" w:after="0" w:afterAutospacing="0" w:line="600" w:lineRule="exact"/>
        <w:ind w:firstLine="2992" w:firstLineChars="1425"/>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日  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日</w:t>
      </w:r>
    </w:p>
    <w:p w14:paraId="3632E74E">
      <w:pPr>
        <w:snapToGrid w:val="0"/>
        <w:spacing w:before="0" w:beforeAutospacing="0" w:after="0" w:afterAutospacing="0" w:line="500" w:lineRule="exact"/>
        <w:ind w:firstLine="3000" w:firstLineChars="1500"/>
        <w:jc w:val="both"/>
        <w:textAlignment w:val="baseline"/>
        <w:rPr>
          <w:rFonts w:hint="eastAsia" w:ascii="宋体" w:hAnsi="宋体" w:eastAsia="宋体" w:cs="宋体"/>
          <w:b w:val="0"/>
          <w:i w:val="0"/>
          <w:caps w:val="0"/>
          <w:color w:val="auto"/>
          <w:spacing w:val="0"/>
          <w:w w:val="100"/>
          <w:kern w:val="21"/>
          <w:sz w:val="20"/>
          <w:szCs w:val="21"/>
          <w:highlight w:val="none"/>
        </w:rPr>
      </w:pPr>
    </w:p>
    <w:p w14:paraId="07D57BA3">
      <w:pPr>
        <w:rPr>
          <w:rFonts w:hint="eastAsia" w:ascii="宋体" w:hAnsi="宋体" w:eastAsia="宋体" w:cs="宋体"/>
          <w:b w:val="0"/>
          <w:i w:val="0"/>
          <w:caps w:val="0"/>
          <w:color w:val="auto"/>
          <w:spacing w:val="0"/>
          <w:w w:val="100"/>
          <w:kern w:val="21"/>
          <w:sz w:val="31"/>
          <w:highlight w:val="none"/>
        </w:rPr>
      </w:pPr>
      <w:r>
        <w:rPr>
          <w:rFonts w:hint="eastAsia" w:ascii="宋体" w:hAnsi="宋体" w:eastAsia="宋体" w:cs="宋体"/>
          <w:b w:val="0"/>
          <w:i w:val="0"/>
          <w:caps w:val="0"/>
          <w:color w:val="auto"/>
          <w:spacing w:val="0"/>
          <w:w w:val="100"/>
          <w:kern w:val="21"/>
          <w:sz w:val="20"/>
          <w:szCs w:val="21"/>
          <w:highlight w:val="none"/>
        </w:rPr>
        <w:br w:type="page"/>
      </w:r>
    </w:p>
    <w:p w14:paraId="181735B4">
      <w:pPr>
        <w:pStyle w:val="5"/>
        <w:snapToGrid w:val="0"/>
        <w:spacing w:before="140" w:beforeAutospacing="0" w:after="140" w:afterAutospacing="0" w:line="240" w:lineRule="auto"/>
        <w:jc w:val="center"/>
        <w:textAlignment w:val="baseline"/>
        <w:rPr>
          <w:rFonts w:hint="eastAsia" w:ascii="宋体" w:hAnsi="宋体" w:eastAsia="宋体" w:cs="宋体"/>
          <w:b/>
          <w:i w:val="0"/>
          <w:caps w:val="0"/>
          <w:color w:val="auto"/>
          <w:spacing w:val="0"/>
          <w:w w:val="100"/>
          <w:kern w:val="21"/>
          <w:sz w:val="24"/>
          <w:highlight w:val="none"/>
        </w:rPr>
      </w:pPr>
      <w:bookmarkStart w:id="90" w:name="_Toc27044"/>
      <w:r>
        <w:rPr>
          <w:rFonts w:hint="eastAsia" w:ascii="宋体" w:hAnsi="宋体" w:eastAsia="宋体" w:cs="宋体"/>
          <w:b/>
          <w:i w:val="0"/>
          <w:caps w:val="0"/>
          <w:color w:val="auto"/>
          <w:spacing w:val="0"/>
          <w:w w:val="100"/>
          <w:kern w:val="21"/>
          <w:sz w:val="24"/>
          <w:highlight w:val="none"/>
          <w:lang w:val="en-US" w:eastAsia="zh-CN"/>
        </w:rPr>
        <w:t>4</w:t>
      </w:r>
      <w:r>
        <w:rPr>
          <w:rFonts w:hint="eastAsia" w:ascii="宋体" w:hAnsi="宋体" w:eastAsia="宋体" w:cs="宋体"/>
          <w:b/>
          <w:i w:val="0"/>
          <w:caps w:val="0"/>
          <w:color w:val="auto"/>
          <w:spacing w:val="0"/>
          <w:w w:val="100"/>
          <w:kern w:val="21"/>
          <w:sz w:val="24"/>
          <w:highlight w:val="none"/>
        </w:rPr>
        <w:t>、法定代表人授权委托书</w:t>
      </w:r>
      <w:bookmarkEnd w:id="90"/>
    </w:p>
    <w:p w14:paraId="4F4DEDDD">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本人</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（姓名）系</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（供应商名称）的法定代表人，现委托</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（姓名）为我方代理人。代理人根据授权，以我方名义签署、澄清、说明、补正、递交、撤回、修改 “</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”(项目名称、项目编号)全权处理与该项目投标、评审答疑、签订合同以及与合同执行有关的一切事务，其法律后果由我方承担。</w:t>
      </w:r>
    </w:p>
    <w:p w14:paraId="581566C6">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委托期限：</w:t>
      </w:r>
      <w:r>
        <w:rPr>
          <w:rFonts w:hint="eastAsia" w:ascii="宋体" w:hAnsi="宋体" w:eastAsia="宋体" w:cs="宋体"/>
          <w:b w:val="0"/>
          <w:i w:val="0"/>
          <w:caps w:val="0"/>
          <w:color w:val="auto"/>
          <w:spacing w:val="0"/>
          <w:w w:val="100"/>
          <w:kern w:val="21"/>
          <w:sz w:val="21"/>
          <w:szCs w:val="21"/>
          <w:highlight w:val="none"/>
          <w:u w:val="single" w:color="000000"/>
        </w:rPr>
        <w:t xml:space="preserve"> 投标截止之日起(     )日历天内保持有效  </w:t>
      </w:r>
    </w:p>
    <w:p w14:paraId="10236649">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代理人无转委托权。</w:t>
      </w:r>
    </w:p>
    <w:p w14:paraId="203D3D3B">
      <w:pPr>
        <w:snapToGrid w:val="0"/>
        <w:spacing w:before="0" w:beforeAutospacing="0" w:after="0" w:afterAutospacing="0" w:line="600" w:lineRule="exact"/>
        <w:ind w:firstLine="420" w:firstLineChars="200"/>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附：（1）法定代表人身份证复印件</w:t>
      </w:r>
    </w:p>
    <w:p w14:paraId="356575A4">
      <w:pPr>
        <w:numPr>
          <w:ilvl w:val="0"/>
          <w:numId w:val="0"/>
        </w:numPr>
        <w:snapToGrid w:val="0"/>
        <w:spacing w:before="0" w:beforeAutospacing="0" w:after="0" w:afterAutospacing="0" w:line="600" w:lineRule="exact"/>
        <w:ind w:firstLine="840" w:firstLineChars="400"/>
        <w:jc w:val="both"/>
        <w:textAlignment w:val="baseline"/>
        <w:rPr>
          <w:rFonts w:hint="eastAsia" w:ascii="宋体" w:hAnsi="宋体" w:eastAsia="宋体" w:cs="宋体"/>
          <w:b w:val="0"/>
          <w:i w:val="0"/>
          <w:caps w:val="0"/>
          <w:color w:val="auto"/>
          <w:spacing w:val="0"/>
          <w:w w:val="100"/>
          <w:kern w:val="21"/>
          <w:sz w:val="21"/>
          <w:szCs w:val="21"/>
          <w:highlight w:val="none"/>
        </w:rPr>
      </w:pPr>
      <w:bookmarkStart w:id="91" w:name="_Toc449368383"/>
      <w:bookmarkStart w:id="92" w:name="_Toc450138948"/>
      <w:bookmarkStart w:id="93" w:name="_Toc25784"/>
      <w:bookmarkStart w:id="94" w:name="_Toc18092"/>
      <w:bookmarkStart w:id="95" w:name="_Toc13736"/>
      <w:bookmarkStart w:id="96" w:name="_Toc14143"/>
      <w:bookmarkStart w:id="97" w:name="_Toc24356"/>
      <w:bookmarkStart w:id="98" w:name="_Toc18758"/>
      <w:bookmarkStart w:id="99" w:name="_Toc26165"/>
      <w:bookmarkStart w:id="100" w:name="_Toc17871"/>
      <w:bookmarkStart w:id="101" w:name="_Toc11508"/>
      <w:r>
        <w:rPr>
          <w:rFonts w:hint="eastAsia" w:ascii="宋体" w:hAnsi="宋体" w:eastAsia="宋体" w:cs="宋体"/>
          <w:b w:val="0"/>
          <w:i w:val="0"/>
          <w:caps w:val="0"/>
          <w:color w:val="auto"/>
          <w:spacing w:val="0"/>
          <w:w w:val="100"/>
          <w:kern w:val="21"/>
          <w:sz w:val="21"/>
          <w:szCs w:val="21"/>
          <w:highlight w:val="none"/>
          <w:u w:color="000000"/>
          <w:lang w:val="en-US" w:eastAsia="zh-CN" w:bidi="ar-SA"/>
        </w:rPr>
        <w:t>（2）</w:t>
      </w:r>
      <w:r>
        <w:rPr>
          <w:rFonts w:hint="eastAsia" w:ascii="宋体" w:hAnsi="宋体" w:eastAsia="宋体" w:cs="宋体"/>
          <w:b w:val="0"/>
          <w:i w:val="0"/>
          <w:caps w:val="0"/>
          <w:color w:val="auto"/>
          <w:spacing w:val="0"/>
          <w:w w:val="100"/>
          <w:kern w:val="21"/>
          <w:sz w:val="21"/>
          <w:szCs w:val="21"/>
          <w:highlight w:val="none"/>
        </w:rPr>
        <w:t>委托代理人身份证</w:t>
      </w:r>
      <w:bookmarkEnd w:id="91"/>
      <w:bookmarkEnd w:id="92"/>
      <w:r>
        <w:rPr>
          <w:rFonts w:hint="eastAsia" w:ascii="宋体" w:hAnsi="宋体" w:eastAsia="宋体" w:cs="宋体"/>
          <w:b w:val="0"/>
          <w:i w:val="0"/>
          <w:caps w:val="0"/>
          <w:color w:val="auto"/>
          <w:spacing w:val="0"/>
          <w:w w:val="100"/>
          <w:kern w:val="21"/>
          <w:sz w:val="21"/>
          <w:szCs w:val="21"/>
          <w:highlight w:val="none"/>
        </w:rPr>
        <w:t>复印件</w:t>
      </w:r>
      <w:bookmarkEnd w:id="93"/>
      <w:bookmarkEnd w:id="94"/>
      <w:bookmarkEnd w:id="95"/>
      <w:bookmarkEnd w:id="96"/>
      <w:bookmarkEnd w:id="97"/>
      <w:bookmarkEnd w:id="98"/>
      <w:bookmarkEnd w:id="99"/>
      <w:bookmarkEnd w:id="100"/>
      <w:bookmarkEnd w:id="101"/>
    </w:p>
    <w:p w14:paraId="181195A8">
      <w:pPr>
        <w:snapToGrid w:val="0"/>
        <w:spacing w:before="0" w:beforeAutospacing="0" w:after="0" w:afterAutospacing="0" w:line="600" w:lineRule="exact"/>
        <w:ind w:firstLine="840" w:firstLineChars="400"/>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（3）附委托代理人开标前3个月内的社会保险缴纳证明</w:t>
      </w:r>
    </w:p>
    <w:p w14:paraId="194704EF">
      <w:pPr>
        <w:snapToGrid w:val="0"/>
        <w:spacing w:before="0" w:beforeAutospacing="0" w:after="0" w:afterAutospacing="0" w:line="600" w:lineRule="exact"/>
        <w:ind w:firstLine="1102" w:firstLineChars="525"/>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供应商：</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（加盖单位公章）</w:t>
      </w:r>
    </w:p>
    <w:p w14:paraId="323A9700">
      <w:pPr>
        <w:snapToGrid w:val="0"/>
        <w:spacing w:before="0" w:beforeAutospacing="0" w:after="0" w:afterAutospacing="0" w:line="600" w:lineRule="exact"/>
        <w:ind w:firstLine="1102" w:firstLineChars="525"/>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法定代表人：</w:t>
      </w: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（签字或盖章）</w:t>
      </w:r>
    </w:p>
    <w:p w14:paraId="2B0B469E">
      <w:pPr>
        <w:snapToGrid w:val="0"/>
        <w:spacing w:before="0" w:beforeAutospacing="0" w:after="0" w:afterAutospacing="0" w:line="600" w:lineRule="exact"/>
        <w:ind w:firstLine="1102" w:firstLineChars="525"/>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身份证号码：</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64606C66">
      <w:pPr>
        <w:snapToGrid w:val="0"/>
        <w:spacing w:before="0" w:beforeAutospacing="0" w:after="0" w:afterAutospacing="0" w:line="600" w:lineRule="exact"/>
        <w:ind w:firstLine="1102" w:firstLineChars="525"/>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委托代理人：</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（签字或盖章）</w:t>
      </w:r>
    </w:p>
    <w:p w14:paraId="79D06F82">
      <w:pPr>
        <w:snapToGrid w:val="0"/>
        <w:spacing w:before="0" w:beforeAutospacing="0" w:after="0" w:afterAutospacing="0" w:line="600" w:lineRule="exact"/>
        <w:ind w:firstLine="1102" w:firstLineChars="525"/>
        <w:jc w:val="both"/>
        <w:textAlignment w:val="baseline"/>
        <w:rPr>
          <w:rFonts w:hint="eastAsia" w:ascii="宋体" w:hAnsi="宋体" w:eastAsia="宋体" w:cs="宋体"/>
          <w:b w:val="0"/>
          <w:i w:val="0"/>
          <w:caps w:val="0"/>
          <w:color w:val="auto"/>
          <w:spacing w:val="0"/>
          <w:w w:val="100"/>
          <w:kern w:val="21"/>
          <w:sz w:val="20"/>
          <w:szCs w:val="21"/>
          <w:highlight w:val="none"/>
          <w:u w:val="single"/>
          <w:lang w:val="en-US"/>
        </w:rPr>
      </w:pPr>
      <w:r>
        <w:rPr>
          <w:rFonts w:hint="eastAsia" w:ascii="宋体" w:hAnsi="宋体" w:eastAsia="宋体" w:cs="宋体"/>
          <w:b w:val="0"/>
          <w:i w:val="0"/>
          <w:caps w:val="0"/>
          <w:color w:val="auto"/>
          <w:spacing w:val="0"/>
          <w:w w:val="100"/>
          <w:kern w:val="21"/>
          <w:sz w:val="21"/>
          <w:szCs w:val="21"/>
          <w:highlight w:val="none"/>
        </w:rPr>
        <w:t>身份证号码：</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p>
    <w:p w14:paraId="5F2A3BF4">
      <w:pPr>
        <w:snapToGrid w:val="0"/>
        <w:spacing w:before="0" w:beforeAutospacing="0" w:after="0" w:afterAutospacing="0" w:line="600" w:lineRule="exact"/>
        <w:ind w:firstLine="1102" w:firstLineChars="525"/>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日      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日</w:t>
      </w:r>
    </w:p>
    <w:p w14:paraId="27EEB0A9">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20"/>
          <w:szCs w:val="21"/>
          <w:highlight w:val="none"/>
        </w:rPr>
      </w:pPr>
    </w:p>
    <w:p w14:paraId="06EB1FAA">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20"/>
          <w:szCs w:val="21"/>
          <w:highlight w:val="none"/>
        </w:rPr>
      </w:pPr>
    </w:p>
    <w:p w14:paraId="245A9EC6">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20"/>
          <w:szCs w:val="21"/>
          <w:highlight w:val="none"/>
        </w:rPr>
      </w:pPr>
    </w:p>
    <w:p w14:paraId="04B9A576">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kern w:val="21"/>
          <w:sz w:val="20"/>
          <w:szCs w:val="21"/>
          <w:highlight w:val="none"/>
        </w:rPr>
      </w:pPr>
    </w:p>
    <w:p w14:paraId="6F6ECCA0">
      <w:pPr>
        <w:rPr>
          <w:rFonts w:hint="eastAsia" w:ascii="宋体" w:hAnsi="宋体" w:eastAsia="宋体" w:cs="宋体"/>
          <w:b/>
          <w:i w:val="0"/>
          <w:caps w:val="0"/>
          <w:color w:val="auto"/>
          <w:spacing w:val="0"/>
          <w:w w:val="100"/>
          <w:kern w:val="21"/>
          <w:sz w:val="32"/>
          <w:szCs w:val="32"/>
          <w:highlight w:val="none"/>
        </w:rPr>
      </w:pPr>
      <w:r>
        <w:rPr>
          <w:rFonts w:hint="eastAsia" w:ascii="宋体" w:hAnsi="宋体" w:eastAsia="宋体" w:cs="宋体"/>
          <w:b/>
          <w:i w:val="0"/>
          <w:caps w:val="0"/>
          <w:color w:val="auto"/>
          <w:spacing w:val="0"/>
          <w:w w:val="100"/>
          <w:kern w:val="21"/>
          <w:sz w:val="20"/>
          <w:szCs w:val="21"/>
          <w:highlight w:val="none"/>
        </w:rPr>
        <w:br w:type="page"/>
      </w:r>
    </w:p>
    <w:p w14:paraId="422DC7B9">
      <w:pPr>
        <w:pStyle w:val="5"/>
        <w:snapToGrid w:val="0"/>
        <w:spacing w:before="140" w:beforeAutospacing="0" w:after="140" w:afterAutospacing="0" w:line="560" w:lineRule="exact"/>
        <w:ind w:left="2310" w:firstLine="241" w:firstLineChars="1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lang w:val="en-US" w:eastAsia="zh-CN"/>
        </w:rPr>
        <w:t>5</w:t>
      </w:r>
      <w:r>
        <w:rPr>
          <w:rFonts w:hint="eastAsia" w:ascii="宋体" w:hAnsi="宋体" w:eastAsia="宋体" w:cs="宋体"/>
          <w:b/>
          <w:i w:val="0"/>
          <w:caps w:val="0"/>
          <w:color w:val="auto"/>
          <w:spacing w:val="0"/>
          <w:w w:val="100"/>
          <w:sz w:val="24"/>
          <w:highlight w:val="none"/>
        </w:rPr>
        <w:t>.1中小企业声明函（货物）（若是）</w:t>
      </w:r>
    </w:p>
    <w:p w14:paraId="085698D6">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p>
    <w:p w14:paraId="043C1F86">
      <w:pPr>
        <w:snapToGrid w:val="0"/>
        <w:spacing w:line="480" w:lineRule="auto"/>
        <w:ind w:firstLine="420" w:firstLineChars="200"/>
        <w:rPr>
          <w:rFonts w:hint="eastAsia" w:ascii="宋体" w:hAnsi="宋体" w:eastAsia="宋体" w:cs="宋体"/>
          <w:color w:val="auto"/>
          <w:sz w:val="20"/>
          <w:szCs w:val="21"/>
          <w:highlight w:val="none"/>
        </w:rPr>
      </w:pPr>
      <w:bookmarkStart w:id="102" w:name="_Toc10634"/>
      <w:bookmarkStart w:id="103" w:name="_Toc6758"/>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color w:val="auto"/>
          <w:szCs w:val="21"/>
          <w:highlight w:val="none"/>
          <w:u w:val="single"/>
        </w:rPr>
        <w:t xml:space="preserve">     （单位名称）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21"/>
          <w:szCs w:val="21"/>
          <w:highlight w:val="none"/>
          <w:u w:val="single"/>
        </w:rPr>
        <w:t>(项目名称、项目</w:t>
      </w:r>
      <w:r>
        <w:rPr>
          <w:rFonts w:hint="eastAsia" w:ascii="宋体" w:hAnsi="宋体" w:eastAsia="宋体" w:cs="宋体"/>
          <w:color w:val="auto"/>
          <w:kern w:val="21"/>
          <w:szCs w:val="21"/>
          <w:highlight w:val="none"/>
          <w:u w:val="single" w:color="auto"/>
        </w:rPr>
        <w:t>编号</w:t>
      </w:r>
      <w:r>
        <w:rPr>
          <w:rFonts w:hint="eastAsia" w:ascii="宋体" w:hAnsi="宋体" w:eastAsia="宋体" w:cs="宋体"/>
          <w:color w:val="auto"/>
          <w:kern w:val="21"/>
          <w:szCs w:val="21"/>
          <w:highlight w:val="none"/>
          <w:u w:val="single"/>
        </w:rPr>
        <w:t>)</w:t>
      </w:r>
      <w:r>
        <w:rPr>
          <w:rFonts w:hint="eastAsia" w:ascii="宋体" w:hAnsi="宋体" w:eastAsia="宋体" w:cs="宋体"/>
          <w:color w:val="auto"/>
          <w:szCs w:val="21"/>
          <w:highlight w:val="none"/>
        </w:rPr>
        <w:t xml:space="preserve">采购活动，提供的货物全部由符合政策要求的中小企业制造。相关企业（含联合体中的中小企业、签订分包意向协议的中小企业）的具体情况如下：          </w:t>
      </w:r>
    </w:p>
    <w:p w14:paraId="1EAC39D6">
      <w:pPr>
        <w:numPr>
          <w:ilvl w:val="0"/>
          <w:numId w:val="2"/>
        </w:numPr>
        <w:snapToGrid w:val="0"/>
        <w:spacing w:line="480" w:lineRule="auto"/>
        <w:ind w:firstLine="420" w:firstLine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37D20B82">
      <w:pPr>
        <w:numPr>
          <w:ilvl w:val="0"/>
          <w:numId w:val="0"/>
        </w:numPr>
        <w:snapToGrid w:val="0"/>
        <w:spacing w:line="480" w:lineRule="auto"/>
        <w:ind w:firstLine="420" w:firstLine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2122F28B">
      <w:pPr>
        <w:snapToGrid w:val="0"/>
        <w:spacing w:line="480" w:lineRule="auto"/>
        <w:ind w:firstLine="420" w:firstLine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w:t>
      </w:r>
    </w:p>
    <w:p w14:paraId="5F99953A">
      <w:pPr>
        <w:pStyle w:val="63"/>
        <w:snapToGrid w:val="0"/>
        <w:spacing w:line="48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019E073A">
      <w:pPr>
        <w:pStyle w:val="64"/>
        <w:snapToGrid w:val="0"/>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13A88235">
      <w:pPr>
        <w:snapToGrid w:val="0"/>
        <w:spacing w:line="560" w:lineRule="exact"/>
        <w:ind w:firstLine="2310" w:firstLineChars="1100"/>
        <w:jc w:val="center"/>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 xml:space="preserve">       供应商：</w:t>
      </w:r>
      <w:r>
        <w:rPr>
          <w:rFonts w:hint="eastAsia" w:ascii="宋体" w:hAnsi="宋体" w:eastAsia="宋体" w:cs="宋体"/>
          <w:color w:val="auto"/>
          <w:kern w:val="21"/>
          <w:szCs w:val="21"/>
          <w:highlight w:val="none"/>
          <w:u w:val="single"/>
        </w:rPr>
        <w:t xml:space="preserve">            （</w:t>
      </w:r>
      <w:r>
        <w:rPr>
          <w:rFonts w:hint="eastAsia" w:ascii="宋体" w:hAnsi="宋体" w:eastAsia="宋体" w:cs="宋体"/>
          <w:color w:val="auto"/>
          <w:szCs w:val="21"/>
          <w:highlight w:val="none"/>
        </w:rPr>
        <w:t>加盖单位公章）</w:t>
      </w:r>
    </w:p>
    <w:p w14:paraId="6A7D5390">
      <w:pPr>
        <w:snapToGrid w:val="0"/>
        <w:spacing w:line="560" w:lineRule="exact"/>
        <w:ind w:firstLine="2310" w:firstLineChars="1100"/>
        <w:jc w:val="center"/>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21"/>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21"/>
          <w:szCs w:val="21"/>
          <w:highlight w:val="none"/>
          <w:u w:val="single"/>
        </w:rPr>
        <w:t xml:space="preserve">      </w:t>
      </w:r>
      <w:r>
        <w:rPr>
          <w:rFonts w:hint="eastAsia" w:ascii="宋体" w:hAnsi="宋体" w:eastAsia="宋体" w:cs="宋体"/>
          <w:color w:val="auto"/>
          <w:szCs w:val="21"/>
          <w:highlight w:val="none"/>
        </w:rPr>
        <w:t>日</w:t>
      </w:r>
    </w:p>
    <w:p w14:paraId="1A15F544">
      <w:pPr>
        <w:pStyle w:val="63"/>
        <w:snapToGrid w:val="0"/>
        <w:rPr>
          <w:rFonts w:hint="eastAsia" w:ascii="宋体" w:hAnsi="宋体" w:eastAsia="宋体" w:cs="宋体"/>
          <w:color w:val="auto"/>
          <w:szCs w:val="21"/>
          <w:highlight w:val="none"/>
        </w:rPr>
      </w:pPr>
    </w:p>
    <w:p w14:paraId="37156ABE">
      <w:pPr>
        <w:pStyle w:val="64"/>
        <w:snapToGrid w:val="0"/>
        <w:rPr>
          <w:rFonts w:hint="eastAsia" w:ascii="宋体" w:hAnsi="宋体" w:eastAsia="宋体" w:cs="宋体"/>
          <w:color w:val="auto"/>
          <w:szCs w:val="21"/>
          <w:highlight w:val="none"/>
        </w:rPr>
      </w:pPr>
    </w:p>
    <w:p w14:paraId="0A43F9D9">
      <w:pPr>
        <w:snapToGrid w:val="0"/>
        <w:rPr>
          <w:rFonts w:hint="eastAsia" w:ascii="宋体" w:hAnsi="宋体" w:eastAsia="宋体" w:cs="宋体"/>
          <w:color w:val="auto"/>
          <w:sz w:val="20"/>
          <w:szCs w:val="21"/>
          <w:highlight w:val="none"/>
        </w:rPr>
      </w:pPr>
    </w:p>
    <w:p w14:paraId="21AD0FBF">
      <w:pPr>
        <w:pStyle w:val="63"/>
        <w:snapToGrid w:val="0"/>
        <w:rPr>
          <w:rFonts w:hint="eastAsia" w:ascii="宋体" w:hAnsi="宋体" w:eastAsia="宋体" w:cs="宋体"/>
          <w:color w:val="auto"/>
          <w:szCs w:val="21"/>
          <w:highlight w:val="none"/>
        </w:rPr>
      </w:pPr>
    </w:p>
    <w:p w14:paraId="0E0E74B7">
      <w:pPr>
        <w:pStyle w:val="64"/>
        <w:snapToGrid w:val="0"/>
        <w:rPr>
          <w:rFonts w:hint="eastAsia" w:ascii="宋体" w:hAnsi="宋体" w:eastAsia="宋体" w:cs="宋体"/>
          <w:color w:val="auto"/>
          <w:highlight w:val="none"/>
        </w:rPr>
      </w:pPr>
    </w:p>
    <w:p w14:paraId="6484C177">
      <w:pPr>
        <w:pStyle w:val="63"/>
        <w:snapToGrid w:val="0"/>
        <w:spacing w:line="48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5BCB1D71">
      <w:pPr>
        <w:pStyle w:val="63"/>
        <w:snapToGrid w:val="0"/>
        <w:rPr>
          <w:rFonts w:hint="eastAsia" w:ascii="宋体" w:hAnsi="宋体" w:eastAsia="宋体" w:cs="宋体"/>
          <w:color w:val="auto"/>
          <w:highlight w:val="none"/>
        </w:rPr>
        <w:sectPr>
          <w:pgSz w:w="11906" w:h="16838"/>
          <w:pgMar w:top="1440" w:right="1701" w:bottom="1440" w:left="1417" w:header="850" w:footer="992" w:gutter="0"/>
          <w:pgNumType w:fmt="decimal"/>
          <w:cols w:space="0" w:num="1"/>
          <w:rtlGutter w:val="0"/>
          <w:docGrid w:linePitch="312" w:charSpace="0"/>
        </w:sectPr>
      </w:pPr>
    </w:p>
    <w:p w14:paraId="7F15A47E">
      <w:pPr>
        <w:pStyle w:val="5"/>
        <w:snapToGrid w:val="0"/>
        <w:spacing w:before="140" w:beforeAutospacing="0" w:after="140" w:afterAutospacing="0" w:line="560" w:lineRule="exact"/>
        <w:ind w:left="2310" w:firstLine="241" w:firstLineChars="1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lang w:val="en-US" w:eastAsia="zh-CN"/>
        </w:rPr>
        <w:t>5</w:t>
      </w:r>
      <w:r>
        <w:rPr>
          <w:rFonts w:hint="eastAsia" w:ascii="宋体" w:hAnsi="宋体" w:eastAsia="宋体" w:cs="宋体"/>
          <w:b/>
          <w:i w:val="0"/>
          <w:caps w:val="0"/>
          <w:color w:val="auto"/>
          <w:spacing w:val="0"/>
          <w:w w:val="100"/>
          <w:sz w:val="24"/>
          <w:highlight w:val="none"/>
        </w:rPr>
        <w:t>.2中小企业声明函（工程、服务）</w:t>
      </w:r>
      <w:bookmarkEnd w:id="102"/>
      <w:bookmarkEnd w:id="103"/>
      <w:r>
        <w:rPr>
          <w:rFonts w:hint="eastAsia" w:ascii="宋体" w:hAnsi="宋体" w:eastAsia="宋体" w:cs="宋体"/>
          <w:b/>
          <w:i w:val="0"/>
          <w:caps w:val="0"/>
          <w:color w:val="auto"/>
          <w:spacing w:val="0"/>
          <w:w w:val="100"/>
          <w:sz w:val="24"/>
          <w:highlight w:val="none"/>
        </w:rPr>
        <w:t>（若是）</w:t>
      </w:r>
    </w:p>
    <w:p w14:paraId="290544CA">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p>
    <w:p w14:paraId="0491492C">
      <w:pPr>
        <w:snapToGrid w:val="0"/>
        <w:spacing w:line="480" w:lineRule="auto"/>
        <w:ind w:firstLine="420" w:firstLine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公司郑重声明，根据《政府采购促进中小企业发展管理办法》（财库[2020]46号）的规定，本公司参加</w:t>
      </w:r>
      <w:r>
        <w:rPr>
          <w:rFonts w:hint="eastAsia" w:ascii="宋体" w:hAnsi="宋体" w:eastAsia="宋体" w:cs="宋体"/>
          <w:color w:val="auto"/>
          <w:szCs w:val="21"/>
          <w:highlight w:val="none"/>
          <w:u w:val="single"/>
        </w:rPr>
        <w:t xml:space="preserve">    （单位名称）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21"/>
          <w:szCs w:val="21"/>
          <w:highlight w:val="none"/>
          <w:u w:val="single"/>
        </w:rPr>
        <w:t>(项目名称、项目编号</w:t>
      </w:r>
      <w:r>
        <w:rPr>
          <w:rFonts w:hint="eastAsia" w:ascii="宋体" w:hAnsi="宋体" w:eastAsia="宋体" w:cs="宋体"/>
          <w:color w:val="auto"/>
          <w:kern w:val="21"/>
          <w:szCs w:val="21"/>
          <w:highlight w:val="none"/>
          <w:u w:val="single"/>
          <w:lang w:eastAsia="zh-CN"/>
        </w:rPr>
        <w:t>）</w:t>
      </w:r>
      <w:r>
        <w:rPr>
          <w:rFonts w:hint="eastAsia" w:ascii="宋体" w:hAnsi="宋体" w:eastAsia="宋体" w:cs="宋体"/>
          <w:color w:val="auto"/>
          <w:szCs w:val="21"/>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5AD7A65">
      <w:pPr>
        <w:snapToGrid w:val="0"/>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1、（标的名称）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5D21E17B">
      <w:pPr>
        <w:snapToGrid w:val="0"/>
        <w:spacing w:line="480" w:lineRule="auto"/>
        <w:ind w:firstLine="420" w:firstLine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2、（标的名称），属于（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0F1C3A68">
      <w:pPr>
        <w:snapToGrid w:val="0"/>
        <w:spacing w:line="480" w:lineRule="auto"/>
        <w:ind w:firstLine="420" w:firstLine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w:t>
      </w:r>
    </w:p>
    <w:p w14:paraId="7652667E">
      <w:pPr>
        <w:pStyle w:val="63"/>
        <w:snapToGrid w:val="0"/>
        <w:spacing w:line="48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2DFB6D49">
      <w:pPr>
        <w:pStyle w:val="64"/>
        <w:snapToGrid w:val="0"/>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4C0BABB6">
      <w:pPr>
        <w:snapToGrid w:val="0"/>
        <w:spacing w:line="560" w:lineRule="exact"/>
        <w:ind w:firstLine="2310" w:firstLineChars="1100"/>
        <w:jc w:val="center"/>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 xml:space="preserve">       供应商：</w:t>
      </w:r>
      <w:r>
        <w:rPr>
          <w:rFonts w:hint="eastAsia" w:ascii="宋体" w:hAnsi="宋体" w:eastAsia="宋体" w:cs="宋体"/>
          <w:color w:val="auto"/>
          <w:kern w:val="21"/>
          <w:szCs w:val="21"/>
          <w:highlight w:val="none"/>
          <w:u w:val="single"/>
        </w:rPr>
        <w:t xml:space="preserve">            （</w:t>
      </w:r>
      <w:r>
        <w:rPr>
          <w:rFonts w:hint="eastAsia" w:ascii="宋体" w:hAnsi="宋体" w:eastAsia="宋体" w:cs="宋体"/>
          <w:color w:val="auto"/>
          <w:szCs w:val="21"/>
          <w:highlight w:val="none"/>
        </w:rPr>
        <w:t>加盖单位公章）</w:t>
      </w:r>
    </w:p>
    <w:p w14:paraId="2538B597">
      <w:pPr>
        <w:snapToGrid w:val="0"/>
        <w:spacing w:line="560" w:lineRule="exact"/>
        <w:ind w:firstLine="2310" w:firstLineChars="1100"/>
        <w:jc w:val="center"/>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21"/>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21"/>
          <w:szCs w:val="21"/>
          <w:highlight w:val="none"/>
          <w:u w:val="single"/>
        </w:rPr>
        <w:t xml:space="preserve">      </w:t>
      </w:r>
      <w:r>
        <w:rPr>
          <w:rFonts w:hint="eastAsia" w:ascii="宋体" w:hAnsi="宋体" w:eastAsia="宋体" w:cs="宋体"/>
          <w:color w:val="auto"/>
          <w:szCs w:val="21"/>
          <w:highlight w:val="none"/>
        </w:rPr>
        <w:t>日</w:t>
      </w:r>
    </w:p>
    <w:p w14:paraId="1AEC3319">
      <w:pPr>
        <w:pStyle w:val="63"/>
        <w:snapToGrid w:val="0"/>
        <w:rPr>
          <w:rFonts w:hint="eastAsia" w:ascii="宋体" w:hAnsi="宋体" w:eastAsia="宋体" w:cs="宋体"/>
          <w:color w:val="auto"/>
          <w:szCs w:val="21"/>
          <w:highlight w:val="none"/>
        </w:rPr>
      </w:pPr>
    </w:p>
    <w:p w14:paraId="31937580">
      <w:pPr>
        <w:pStyle w:val="64"/>
        <w:snapToGrid w:val="0"/>
        <w:rPr>
          <w:rFonts w:hint="eastAsia" w:ascii="宋体" w:hAnsi="宋体" w:eastAsia="宋体" w:cs="宋体"/>
          <w:color w:val="auto"/>
          <w:szCs w:val="21"/>
          <w:highlight w:val="none"/>
        </w:rPr>
      </w:pPr>
    </w:p>
    <w:p w14:paraId="2BA72820">
      <w:pPr>
        <w:snapToGrid w:val="0"/>
        <w:rPr>
          <w:rFonts w:hint="eastAsia" w:ascii="宋体" w:hAnsi="宋体" w:eastAsia="宋体" w:cs="宋体"/>
          <w:color w:val="auto"/>
          <w:sz w:val="20"/>
          <w:szCs w:val="21"/>
          <w:highlight w:val="none"/>
        </w:rPr>
      </w:pPr>
    </w:p>
    <w:p w14:paraId="26426C7C">
      <w:pPr>
        <w:pStyle w:val="63"/>
        <w:snapToGrid w:val="0"/>
        <w:rPr>
          <w:rFonts w:hint="eastAsia" w:ascii="宋体" w:hAnsi="宋体" w:eastAsia="宋体" w:cs="宋体"/>
          <w:color w:val="auto"/>
          <w:highlight w:val="none"/>
        </w:rPr>
      </w:pPr>
    </w:p>
    <w:p w14:paraId="26A5E566">
      <w:pPr>
        <w:pStyle w:val="63"/>
        <w:snapToGrid w:val="0"/>
        <w:spacing w:line="480" w:lineRule="auto"/>
        <w:ind w:firstLine="420" w:firstLineChars="200"/>
        <w:rPr>
          <w:rFonts w:hint="eastAsia" w:ascii="宋体" w:hAnsi="宋体" w:eastAsia="宋体" w:cs="宋体"/>
          <w:color w:val="auto"/>
          <w:highlight w:val="none"/>
        </w:rPr>
        <w:sectPr>
          <w:pgSz w:w="11906" w:h="16838"/>
          <w:pgMar w:top="1440" w:right="1701" w:bottom="1440" w:left="1417" w:header="850" w:footer="992" w:gutter="0"/>
          <w:pgNumType w:fmt="decimal"/>
          <w:cols w:space="0" w:num="1"/>
          <w:rtlGutter w:val="0"/>
          <w:docGrid w:linePitch="312" w:charSpace="0"/>
        </w:sect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3E263491">
      <w:pPr>
        <w:pStyle w:val="5"/>
        <w:snapToGrid w:val="0"/>
        <w:spacing w:before="140" w:beforeAutospacing="0" w:after="140" w:afterAutospacing="0" w:line="560" w:lineRule="exact"/>
        <w:jc w:val="center"/>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lang w:val="en-US" w:eastAsia="zh-CN"/>
        </w:rPr>
        <w:t>6</w:t>
      </w:r>
      <w:r>
        <w:rPr>
          <w:rFonts w:hint="eastAsia" w:ascii="宋体" w:hAnsi="宋体" w:eastAsia="宋体" w:cs="宋体"/>
          <w:b/>
          <w:i w:val="0"/>
          <w:caps w:val="0"/>
          <w:color w:val="auto"/>
          <w:spacing w:val="0"/>
          <w:w w:val="100"/>
          <w:sz w:val="24"/>
          <w:highlight w:val="none"/>
        </w:rPr>
        <w:t>、残疾人福利性单位声明函（若是）</w:t>
      </w:r>
    </w:p>
    <w:p w14:paraId="6C736DCD">
      <w:pPr>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u w:val="single" w:color="000000"/>
        </w:rPr>
        <w:t>(项目名称、项目编号</w:t>
      </w:r>
      <w:r>
        <w:rPr>
          <w:rFonts w:hint="eastAsia" w:ascii="宋体" w:hAnsi="宋体" w:eastAsia="宋体" w:cs="宋体"/>
          <w:b w:val="0"/>
          <w:i w:val="0"/>
          <w:caps w:val="0"/>
          <w:color w:val="auto"/>
          <w:spacing w:val="0"/>
          <w:w w:val="100"/>
          <w:sz w:val="21"/>
          <w:szCs w:val="21"/>
          <w:highlight w:val="none"/>
        </w:rPr>
        <w:t>的采购活动提供本单位制造的货物（由本单位承担工程/提供服务），或者提供其他残疾人福利性单位制造的货物（不包括使用非残疾人福利性单位注册商标的货物）。</w:t>
      </w:r>
    </w:p>
    <w:p w14:paraId="230C23FD">
      <w:pPr>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本单位对上述声明的真实性负责。如有虚假，将依法承担相应责任。</w:t>
      </w:r>
    </w:p>
    <w:p w14:paraId="23889BA5">
      <w:pPr>
        <w:pStyle w:val="14"/>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31"/>
          <w:highlight w:val="none"/>
        </w:rPr>
      </w:pPr>
    </w:p>
    <w:p w14:paraId="47F062BF">
      <w:pPr>
        <w:snapToGrid w:val="0"/>
        <w:spacing w:before="0" w:beforeAutospacing="0" w:after="0" w:afterAutospacing="0" w:line="560" w:lineRule="exact"/>
        <w:ind w:firstLine="2310" w:firstLineChars="1100"/>
        <w:jc w:val="center"/>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供应商：</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rPr>
        <w:t>加盖单位公章）</w:t>
      </w:r>
    </w:p>
    <w:p w14:paraId="332B5C22">
      <w:pPr>
        <w:snapToGrid w:val="0"/>
        <w:spacing w:before="0" w:beforeAutospacing="0" w:after="0" w:afterAutospacing="0" w:line="560" w:lineRule="exact"/>
        <w:ind w:firstLine="2310" w:firstLineChars="1100"/>
        <w:jc w:val="center"/>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lang w:val="en-US" w:eastAsia="zh-CN"/>
        </w:rPr>
        <w:t xml:space="preserve">     </w:t>
      </w:r>
      <w:r>
        <w:rPr>
          <w:rFonts w:hint="eastAsia" w:ascii="宋体" w:hAnsi="宋体" w:eastAsia="宋体" w:cs="宋体"/>
          <w:b w:val="0"/>
          <w:i w:val="0"/>
          <w:caps w:val="0"/>
          <w:color w:val="auto"/>
          <w:spacing w:val="0"/>
          <w:w w:val="100"/>
          <w:sz w:val="21"/>
          <w:szCs w:val="21"/>
          <w:highlight w:val="none"/>
        </w:rPr>
        <w:t>日  期：</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rPr>
        <w:t>日</w:t>
      </w:r>
    </w:p>
    <w:p w14:paraId="1F0445A3">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r>
        <w:rPr>
          <w:rFonts w:hint="eastAsia" w:ascii="宋体" w:hAnsi="宋体" w:eastAsia="宋体" w:cs="宋体"/>
          <w:b w:val="0"/>
          <w:i w:val="0"/>
          <w:caps w:val="0"/>
          <w:color w:val="auto"/>
          <w:spacing w:val="0"/>
          <w:w w:val="100"/>
          <w:sz w:val="21"/>
          <w:highlight w:val="none"/>
        </w:rPr>
        <w:t>备注：根据《财政部 民政部 中国残疾人联合会关于促进残疾人就业政府采购政策的通知》（财库〔2017〕141号）的规定：</w:t>
      </w:r>
    </w:p>
    <w:p w14:paraId="508F664B">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r>
        <w:rPr>
          <w:rFonts w:hint="eastAsia" w:ascii="宋体" w:hAnsi="宋体" w:eastAsia="宋体" w:cs="宋体"/>
          <w:b w:val="0"/>
          <w:i w:val="0"/>
          <w:caps w:val="0"/>
          <w:color w:val="auto"/>
          <w:spacing w:val="0"/>
          <w:w w:val="100"/>
          <w:sz w:val="21"/>
          <w:highlight w:val="none"/>
        </w:rPr>
        <w:t>一、享受政府采购支持政策的残疾人福利性单位应当同时满足以下条件：</w:t>
      </w:r>
    </w:p>
    <w:p w14:paraId="3386931F">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r>
        <w:rPr>
          <w:rFonts w:hint="eastAsia" w:ascii="宋体" w:hAnsi="宋体" w:eastAsia="宋体" w:cs="宋体"/>
          <w:b w:val="0"/>
          <w:i w:val="0"/>
          <w:caps w:val="0"/>
          <w:color w:val="auto"/>
          <w:spacing w:val="0"/>
          <w:w w:val="100"/>
          <w:sz w:val="21"/>
          <w:highlight w:val="none"/>
        </w:rPr>
        <w:t>（一）安置的残疾人占本单位在职职工人数的比例不低于25%（含25%），并且安置的残疾人人数不少于10人（含10人）；</w:t>
      </w:r>
    </w:p>
    <w:p w14:paraId="15EB7397">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r>
        <w:rPr>
          <w:rFonts w:hint="eastAsia" w:ascii="宋体" w:hAnsi="宋体" w:eastAsia="宋体" w:cs="宋体"/>
          <w:b w:val="0"/>
          <w:i w:val="0"/>
          <w:caps w:val="0"/>
          <w:color w:val="auto"/>
          <w:spacing w:val="0"/>
          <w:w w:val="100"/>
          <w:sz w:val="21"/>
          <w:highlight w:val="none"/>
        </w:rPr>
        <w:t>（二）依法与安置的每位残疾人签订了一年以上（含一年）的劳动合同或服务协议；</w:t>
      </w:r>
    </w:p>
    <w:p w14:paraId="241752DB">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r>
        <w:rPr>
          <w:rFonts w:hint="eastAsia" w:ascii="宋体" w:hAnsi="宋体" w:eastAsia="宋体" w:cs="宋体"/>
          <w:b w:val="0"/>
          <w:i w:val="0"/>
          <w:caps w:val="0"/>
          <w:color w:val="auto"/>
          <w:spacing w:val="0"/>
          <w:w w:val="100"/>
          <w:sz w:val="21"/>
          <w:highlight w:val="none"/>
        </w:rPr>
        <w:t>（三）为安置的每位残疾人按月足额缴纳了基本养老保险、基本医疗保险、失业保险、工伤保险和生育保险等社会保险费；</w:t>
      </w:r>
    </w:p>
    <w:p w14:paraId="0E3D09DF">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r>
        <w:rPr>
          <w:rFonts w:hint="eastAsia" w:ascii="宋体" w:hAnsi="宋体" w:eastAsia="宋体" w:cs="宋体"/>
          <w:b w:val="0"/>
          <w:i w:val="0"/>
          <w:caps w:val="0"/>
          <w:color w:val="auto"/>
          <w:spacing w:val="0"/>
          <w:w w:val="100"/>
          <w:sz w:val="21"/>
          <w:highlight w:val="none"/>
        </w:rPr>
        <w:t>（四）通过银行等金融机构向安置的每位残疾人，按月支付了不低于单位所在区县适用的经省级人民政府批准的月最低工资标准的工资；</w:t>
      </w:r>
    </w:p>
    <w:p w14:paraId="5E55E5AF">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sz w:val="20"/>
          <w:highlight w:val="none"/>
        </w:rPr>
      </w:pPr>
      <w:r>
        <w:rPr>
          <w:rFonts w:hint="eastAsia" w:ascii="宋体" w:hAnsi="宋体" w:eastAsia="宋体" w:cs="宋体"/>
          <w:b w:val="0"/>
          <w:i w:val="0"/>
          <w:caps w:val="0"/>
          <w:color w:val="auto"/>
          <w:spacing w:val="0"/>
          <w:w w:val="100"/>
          <w:sz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E625968">
      <w:pPr>
        <w:snapToGrid w:val="0"/>
        <w:spacing w:before="0" w:beforeAutospacing="0" w:after="0" w:afterAutospacing="0" w:line="357" w:lineRule="atLeast"/>
        <w:jc w:val="center"/>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1"/>
          <w:highlight w:val="none"/>
        </w:rPr>
        <w:t>二、成交、成交供应商为残疾人福利性单位的，采购人或者其委托的采购代理机构应当随成交、成交结果同时公告其《残疾人福利性单位声明函》，接受社会监督。</w:t>
      </w:r>
      <w:r>
        <w:rPr>
          <w:rFonts w:hint="eastAsia" w:ascii="宋体" w:hAnsi="宋体" w:eastAsia="宋体" w:cs="宋体"/>
          <w:b w:val="0"/>
          <w:i w:val="0"/>
          <w:caps w:val="0"/>
          <w:color w:val="auto"/>
          <w:spacing w:val="0"/>
          <w:w w:val="100"/>
          <w:sz w:val="21"/>
          <w:highlight w:val="none"/>
        </w:rPr>
        <w:br w:type="page"/>
      </w:r>
    </w:p>
    <w:p w14:paraId="41B23FEA">
      <w:pPr>
        <w:snapToGrid w:val="0"/>
        <w:spacing w:before="0" w:beforeAutospacing="0" w:after="0" w:afterAutospacing="0" w:line="357" w:lineRule="atLeast"/>
        <w:jc w:val="center"/>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rPr>
        <w:t>、监狱企业证明函（若是）</w:t>
      </w:r>
    </w:p>
    <w:p w14:paraId="397577D0">
      <w:pPr>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F96DC2">
      <w:pPr>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监狱企业参加政府采购活动时，应当提供由省级以上监狱管理局、戒毒管理局（含新疆生产建设兵团）出具的属于监狱企业的证明文件</w:t>
      </w:r>
    </w:p>
    <w:p w14:paraId="65712C6A">
      <w:pPr>
        <w:snapToGrid w:val="0"/>
        <w:spacing w:before="156" w:beforeAutospacing="0" w:after="156" w:afterAutospacing="0" w:line="460" w:lineRule="exact"/>
        <w:jc w:val="both"/>
        <w:textAlignment w:val="baseline"/>
        <w:rPr>
          <w:rFonts w:hint="eastAsia" w:ascii="宋体" w:hAnsi="宋体" w:eastAsia="宋体" w:cs="宋体"/>
          <w:b/>
          <w:i w:val="0"/>
          <w:caps w:val="0"/>
          <w:color w:val="auto"/>
          <w:spacing w:val="0"/>
          <w:w w:val="100"/>
          <w:sz w:val="32"/>
          <w:szCs w:val="32"/>
          <w:highlight w:val="none"/>
        </w:rPr>
      </w:pPr>
    </w:p>
    <w:p w14:paraId="212D70F4">
      <w:pPr>
        <w:snapToGrid w:val="0"/>
        <w:spacing w:before="156" w:beforeAutospacing="0" w:after="156" w:afterAutospacing="0" w:line="460" w:lineRule="exact"/>
        <w:jc w:val="both"/>
        <w:textAlignment w:val="baseline"/>
        <w:rPr>
          <w:rFonts w:hint="eastAsia" w:ascii="宋体" w:hAnsi="宋体" w:eastAsia="宋体" w:cs="宋体"/>
          <w:b/>
          <w:i w:val="0"/>
          <w:caps w:val="0"/>
          <w:color w:val="auto"/>
          <w:spacing w:val="0"/>
          <w:w w:val="100"/>
          <w:sz w:val="32"/>
          <w:szCs w:val="32"/>
          <w:highlight w:val="none"/>
        </w:rPr>
      </w:pPr>
    </w:p>
    <w:p w14:paraId="6EEB243E">
      <w:pPr>
        <w:snapToGrid w:val="0"/>
        <w:spacing w:before="156" w:beforeAutospacing="0" w:after="156" w:afterAutospacing="0" w:line="460" w:lineRule="exact"/>
        <w:jc w:val="both"/>
        <w:textAlignment w:val="baseline"/>
        <w:rPr>
          <w:rFonts w:hint="eastAsia" w:ascii="宋体" w:hAnsi="宋体" w:eastAsia="宋体" w:cs="宋体"/>
          <w:b/>
          <w:i w:val="0"/>
          <w:caps w:val="0"/>
          <w:color w:val="auto"/>
          <w:spacing w:val="0"/>
          <w:w w:val="100"/>
          <w:sz w:val="32"/>
          <w:szCs w:val="32"/>
          <w:highlight w:val="none"/>
        </w:rPr>
      </w:pPr>
    </w:p>
    <w:p w14:paraId="2790F630">
      <w:pPr>
        <w:snapToGrid w:val="0"/>
        <w:spacing w:before="156" w:beforeAutospacing="0" w:after="156" w:afterAutospacing="0" w:line="460" w:lineRule="exact"/>
        <w:jc w:val="both"/>
        <w:textAlignment w:val="baseline"/>
        <w:rPr>
          <w:rFonts w:hint="eastAsia" w:ascii="宋体" w:hAnsi="宋体" w:eastAsia="宋体" w:cs="宋体"/>
          <w:b/>
          <w:i w:val="0"/>
          <w:caps w:val="0"/>
          <w:color w:val="auto"/>
          <w:spacing w:val="0"/>
          <w:w w:val="100"/>
          <w:sz w:val="32"/>
          <w:szCs w:val="32"/>
          <w:highlight w:val="none"/>
        </w:rPr>
      </w:pPr>
    </w:p>
    <w:p w14:paraId="68300FBD">
      <w:pPr>
        <w:rPr>
          <w:rFonts w:hint="eastAsia" w:ascii="宋体" w:hAnsi="宋体" w:eastAsia="宋体" w:cs="宋体"/>
          <w:b/>
          <w:i w:val="0"/>
          <w:caps w:val="0"/>
          <w:color w:val="auto"/>
          <w:spacing w:val="0"/>
          <w:w w:val="100"/>
          <w:sz w:val="32"/>
          <w:szCs w:val="32"/>
          <w:highlight w:val="none"/>
        </w:rPr>
      </w:pPr>
      <w:r>
        <w:rPr>
          <w:rFonts w:hint="eastAsia" w:ascii="宋体" w:hAnsi="宋体" w:eastAsia="宋体" w:cs="宋体"/>
          <w:b/>
          <w:i w:val="0"/>
          <w:caps w:val="0"/>
          <w:color w:val="auto"/>
          <w:spacing w:val="0"/>
          <w:w w:val="100"/>
          <w:sz w:val="32"/>
          <w:szCs w:val="32"/>
          <w:highlight w:val="none"/>
        </w:rPr>
        <w:br w:type="page"/>
      </w:r>
    </w:p>
    <w:p w14:paraId="31942B93">
      <w:pPr>
        <w:pStyle w:val="4"/>
        <w:adjustRightInd w:val="0"/>
        <w:spacing w:line="416" w:lineRule="atLeast"/>
        <w:jc w:val="left"/>
        <w:textAlignment w:val="baseline"/>
        <w:rPr>
          <w:rFonts w:hint="eastAsia" w:ascii="宋体" w:hAnsi="宋体" w:eastAsia="宋体" w:cs="宋体"/>
          <w:b/>
          <w:color w:val="auto"/>
          <w:sz w:val="28"/>
          <w:szCs w:val="28"/>
          <w:highlight w:val="none"/>
          <w:u w:val="none" w:color="000000"/>
          <w:lang w:val="en-US" w:eastAsia="zh-CN" w:bidi="ar"/>
        </w:rPr>
      </w:pPr>
      <w:bookmarkStart w:id="104" w:name="_Toc18536"/>
      <w:bookmarkStart w:id="105" w:name="_Toc13245"/>
      <w:bookmarkStart w:id="106" w:name="_Toc8642"/>
      <w:r>
        <w:rPr>
          <w:rFonts w:hint="eastAsia" w:ascii="宋体" w:hAnsi="宋体" w:eastAsia="宋体" w:cs="宋体"/>
          <w:b/>
          <w:color w:val="auto"/>
          <w:sz w:val="28"/>
          <w:szCs w:val="28"/>
          <w:highlight w:val="none"/>
          <w:u w:val="none" w:color="000000"/>
          <w:lang w:val="en-US" w:eastAsia="zh-CN" w:bidi="ar"/>
        </w:rPr>
        <w:t>附件1</w:t>
      </w:r>
      <w:bookmarkEnd w:id="104"/>
    </w:p>
    <w:bookmarkEnd w:id="105"/>
    <w:bookmarkEnd w:id="106"/>
    <w:p w14:paraId="1C772E6A">
      <w:pPr>
        <w:snapToGrid w:val="0"/>
        <w:spacing w:before="0" w:beforeAutospacing="0" w:after="0" w:afterAutospacing="0" w:line="360" w:lineRule="auto"/>
        <w:jc w:val="center"/>
        <w:textAlignment w:val="baseline"/>
        <w:rPr>
          <w:rFonts w:hint="eastAsia" w:ascii="宋体" w:hAnsi="宋体" w:eastAsia="宋体" w:cs="宋体"/>
          <w:b/>
          <w:bCs/>
          <w:i w:val="0"/>
          <w:caps w:val="0"/>
          <w:color w:val="auto"/>
          <w:spacing w:val="0"/>
          <w:w w:val="100"/>
          <w:sz w:val="28"/>
          <w:szCs w:val="28"/>
          <w:highlight w:val="none"/>
          <w:lang w:val="zh-CN"/>
        </w:rPr>
      </w:pPr>
      <w:r>
        <w:rPr>
          <w:rFonts w:hint="eastAsia" w:ascii="宋体" w:hAnsi="宋体" w:eastAsia="宋体" w:cs="宋体"/>
          <w:b/>
          <w:bCs/>
          <w:i w:val="0"/>
          <w:caps w:val="0"/>
          <w:color w:val="auto"/>
          <w:spacing w:val="0"/>
          <w:w w:val="100"/>
          <w:sz w:val="28"/>
          <w:szCs w:val="28"/>
          <w:highlight w:val="none"/>
          <w:lang w:val="zh-CN"/>
        </w:rPr>
        <w:t>商务条款承诺书</w:t>
      </w:r>
    </w:p>
    <w:p w14:paraId="1C88B6B6">
      <w:pPr>
        <w:spacing w:line="480" w:lineRule="auto"/>
        <w:jc w:val="left"/>
        <w:rPr>
          <w:rFonts w:hint="eastAsia" w:ascii="宋体" w:hAnsi="宋体" w:eastAsia="宋体" w:cs="宋体"/>
          <w:color w:val="auto"/>
          <w:spacing w:val="4"/>
          <w:sz w:val="21"/>
          <w:szCs w:val="21"/>
          <w:highlight w:val="none"/>
        </w:rPr>
      </w:pPr>
    </w:p>
    <w:p w14:paraId="7417BB11">
      <w:pPr>
        <w:spacing w:line="480" w:lineRule="auto"/>
        <w:jc w:val="left"/>
        <w:rPr>
          <w:rFonts w:hint="eastAsia" w:ascii="宋体" w:hAnsi="宋体" w:eastAsia="宋体" w:cs="宋体"/>
          <w:color w:val="auto"/>
          <w:spacing w:val="4"/>
          <w:sz w:val="21"/>
          <w:szCs w:val="21"/>
          <w:highlight w:val="none"/>
          <w:u w:val="single"/>
          <w:lang w:val="en-US" w:eastAsia="zh-CN"/>
        </w:rPr>
      </w:pPr>
      <w:r>
        <w:rPr>
          <w:rFonts w:hint="eastAsia" w:ascii="宋体" w:hAnsi="宋体" w:eastAsia="宋体" w:cs="宋体"/>
          <w:color w:val="auto"/>
          <w:spacing w:val="4"/>
          <w:sz w:val="21"/>
          <w:szCs w:val="21"/>
          <w:highlight w:val="none"/>
        </w:rPr>
        <w:t>致：</w:t>
      </w:r>
      <w:r>
        <w:rPr>
          <w:rFonts w:hint="eastAsia" w:ascii="宋体" w:hAnsi="宋体" w:eastAsia="宋体" w:cs="宋体"/>
          <w:color w:val="auto"/>
          <w:spacing w:val="4"/>
          <w:sz w:val="21"/>
          <w:szCs w:val="21"/>
          <w:highlight w:val="none"/>
          <w:u w:val="single"/>
        </w:rPr>
        <w:t>（采购机构名称）</w:t>
      </w:r>
      <w:r>
        <w:rPr>
          <w:rFonts w:hint="eastAsia" w:ascii="宋体" w:hAnsi="宋体" w:eastAsia="宋体" w:cs="宋体"/>
          <w:color w:val="auto"/>
          <w:spacing w:val="4"/>
          <w:sz w:val="21"/>
          <w:szCs w:val="21"/>
          <w:highlight w:val="none"/>
          <w:u w:val="single"/>
          <w:lang w:val="en-US" w:eastAsia="zh-CN"/>
        </w:rPr>
        <w:t xml:space="preserve"> </w:t>
      </w:r>
    </w:p>
    <w:p w14:paraId="6A6AC421">
      <w:pPr>
        <w:spacing w:line="48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eastAsia="宋体" w:cs="宋体"/>
          <w:color w:val="auto"/>
          <w:spacing w:val="4"/>
          <w:sz w:val="21"/>
          <w:szCs w:val="21"/>
          <w:highlight w:val="none"/>
          <w:u w:val="single"/>
        </w:rPr>
        <w:t xml:space="preserve">           </w:t>
      </w:r>
    </w:p>
    <w:p w14:paraId="7B4A08F7">
      <w:pPr>
        <w:spacing w:line="480" w:lineRule="auto"/>
        <w:jc w:val="left"/>
        <w:rPr>
          <w:rFonts w:hint="eastAsia" w:ascii="宋体" w:hAnsi="宋体" w:eastAsia="宋体" w:cs="宋体"/>
          <w:color w:val="auto"/>
          <w:spacing w:val="4"/>
          <w:sz w:val="21"/>
          <w:szCs w:val="21"/>
          <w:highlight w:val="none"/>
          <w:u w:val="single"/>
        </w:rPr>
      </w:pPr>
      <w:r>
        <w:rPr>
          <w:rFonts w:hint="eastAsia" w:ascii="宋体" w:hAnsi="宋体" w:eastAsia="宋体" w:cs="宋体"/>
          <w:color w:val="auto"/>
          <w:spacing w:val="4"/>
          <w:sz w:val="21"/>
          <w:szCs w:val="21"/>
          <w:highlight w:val="none"/>
        </w:rPr>
        <w:t>项目编号：</w:t>
      </w:r>
      <w:r>
        <w:rPr>
          <w:rFonts w:hint="eastAsia" w:ascii="宋体" w:hAnsi="宋体" w:eastAsia="宋体" w:cs="宋体"/>
          <w:color w:val="auto"/>
          <w:spacing w:val="4"/>
          <w:sz w:val="21"/>
          <w:szCs w:val="21"/>
          <w:highlight w:val="none"/>
          <w:u w:val="single"/>
        </w:rPr>
        <w:t xml:space="preserve">           </w:t>
      </w:r>
    </w:p>
    <w:p w14:paraId="4359CDD7">
      <w:pPr>
        <w:spacing w:before="312" w:beforeLines="100" w:after="156" w:afterLines="50" w:line="500" w:lineRule="exact"/>
        <w:ind w:firstLine="17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val="en-US" w:eastAsia="zh-CN"/>
        </w:rPr>
        <w:t>供应商名称</w:t>
      </w:r>
      <w:r>
        <w:rPr>
          <w:rFonts w:hint="eastAsia" w:ascii="宋体" w:hAnsi="宋体" w:eastAsia="宋体" w:cs="宋体"/>
          <w:color w:val="auto"/>
          <w:spacing w:val="4"/>
          <w:sz w:val="21"/>
          <w:szCs w:val="21"/>
          <w:highlight w:val="none"/>
        </w:rPr>
        <w:t>）为在中华人民共和国境内合法注册并经营的机构。在此郑重声明，我公司在参与本次招标活动中所有商务条款均满足招标文件要求。</w:t>
      </w:r>
    </w:p>
    <w:p w14:paraId="4E38169B">
      <w:pPr>
        <w:rPr>
          <w:rFonts w:hint="eastAsia" w:ascii="宋体" w:hAnsi="宋体" w:eastAsia="宋体" w:cs="宋体"/>
          <w:color w:val="auto"/>
          <w:sz w:val="21"/>
          <w:szCs w:val="21"/>
          <w:highlight w:val="none"/>
        </w:rPr>
      </w:pPr>
    </w:p>
    <w:p w14:paraId="5F97C526">
      <w:pPr>
        <w:spacing w:before="312" w:beforeLines="100" w:after="156" w:afterLines="50" w:line="500" w:lineRule="exact"/>
        <w:ind w:firstLine="170"/>
        <w:rPr>
          <w:rFonts w:hint="eastAsia" w:ascii="宋体" w:hAnsi="宋体" w:eastAsia="宋体" w:cs="宋体"/>
          <w:color w:val="auto"/>
          <w:spacing w:val="4"/>
          <w:sz w:val="21"/>
          <w:szCs w:val="21"/>
          <w:highlight w:val="none"/>
        </w:rPr>
      </w:pPr>
    </w:p>
    <w:p w14:paraId="22FE39F4">
      <w:pPr>
        <w:spacing w:before="312" w:beforeLines="100" w:after="156" w:afterLines="50" w:line="500" w:lineRule="exact"/>
        <w:ind w:firstLine="656" w:firstLineChars="300"/>
        <w:rPr>
          <w:rFonts w:hint="eastAsia" w:ascii="宋体" w:hAnsi="宋体" w:eastAsia="宋体" w:cs="宋体"/>
          <w:color w:val="auto"/>
          <w:spacing w:val="4"/>
          <w:sz w:val="21"/>
          <w:szCs w:val="21"/>
          <w:highlight w:val="none"/>
        </w:rPr>
      </w:pPr>
      <w:r>
        <w:rPr>
          <w:rFonts w:hint="eastAsia" w:ascii="宋体" w:hAnsi="宋体" w:eastAsia="宋体" w:cs="宋体"/>
          <w:b/>
          <w:bCs/>
          <w:color w:val="auto"/>
          <w:spacing w:val="4"/>
          <w:sz w:val="21"/>
          <w:szCs w:val="21"/>
          <w:highlight w:val="none"/>
        </w:rPr>
        <w:t>注：商务条款及合同条款均属于实质性条款，不响应则不用提供本承诺，其投标按照无效投标处理。提供本承诺则视为响应招标文件所有商务及合同条款。</w:t>
      </w:r>
    </w:p>
    <w:p w14:paraId="372A5BA8">
      <w:pPr>
        <w:pStyle w:val="10"/>
        <w:rPr>
          <w:rFonts w:hint="eastAsia" w:ascii="宋体" w:hAnsi="宋体" w:eastAsia="宋体" w:cs="宋体"/>
          <w:color w:val="auto"/>
          <w:sz w:val="21"/>
          <w:szCs w:val="21"/>
          <w:highlight w:val="none"/>
        </w:rPr>
      </w:pPr>
    </w:p>
    <w:p w14:paraId="378F2AC4">
      <w:pPr>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eastAsia="zh-CN" w:bidi="ar"/>
        </w:rPr>
        <w:t>供</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eastAsia="zh-CN" w:bidi="ar"/>
        </w:rPr>
        <w:t>应</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eastAsia="zh-CN" w:bidi="ar"/>
        </w:rPr>
        <w:t>商</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(盖单位公章)</w:t>
      </w:r>
    </w:p>
    <w:p w14:paraId="1FEB9FC4">
      <w:pPr>
        <w:widowControl w:val="0"/>
        <w:snapToGrid w:val="0"/>
        <w:spacing w:before="240" w:beforeLines="100" w:after="240" w:afterLines="10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bidi="ar"/>
        </w:rPr>
        <w:t xml:space="preserve">日     期：  </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 xml:space="preserve">日 </w:t>
      </w:r>
    </w:p>
    <w:p w14:paraId="293A255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B902ABA">
      <w:pPr>
        <w:pStyle w:val="4"/>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kern w:val="21"/>
          <w:sz w:val="28"/>
          <w:szCs w:val="28"/>
          <w:highlight w:val="none"/>
        </w:rPr>
      </w:pPr>
      <w:bookmarkStart w:id="107" w:name="_Toc15536"/>
      <w:r>
        <w:rPr>
          <w:rFonts w:hint="eastAsia" w:ascii="宋体" w:hAnsi="宋体" w:eastAsia="宋体" w:cs="宋体"/>
          <w:b/>
          <w:i w:val="0"/>
          <w:caps w:val="0"/>
          <w:color w:val="auto"/>
          <w:spacing w:val="0"/>
          <w:w w:val="100"/>
          <w:kern w:val="21"/>
          <w:sz w:val="28"/>
          <w:szCs w:val="28"/>
          <w:highlight w:val="none"/>
        </w:rPr>
        <w:t>二、技术部分</w:t>
      </w:r>
      <w:bookmarkEnd w:id="107"/>
    </w:p>
    <w:p w14:paraId="28FBE34B">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bookmarkStart w:id="108" w:name="_Toc27544"/>
      <w:r>
        <w:rPr>
          <w:rFonts w:hint="eastAsia" w:ascii="宋体" w:hAnsi="宋体" w:eastAsia="宋体" w:cs="宋体"/>
          <w:b w:val="0"/>
          <w:i w:val="0"/>
          <w:caps w:val="0"/>
          <w:color w:val="auto"/>
          <w:spacing w:val="0"/>
          <w:w w:val="100"/>
          <w:kern w:val="21"/>
          <w:sz w:val="21"/>
          <w:szCs w:val="21"/>
          <w:highlight w:val="none"/>
          <w:lang w:val="en-US" w:eastAsia="zh-CN"/>
        </w:rPr>
        <w:t>1、平台整体技术方案</w:t>
      </w:r>
    </w:p>
    <w:p w14:paraId="602E576E">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2、技术参数（格式详见附件1技术参数响应表）</w:t>
      </w:r>
    </w:p>
    <w:p w14:paraId="1B95BFFA">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3、项目组织实施方案</w:t>
      </w:r>
    </w:p>
    <w:p w14:paraId="42758137">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4、售后服务方案</w:t>
      </w:r>
    </w:p>
    <w:p w14:paraId="4853C4E2">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5、培训方案</w:t>
      </w:r>
    </w:p>
    <w:p w14:paraId="3B9A066A">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6、项目团队</w:t>
      </w:r>
    </w:p>
    <w:p w14:paraId="1A80946E">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7、综合实力</w:t>
      </w:r>
    </w:p>
    <w:p w14:paraId="7CE377C5">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8、业绩</w:t>
      </w:r>
    </w:p>
    <w:p w14:paraId="43F50C14">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lang w:val="en-US" w:eastAsia="zh-CN"/>
        </w:rPr>
        <w:t>9、资质文件</w:t>
      </w:r>
    </w:p>
    <w:p w14:paraId="7F65FB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80" w:lineRule="exac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9.1.满足《中华人民共和国政府采购法》第二十二条规定;</w:t>
      </w:r>
    </w:p>
    <w:p w14:paraId="6BA9C3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80" w:lineRule="exac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9.2.本项目的特定资格要求：</w:t>
      </w:r>
    </w:p>
    <w:p w14:paraId="506AD7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80" w:lineRule="exac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合同包1(医技楼信息化专项建设项目)特定资格要求如下:</w:t>
      </w:r>
    </w:p>
    <w:p w14:paraId="40B64FC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2）财务状况报告：提供2023年度或2024年度经审计的财务报告，或提交自2025年04月01日以来其基本开户银行出具的资信证明，或信用担保机构出具的投标担保函（以上三种形式的资料提供任何一种即可）；其他组织和自然人提供银行出具的资信证明或财务报表；</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）税收缴纳证明：提供供应商202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年至今任意一个月已缴纳的完税凭证或税务机关开具的完税证明（任意税种），依法免税的单位应提供相关证明材料；</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）社会保障资金缴纳证明：提供供应商202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年至今任意一个月的社会保障资金缴存单据或社保机构开具的社会保险参保缴费情况证明。依法不需要缴纳社会保障资金的供应商应提供相关证明文件；</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）提供具有履行本合同所必需的设备和专业技术能力的声明；</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）出具参加政府采购活动前3年内在经营活动中没有重大违法记录的书面声明；</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）法定代表人授权书及被授权人身份证(法定代表人直接参加投标，须提交其身份证原件、复印件及法定代表人身份证明)；</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）本项目不接受联合体投标。</w:t>
      </w:r>
    </w:p>
    <w:p w14:paraId="776D99FB">
      <w:pPr>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142" w:firstLine="245" w:firstLineChars="117"/>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10</w:t>
      </w:r>
      <w:r>
        <w:rPr>
          <w:rFonts w:hint="eastAsia" w:ascii="宋体" w:hAnsi="宋体" w:eastAsia="宋体" w:cs="宋体"/>
          <w:b w:val="0"/>
          <w:i w:val="0"/>
          <w:caps w:val="0"/>
          <w:color w:val="auto"/>
          <w:spacing w:val="0"/>
          <w:w w:val="100"/>
          <w:kern w:val="21"/>
          <w:sz w:val="21"/>
          <w:szCs w:val="21"/>
          <w:highlight w:val="none"/>
        </w:rPr>
        <w:t>、其他证明材料</w:t>
      </w:r>
    </w:p>
    <w:bookmarkEnd w:id="108"/>
    <w:p w14:paraId="47635F9E">
      <w:pPr>
        <w:keepNext w:val="0"/>
        <w:keepLines w:val="0"/>
        <w:pageBreakBefore w:val="0"/>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b/>
          <w:bCs/>
          <w:i w:val="0"/>
          <w:caps w:val="0"/>
          <w:color w:val="auto"/>
          <w:spacing w:val="0"/>
          <w:w w:val="100"/>
          <w:sz w:val="28"/>
          <w:szCs w:val="28"/>
          <w:highlight w:val="none"/>
          <w:lang w:val="zh-CN"/>
        </w:rPr>
      </w:pPr>
      <w:bookmarkStart w:id="109" w:name="_Toc25708"/>
      <w:bookmarkStart w:id="110" w:name="_Toc6726"/>
      <w:bookmarkStart w:id="111" w:name="_Toc28273"/>
      <w:bookmarkStart w:id="112" w:name="_Toc14666"/>
    </w:p>
    <w:p w14:paraId="02E7E4E5">
      <w:pPr>
        <w:pStyle w:val="28"/>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bCs/>
          <w:i w:val="0"/>
          <w:caps w:val="0"/>
          <w:color w:val="auto"/>
          <w:spacing w:val="0"/>
          <w:w w:val="100"/>
          <w:sz w:val="28"/>
          <w:szCs w:val="28"/>
          <w:highlight w:val="none"/>
          <w:lang w:val="zh-CN"/>
        </w:rPr>
      </w:pPr>
    </w:p>
    <w:p w14:paraId="2CB56210">
      <w:pPr>
        <w:pStyle w:val="28"/>
        <w:rPr>
          <w:rFonts w:hint="eastAsia" w:ascii="宋体" w:hAnsi="宋体" w:eastAsia="宋体" w:cs="宋体"/>
          <w:b/>
          <w:bCs/>
          <w:i w:val="0"/>
          <w:caps w:val="0"/>
          <w:color w:val="auto"/>
          <w:spacing w:val="0"/>
          <w:w w:val="100"/>
          <w:sz w:val="28"/>
          <w:szCs w:val="28"/>
          <w:highlight w:val="none"/>
          <w:lang w:val="zh-CN"/>
        </w:rPr>
      </w:pPr>
    </w:p>
    <w:p w14:paraId="1FF25718">
      <w:pPr>
        <w:pStyle w:val="28"/>
        <w:rPr>
          <w:rFonts w:hint="eastAsia" w:ascii="宋体" w:hAnsi="宋体" w:eastAsia="宋体" w:cs="宋体"/>
          <w:b/>
          <w:bCs/>
          <w:i w:val="0"/>
          <w:caps w:val="0"/>
          <w:color w:val="auto"/>
          <w:spacing w:val="0"/>
          <w:w w:val="100"/>
          <w:sz w:val="28"/>
          <w:szCs w:val="28"/>
          <w:highlight w:val="none"/>
          <w:lang w:val="zh-CN"/>
        </w:rPr>
      </w:pPr>
    </w:p>
    <w:p w14:paraId="4E7C3A1D">
      <w:pPr>
        <w:pStyle w:val="28"/>
        <w:rPr>
          <w:rFonts w:hint="eastAsia" w:ascii="宋体" w:hAnsi="宋体" w:eastAsia="宋体" w:cs="宋体"/>
          <w:b/>
          <w:bCs/>
          <w:i w:val="0"/>
          <w:caps w:val="0"/>
          <w:color w:val="auto"/>
          <w:spacing w:val="0"/>
          <w:w w:val="100"/>
          <w:sz w:val="28"/>
          <w:szCs w:val="28"/>
          <w:highlight w:val="none"/>
          <w:lang w:val="zh-CN"/>
        </w:rPr>
      </w:pPr>
    </w:p>
    <w:p w14:paraId="5B95D932">
      <w:pPr>
        <w:pStyle w:val="28"/>
        <w:rPr>
          <w:rFonts w:hint="eastAsia" w:ascii="宋体" w:hAnsi="宋体" w:eastAsia="宋体" w:cs="宋体"/>
          <w:b/>
          <w:bCs/>
          <w:i w:val="0"/>
          <w:caps w:val="0"/>
          <w:color w:val="auto"/>
          <w:spacing w:val="0"/>
          <w:w w:val="100"/>
          <w:sz w:val="28"/>
          <w:szCs w:val="28"/>
          <w:highlight w:val="none"/>
          <w:lang w:val="zh-CN"/>
        </w:rPr>
      </w:pPr>
    </w:p>
    <w:p w14:paraId="3054F34D">
      <w:pPr>
        <w:pStyle w:val="28"/>
        <w:rPr>
          <w:rFonts w:hint="eastAsia" w:ascii="宋体" w:hAnsi="宋体" w:eastAsia="宋体" w:cs="宋体"/>
          <w:b/>
          <w:bCs/>
          <w:i w:val="0"/>
          <w:caps w:val="0"/>
          <w:color w:val="auto"/>
          <w:spacing w:val="0"/>
          <w:w w:val="100"/>
          <w:sz w:val="28"/>
          <w:szCs w:val="28"/>
          <w:highlight w:val="none"/>
          <w:lang w:val="zh-CN"/>
        </w:rPr>
      </w:pPr>
    </w:p>
    <w:p w14:paraId="5D551B45">
      <w:pPr>
        <w:pStyle w:val="28"/>
        <w:rPr>
          <w:rFonts w:hint="eastAsia" w:ascii="宋体" w:hAnsi="宋体" w:eastAsia="宋体" w:cs="宋体"/>
          <w:b/>
          <w:bCs/>
          <w:i w:val="0"/>
          <w:caps w:val="0"/>
          <w:color w:val="auto"/>
          <w:spacing w:val="0"/>
          <w:w w:val="100"/>
          <w:sz w:val="28"/>
          <w:szCs w:val="28"/>
          <w:highlight w:val="none"/>
          <w:lang w:val="zh-CN"/>
        </w:rPr>
      </w:pPr>
    </w:p>
    <w:p w14:paraId="1A5A4F82">
      <w:pPr>
        <w:pStyle w:val="28"/>
        <w:rPr>
          <w:rFonts w:hint="eastAsia" w:ascii="宋体" w:hAnsi="宋体" w:eastAsia="宋体" w:cs="宋体"/>
          <w:b/>
          <w:bCs/>
          <w:i w:val="0"/>
          <w:caps w:val="0"/>
          <w:color w:val="auto"/>
          <w:spacing w:val="0"/>
          <w:w w:val="100"/>
          <w:sz w:val="28"/>
          <w:szCs w:val="28"/>
          <w:highlight w:val="none"/>
          <w:lang w:val="zh-CN"/>
        </w:rPr>
      </w:pPr>
    </w:p>
    <w:p w14:paraId="7BC10687">
      <w:pPr>
        <w:pStyle w:val="28"/>
        <w:rPr>
          <w:rFonts w:hint="eastAsia" w:ascii="宋体" w:hAnsi="宋体" w:eastAsia="宋体" w:cs="宋体"/>
          <w:b/>
          <w:bCs/>
          <w:i w:val="0"/>
          <w:caps w:val="0"/>
          <w:color w:val="auto"/>
          <w:spacing w:val="0"/>
          <w:w w:val="100"/>
          <w:sz w:val="28"/>
          <w:szCs w:val="28"/>
          <w:highlight w:val="none"/>
          <w:lang w:val="zh-CN"/>
        </w:rPr>
      </w:pPr>
    </w:p>
    <w:p w14:paraId="70BDCBF8">
      <w:pPr>
        <w:pStyle w:val="28"/>
        <w:rPr>
          <w:rFonts w:hint="eastAsia" w:ascii="宋体" w:hAnsi="宋体" w:eastAsia="宋体" w:cs="宋体"/>
          <w:b/>
          <w:bCs/>
          <w:i w:val="0"/>
          <w:caps w:val="0"/>
          <w:color w:val="auto"/>
          <w:spacing w:val="0"/>
          <w:w w:val="100"/>
          <w:sz w:val="28"/>
          <w:szCs w:val="28"/>
          <w:highlight w:val="none"/>
          <w:lang w:val="zh-CN"/>
        </w:rPr>
      </w:pPr>
    </w:p>
    <w:p w14:paraId="64273CC4">
      <w:pPr>
        <w:pStyle w:val="28"/>
        <w:rPr>
          <w:rFonts w:hint="eastAsia" w:ascii="宋体" w:hAnsi="宋体" w:eastAsia="宋体" w:cs="宋体"/>
          <w:b/>
          <w:bCs/>
          <w:i w:val="0"/>
          <w:caps w:val="0"/>
          <w:color w:val="auto"/>
          <w:spacing w:val="0"/>
          <w:w w:val="100"/>
          <w:sz w:val="28"/>
          <w:szCs w:val="28"/>
          <w:highlight w:val="none"/>
          <w:lang w:val="zh-CN"/>
        </w:rPr>
      </w:pPr>
    </w:p>
    <w:p w14:paraId="50653FE1">
      <w:pPr>
        <w:pStyle w:val="28"/>
        <w:rPr>
          <w:rFonts w:hint="eastAsia" w:ascii="宋体" w:hAnsi="宋体" w:eastAsia="宋体" w:cs="宋体"/>
          <w:b/>
          <w:bCs/>
          <w:i w:val="0"/>
          <w:caps w:val="0"/>
          <w:color w:val="auto"/>
          <w:spacing w:val="0"/>
          <w:w w:val="100"/>
          <w:sz w:val="28"/>
          <w:szCs w:val="28"/>
          <w:highlight w:val="none"/>
          <w:lang w:val="zh-CN"/>
        </w:rPr>
      </w:pPr>
    </w:p>
    <w:p w14:paraId="521EC2A6">
      <w:pPr>
        <w:rPr>
          <w:rFonts w:hint="eastAsia" w:ascii="宋体" w:hAnsi="宋体" w:eastAsia="宋体" w:cs="宋体"/>
          <w:b/>
          <w:bCs/>
          <w:i w:val="0"/>
          <w:caps w:val="0"/>
          <w:color w:val="auto"/>
          <w:spacing w:val="0"/>
          <w:w w:val="100"/>
          <w:sz w:val="28"/>
          <w:szCs w:val="28"/>
          <w:highlight w:val="none"/>
          <w:lang w:val="zh-CN"/>
        </w:rPr>
      </w:pPr>
      <w:r>
        <w:rPr>
          <w:rFonts w:hint="eastAsia" w:ascii="宋体" w:hAnsi="宋体" w:eastAsia="宋体" w:cs="宋体"/>
          <w:b/>
          <w:bCs/>
          <w:i w:val="0"/>
          <w:caps w:val="0"/>
          <w:color w:val="auto"/>
          <w:spacing w:val="0"/>
          <w:w w:val="100"/>
          <w:sz w:val="28"/>
          <w:szCs w:val="28"/>
          <w:highlight w:val="none"/>
          <w:lang w:val="zh-CN"/>
        </w:rPr>
        <w:br w:type="page"/>
      </w:r>
    </w:p>
    <w:p w14:paraId="0B0AD1E9">
      <w:pPr>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lang w:val="zh-CN"/>
        </w:rPr>
        <w:t>供应商承诺书</w:t>
      </w:r>
      <w:bookmarkEnd w:id="109"/>
    </w:p>
    <w:p w14:paraId="7C7293E1">
      <w:pPr>
        <w:snapToGrid w:val="0"/>
        <w:spacing w:before="0" w:beforeAutospacing="0" w:after="0" w:afterAutospacing="0" w:line="460" w:lineRule="exact"/>
        <w:ind w:firstLine="403"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u w:val="single" w:color="000000"/>
          <w:lang w:val="zh-CN"/>
        </w:rPr>
        <w:t xml:space="preserve">  （采购人名称）      </w:t>
      </w:r>
      <w:r>
        <w:rPr>
          <w:rFonts w:hint="eastAsia" w:ascii="宋体" w:hAnsi="宋体" w:eastAsia="宋体" w:cs="宋体"/>
          <w:b w:val="0"/>
          <w:i w:val="0"/>
          <w:caps w:val="0"/>
          <w:color w:val="auto"/>
          <w:spacing w:val="0"/>
          <w:w w:val="100"/>
          <w:kern w:val="21"/>
          <w:sz w:val="21"/>
          <w:szCs w:val="21"/>
          <w:highlight w:val="none"/>
          <w:lang w:val="zh-CN"/>
        </w:rPr>
        <w:t>：</w:t>
      </w:r>
    </w:p>
    <w:p w14:paraId="73BD761D">
      <w:pPr>
        <w:snapToGrid w:val="0"/>
        <w:spacing w:before="0" w:beforeAutospacing="0" w:after="0" w:afterAutospacing="0" w:line="460" w:lineRule="exact"/>
        <w:ind w:firstLine="403"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作为参加</w:t>
      </w:r>
      <w:r>
        <w:rPr>
          <w:rFonts w:hint="eastAsia" w:ascii="宋体" w:hAnsi="宋体" w:eastAsia="宋体" w:cs="宋体"/>
          <w:b w:val="0"/>
          <w:i w:val="0"/>
          <w:caps w:val="0"/>
          <w:color w:val="auto"/>
          <w:spacing w:val="0"/>
          <w:w w:val="100"/>
          <w:kern w:val="21"/>
          <w:sz w:val="21"/>
          <w:szCs w:val="21"/>
          <w:highlight w:val="none"/>
          <w:u w:val="single" w:color="000000"/>
        </w:rPr>
        <w:t xml:space="preserve">              （项目名称</w:t>
      </w:r>
      <w:r>
        <w:rPr>
          <w:rFonts w:hint="eastAsia" w:ascii="宋体" w:hAnsi="宋体" w:eastAsia="宋体" w:cs="宋体"/>
          <w:b w:val="0"/>
          <w:i w:val="0"/>
          <w:caps w:val="0"/>
          <w:color w:val="auto"/>
          <w:spacing w:val="0"/>
          <w:w w:val="100"/>
          <w:kern w:val="21"/>
          <w:sz w:val="21"/>
          <w:szCs w:val="21"/>
          <w:highlight w:val="none"/>
          <w:u w:val="single" w:color="000000"/>
          <w:lang w:eastAsia="zh-CN"/>
        </w:rPr>
        <w:t>、</w:t>
      </w:r>
      <w:r>
        <w:rPr>
          <w:rFonts w:hint="eastAsia" w:ascii="宋体" w:hAnsi="宋体" w:eastAsia="宋体" w:cs="宋体"/>
          <w:b w:val="0"/>
          <w:i w:val="0"/>
          <w:caps w:val="0"/>
          <w:color w:val="auto"/>
          <w:spacing w:val="0"/>
          <w:w w:val="100"/>
          <w:kern w:val="21"/>
          <w:sz w:val="21"/>
          <w:szCs w:val="21"/>
          <w:highlight w:val="none"/>
          <w:u w:val="single" w:color="000000"/>
        </w:rPr>
        <w:t>项目</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编</w:t>
      </w:r>
      <w:r>
        <w:rPr>
          <w:rFonts w:hint="eastAsia" w:ascii="宋体" w:hAnsi="宋体" w:eastAsia="宋体" w:cs="宋体"/>
          <w:b w:val="0"/>
          <w:i w:val="0"/>
          <w:caps w:val="0"/>
          <w:color w:val="auto"/>
          <w:spacing w:val="0"/>
          <w:w w:val="100"/>
          <w:kern w:val="21"/>
          <w:sz w:val="21"/>
          <w:szCs w:val="21"/>
          <w:highlight w:val="none"/>
          <w:u w:val="single" w:color="000000"/>
          <w:lang w:eastAsia="zh-CN"/>
        </w:rPr>
        <w:t>号</w:t>
      </w:r>
      <w:r>
        <w:rPr>
          <w:rFonts w:hint="eastAsia" w:ascii="宋体" w:hAnsi="宋体" w:eastAsia="宋体" w:cs="宋体"/>
          <w:b w:val="0"/>
          <w:i w:val="0"/>
          <w:caps w:val="0"/>
          <w:color w:val="auto"/>
          <w:spacing w:val="0"/>
          <w:w w:val="100"/>
          <w:kern w:val="21"/>
          <w:sz w:val="21"/>
          <w:szCs w:val="21"/>
          <w:highlight w:val="none"/>
          <w:u w:val="single" w:color="000000"/>
        </w:rPr>
        <w:t>）</w:t>
      </w:r>
      <w:r>
        <w:rPr>
          <w:rFonts w:hint="eastAsia" w:ascii="宋体" w:hAnsi="宋体" w:eastAsia="宋体" w:cs="宋体"/>
          <w:b w:val="0"/>
          <w:i w:val="0"/>
          <w:caps w:val="0"/>
          <w:color w:val="auto"/>
          <w:spacing w:val="0"/>
          <w:w w:val="100"/>
          <w:kern w:val="21"/>
          <w:sz w:val="21"/>
          <w:szCs w:val="21"/>
          <w:highlight w:val="none"/>
          <w:lang w:val="zh-CN"/>
        </w:rPr>
        <w:t>的供应商，本公司郑重承诺：</w:t>
      </w:r>
    </w:p>
    <w:p w14:paraId="08CE4E63">
      <w:pPr>
        <w:snapToGrid w:val="0"/>
        <w:spacing w:before="0" w:beforeAutospacing="0" w:after="0" w:afterAutospacing="0" w:line="460" w:lineRule="exact"/>
        <w:ind w:firstLine="403"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一、在参加本项目投标之前不存在被依法禁止经营行为、财产被接管或冻结的情况，如有隐瞒实情，愿承担一切责任及后果。</w:t>
      </w:r>
    </w:p>
    <w:p w14:paraId="65345CC5">
      <w:pPr>
        <w:snapToGrid w:val="0"/>
        <w:spacing w:before="0" w:beforeAutospacing="0" w:after="0" w:afterAutospacing="0" w:line="460" w:lineRule="exact"/>
        <w:ind w:firstLine="403"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二、近三年受到有关行政主管部门的行政处理、不良行为记录为次（没有填零），如有隐瞒实情，愿承担一切责任及后果。</w:t>
      </w:r>
    </w:p>
    <w:p w14:paraId="7D97571A">
      <w:pPr>
        <w:snapToGrid w:val="0"/>
        <w:spacing w:before="0" w:beforeAutospacing="0" w:after="0" w:afterAutospacing="0" w:line="460" w:lineRule="exact"/>
        <w:ind w:firstLine="403"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三、参加本次投标提交的所有资质证明文件及业绩证明文件是真实的、有效的，如有隐瞒实情，愿承担一切责任及后果。</w:t>
      </w:r>
    </w:p>
    <w:p w14:paraId="3FD44CC7">
      <w:pPr>
        <w:snapToGrid w:val="0"/>
        <w:spacing w:before="0" w:beforeAutospacing="0" w:after="0" w:afterAutospacing="0" w:line="460" w:lineRule="exact"/>
        <w:ind w:firstLine="403"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四、近三年因产品问题（水货、替代品、次品、翻新品等）的不法行为记录为次（没有填零），如有隐瞒实情，愿承担一切责任及后果。</w:t>
      </w:r>
    </w:p>
    <w:p w14:paraId="05CF02A8">
      <w:pPr>
        <w:snapToGrid w:val="0"/>
        <w:spacing w:before="0" w:beforeAutospacing="0" w:after="0" w:afterAutospacing="0" w:line="460" w:lineRule="exact"/>
        <w:ind w:firstLine="403"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lang w:val="zh-CN"/>
        </w:rPr>
        <w:t>五、中标后，在项目实施、结算、保修等各个环节上，不拖欠农民工工资。</w:t>
      </w:r>
    </w:p>
    <w:p w14:paraId="410F0D8A">
      <w:pPr>
        <w:snapToGrid w:val="0"/>
        <w:spacing w:before="0" w:beforeAutospacing="0" w:after="0" w:afterAutospacing="0" w:line="460" w:lineRule="exact"/>
        <w:ind w:firstLine="384" w:firstLineChars="192"/>
        <w:jc w:val="both"/>
        <w:textAlignment w:val="baseline"/>
        <w:rPr>
          <w:rFonts w:hint="eastAsia" w:ascii="宋体" w:hAnsi="宋体" w:eastAsia="宋体" w:cs="宋体"/>
          <w:b w:val="0"/>
          <w:i w:val="0"/>
          <w:caps w:val="0"/>
          <w:color w:val="auto"/>
          <w:spacing w:val="0"/>
          <w:w w:val="100"/>
          <w:kern w:val="21"/>
          <w:sz w:val="20"/>
          <w:szCs w:val="21"/>
          <w:highlight w:val="none"/>
          <w:lang w:val="zh-CN"/>
        </w:rPr>
      </w:pPr>
    </w:p>
    <w:p w14:paraId="2B3CF69A">
      <w:pPr>
        <w:snapToGrid w:val="0"/>
        <w:spacing w:before="0" w:beforeAutospacing="0" w:after="0" w:afterAutospacing="0" w:line="360" w:lineRule="auto"/>
        <w:ind w:firstLine="1600" w:firstLineChars="800"/>
        <w:jc w:val="both"/>
        <w:textAlignment w:val="baseline"/>
        <w:rPr>
          <w:rFonts w:hint="eastAsia" w:ascii="宋体" w:hAnsi="宋体" w:eastAsia="宋体" w:cs="宋体"/>
          <w:b w:val="0"/>
          <w:i w:val="0"/>
          <w:caps w:val="0"/>
          <w:color w:val="auto"/>
          <w:spacing w:val="0"/>
          <w:w w:val="100"/>
          <w:sz w:val="20"/>
          <w:szCs w:val="21"/>
          <w:highlight w:val="none"/>
        </w:rPr>
      </w:pPr>
    </w:p>
    <w:p w14:paraId="46FFA229">
      <w:pPr>
        <w:snapToGrid w:val="0"/>
        <w:spacing w:before="0" w:beforeAutospacing="0" w:after="0" w:afterAutospacing="0" w:line="360" w:lineRule="auto"/>
        <w:ind w:firstLine="1600" w:firstLineChars="800"/>
        <w:jc w:val="both"/>
        <w:textAlignment w:val="baseline"/>
        <w:rPr>
          <w:rFonts w:hint="eastAsia" w:ascii="宋体" w:hAnsi="宋体" w:eastAsia="宋体" w:cs="宋体"/>
          <w:b w:val="0"/>
          <w:i w:val="0"/>
          <w:caps w:val="0"/>
          <w:color w:val="auto"/>
          <w:spacing w:val="0"/>
          <w:w w:val="100"/>
          <w:sz w:val="20"/>
          <w:szCs w:val="21"/>
          <w:highlight w:val="none"/>
        </w:rPr>
      </w:pPr>
    </w:p>
    <w:p w14:paraId="58C8BED6">
      <w:pPr>
        <w:tabs>
          <w:tab w:val="left" w:pos="6444"/>
        </w:tabs>
        <w:snapToGrid w:val="0"/>
        <w:spacing w:before="0" w:beforeAutospacing="0" w:after="0" w:afterAutospacing="0" w:line="360" w:lineRule="auto"/>
        <w:ind w:firstLine="1680" w:firstLineChars="8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ab/>
      </w:r>
    </w:p>
    <w:p w14:paraId="49AB58D7">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31"/>
          <w:szCs w:val="21"/>
          <w:highlight w:val="none"/>
        </w:rPr>
      </w:pPr>
    </w:p>
    <w:p w14:paraId="241BA838">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31"/>
          <w:highlight w:val="none"/>
        </w:rPr>
      </w:pPr>
    </w:p>
    <w:p w14:paraId="01A069F8">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lang w:val="en-US" w:eastAsia="zh-CN"/>
        </w:rPr>
      </w:pPr>
      <w:r>
        <w:rPr>
          <w:rFonts w:hint="eastAsia" w:ascii="宋体" w:hAnsi="宋体" w:eastAsia="宋体" w:cs="宋体"/>
          <w:b w:val="0"/>
          <w:i w:val="0"/>
          <w:caps w:val="0"/>
          <w:color w:val="auto"/>
          <w:spacing w:val="0"/>
          <w:w w:val="100"/>
          <w:sz w:val="21"/>
          <w:szCs w:val="21"/>
          <w:highlight w:val="none"/>
        </w:rPr>
        <w:t>供应商（公章）：</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p>
    <w:p w14:paraId="645B6E96">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rPr>
      </w:pPr>
      <w:r>
        <w:rPr>
          <w:rFonts w:hint="eastAsia" w:ascii="宋体" w:hAnsi="宋体" w:eastAsia="宋体" w:cs="宋体"/>
          <w:b w:val="0"/>
          <w:i w:val="0"/>
          <w:caps w:val="0"/>
          <w:color w:val="auto"/>
          <w:spacing w:val="0"/>
          <w:w w:val="100"/>
          <w:sz w:val="21"/>
          <w:szCs w:val="21"/>
          <w:highlight w:val="none"/>
        </w:rPr>
        <w:t>法定代表人（签字或盖章）：</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p>
    <w:p w14:paraId="2D1C13B0">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lang w:val="en-US" w:eastAsia="zh-CN"/>
        </w:rPr>
      </w:pPr>
      <w:r>
        <w:rPr>
          <w:rFonts w:hint="eastAsia" w:ascii="宋体" w:hAnsi="宋体" w:eastAsia="宋体" w:cs="宋体"/>
          <w:b w:val="0"/>
          <w:i w:val="0"/>
          <w:caps w:val="0"/>
          <w:color w:val="auto"/>
          <w:spacing w:val="0"/>
          <w:w w:val="100"/>
          <w:sz w:val="21"/>
          <w:szCs w:val="21"/>
          <w:highlight w:val="none"/>
        </w:rPr>
        <w:t>日        期：</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年</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月</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日</w:t>
      </w:r>
    </w:p>
    <w:p w14:paraId="571776BB">
      <w:pPr>
        <w:snapToGrid w:val="0"/>
        <w:spacing w:before="0" w:beforeAutospacing="0" w:after="0" w:afterAutospacing="0" w:line="360" w:lineRule="auto"/>
        <w:jc w:val="center"/>
        <w:textAlignment w:val="baseline"/>
        <w:rPr>
          <w:rFonts w:hint="eastAsia" w:ascii="宋体" w:hAnsi="宋体" w:eastAsia="宋体" w:cs="宋体"/>
          <w:b/>
          <w:bCs/>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br w:type="page"/>
      </w:r>
    </w:p>
    <w:p w14:paraId="536193FC">
      <w:pPr>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0"/>
          <w:highlight w:val="none"/>
        </w:rPr>
      </w:pPr>
      <w:bookmarkStart w:id="113" w:name="_Toc10207"/>
      <w:bookmarkStart w:id="114" w:name="_Toc482775582"/>
      <w:r>
        <w:rPr>
          <w:rFonts w:hint="eastAsia" w:ascii="宋体" w:hAnsi="宋体" w:eastAsia="宋体" w:cs="宋体"/>
          <w:b/>
          <w:bCs/>
          <w:i w:val="0"/>
          <w:caps w:val="0"/>
          <w:color w:val="auto"/>
          <w:spacing w:val="0"/>
          <w:w w:val="100"/>
          <w:sz w:val="28"/>
          <w:szCs w:val="28"/>
          <w:highlight w:val="none"/>
        </w:rPr>
        <w:t>供应商企业关系关联承诺书</w:t>
      </w:r>
      <w:bookmarkEnd w:id="113"/>
      <w:bookmarkEnd w:id="114"/>
    </w:p>
    <w:p w14:paraId="555CA084">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一、供应商在本项目投标中，不存在与其它供应商负责人为同一人，有控股、管理等关联关系承诺。</w:t>
      </w:r>
    </w:p>
    <w:p w14:paraId="30741D1A">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bookmarkStart w:id="115" w:name="_Toc27601"/>
      <w:r>
        <w:rPr>
          <w:rFonts w:hint="eastAsia" w:ascii="宋体" w:hAnsi="宋体" w:eastAsia="宋体" w:cs="宋体"/>
          <w:b w:val="0"/>
          <w:i w:val="0"/>
          <w:caps w:val="0"/>
          <w:color w:val="auto"/>
          <w:spacing w:val="0"/>
          <w:w w:val="100"/>
          <w:sz w:val="21"/>
          <w:szCs w:val="21"/>
          <w:highlight w:val="none"/>
        </w:rPr>
        <w:t>1.管理关系说明：</w:t>
      </w:r>
      <w:bookmarkEnd w:id="115"/>
    </w:p>
    <w:p w14:paraId="7B3E6684">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u w:val="single"/>
        </w:rPr>
      </w:pPr>
      <w:r>
        <w:rPr>
          <w:rFonts w:hint="eastAsia" w:ascii="宋体" w:hAnsi="宋体" w:eastAsia="宋体" w:cs="宋体"/>
          <w:b w:val="0"/>
          <w:i w:val="0"/>
          <w:caps w:val="0"/>
          <w:color w:val="auto"/>
          <w:spacing w:val="0"/>
          <w:w w:val="100"/>
          <w:sz w:val="21"/>
          <w:szCs w:val="21"/>
          <w:highlight w:val="none"/>
        </w:rPr>
        <w:t>我单位管理的具有独立法人的下属单位：(没有填无)。</w:t>
      </w:r>
    </w:p>
    <w:p w14:paraId="5A9FEBD3">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我单位的上级管理单位  (没有填无)。</w:t>
      </w:r>
    </w:p>
    <w:p w14:paraId="7CAE7475">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bookmarkStart w:id="116" w:name="_Toc4109"/>
      <w:r>
        <w:rPr>
          <w:rFonts w:hint="eastAsia" w:ascii="宋体" w:hAnsi="宋体" w:eastAsia="宋体" w:cs="宋体"/>
          <w:b w:val="0"/>
          <w:i w:val="0"/>
          <w:caps w:val="0"/>
          <w:color w:val="auto"/>
          <w:spacing w:val="0"/>
          <w:w w:val="100"/>
          <w:sz w:val="21"/>
          <w:szCs w:val="21"/>
          <w:highlight w:val="none"/>
        </w:rPr>
        <w:t>2.股权关系说明：</w:t>
      </w:r>
      <w:bookmarkEnd w:id="116"/>
    </w:p>
    <w:p w14:paraId="619BDB29">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我单位控股的单位(没有填无) 。</w:t>
      </w:r>
    </w:p>
    <w:p w14:paraId="6D54E91D">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我单位(没有填无)被</w:t>
      </w:r>
      <w:r>
        <w:rPr>
          <w:rFonts w:hint="eastAsia" w:ascii="宋体" w:hAnsi="宋体" w:eastAsia="宋体" w:cs="宋体"/>
          <w:b w:val="0"/>
          <w:i w:val="0"/>
          <w:caps w:val="0"/>
          <w:color w:val="auto"/>
          <w:spacing w:val="0"/>
          <w:w w:val="100"/>
          <w:sz w:val="21"/>
          <w:szCs w:val="21"/>
          <w:highlight w:val="none"/>
          <w:u w:val="single" w:color="000000"/>
        </w:rPr>
        <w:t xml:space="preserve">   （控股单位全称）  </w:t>
      </w:r>
      <w:r>
        <w:rPr>
          <w:rFonts w:hint="eastAsia" w:ascii="宋体" w:hAnsi="宋体" w:eastAsia="宋体" w:cs="宋体"/>
          <w:b w:val="0"/>
          <w:i w:val="0"/>
          <w:caps w:val="0"/>
          <w:color w:val="auto"/>
          <w:spacing w:val="0"/>
          <w:w w:val="100"/>
          <w:sz w:val="21"/>
          <w:szCs w:val="21"/>
          <w:highlight w:val="none"/>
        </w:rPr>
        <w:t>单位控股。</w:t>
      </w:r>
    </w:p>
    <w:p w14:paraId="06FB4D8B">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bookmarkStart w:id="117" w:name="_Toc16978"/>
      <w:r>
        <w:rPr>
          <w:rFonts w:hint="eastAsia" w:ascii="宋体" w:hAnsi="宋体" w:eastAsia="宋体" w:cs="宋体"/>
          <w:b w:val="0"/>
          <w:i w:val="0"/>
          <w:caps w:val="0"/>
          <w:color w:val="auto"/>
          <w:spacing w:val="0"/>
          <w:w w:val="100"/>
          <w:sz w:val="21"/>
          <w:szCs w:val="21"/>
          <w:highlight w:val="none"/>
        </w:rPr>
        <w:t>3.单位负责人： (没有填无)。</w:t>
      </w:r>
      <w:bookmarkEnd w:id="117"/>
    </w:p>
    <w:p w14:paraId="2EB2A1E2">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二、我单位（是或否） 为本采购项目提供过整体设计、规范编制或者项目管理、监理、检测等服务的供应商。</w:t>
      </w:r>
    </w:p>
    <w:p w14:paraId="1D444279">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三、其他与本项目有关的利害关系说明(没有填无)。</w:t>
      </w:r>
    </w:p>
    <w:p w14:paraId="7281BF0B">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rPr>
        <w:t>我单位承诺以上说明真实有效，无虚假内容或隐瞒。</w:t>
      </w:r>
    </w:p>
    <w:p w14:paraId="58DEC1DB">
      <w:pPr>
        <w:snapToGrid w:val="0"/>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0"/>
          <w:szCs w:val="21"/>
          <w:highlight w:val="none"/>
        </w:rPr>
      </w:pPr>
    </w:p>
    <w:p w14:paraId="2075BCAA">
      <w:pPr>
        <w:snapToGrid w:val="0"/>
        <w:spacing w:before="0" w:beforeAutospacing="0" w:after="0" w:afterAutospacing="0" w:line="480" w:lineRule="auto"/>
        <w:jc w:val="center"/>
        <w:textAlignment w:val="baseline"/>
        <w:rPr>
          <w:rFonts w:hint="eastAsia" w:ascii="宋体" w:hAnsi="宋体" w:eastAsia="宋体" w:cs="宋体"/>
          <w:b/>
          <w:bCs/>
          <w:i w:val="0"/>
          <w:caps w:val="0"/>
          <w:color w:val="auto"/>
          <w:spacing w:val="0"/>
          <w:w w:val="100"/>
          <w:sz w:val="20"/>
          <w:szCs w:val="21"/>
          <w:highlight w:val="none"/>
        </w:rPr>
      </w:pPr>
    </w:p>
    <w:p w14:paraId="2F18C11B">
      <w:pPr>
        <w:snapToGrid w:val="0"/>
        <w:spacing w:before="0" w:beforeAutospacing="0" w:after="0" w:afterAutospacing="0" w:line="480" w:lineRule="auto"/>
        <w:jc w:val="center"/>
        <w:textAlignment w:val="baseline"/>
        <w:rPr>
          <w:rFonts w:hint="eastAsia" w:ascii="宋体" w:hAnsi="宋体" w:eastAsia="宋体" w:cs="宋体"/>
          <w:b/>
          <w:bCs/>
          <w:i w:val="0"/>
          <w:caps w:val="0"/>
          <w:color w:val="auto"/>
          <w:spacing w:val="0"/>
          <w:w w:val="100"/>
          <w:sz w:val="20"/>
          <w:szCs w:val="21"/>
          <w:highlight w:val="none"/>
        </w:rPr>
      </w:pPr>
    </w:p>
    <w:p w14:paraId="211C0B8F">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31"/>
          <w:highlight w:val="none"/>
        </w:rPr>
      </w:pPr>
    </w:p>
    <w:p w14:paraId="76357418">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lang w:val="en-US" w:eastAsia="zh-CN"/>
        </w:rPr>
      </w:pPr>
      <w:r>
        <w:rPr>
          <w:rFonts w:hint="eastAsia" w:ascii="宋体" w:hAnsi="宋体" w:eastAsia="宋体" w:cs="宋体"/>
          <w:b w:val="0"/>
          <w:i w:val="0"/>
          <w:caps w:val="0"/>
          <w:color w:val="auto"/>
          <w:spacing w:val="0"/>
          <w:w w:val="100"/>
          <w:sz w:val="21"/>
          <w:szCs w:val="21"/>
          <w:highlight w:val="none"/>
        </w:rPr>
        <w:t>供应商（公章）：</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p>
    <w:p w14:paraId="69BDA61D">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rPr>
      </w:pPr>
      <w:r>
        <w:rPr>
          <w:rFonts w:hint="eastAsia" w:ascii="宋体" w:hAnsi="宋体" w:eastAsia="宋体" w:cs="宋体"/>
          <w:b w:val="0"/>
          <w:i w:val="0"/>
          <w:caps w:val="0"/>
          <w:color w:val="auto"/>
          <w:spacing w:val="0"/>
          <w:w w:val="100"/>
          <w:sz w:val="21"/>
          <w:szCs w:val="21"/>
          <w:highlight w:val="none"/>
        </w:rPr>
        <w:t>法定代表人（签字或盖章）：</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p>
    <w:p w14:paraId="46C8C0AD">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lang w:val="en-US" w:eastAsia="zh-CN"/>
        </w:rPr>
      </w:pPr>
      <w:r>
        <w:rPr>
          <w:rFonts w:hint="eastAsia" w:ascii="宋体" w:hAnsi="宋体" w:eastAsia="宋体" w:cs="宋体"/>
          <w:b w:val="0"/>
          <w:i w:val="0"/>
          <w:caps w:val="0"/>
          <w:color w:val="auto"/>
          <w:spacing w:val="0"/>
          <w:w w:val="100"/>
          <w:sz w:val="21"/>
          <w:szCs w:val="21"/>
          <w:highlight w:val="none"/>
        </w:rPr>
        <w:t>日        期：</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年</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月</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日</w:t>
      </w:r>
    </w:p>
    <w:p w14:paraId="08890217">
      <w:pPr>
        <w:snapToGrid w:val="0"/>
        <w:spacing w:before="0" w:beforeAutospacing="0" w:after="0" w:afterAutospacing="0" w:line="360" w:lineRule="auto"/>
        <w:jc w:val="center"/>
        <w:textAlignment w:val="baseline"/>
        <w:rPr>
          <w:rFonts w:hint="eastAsia" w:ascii="宋体" w:hAnsi="宋体" w:eastAsia="宋体" w:cs="宋体"/>
          <w:b/>
          <w:bCs/>
          <w:i w:val="0"/>
          <w:caps w:val="0"/>
          <w:color w:val="auto"/>
          <w:spacing w:val="0"/>
          <w:w w:val="100"/>
          <w:sz w:val="20"/>
          <w:szCs w:val="21"/>
          <w:highlight w:val="none"/>
        </w:rPr>
      </w:pPr>
      <w:r>
        <w:rPr>
          <w:rFonts w:hint="eastAsia" w:ascii="宋体" w:hAnsi="宋体" w:eastAsia="宋体" w:cs="宋体"/>
          <w:b w:val="0"/>
          <w:i w:val="0"/>
          <w:caps w:val="0"/>
          <w:color w:val="auto"/>
          <w:spacing w:val="0"/>
          <w:w w:val="100"/>
          <w:sz w:val="21"/>
          <w:szCs w:val="21"/>
          <w:highlight w:val="none"/>
          <w:u w:val="single"/>
        </w:rPr>
        <w:br w:type="page"/>
      </w:r>
    </w:p>
    <w:p w14:paraId="0349993B">
      <w:pPr>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0"/>
          <w:highlight w:val="none"/>
        </w:rPr>
      </w:pPr>
      <w:bookmarkStart w:id="118" w:name="_Toc482775583"/>
      <w:bookmarkStart w:id="119" w:name="_Toc16646"/>
      <w:r>
        <w:rPr>
          <w:rFonts w:hint="eastAsia" w:ascii="宋体" w:hAnsi="宋体" w:eastAsia="宋体" w:cs="宋体"/>
          <w:b/>
          <w:bCs/>
          <w:i w:val="0"/>
          <w:caps w:val="0"/>
          <w:color w:val="auto"/>
          <w:spacing w:val="0"/>
          <w:w w:val="100"/>
          <w:sz w:val="28"/>
          <w:szCs w:val="28"/>
          <w:highlight w:val="none"/>
        </w:rPr>
        <w:t>拒绝政府采购领域商业贿赂承诺书</w:t>
      </w:r>
      <w:bookmarkEnd w:id="118"/>
      <w:bookmarkEnd w:id="119"/>
    </w:p>
    <w:p w14:paraId="56B4892A">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为响应党中央、国务院关于治理政府采购领域商业贿赂行为的号召，我公司在此庄严承诺：</w:t>
      </w:r>
    </w:p>
    <w:p w14:paraId="7F7C1E8D">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一、在参与政府采购活动中遵纪守法、诚信经营、公平竞标。</w:t>
      </w:r>
    </w:p>
    <w:p w14:paraId="21DA5982">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二、不向政府采购人、采购代理机构和政府采购评审专家进行任何形式的商业贿赂以谋取交易机会。</w:t>
      </w:r>
    </w:p>
    <w:p w14:paraId="6F87689D">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三、不向政府采购代理机构和采购人提供虚假资质证明文件或采用虚假应标方式参与政府采购市场竞争并谋取中标、成交。</w:t>
      </w:r>
    </w:p>
    <w:p w14:paraId="30DE49A5">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四、不采取“围标、陪标”等商业欺诈手段获得政府采购订单。</w:t>
      </w:r>
    </w:p>
    <w:p w14:paraId="19E92959">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五、不采取不正当手段诋毁、排挤其他供应商。</w:t>
      </w:r>
    </w:p>
    <w:p w14:paraId="5D3FC00D">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六、不在提供货物和服务时“偷梁换柱、以次充好”损害采购人的合法权益。</w:t>
      </w:r>
    </w:p>
    <w:p w14:paraId="5313E4BE">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七、不与采购人、采购代理机构、政府采购评审专家或其它供应商恶意串通，进行质疑和投诉，维护政府采购市场秩序。</w:t>
      </w:r>
    </w:p>
    <w:p w14:paraId="67587655">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1"/>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八、尊重和接受政府采购监督管理部门的监督和政府采购代理机构招标采购要求，承担因违约行为给采购人造成的损失。</w:t>
      </w:r>
    </w:p>
    <w:p w14:paraId="6C5EC036">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lang w:val="zh-CN"/>
        </w:rPr>
      </w:pPr>
      <w:r>
        <w:rPr>
          <w:rFonts w:hint="eastAsia" w:ascii="宋体" w:hAnsi="宋体" w:eastAsia="宋体" w:cs="宋体"/>
          <w:b w:val="0"/>
          <w:i w:val="0"/>
          <w:caps w:val="0"/>
          <w:color w:val="auto"/>
          <w:spacing w:val="0"/>
          <w:w w:val="100"/>
          <w:sz w:val="21"/>
          <w:szCs w:val="21"/>
          <w:highlight w:val="none"/>
          <w:lang w:val="zh-CN"/>
        </w:rPr>
        <w:t xml:space="preserve">    九、不发生其他有悖于政府采购公开、公平、公正和诚信原则的行为</w:t>
      </w:r>
    </w:p>
    <w:p w14:paraId="32A71631">
      <w:pPr>
        <w:snapToGrid w:val="0"/>
        <w:spacing w:before="0" w:beforeAutospacing="0" w:after="0" w:afterAutospacing="0" w:line="480" w:lineRule="auto"/>
        <w:ind w:firstLine="1600" w:firstLineChars="800"/>
        <w:jc w:val="both"/>
        <w:textAlignment w:val="baseline"/>
        <w:rPr>
          <w:rFonts w:hint="eastAsia" w:ascii="宋体" w:hAnsi="宋体" w:eastAsia="宋体" w:cs="宋体"/>
          <w:b w:val="0"/>
          <w:i w:val="0"/>
          <w:caps w:val="0"/>
          <w:color w:val="auto"/>
          <w:spacing w:val="0"/>
          <w:w w:val="100"/>
          <w:sz w:val="20"/>
          <w:szCs w:val="21"/>
          <w:highlight w:val="none"/>
        </w:rPr>
      </w:pPr>
    </w:p>
    <w:p w14:paraId="48A3F22B">
      <w:pPr>
        <w:pStyle w:val="14"/>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31"/>
          <w:highlight w:val="none"/>
        </w:rPr>
      </w:pPr>
    </w:p>
    <w:p w14:paraId="5BD90EC2">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lang w:val="en-US" w:eastAsia="zh-CN"/>
        </w:rPr>
      </w:pPr>
      <w:r>
        <w:rPr>
          <w:rFonts w:hint="eastAsia" w:ascii="宋体" w:hAnsi="宋体" w:eastAsia="宋体" w:cs="宋体"/>
          <w:b w:val="0"/>
          <w:i w:val="0"/>
          <w:caps w:val="0"/>
          <w:color w:val="auto"/>
          <w:spacing w:val="0"/>
          <w:w w:val="100"/>
          <w:sz w:val="21"/>
          <w:szCs w:val="21"/>
          <w:highlight w:val="none"/>
        </w:rPr>
        <w:t>供应商（公章）：</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p>
    <w:p w14:paraId="679BD493">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rPr>
      </w:pPr>
      <w:r>
        <w:rPr>
          <w:rFonts w:hint="eastAsia" w:ascii="宋体" w:hAnsi="宋体" w:eastAsia="宋体" w:cs="宋体"/>
          <w:b w:val="0"/>
          <w:i w:val="0"/>
          <w:caps w:val="0"/>
          <w:color w:val="auto"/>
          <w:spacing w:val="0"/>
          <w:w w:val="100"/>
          <w:sz w:val="21"/>
          <w:szCs w:val="21"/>
          <w:highlight w:val="none"/>
        </w:rPr>
        <w:t>法定代表人（签字或盖章）：</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p>
    <w:p w14:paraId="349A1AAC">
      <w:pPr>
        <w:snapToGrid w:val="0"/>
        <w:spacing w:before="0" w:beforeAutospacing="0" w:after="0" w:afterAutospacing="0" w:line="480" w:lineRule="auto"/>
        <w:ind w:firstLine="5040" w:firstLineChars="2400"/>
        <w:jc w:val="both"/>
        <w:textAlignment w:val="baseline"/>
        <w:rPr>
          <w:rFonts w:hint="eastAsia" w:ascii="宋体" w:hAnsi="宋体" w:eastAsia="宋体" w:cs="宋体"/>
          <w:b w:val="0"/>
          <w:i w:val="0"/>
          <w:caps w:val="0"/>
          <w:color w:val="auto"/>
          <w:spacing w:val="0"/>
          <w:w w:val="100"/>
          <w:sz w:val="20"/>
          <w:szCs w:val="21"/>
          <w:highlight w:val="none"/>
          <w:u w:val="single"/>
          <w:lang w:val="en-US" w:eastAsia="zh-CN"/>
        </w:rPr>
      </w:pPr>
      <w:r>
        <w:rPr>
          <w:rFonts w:hint="eastAsia" w:ascii="宋体" w:hAnsi="宋体" w:eastAsia="宋体" w:cs="宋体"/>
          <w:b w:val="0"/>
          <w:i w:val="0"/>
          <w:caps w:val="0"/>
          <w:color w:val="auto"/>
          <w:spacing w:val="0"/>
          <w:w w:val="100"/>
          <w:sz w:val="21"/>
          <w:szCs w:val="21"/>
          <w:highlight w:val="none"/>
        </w:rPr>
        <w:t>日        期：</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年</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月</w:t>
      </w:r>
      <w:r>
        <w:rPr>
          <w:rFonts w:hint="eastAsia" w:ascii="宋体" w:hAnsi="宋体" w:eastAsia="宋体" w:cs="宋体"/>
          <w:b w:val="0"/>
          <w:i w:val="0"/>
          <w:caps w:val="0"/>
          <w:color w:val="auto"/>
          <w:spacing w:val="0"/>
          <w:w w:val="100"/>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en-US" w:eastAsia="zh-CN"/>
        </w:rPr>
        <w:t>日</w:t>
      </w:r>
    </w:p>
    <w:p w14:paraId="4E15F9C2">
      <w:pPr>
        <w:pStyle w:val="28"/>
        <w:snapToGrid w:val="0"/>
        <w:spacing w:before="0" w:beforeAutospacing="0" w:after="0" w:afterAutospacing="0" w:line="240" w:lineRule="auto"/>
        <w:ind w:firstLine="211" w:firstLineChars="100"/>
        <w:jc w:val="both"/>
        <w:textAlignment w:val="baseline"/>
        <w:rPr>
          <w:rFonts w:hint="eastAsia" w:ascii="宋体" w:hAnsi="宋体" w:eastAsia="宋体" w:cs="宋体"/>
          <w:b/>
          <w:bCs/>
          <w:i w:val="0"/>
          <w:caps w:val="0"/>
          <w:color w:val="auto"/>
          <w:spacing w:val="0"/>
          <w:w w:val="100"/>
          <w:sz w:val="21"/>
          <w:szCs w:val="21"/>
          <w:highlight w:val="none"/>
        </w:rPr>
      </w:pPr>
    </w:p>
    <w:p w14:paraId="7F153D92">
      <w:pPr>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rPr>
        <w:br w:type="page"/>
      </w:r>
    </w:p>
    <w:p w14:paraId="00836DE9">
      <w:pPr>
        <w:snapToGrid w:val="0"/>
        <w:spacing w:before="0" w:beforeAutospacing="0" w:after="0" w:afterAutospacing="0" w:line="360" w:lineRule="auto"/>
        <w:jc w:val="center"/>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具有履行本合同所必需的设备和专业技术能力的承诺函</w:t>
      </w:r>
      <w:bookmarkEnd w:id="110"/>
      <w:bookmarkEnd w:id="111"/>
      <w:bookmarkEnd w:id="112"/>
    </w:p>
    <w:p w14:paraId="6C570503">
      <w:pPr>
        <w:bidi w:val="0"/>
        <w:rPr>
          <w:rFonts w:hint="eastAsia" w:ascii="宋体" w:hAnsi="宋体" w:eastAsia="宋体" w:cs="宋体"/>
          <w:color w:val="auto"/>
          <w:highlight w:val="none"/>
        </w:rPr>
      </w:pPr>
    </w:p>
    <w:p w14:paraId="667AEF9D">
      <w:pPr>
        <w:tabs>
          <w:tab w:val="left" w:pos="927"/>
        </w:tabs>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1"/>
          <w:sz w:val="20"/>
          <w:szCs w:val="21"/>
          <w:highlight w:val="none"/>
          <w:u w:val="single"/>
        </w:rPr>
      </w:pPr>
      <w:r>
        <w:rPr>
          <w:rFonts w:hint="eastAsia" w:ascii="宋体" w:hAnsi="宋体" w:eastAsia="宋体" w:cs="宋体"/>
          <w:b w:val="0"/>
          <w:i w:val="0"/>
          <w:caps w:val="0"/>
          <w:color w:val="auto"/>
          <w:spacing w:val="0"/>
          <w:w w:val="100"/>
          <w:kern w:val="21"/>
          <w:sz w:val="21"/>
          <w:szCs w:val="21"/>
          <w:highlight w:val="none"/>
        </w:rPr>
        <w:t>项目名称：</w:t>
      </w:r>
    </w:p>
    <w:p w14:paraId="254BBEA5">
      <w:pPr>
        <w:tabs>
          <w:tab w:val="left" w:pos="927"/>
        </w:tabs>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1"/>
          <w:sz w:val="20"/>
          <w:szCs w:val="21"/>
          <w:highlight w:val="none"/>
          <w:u w:val="single"/>
        </w:rPr>
      </w:pPr>
      <w:r>
        <w:rPr>
          <w:rFonts w:hint="eastAsia" w:ascii="宋体" w:hAnsi="宋体" w:eastAsia="宋体" w:cs="宋体"/>
          <w:b w:val="0"/>
          <w:i w:val="0"/>
          <w:caps w:val="0"/>
          <w:color w:val="auto"/>
          <w:spacing w:val="0"/>
          <w:w w:val="100"/>
          <w:kern w:val="21"/>
          <w:sz w:val="21"/>
          <w:szCs w:val="21"/>
          <w:highlight w:val="none"/>
        </w:rPr>
        <w:t>项目编号：</w:t>
      </w:r>
    </w:p>
    <w:p w14:paraId="3C3D0C7B">
      <w:pPr>
        <w:tabs>
          <w:tab w:val="left" w:pos="927"/>
        </w:tabs>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致：嘉翔项目管理有限公司</w:t>
      </w:r>
    </w:p>
    <w:p w14:paraId="74BB726A">
      <w:pPr>
        <w:snapToGrid w:val="0"/>
        <w:spacing w:before="0" w:beforeAutospacing="0" w:after="0" w:afterAutospacing="0" w:line="480" w:lineRule="auto"/>
        <w:ind w:firstLine="630" w:firstLineChars="300"/>
        <w:jc w:val="both"/>
        <w:textAlignment w:val="baseline"/>
        <w:rPr>
          <w:rFonts w:hint="eastAsia" w:ascii="宋体" w:hAnsi="宋体" w:eastAsia="宋体" w:cs="宋体"/>
          <w:b w:val="0"/>
          <w:i w:val="0"/>
          <w:caps w:val="0"/>
          <w:color w:val="auto"/>
          <w:spacing w:val="0"/>
          <w:w w:val="100"/>
          <w:sz w:val="20"/>
          <w:szCs w:val="21"/>
          <w:highlight w:val="none"/>
          <w:lang w:val="zh-CN"/>
        </w:rPr>
      </w:pPr>
      <w:r>
        <w:rPr>
          <w:rFonts w:hint="eastAsia" w:ascii="宋体" w:hAnsi="宋体" w:eastAsia="宋体" w:cs="宋体"/>
          <w:b w:val="0"/>
          <w:i w:val="0"/>
          <w:caps w:val="0"/>
          <w:color w:val="auto"/>
          <w:spacing w:val="0"/>
          <w:w w:val="100"/>
          <w:kern w:val="21"/>
          <w:sz w:val="21"/>
          <w:szCs w:val="21"/>
          <w:highlight w:val="none"/>
          <w:u w:val="single" w:color="000000"/>
        </w:rPr>
        <w:t>（供应商）</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sz w:val="21"/>
          <w:szCs w:val="21"/>
          <w:highlight w:val="none"/>
          <w:lang w:val="zh-CN"/>
        </w:rPr>
        <w:t>郑重声明，我公司具有履行合同所必需的设备和专业技术能力，在合同签订前后随时愿意提供相关证明材料，符合法律法规规定的资格条件。我方对以上声明负全部法律责任。</w:t>
      </w:r>
    </w:p>
    <w:p w14:paraId="2401825A">
      <w:pPr>
        <w:snapToGrid w:val="0"/>
        <w:spacing w:before="0" w:beforeAutospacing="0" w:after="0" w:afterAutospacing="0" w:line="480" w:lineRule="auto"/>
        <w:ind w:firstLine="420" w:firstLineChars="200"/>
        <w:jc w:val="both"/>
        <w:textAlignment w:val="baseline"/>
        <w:rPr>
          <w:rFonts w:hint="eastAsia" w:ascii="宋体" w:hAnsi="宋体" w:eastAsia="宋体" w:cs="宋体"/>
          <w:b w:val="0"/>
          <w:i w:val="0"/>
          <w:caps w:val="0"/>
          <w:color w:val="auto"/>
          <w:spacing w:val="0"/>
          <w:w w:val="100"/>
          <w:sz w:val="20"/>
          <w:szCs w:val="21"/>
          <w:highlight w:val="none"/>
          <w:lang w:val="zh-CN"/>
        </w:rPr>
      </w:pPr>
      <w:r>
        <w:rPr>
          <w:rFonts w:hint="eastAsia" w:ascii="宋体" w:hAnsi="宋体" w:eastAsia="宋体" w:cs="宋体"/>
          <w:b w:val="0"/>
          <w:i w:val="0"/>
          <w:caps w:val="0"/>
          <w:color w:val="auto"/>
          <w:spacing w:val="0"/>
          <w:w w:val="100"/>
          <w:sz w:val="21"/>
          <w:szCs w:val="21"/>
          <w:highlight w:val="none"/>
          <w:lang w:val="zh-CN"/>
        </w:rPr>
        <w:t>特此声明。</w:t>
      </w:r>
    </w:p>
    <w:p w14:paraId="54D7664F">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kern w:val="21"/>
          <w:sz w:val="20"/>
          <w:szCs w:val="21"/>
          <w:highlight w:val="none"/>
        </w:rPr>
      </w:pPr>
    </w:p>
    <w:p w14:paraId="607F3BCD">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kern w:val="21"/>
          <w:sz w:val="20"/>
          <w:szCs w:val="21"/>
          <w:highlight w:val="none"/>
        </w:rPr>
      </w:pPr>
    </w:p>
    <w:p w14:paraId="4E85445E">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kern w:val="21"/>
          <w:sz w:val="20"/>
          <w:szCs w:val="21"/>
          <w:highlight w:val="none"/>
        </w:rPr>
      </w:pPr>
      <w:bookmarkStart w:id="120" w:name="_Toc5582"/>
      <w:bookmarkStart w:id="121" w:name="_Toc6035"/>
      <w:bookmarkStart w:id="122" w:name="_Toc29480"/>
      <w:bookmarkStart w:id="123" w:name="_Toc25421"/>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供应商：</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（盖单位公章）</w:t>
      </w:r>
      <w:bookmarkEnd w:id="120"/>
      <w:bookmarkEnd w:id="121"/>
      <w:bookmarkEnd w:id="122"/>
      <w:bookmarkEnd w:id="123"/>
    </w:p>
    <w:p w14:paraId="654E965E">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kern w:val="21"/>
          <w:sz w:val="20"/>
          <w:szCs w:val="21"/>
          <w:highlight w:val="none"/>
        </w:rPr>
      </w:pPr>
      <w:bookmarkStart w:id="124" w:name="_Toc3425"/>
      <w:bookmarkStart w:id="125" w:name="_Toc8175"/>
      <w:bookmarkStart w:id="126" w:name="_Toc13406"/>
      <w:bookmarkStart w:id="127" w:name="_Toc22772"/>
    </w:p>
    <w:p w14:paraId="14F33133">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法定代表人或委托代理人：</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（签字或盖章）</w:t>
      </w:r>
      <w:bookmarkEnd w:id="124"/>
      <w:bookmarkEnd w:id="125"/>
      <w:bookmarkEnd w:id="126"/>
      <w:bookmarkEnd w:id="127"/>
    </w:p>
    <w:p w14:paraId="072ECEE2">
      <w:pPr>
        <w:tabs>
          <w:tab w:val="left" w:pos="927"/>
        </w:tabs>
        <w:snapToGrid w:val="0"/>
        <w:spacing w:before="0" w:beforeAutospacing="0" w:after="0" w:afterAutospacing="0" w:line="360" w:lineRule="auto"/>
        <w:ind w:firstLine="4000" w:firstLineChars="2000"/>
        <w:jc w:val="left"/>
        <w:textAlignment w:val="baseline"/>
        <w:rPr>
          <w:rFonts w:hint="eastAsia" w:ascii="宋体" w:hAnsi="宋体" w:eastAsia="宋体" w:cs="宋体"/>
          <w:b w:val="0"/>
          <w:i w:val="0"/>
          <w:caps w:val="0"/>
          <w:color w:val="auto"/>
          <w:spacing w:val="0"/>
          <w:w w:val="100"/>
          <w:kern w:val="21"/>
          <w:sz w:val="20"/>
          <w:szCs w:val="21"/>
          <w:highlight w:val="none"/>
        </w:rPr>
      </w:pPr>
    </w:p>
    <w:p w14:paraId="2270EC28">
      <w:pPr>
        <w:tabs>
          <w:tab w:val="left" w:pos="927"/>
        </w:tabs>
        <w:snapToGrid w:val="0"/>
        <w:spacing w:before="0" w:beforeAutospacing="0" w:after="0" w:afterAutospacing="0" w:line="360" w:lineRule="auto"/>
        <w:ind w:firstLine="4200" w:firstLineChars="2000"/>
        <w:jc w:val="left"/>
        <w:textAlignment w:val="baseline"/>
        <w:rPr>
          <w:rFonts w:hint="eastAsia" w:ascii="宋体" w:hAnsi="宋体" w:eastAsia="宋体" w:cs="宋体"/>
          <w:b w:val="0"/>
          <w:i w:val="0"/>
          <w:caps w:val="0"/>
          <w:color w:val="auto"/>
          <w:spacing w:val="0"/>
          <w:w w:val="100"/>
          <w:kern w:val="21"/>
          <w:sz w:val="20"/>
          <w:szCs w:val="21"/>
          <w:highlight w:val="none"/>
        </w:rPr>
      </w:pPr>
      <w:r>
        <w:rPr>
          <w:rFonts w:hint="eastAsia" w:ascii="宋体" w:hAnsi="宋体" w:eastAsia="宋体" w:cs="宋体"/>
          <w:b w:val="0"/>
          <w:i w:val="0"/>
          <w:caps w:val="0"/>
          <w:color w:val="auto"/>
          <w:spacing w:val="0"/>
          <w:w w:val="100"/>
          <w:kern w:val="21"/>
          <w:sz w:val="21"/>
          <w:szCs w:val="21"/>
          <w:highlight w:val="none"/>
        </w:rPr>
        <w:t>日 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日</w:t>
      </w:r>
    </w:p>
    <w:p w14:paraId="479C4926">
      <w:pPr>
        <w:pStyle w:val="9"/>
        <w:snapToGrid w:val="0"/>
        <w:spacing w:before="0" w:beforeAutospacing="0" w:after="0" w:afterAutospacing="0" w:line="357" w:lineRule="atLeast"/>
        <w:ind w:left="420" w:leftChars="200"/>
        <w:jc w:val="both"/>
        <w:textAlignment w:val="baseline"/>
        <w:rPr>
          <w:rFonts w:hint="eastAsia" w:ascii="宋体" w:hAnsi="宋体" w:eastAsia="宋体" w:cs="宋体"/>
          <w:b w:val="0"/>
          <w:i w:val="0"/>
          <w:caps w:val="0"/>
          <w:color w:val="auto"/>
          <w:spacing w:val="0"/>
          <w:w w:val="100"/>
          <w:kern w:val="21"/>
          <w:sz w:val="21"/>
          <w:szCs w:val="21"/>
          <w:highlight w:val="none"/>
        </w:rPr>
      </w:pPr>
    </w:p>
    <w:p w14:paraId="044A35F0">
      <w:pPr>
        <w:snapToGrid w:val="0"/>
        <w:spacing w:before="0" w:beforeAutospacing="0" w:after="0" w:afterAutospacing="0" w:line="357" w:lineRule="atLeast"/>
        <w:jc w:val="both"/>
        <w:textAlignment w:val="baseline"/>
        <w:rPr>
          <w:rFonts w:hint="eastAsia" w:ascii="宋体" w:hAnsi="宋体" w:eastAsia="宋体" w:cs="宋体"/>
          <w:b w:val="0"/>
          <w:i w:val="0"/>
          <w:caps w:val="0"/>
          <w:color w:val="auto"/>
          <w:spacing w:val="0"/>
          <w:w w:val="100"/>
          <w:kern w:val="21"/>
          <w:sz w:val="20"/>
          <w:szCs w:val="21"/>
          <w:highlight w:val="none"/>
        </w:rPr>
      </w:pPr>
    </w:p>
    <w:p w14:paraId="7F79A467">
      <w:pPr>
        <w:rPr>
          <w:rFonts w:hint="eastAsia" w:ascii="宋体" w:hAnsi="宋体" w:eastAsia="宋体" w:cs="宋体"/>
          <w:b w:val="0"/>
          <w:i w:val="0"/>
          <w:caps w:val="0"/>
          <w:color w:val="auto"/>
          <w:spacing w:val="0"/>
          <w:w w:val="100"/>
          <w:kern w:val="21"/>
          <w:sz w:val="20"/>
          <w:szCs w:val="21"/>
          <w:highlight w:val="none"/>
        </w:rPr>
      </w:pPr>
    </w:p>
    <w:p w14:paraId="2FF30DE4">
      <w:pPr>
        <w:pStyle w:val="14"/>
        <w:rPr>
          <w:rFonts w:hint="eastAsia" w:ascii="宋体" w:hAnsi="宋体" w:eastAsia="宋体" w:cs="宋体"/>
          <w:b w:val="0"/>
          <w:i w:val="0"/>
          <w:caps w:val="0"/>
          <w:color w:val="auto"/>
          <w:spacing w:val="0"/>
          <w:w w:val="100"/>
          <w:kern w:val="21"/>
          <w:sz w:val="20"/>
          <w:szCs w:val="21"/>
          <w:highlight w:val="none"/>
        </w:rPr>
      </w:pPr>
    </w:p>
    <w:p w14:paraId="4DC4EBDA">
      <w:pPr>
        <w:pStyle w:val="14"/>
        <w:rPr>
          <w:rFonts w:hint="eastAsia" w:ascii="宋体" w:hAnsi="宋体" w:eastAsia="宋体" w:cs="宋体"/>
          <w:b w:val="0"/>
          <w:i w:val="0"/>
          <w:caps w:val="0"/>
          <w:color w:val="auto"/>
          <w:spacing w:val="0"/>
          <w:w w:val="100"/>
          <w:kern w:val="21"/>
          <w:sz w:val="20"/>
          <w:szCs w:val="21"/>
          <w:highlight w:val="none"/>
        </w:rPr>
      </w:pPr>
    </w:p>
    <w:p w14:paraId="044D3701">
      <w:pPr>
        <w:pStyle w:val="14"/>
        <w:rPr>
          <w:rFonts w:hint="eastAsia" w:ascii="宋体" w:hAnsi="宋体" w:eastAsia="宋体" w:cs="宋体"/>
          <w:b w:val="0"/>
          <w:i w:val="0"/>
          <w:caps w:val="0"/>
          <w:color w:val="auto"/>
          <w:spacing w:val="0"/>
          <w:w w:val="100"/>
          <w:kern w:val="21"/>
          <w:sz w:val="20"/>
          <w:szCs w:val="21"/>
          <w:highlight w:val="none"/>
        </w:rPr>
      </w:pPr>
    </w:p>
    <w:p w14:paraId="231B8977">
      <w:pPr>
        <w:pStyle w:val="14"/>
        <w:rPr>
          <w:rFonts w:hint="eastAsia" w:ascii="宋体" w:hAnsi="宋体" w:eastAsia="宋体" w:cs="宋体"/>
          <w:b w:val="0"/>
          <w:i w:val="0"/>
          <w:caps w:val="0"/>
          <w:color w:val="auto"/>
          <w:spacing w:val="0"/>
          <w:w w:val="100"/>
          <w:kern w:val="21"/>
          <w:sz w:val="20"/>
          <w:szCs w:val="21"/>
          <w:highlight w:val="none"/>
        </w:rPr>
      </w:pPr>
    </w:p>
    <w:p w14:paraId="671E29C5">
      <w:pPr>
        <w:pStyle w:val="14"/>
        <w:rPr>
          <w:rFonts w:hint="eastAsia" w:ascii="宋体" w:hAnsi="宋体" w:eastAsia="宋体" w:cs="宋体"/>
          <w:b w:val="0"/>
          <w:i w:val="0"/>
          <w:caps w:val="0"/>
          <w:color w:val="auto"/>
          <w:spacing w:val="0"/>
          <w:w w:val="100"/>
          <w:kern w:val="21"/>
          <w:sz w:val="20"/>
          <w:szCs w:val="21"/>
          <w:highlight w:val="none"/>
        </w:rPr>
      </w:pPr>
    </w:p>
    <w:p w14:paraId="0D7151E8">
      <w:pPr>
        <w:pStyle w:val="14"/>
        <w:rPr>
          <w:rFonts w:hint="eastAsia" w:ascii="宋体" w:hAnsi="宋体" w:eastAsia="宋体" w:cs="宋体"/>
          <w:b w:val="0"/>
          <w:i w:val="0"/>
          <w:caps w:val="0"/>
          <w:color w:val="auto"/>
          <w:spacing w:val="0"/>
          <w:w w:val="100"/>
          <w:kern w:val="21"/>
          <w:sz w:val="20"/>
          <w:szCs w:val="21"/>
          <w:highlight w:val="none"/>
        </w:rPr>
      </w:pPr>
    </w:p>
    <w:p w14:paraId="75F26EA3">
      <w:pPr>
        <w:pStyle w:val="14"/>
        <w:rPr>
          <w:rFonts w:hint="eastAsia" w:ascii="宋体" w:hAnsi="宋体" w:eastAsia="宋体" w:cs="宋体"/>
          <w:b w:val="0"/>
          <w:i w:val="0"/>
          <w:caps w:val="0"/>
          <w:color w:val="auto"/>
          <w:spacing w:val="0"/>
          <w:w w:val="100"/>
          <w:kern w:val="21"/>
          <w:sz w:val="20"/>
          <w:szCs w:val="21"/>
          <w:highlight w:val="none"/>
        </w:rPr>
      </w:pPr>
    </w:p>
    <w:p w14:paraId="121B66A0">
      <w:pPr>
        <w:pStyle w:val="14"/>
        <w:rPr>
          <w:rFonts w:hint="eastAsia" w:ascii="宋体" w:hAnsi="宋体" w:eastAsia="宋体" w:cs="宋体"/>
          <w:b w:val="0"/>
          <w:i w:val="0"/>
          <w:caps w:val="0"/>
          <w:color w:val="auto"/>
          <w:spacing w:val="0"/>
          <w:w w:val="100"/>
          <w:kern w:val="21"/>
          <w:sz w:val="20"/>
          <w:szCs w:val="21"/>
          <w:highlight w:val="none"/>
        </w:rPr>
      </w:pPr>
    </w:p>
    <w:p w14:paraId="66DB2215">
      <w:pPr>
        <w:pStyle w:val="14"/>
        <w:rPr>
          <w:rFonts w:hint="eastAsia" w:ascii="宋体" w:hAnsi="宋体" w:eastAsia="宋体" w:cs="宋体"/>
          <w:b w:val="0"/>
          <w:i w:val="0"/>
          <w:caps w:val="0"/>
          <w:color w:val="auto"/>
          <w:spacing w:val="0"/>
          <w:w w:val="100"/>
          <w:kern w:val="21"/>
          <w:sz w:val="20"/>
          <w:szCs w:val="21"/>
          <w:highlight w:val="none"/>
        </w:rPr>
      </w:pPr>
    </w:p>
    <w:p w14:paraId="26FEB5E7">
      <w:pPr>
        <w:pStyle w:val="14"/>
        <w:rPr>
          <w:rFonts w:hint="eastAsia" w:ascii="宋体" w:hAnsi="宋体" w:eastAsia="宋体" w:cs="宋体"/>
          <w:b w:val="0"/>
          <w:i w:val="0"/>
          <w:caps w:val="0"/>
          <w:color w:val="auto"/>
          <w:spacing w:val="0"/>
          <w:w w:val="100"/>
          <w:kern w:val="21"/>
          <w:sz w:val="20"/>
          <w:szCs w:val="21"/>
          <w:highlight w:val="none"/>
        </w:rPr>
      </w:pPr>
    </w:p>
    <w:p w14:paraId="1ACED731">
      <w:pPr>
        <w:pStyle w:val="14"/>
        <w:rPr>
          <w:rFonts w:hint="eastAsia" w:ascii="宋体" w:hAnsi="宋体" w:eastAsia="宋体" w:cs="宋体"/>
          <w:b w:val="0"/>
          <w:i w:val="0"/>
          <w:caps w:val="0"/>
          <w:color w:val="auto"/>
          <w:spacing w:val="0"/>
          <w:w w:val="100"/>
          <w:kern w:val="21"/>
          <w:sz w:val="20"/>
          <w:szCs w:val="21"/>
          <w:highlight w:val="none"/>
        </w:rPr>
      </w:pPr>
    </w:p>
    <w:p w14:paraId="3A814786">
      <w:pPr>
        <w:pStyle w:val="14"/>
        <w:rPr>
          <w:rFonts w:hint="eastAsia" w:ascii="宋体" w:hAnsi="宋体" w:eastAsia="宋体" w:cs="宋体"/>
          <w:b w:val="0"/>
          <w:i w:val="0"/>
          <w:caps w:val="0"/>
          <w:color w:val="auto"/>
          <w:spacing w:val="0"/>
          <w:w w:val="100"/>
          <w:kern w:val="21"/>
          <w:sz w:val="20"/>
          <w:szCs w:val="21"/>
          <w:highlight w:val="none"/>
        </w:rPr>
      </w:pPr>
    </w:p>
    <w:p w14:paraId="238768E4">
      <w:pPr>
        <w:pStyle w:val="14"/>
        <w:rPr>
          <w:rFonts w:hint="eastAsia" w:ascii="宋体" w:hAnsi="宋体" w:eastAsia="宋体" w:cs="宋体"/>
          <w:b w:val="0"/>
          <w:i w:val="0"/>
          <w:caps w:val="0"/>
          <w:color w:val="auto"/>
          <w:spacing w:val="0"/>
          <w:w w:val="100"/>
          <w:kern w:val="21"/>
          <w:sz w:val="20"/>
          <w:szCs w:val="21"/>
          <w:highlight w:val="none"/>
        </w:rPr>
      </w:pPr>
    </w:p>
    <w:p w14:paraId="613143E7">
      <w:pPr>
        <w:pStyle w:val="14"/>
        <w:rPr>
          <w:rFonts w:hint="eastAsia" w:ascii="宋体" w:hAnsi="宋体" w:eastAsia="宋体" w:cs="宋体"/>
          <w:b w:val="0"/>
          <w:i w:val="0"/>
          <w:caps w:val="0"/>
          <w:color w:val="auto"/>
          <w:spacing w:val="0"/>
          <w:w w:val="100"/>
          <w:kern w:val="21"/>
          <w:sz w:val="20"/>
          <w:szCs w:val="21"/>
          <w:highlight w:val="none"/>
        </w:rPr>
      </w:pPr>
    </w:p>
    <w:p w14:paraId="4651FE02">
      <w:pPr>
        <w:pStyle w:val="14"/>
        <w:rPr>
          <w:rFonts w:hint="eastAsia" w:ascii="宋体" w:hAnsi="宋体" w:eastAsia="宋体" w:cs="宋体"/>
          <w:b w:val="0"/>
          <w:i w:val="0"/>
          <w:caps w:val="0"/>
          <w:color w:val="auto"/>
          <w:spacing w:val="0"/>
          <w:w w:val="100"/>
          <w:kern w:val="21"/>
          <w:sz w:val="20"/>
          <w:szCs w:val="21"/>
          <w:highlight w:val="none"/>
        </w:rPr>
      </w:pPr>
    </w:p>
    <w:p w14:paraId="43A1A491">
      <w:pPr>
        <w:pStyle w:val="4"/>
        <w:adjustRightInd w:val="0"/>
        <w:spacing w:line="416" w:lineRule="atLeast"/>
        <w:jc w:val="both"/>
        <w:textAlignment w:val="baseline"/>
        <w:rPr>
          <w:rFonts w:hint="eastAsia" w:ascii="宋体" w:hAnsi="宋体" w:eastAsia="宋体" w:cs="宋体"/>
          <w:b/>
          <w:bCs/>
          <w:i w:val="0"/>
          <w:caps w:val="0"/>
          <w:color w:val="auto"/>
          <w:spacing w:val="0"/>
          <w:w w:val="100"/>
          <w:sz w:val="28"/>
          <w:szCs w:val="28"/>
          <w:highlight w:val="none"/>
          <w:u w:color="000000"/>
          <w:lang w:val="en-US" w:eastAsia="zh-CN" w:bidi="ar-SA"/>
        </w:rPr>
      </w:pPr>
      <w:r>
        <w:rPr>
          <w:rFonts w:hint="eastAsia" w:ascii="宋体" w:hAnsi="宋体" w:eastAsia="宋体" w:cs="宋体"/>
          <w:b/>
          <w:bCs/>
          <w:i w:val="0"/>
          <w:caps w:val="0"/>
          <w:color w:val="auto"/>
          <w:spacing w:val="0"/>
          <w:w w:val="100"/>
          <w:sz w:val="28"/>
          <w:szCs w:val="28"/>
          <w:highlight w:val="none"/>
          <w:u w:color="000000"/>
          <w:lang w:val="en-US" w:eastAsia="zh-CN" w:bidi="ar-SA"/>
        </w:rPr>
        <w:t xml:space="preserve">附件1 </w:t>
      </w:r>
    </w:p>
    <w:p w14:paraId="039D5B4B">
      <w:pPr>
        <w:pStyle w:val="4"/>
        <w:adjustRightInd w:val="0"/>
        <w:spacing w:line="416" w:lineRule="atLeast"/>
        <w:jc w:val="center"/>
        <w:textAlignment w:val="baseline"/>
        <w:rPr>
          <w:rFonts w:hint="eastAsia" w:ascii="宋体" w:hAnsi="宋体" w:eastAsia="宋体" w:cs="宋体"/>
          <w:b/>
          <w:bCs/>
          <w:i w:val="0"/>
          <w:caps w:val="0"/>
          <w:color w:val="auto"/>
          <w:spacing w:val="0"/>
          <w:w w:val="100"/>
          <w:sz w:val="28"/>
          <w:szCs w:val="28"/>
          <w:highlight w:val="none"/>
          <w:u w:color="000000"/>
          <w:lang w:val="en-US" w:eastAsia="zh-CN" w:bidi="ar-SA"/>
        </w:rPr>
      </w:pPr>
      <w:r>
        <w:rPr>
          <w:rFonts w:hint="eastAsia" w:ascii="宋体" w:hAnsi="宋体" w:eastAsia="宋体" w:cs="宋体"/>
          <w:b/>
          <w:bCs/>
          <w:i w:val="0"/>
          <w:caps w:val="0"/>
          <w:color w:val="auto"/>
          <w:spacing w:val="0"/>
          <w:w w:val="100"/>
          <w:sz w:val="28"/>
          <w:szCs w:val="28"/>
          <w:highlight w:val="none"/>
          <w:u w:color="000000"/>
          <w:lang w:val="en-US" w:eastAsia="zh-CN" w:bidi="ar-SA"/>
        </w:rPr>
        <w:t>技术参数响应表</w:t>
      </w:r>
    </w:p>
    <w:p w14:paraId="4BD1E0FC">
      <w:pPr>
        <w:spacing w:line="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769E2FB4">
      <w:pPr>
        <w:spacing w:line="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tbl>
      <w:tblPr>
        <w:tblStyle w:val="29"/>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2399"/>
        <w:gridCol w:w="2566"/>
        <w:gridCol w:w="1290"/>
        <w:gridCol w:w="1476"/>
      </w:tblGrid>
      <w:tr w14:paraId="49357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228" w:type="dxa"/>
            <w:tcBorders>
              <w:top w:val="double" w:color="auto" w:sz="4" w:space="0"/>
              <w:left w:val="double" w:color="auto" w:sz="4" w:space="0"/>
              <w:bottom w:val="single" w:color="auto" w:sz="4" w:space="0"/>
            </w:tcBorders>
            <w:noWrap w:val="0"/>
            <w:vAlign w:val="center"/>
          </w:tcPr>
          <w:p w14:paraId="4A1D7295">
            <w:pPr>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99" w:type="dxa"/>
            <w:tcBorders>
              <w:top w:val="double" w:color="auto" w:sz="4" w:space="0"/>
              <w:bottom w:val="single" w:color="auto" w:sz="4" w:space="0"/>
            </w:tcBorders>
            <w:noWrap w:val="0"/>
            <w:vAlign w:val="center"/>
          </w:tcPr>
          <w:p w14:paraId="3E5F6F50">
            <w:pPr>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招标规格</w:t>
            </w:r>
          </w:p>
        </w:tc>
        <w:tc>
          <w:tcPr>
            <w:tcW w:w="2566" w:type="dxa"/>
            <w:tcBorders>
              <w:top w:val="double" w:color="auto" w:sz="4" w:space="0"/>
              <w:bottom w:val="single" w:color="auto" w:sz="4" w:space="0"/>
            </w:tcBorders>
            <w:noWrap w:val="0"/>
            <w:vAlign w:val="center"/>
          </w:tcPr>
          <w:p w14:paraId="68B87EF8">
            <w:pPr>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投标规格 </w:t>
            </w:r>
          </w:p>
        </w:tc>
        <w:tc>
          <w:tcPr>
            <w:tcW w:w="1290" w:type="dxa"/>
            <w:tcBorders>
              <w:top w:val="double" w:color="auto" w:sz="4" w:space="0"/>
              <w:bottom w:val="single" w:color="auto" w:sz="4" w:space="0"/>
            </w:tcBorders>
            <w:noWrap w:val="0"/>
            <w:vAlign w:val="center"/>
          </w:tcPr>
          <w:p w14:paraId="2773BF7E">
            <w:pPr>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响应/偏离</w:t>
            </w:r>
          </w:p>
        </w:tc>
        <w:tc>
          <w:tcPr>
            <w:tcW w:w="1476" w:type="dxa"/>
            <w:tcBorders>
              <w:top w:val="double" w:color="auto" w:sz="4" w:space="0"/>
              <w:bottom w:val="single" w:color="auto" w:sz="4" w:space="0"/>
              <w:right w:val="double" w:color="auto" w:sz="4" w:space="0"/>
            </w:tcBorders>
            <w:noWrap w:val="0"/>
            <w:vAlign w:val="center"/>
          </w:tcPr>
          <w:p w14:paraId="12086B20">
            <w:pPr>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5139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0" w:hRule="atLeast"/>
        </w:trPr>
        <w:tc>
          <w:tcPr>
            <w:tcW w:w="1228" w:type="dxa"/>
            <w:tcBorders>
              <w:top w:val="single" w:color="auto" w:sz="4" w:space="0"/>
              <w:left w:val="double" w:color="auto" w:sz="4" w:space="0"/>
              <w:bottom w:val="single" w:color="auto" w:sz="4" w:space="0"/>
              <w:right w:val="single" w:color="auto" w:sz="6" w:space="0"/>
            </w:tcBorders>
            <w:noWrap w:val="0"/>
            <w:vAlign w:val="top"/>
          </w:tcPr>
          <w:p w14:paraId="20EE6648">
            <w:pPr>
              <w:jc w:val="center"/>
              <w:rPr>
                <w:rFonts w:hint="eastAsia" w:ascii="宋体" w:hAnsi="宋体" w:eastAsia="宋体" w:cs="宋体"/>
                <w:color w:val="auto"/>
                <w:sz w:val="21"/>
                <w:szCs w:val="21"/>
                <w:highlight w:val="none"/>
              </w:rPr>
            </w:pPr>
          </w:p>
        </w:tc>
        <w:tc>
          <w:tcPr>
            <w:tcW w:w="2399" w:type="dxa"/>
            <w:tcBorders>
              <w:top w:val="single" w:color="auto" w:sz="4" w:space="0"/>
              <w:left w:val="single" w:color="auto" w:sz="6" w:space="0"/>
              <w:bottom w:val="single" w:color="auto" w:sz="4" w:space="0"/>
              <w:right w:val="single" w:color="auto" w:sz="6" w:space="0"/>
            </w:tcBorders>
            <w:noWrap w:val="0"/>
            <w:vAlign w:val="top"/>
          </w:tcPr>
          <w:p w14:paraId="2DE651AF">
            <w:pPr>
              <w:jc w:val="center"/>
              <w:rPr>
                <w:rFonts w:hint="eastAsia" w:ascii="宋体" w:hAnsi="宋体" w:eastAsia="宋体" w:cs="宋体"/>
                <w:color w:val="auto"/>
                <w:sz w:val="21"/>
                <w:szCs w:val="21"/>
                <w:highlight w:val="none"/>
              </w:rPr>
            </w:pPr>
          </w:p>
        </w:tc>
        <w:tc>
          <w:tcPr>
            <w:tcW w:w="2566" w:type="dxa"/>
            <w:tcBorders>
              <w:top w:val="single" w:color="auto" w:sz="4" w:space="0"/>
              <w:left w:val="single" w:color="auto" w:sz="6" w:space="0"/>
              <w:bottom w:val="single" w:color="auto" w:sz="4" w:space="0"/>
              <w:right w:val="single" w:color="auto" w:sz="6" w:space="0"/>
            </w:tcBorders>
            <w:noWrap w:val="0"/>
            <w:vAlign w:val="top"/>
          </w:tcPr>
          <w:p w14:paraId="6C073E9E">
            <w:pPr>
              <w:jc w:val="center"/>
              <w:rPr>
                <w:rFonts w:hint="eastAsia" w:ascii="宋体" w:hAnsi="宋体" w:eastAsia="宋体" w:cs="宋体"/>
                <w:color w:val="auto"/>
                <w:sz w:val="21"/>
                <w:szCs w:val="21"/>
                <w:highlight w:val="none"/>
              </w:rPr>
            </w:pPr>
          </w:p>
        </w:tc>
        <w:tc>
          <w:tcPr>
            <w:tcW w:w="1290" w:type="dxa"/>
            <w:tcBorders>
              <w:top w:val="single" w:color="auto" w:sz="4" w:space="0"/>
              <w:left w:val="single" w:color="auto" w:sz="6" w:space="0"/>
              <w:bottom w:val="single" w:color="auto" w:sz="4" w:space="0"/>
              <w:right w:val="single" w:color="auto" w:sz="6" w:space="0"/>
            </w:tcBorders>
            <w:noWrap w:val="0"/>
            <w:vAlign w:val="top"/>
          </w:tcPr>
          <w:p w14:paraId="22E20720">
            <w:pPr>
              <w:jc w:val="center"/>
              <w:rPr>
                <w:rFonts w:hint="eastAsia" w:ascii="宋体" w:hAnsi="宋体" w:eastAsia="宋体" w:cs="宋体"/>
                <w:color w:val="auto"/>
                <w:sz w:val="21"/>
                <w:szCs w:val="21"/>
                <w:highlight w:val="none"/>
              </w:rPr>
            </w:pPr>
          </w:p>
        </w:tc>
        <w:tc>
          <w:tcPr>
            <w:tcW w:w="1476" w:type="dxa"/>
            <w:tcBorders>
              <w:top w:val="single" w:color="auto" w:sz="4" w:space="0"/>
              <w:left w:val="single" w:color="auto" w:sz="6" w:space="0"/>
              <w:bottom w:val="single" w:color="auto" w:sz="4" w:space="0"/>
              <w:right w:val="double" w:color="auto" w:sz="4" w:space="0"/>
            </w:tcBorders>
            <w:noWrap w:val="0"/>
            <w:vAlign w:val="top"/>
          </w:tcPr>
          <w:p w14:paraId="147C4796">
            <w:pPr>
              <w:jc w:val="center"/>
              <w:rPr>
                <w:rFonts w:hint="eastAsia" w:ascii="宋体" w:hAnsi="宋体" w:eastAsia="宋体" w:cs="宋体"/>
                <w:color w:val="auto"/>
                <w:sz w:val="21"/>
                <w:szCs w:val="21"/>
                <w:highlight w:val="none"/>
              </w:rPr>
            </w:pPr>
          </w:p>
        </w:tc>
      </w:tr>
      <w:tr w14:paraId="30C10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0" w:hRule="atLeast"/>
        </w:trPr>
        <w:tc>
          <w:tcPr>
            <w:tcW w:w="1228" w:type="dxa"/>
            <w:tcBorders>
              <w:top w:val="single" w:color="auto" w:sz="4" w:space="0"/>
              <w:left w:val="double" w:color="auto" w:sz="4" w:space="0"/>
              <w:bottom w:val="single" w:color="auto" w:sz="4" w:space="0"/>
              <w:right w:val="single" w:color="auto" w:sz="6" w:space="0"/>
            </w:tcBorders>
            <w:noWrap w:val="0"/>
            <w:vAlign w:val="top"/>
          </w:tcPr>
          <w:p w14:paraId="03D0B826">
            <w:pPr>
              <w:jc w:val="center"/>
              <w:rPr>
                <w:rFonts w:hint="eastAsia" w:ascii="宋体" w:hAnsi="宋体" w:eastAsia="宋体" w:cs="宋体"/>
                <w:color w:val="auto"/>
                <w:sz w:val="21"/>
                <w:szCs w:val="21"/>
                <w:highlight w:val="none"/>
              </w:rPr>
            </w:pPr>
          </w:p>
        </w:tc>
        <w:tc>
          <w:tcPr>
            <w:tcW w:w="2399" w:type="dxa"/>
            <w:tcBorders>
              <w:top w:val="single" w:color="auto" w:sz="4" w:space="0"/>
              <w:left w:val="single" w:color="auto" w:sz="6" w:space="0"/>
              <w:bottom w:val="single" w:color="auto" w:sz="4" w:space="0"/>
              <w:right w:val="single" w:color="auto" w:sz="6" w:space="0"/>
            </w:tcBorders>
            <w:noWrap w:val="0"/>
            <w:vAlign w:val="top"/>
          </w:tcPr>
          <w:p w14:paraId="00142D84">
            <w:pPr>
              <w:jc w:val="center"/>
              <w:rPr>
                <w:rFonts w:hint="eastAsia" w:ascii="宋体" w:hAnsi="宋体" w:eastAsia="宋体" w:cs="宋体"/>
                <w:color w:val="auto"/>
                <w:sz w:val="21"/>
                <w:szCs w:val="21"/>
                <w:highlight w:val="none"/>
              </w:rPr>
            </w:pPr>
          </w:p>
        </w:tc>
        <w:tc>
          <w:tcPr>
            <w:tcW w:w="2566" w:type="dxa"/>
            <w:tcBorders>
              <w:top w:val="single" w:color="auto" w:sz="4" w:space="0"/>
              <w:left w:val="single" w:color="auto" w:sz="6" w:space="0"/>
              <w:bottom w:val="single" w:color="auto" w:sz="4" w:space="0"/>
              <w:right w:val="single" w:color="auto" w:sz="6" w:space="0"/>
            </w:tcBorders>
            <w:noWrap w:val="0"/>
            <w:vAlign w:val="top"/>
          </w:tcPr>
          <w:p w14:paraId="0C3BF890">
            <w:pPr>
              <w:jc w:val="center"/>
              <w:rPr>
                <w:rFonts w:hint="eastAsia" w:ascii="宋体" w:hAnsi="宋体" w:eastAsia="宋体" w:cs="宋体"/>
                <w:color w:val="auto"/>
                <w:sz w:val="21"/>
                <w:szCs w:val="21"/>
                <w:highlight w:val="none"/>
              </w:rPr>
            </w:pPr>
          </w:p>
        </w:tc>
        <w:tc>
          <w:tcPr>
            <w:tcW w:w="1290" w:type="dxa"/>
            <w:tcBorders>
              <w:top w:val="single" w:color="auto" w:sz="4" w:space="0"/>
              <w:left w:val="single" w:color="auto" w:sz="6" w:space="0"/>
              <w:bottom w:val="single" w:color="auto" w:sz="4" w:space="0"/>
              <w:right w:val="single" w:color="auto" w:sz="6" w:space="0"/>
            </w:tcBorders>
            <w:noWrap w:val="0"/>
            <w:vAlign w:val="top"/>
          </w:tcPr>
          <w:p w14:paraId="71E81B81">
            <w:pPr>
              <w:jc w:val="center"/>
              <w:rPr>
                <w:rFonts w:hint="eastAsia" w:ascii="宋体" w:hAnsi="宋体" w:eastAsia="宋体" w:cs="宋体"/>
                <w:color w:val="auto"/>
                <w:sz w:val="21"/>
                <w:szCs w:val="21"/>
                <w:highlight w:val="none"/>
              </w:rPr>
            </w:pPr>
          </w:p>
        </w:tc>
        <w:tc>
          <w:tcPr>
            <w:tcW w:w="1476" w:type="dxa"/>
            <w:tcBorders>
              <w:top w:val="single" w:color="auto" w:sz="4" w:space="0"/>
              <w:left w:val="single" w:color="auto" w:sz="6" w:space="0"/>
              <w:bottom w:val="single" w:color="auto" w:sz="4" w:space="0"/>
              <w:right w:val="double" w:color="auto" w:sz="4" w:space="0"/>
            </w:tcBorders>
            <w:noWrap w:val="0"/>
            <w:vAlign w:val="top"/>
          </w:tcPr>
          <w:p w14:paraId="6B1F166E">
            <w:pPr>
              <w:jc w:val="center"/>
              <w:rPr>
                <w:rFonts w:hint="eastAsia" w:ascii="宋体" w:hAnsi="宋体" w:eastAsia="宋体" w:cs="宋体"/>
                <w:color w:val="auto"/>
                <w:sz w:val="21"/>
                <w:szCs w:val="21"/>
                <w:highlight w:val="none"/>
              </w:rPr>
            </w:pPr>
          </w:p>
        </w:tc>
      </w:tr>
      <w:tr w14:paraId="4B2D6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0" w:hRule="atLeast"/>
        </w:trPr>
        <w:tc>
          <w:tcPr>
            <w:tcW w:w="1228" w:type="dxa"/>
            <w:tcBorders>
              <w:top w:val="single" w:color="auto" w:sz="4" w:space="0"/>
              <w:left w:val="double" w:color="auto" w:sz="4" w:space="0"/>
              <w:bottom w:val="single" w:color="auto" w:sz="4" w:space="0"/>
              <w:right w:val="single" w:color="auto" w:sz="6" w:space="0"/>
            </w:tcBorders>
            <w:noWrap w:val="0"/>
            <w:vAlign w:val="top"/>
          </w:tcPr>
          <w:p w14:paraId="2123D669">
            <w:pPr>
              <w:jc w:val="center"/>
              <w:rPr>
                <w:rFonts w:hint="eastAsia" w:ascii="宋体" w:hAnsi="宋体" w:eastAsia="宋体" w:cs="宋体"/>
                <w:color w:val="auto"/>
                <w:sz w:val="21"/>
                <w:szCs w:val="21"/>
                <w:highlight w:val="none"/>
              </w:rPr>
            </w:pPr>
          </w:p>
        </w:tc>
        <w:tc>
          <w:tcPr>
            <w:tcW w:w="2399" w:type="dxa"/>
            <w:tcBorders>
              <w:top w:val="single" w:color="auto" w:sz="4" w:space="0"/>
              <w:left w:val="single" w:color="auto" w:sz="6" w:space="0"/>
              <w:bottom w:val="single" w:color="auto" w:sz="4" w:space="0"/>
              <w:right w:val="single" w:color="auto" w:sz="6" w:space="0"/>
            </w:tcBorders>
            <w:noWrap w:val="0"/>
            <w:vAlign w:val="top"/>
          </w:tcPr>
          <w:p w14:paraId="420458D4">
            <w:pPr>
              <w:jc w:val="center"/>
              <w:rPr>
                <w:rFonts w:hint="eastAsia" w:ascii="宋体" w:hAnsi="宋体" w:eastAsia="宋体" w:cs="宋体"/>
                <w:color w:val="auto"/>
                <w:sz w:val="21"/>
                <w:szCs w:val="21"/>
                <w:highlight w:val="none"/>
              </w:rPr>
            </w:pPr>
          </w:p>
        </w:tc>
        <w:tc>
          <w:tcPr>
            <w:tcW w:w="2566" w:type="dxa"/>
            <w:tcBorders>
              <w:top w:val="single" w:color="auto" w:sz="4" w:space="0"/>
              <w:left w:val="single" w:color="auto" w:sz="6" w:space="0"/>
              <w:bottom w:val="single" w:color="auto" w:sz="4" w:space="0"/>
              <w:right w:val="single" w:color="auto" w:sz="6" w:space="0"/>
            </w:tcBorders>
            <w:noWrap w:val="0"/>
            <w:vAlign w:val="top"/>
          </w:tcPr>
          <w:p w14:paraId="46E057BD">
            <w:pPr>
              <w:jc w:val="center"/>
              <w:rPr>
                <w:rFonts w:hint="eastAsia" w:ascii="宋体" w:hAnsi="宋体" w:eastAsia="宋体" w:cs="宋体"/>
                <w:color w:val="auto"/>
                <w:sz w:val="21"/>
                <w:szCs w:val="21"/>
                <w:highlight w:val="none"/>
              </w:rPr>
            </w:pPr>
          </w:p>
        </w:tc>
        <w:tc>
          <w:tcPr>
            <w:tcW w:w="1290" w:type="dxa"/>
            <w:tcBorders>
              <w:top w:val="single" w:color="auto" w:sz="4" w:space="0"/>
              <w:left w:val="single" w:color="auto" w:sz="6" w:space="0"/>
              <w:bottom w:val="single" w:color="auto" w:sz="4" w:space="0"/>
              <w:right w:val="single" w:color="auto" w:sz="6" w:space="0"/>
            </w:tcBorders>
            <w:noWrap w:val="0"/>
            <w:vAlign w:val="top"/>
          </w:tcPr>
          <w:p w14:paraId="1FEA9FFA">
            <w:pPr>
              <w:jc w:val="center"/>
              <w:rPr>
                <w:rFonts w:hint="eastAsia" w:ascii="宋体" w:hAnsi="宋体" w:eastAsia="宋体" w:cs="宋体"/>
                <w:color w:val="auto"/>
                <w:sz w:val="21"/>
                <w:szCs w:val="21"/>
                <w:highlight w:val="none"/>
              </w:rPr>
            </w:pPr>
          </w:p>
        </w:tc>
        <w:tc>
          <w:tcPr>
            <w:tcW w:w="1476" w:type="dxa"/>
            <w:tcBorders>
              <w:top w:val="single" w:color="auto" w:sz="4" w:space="0"/>
              <w:left w:val="single" w:color="auto" w:sz="6" w:space="0"/>
              <w:bottom w:val="single" w:color="auto" w:sz="4" w:space="0"/>
              <w:right w:val="double" w:color="auto" w:sz="4" w:space="0"/>
            </w:tcBorders>
            <w:noWrap w:val="0"/>
            <w:vAlign w:val="top"/>
          </w:tcPr>
          <w:p w14:paraId="14813468">
            <w:pPr>
              <w:jc w:val="center"/>
              <w:rPr>
                <w:rFonts w:hint="eastAsia" w:ascii="宋体" w:hAnsi="宋体" w:eastAsia="宋体" w:cs="宋体"/>
                <w:color w:val="auto"/>
                <w:sz w:val="21"/>
                <w:szCs w:val="21"/>
                <w:highlight w:val="none"/>
              </w:rPr>
            </w:pPr>
          </w:p>
        </w:tc>
      </w:tr>
      <w:tr w14:paraId="4032F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0" w:hRule="atLeast"/>
        </w:trPr>
        <w:tc>
          <w:tcPr>
            <w:tcW w:w="1228" w:type="dxa"/>
            <w:tcBorders>
              <w:top w:val="single" w:color="auto" w:sz="4" w:space="0"/>
              <w:left w:val="double" w:color="auto" w:sz="4" w:space="0"/>
              <w:bottom w:val="single" w:color="auto" w:sz="4" w:space="0"/>
              <w:right w:val="single" w:color="auto" w:sz="6" w:space="0"/>
            </w:tcBorders>
            <w:noWrap w:val="0"/>
            <w:vAlign w:val="top"/>
          </w:tcPr>
          <w:p w14:paraId="5B2D6FA2">
            <w:pPr>
              <w:jc w:val="center"/>
              <w:rPr>
                <w:rFonts w:hint="eastAsia" w:ascii="宋体" w:hAnsi="宋体" w:eastAsia="宋体" w:cs="宋体"/>
                <w:color w:val="auto"/>
                <w:sz w:val="21"/>
                <w:szCs w:val="21"/>
                <w:highlight w:val="none"/>
              </w:rPr>
            </w:pPr>
          </w:p>
        </w:tc>
        <w:tc>
          <w:tcPr>
            <w:tcW w:w="2399" w:type="dxa"/>
            <w:tcBorders>
              <w:top w:val="single" w:color="auto" w:sz="4" w:space="0"/>
              <w:left w:val="single" w:color="auto" w:sz="6" w:space="0"/>
              <w:bottom w:val="single" w:color="auto" w:sz="4" w:space="0"/>
              <w:right w:val="single" w:color="auto" w:sz="6" w:space="0"/>
            </w:tcBorders>
            <w:noWrap w:val="0"/>
            <w:vAlign w:val="top"/>
          </w:tcPr>
          <w:p w14:paraId="1DC7A74F">
            <w:pPr>
              <w:jc w:val="center"/>
              <w:rPr>
                <w:rFonts w:hint="eastAsia" w:ascii="宋体" w:hAnsi="宋体" w:eastAsia="宋体" w:cs="宋体"/>
                <w:color w:val="auto"/>
                <w:sz w:val="21"/>
                <w:szCs w:val="21"/>
                <w:highlight w:val="none"/>
              </w:rPr>
            </w:pPr>
          </w:p>
        </w:tc>
        <w:tc>
          <w:tcPr>
            <w:tcW w:w="2566" w:type="dxa"/>
            <w:tcBorders>
              <w:top w:val="single" w:color="auto" w:sz="4" w:space="0"/>
              <w:left w:val="single" w:color="auto" w:sz="6" w:space="0"/>
              <w:bottom w:val="single" w:color="auto" w:sz="4" w:space="0"/>
              <w:right w:val="single" w:color="auto" w:sz="6" w:space="0"/>
            </w:tcBorders>
            <w:noWrap w:val="0"/>
            <w:vAlign w:val="top"/>
          </w:tcPr>
          <w:p w14:paraId="427C81A7">
            <w:pPr>
              <w:jc w:val="center"/>
              <w:rPr>
                <w:rFonts w:hint="eastAsia" w:ascii="宋体" w:hAnsi="宋体" w:eastAsia="宋体" w:cs="宋体"/>
                <w:color w:val="auto"/>
                <w:sz w:val="21"/>
                <w:szCs w:val="21"/>
                <w:highlight w:val="none"/>
              </w:rPr>
            </w:pPr>
          </w:p>
        </w:tc>
        <w:tc>
          <w:tcPr>
            <w:tcW w:w="1290" w:type="dxa"/>
            <w:tcBorders>
              <w:top w:val="single" w:color="auto" w:sz="4" w:space="0"/>
              <w:left w:val="single" w:color="auto" w:sz="6" w:space="0"/>
              <w:bottom w:val="single" w:color="auto" w:sz="4" w:space="0"/>
              <w:right w:val="single" w:color="auto" w:sz="6" w:space="0"/>
            </w:tcBorders>
            <w:noWrap w:val="0"/>
            <w:vAlign w:val="top"/>
          </w:tcPr>
          <w:p w14:paraId="3A469CD1">
            <w:pPr>
              <w:jc w:val="center"/>
              <w:rPr>
                <w:rFonts w:hint="eastAsia" w:ascii="宋体" w:hAnsi="宋体" w:eastAsia="宋体" w:cs="宋体"/>
                <w:color w:val="auto"/>
                <w:sz w:val="21"/>
                <w:szCs w:val="21"/>
                <w:highlight w:val="none"/>
              </w:rPr>
            </w:pPr>
          </w:p>
        </w:tc>
        <w:tc>
          <w:tcPr>
            <w:tcW w:w="1476" w:type="dxa"/>
            <w:tcBorders>
              <w:top w:val="single" w:color="auto" w:sz="4" w:space="0"/>
              <w:left w:val="single" w:color="auto" w:sz="6" w:space="0"/>
              <w:bottom w:val="single" w:color="auto" w:sz="4" w:space="0"/>
              <w:right w:val="double" w:color="auto" w:sz="4" w:space="0"/>
            </w:tcBorders>
            <w:noWrap w:val="0"/>
            <w:vAlign w:val="top"/>
          </w:tcPr>
          <w:p w14:paraId="6EC1A71E">
            <w:pPr>
              <w:jc w:val="center"/>
              <w:rPr>
                <w:rFonts w:hint="eastAsia" w:ascii="宋体" w:hAnsi="宋体" w:eastAsia="宋体" w:cs="宋体"/>
                <w:color w:val="auto"/>
                <w:sz w:val="21"/>
                <w:szCs w:val="21"/>
                <w:highlight w:val="none"/>
              </w:rPr>
            </w:pPr>
          </w:p>
        </w:tc>
      </w:tr>
      <w:tr w14:paraId="29A28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0" w:hRule="atLeast"/>
        </w:trPr>
        <w:tc>
          <w:tcPr>
            <w:tcW w:w="1228" w:type="dxa"/>
            <w:tcBorders>
              <w:top w:val="single" w:color="auto" w:sz="4" w:space="0"/>
              <w:left w:val="double" w:color="auto" w:sz="4" w:space="0"/>
              <w:bottom w:val="double" w:color="auto" w:sz="4" w:space="0"/>
              <w:right w:val="single" w:color="auto" w:sz="6" w:space="0"/>
            </w:tcBorders>
            <w:noWrap w:val="0"/>
            <w:vAlign w:val="top"/>
          </w:tcPr>
          <w:p w14:paraId="37658247">
            <w:pPr>
              <w:jc w:val="center"/>
              <w:rPr>
                <w:rFonts w:hint="eastAsia" w:ascii="宋体" w:hAnsi="宋体" w:eastAsia="宋体" w:cs="宋体"/>
                <w:color w:val="auto"/>
                <w:sz w:val="21"/>
                <w:szCs w:val="21"/>
                <w:highlight w:val="none"/>
              </w:rPr>
            </w:pPr>
          </w:p>
        </w:tc>
        <w:tc>
          <w:tcPr>
            <w:tcW w:w="2399" w:type="dxa"/>
            <w:tcBorders>
              <w:top w:val="single" w:color="auto" w:sz="4" w:space="0"/>
              <w:left w:val="single" w:color="auto" w:sz="6" w:space="0"/>
              <w:bottom w:val="double" w:color="auto" w:sz="4" w:space="0"/>
              <w:right w:val="single" w:color="auto" w:sz="6" w:space="0"/>
            </w:tcBorders>
            <w:noWrap w:val="0"/>
            <w:vAlign w:val="top"/>
          </w:tcPr>
          <w:p w14:paraId="7C1E3741">
            <w:pPr>
              <w:jc w:val="center"/>
              <w:rPr>
                <w:rFonts w:hint="eastAsia" w:ascii="宋体" w:hAnsi="宋体" w:eastAsia="宋体" w:cs="宋体"/>
                <w:color w:val="auto"/>
                <w:sz w:val="21"/>
                <w:szCs w:val="21"/>
                <w:highlight w:val="none"/>
              </w:rPr>
            </w:pPr>
          </w:p>
        </w:tc>
        <w:tc>
          <w:tcPr>
            <w:tcW w:w="2566" w:type="dxa"/>
            <w:tcBorders>
              <w:top w:val="single" w:color="auto" w:sz="4" w:space="0"/>
              <w:left w:val="single" w:color="auto" w:sz="6" w:space="0"/>
              <w:bottom w:val="double" w:color="auto" w:sz="4" w:space="0"/>
              <w:right w:val="single" w:color="auto" w:sz="6" w:space="0"/>
            </w:tcBorders>
            <w:noWrap w:val="0"/>
            <w:vAlign w:val="top"/>
          </w:tcPr>
          <w:p w14:paraId="171843B8">
            <w:pPr>
              <w:jc w:val="center"/>
              <w:rPr>
                <w:rFonts w:hint="eastAsia" w:ascii="宋体" w:hAnsi="宋体" w:eastAsia="宋体" w:cs="宋体"/>
                <w:color w:val="auto"/>
                <w:sz w:val="21"/>
                <w:szCs w:val="21"/>
                <w:highlight w:val="none"/>
              </w:rPr>
            </w:pPr>
          </w:p>
        </w:tc>
        <w:tc>
          <w:tcPr>
            <w:tcW w:w="1290" w:type="dxa"/>
            <w:tcBorders>
              <w:top w:val="single" w:color="auto" w:sz="4" w:space="0"/>
              <w:left w:val="single" w:color="auto" w:sz="6" w:space="0"/>
              <w:bottom w:val="double" w:color="auto" w:sz="4" w:space="0"/>
              <w:right w:val="single" w:color="auto" w:sz="6" w:space="0"/>
            </w:tcBorders>
            <w:noWrap w:val="0"/>
            <w:vAlign w:val="top"/>
          </w:tcPr>
          <w:p w14:paraId="00552C79">
            <w:pPr>
              <w:jc w:val="center"/>
              <w:rPr>
                <w:rFonts w:hint="eastAsia" w:ascii="宋体" w:hAnsi="宋体" w:eastAsia="宋体" w:cs="宋体"/>
                <w:color w:val="auto"/>
                <w:sz w:val="21"/>
                <w:szCs w:val="21"/>
                <w:highlight w:val="none"/>
              </w:rPr>
            </w:pPr>
          </w:p>
        </w:tc>
        <w:tc>
          <w:tcPr>
            <w:tcW w:w="1476" w:type="dxa"/>
            <w:tcBorders>
              <w:top w:val="single" w:color="auto" w:sz="4" w:space="0"/>
              <w:left w:val="single" w:color="auto" w:sz="6" w:space="0"/>
              <w:bottom w:val="double" w:color="auto" w:sz="4" w:space="0"/>
              <w:right w:val="double" w:color="auto" w:sz="4" w:space="0"/>
            </w:tcBorders>
            <w:noWrap w:val="0"/>
            <w:vAlign w:val="top"/>
          </w:tcPr>
          <w:p w14:paraId="0E14F133">
            <w:pPr>
              <w:jc w:val="center"/>
              <w:rPr>
                <w:rFonts w:hint="eastAsia" w:ascii="宋体" w:hAnsi="宋体" w:eastAsia="宋体" w:cs="宋体"/>
                <w:color w:val="auto"/>
                <w:sz w:val="21"/>
                <w:szCs w:val="21"/>
                <w:highlight w:val="none"/>
              </w:rPr>
            </w:pPr>
          </w:p>
        </w:tc>
      </w:tr>
    </w:tbl>
    <w:p w14:paraId="50A8CC0A">
      <w:pPr>
        <w:jc w:val="left"/>
        <w:rPr>
          <w:rFonts w:hint="eastAsia" w:ascii="宋体" w:hAnsi="宋体" w:eastAsia="宋体" w:cs="宋体"/>
          <w:color w:val="auto"/>
          <w:sz w:val="21"/>
          <w:szCs w:val="21"/>
          <w:highlight w:val="none"/>
        </w:rPr>
      </w:pPr>
    </w:p>
    <w:p w14:paraId="3BFAE250">
      <w:pPr>
        <w:ind w:left="1560" w:hanging="1365" w:hangingChars="65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277BEB09">
      <w:pPr>
        <w:ind w:left="2"/>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应按照上述格式完成所有软件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硬件</w:t>
      </w:r>
      <w:r>
        <w:rPr>
          <w:rFonts w:hint="eastAsia" w:ascii="宋体" w:hAnsi="宋体" w:eastAsia="宋体" w:cs="宋体"/>
          <w:b w:val="0"/>
          <w:bCs w:val="0"/>
          <w:color w:val="auto"/>
          <w:sz w:val="21"/>
          <w:szCs w:val="21"/>
          <w:highlight w:val="none"/>
        </w:rPr>
        <w:t>规格响应描述。</w:t>
      </w:r>
    </w:p>
    <w:p w14:paraId="3A893D37">
      <w:pPr>
        <w:ind w:left="2"/>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2.招标规格指招标文件中的技术规格(参数),</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应按照招标文件中的内容逐条抄写。</w:t>
      </w:r>
    </w:p>
    <w:p w14:paraId="009FBCFA">
      <w:pPr>
        <w:ind w:left="2"/>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3.投标规格指投</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拟提供的投标软件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硬件</w:t>
      </w:r>
      <w:r>
        <w:rPr>
          <w:rFonts w:hint="eastAsia" w:ascii="宋体" w:hAnsi="宋体" w:eastAsia="宋体" w:cs="宋体"/>
          <w:b w:val="0"/>
          <w:bCs w:val="0"/>
          <w:color w:val="auto"/>
          <w:sz w:val="21"/>
          <w:szCs w:val="21"/>
          <w:highlight w:val="none"/>
        </w:rPr>
        <w:t>的功能及技术规格(参数),</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应逐条如实填写。</w:t>
      </w:r>
    </w:p>
    <w:p w14:paraId="391730EA">
      <w:pPr>
        <w:pStyle w:val="14"/>
        <w:rPr>
          <w:rFonts w:hint="eastAsia" w:ascii="宋体" w:hAnsi="宋体" w:eastAsia="宋体" w:cs="宋体"/>
          <w:color w:val="auto"/>
          <w:sz w:val="21"/>
          <w:szCs w:val="21"/>
          <w:highlight w:val="none"/>
        </w:rPr>
      </w:pPr>
    </w:p>
    <w:p w14:paraId="5723744D">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kern w:val="21"/>
          <w:sz w:val="21"/>
          <w:szCs w:val="21"/>
          <w:highlight w:val="none"/>
        </w:rPr>
      </w:pPr>
    </w:p>
    <w:p w14:paraId="1E6AAEB1">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供应商：</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（盖单位公章）</w:t>
      </w:r>
    </w:p>
    <w:p w14:paraId="792EF2DF">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kern w:val="21"/>
          <w:sz w:val="21"/>
          <w:szCs w:val="21"/>
          <w:highlight w:val="none"/>
        </w:rPr>
      </w:pPr>
    </w:p>
    <w:p w14:paraId="6EAED8A4">
      <w:pPr>
        <w:tabs>
          <w:tab w:val="left" w:pos="927"/>
        </w:tabs>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kern w:val="21"/>
          <w:sz w:val="21"/>
          <w:szCs w:val="21"/>
          <w:highlight w:val="none"/>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法定代表人或委托代理人：</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（签字或盖章）</w:t>
      </w:r>
    </w:p>
    <w:p w14:paraId="4C7AAFA9">
      <w:pPr>
        <w:tabs>
          <w:tab w:val="left" w:pos="927"/>
        </w:tabs>
        <w:snapToGrid w:val="0"/>
        <w:spacing w:before="0" w:beforeAutospacing="0" w:after="0" w:afterAutospacing="0" w:line="360" w:lineRule="auto"/>
        <w:ind w:firstLine="4200" w:firstLineChars="2000"/>
        <w:jc w:val="left"/>
        <w:textAlignment w:val="baseline"/>
        <w:rPr>
          <w:rFonts w:hint="eastAsia" w:ascii="宋体" w:hAnsi="宋体" w:eastAsia="宋体" w:cs="宋体"/>
          <w:b w:val="0"/>
          <w:i w:val="0"/>
          <w:caps w:val="0"/>
          <w:color w:val="auto"/>
          <w:spacing w:val="0"/>
          <w:w w:val="100"/>
          <w:kern w:val="21"/>
          <w:sz w:val="21"/>
          <w:szCs w:val="21"/>
          <w:highlight w:val="none"/>
        </w:rPr>
      </w:pPr>
    </w:p>
    <w:p w14:paraId="55D3992E">
      <w:pPr>
        <w:tabs>
          <w:tab w:val="left" w:pos="927"/>
        </w:tabs>
        <w:snapToGrid w:val="0"/>
        <w:spacing w:before="0" w:beforeAutospacing="0" w:after="0" w:afterAutospacing="0" w:line="360" w:lineRule="auto"/>
        <w:ind w:firstLine="4200" w:firstLineChars="2000"/>
        <w:jc w:val="left"/>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日 期：</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年</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月</w:t>
      </w:r>
      <w:r>
        <w:rPr>
          <w:rFonts w:hint="eastAsia" w:ascii="宋体" w:hAnsi="宋体" w:eastAsia="宋体" w:cs="宋体"/>
          <w:b w:val="0"/>
          <w:i w:val="0"/>
          <w:caps w:val="0"/>
          <w:color w:val="auto"/>
          <w:spacing w:val="0"/>
          <w:w w:val="100"/>
          <w:kern w:val="21"/>
          <w:sz w:val="21"/>
          <w:szCs w:val="21"/>
          <w:highlight w:val="none"/>
          <w:u w:val="single" w:color="000000"/>
          <w:lang w:val="en-US" w:eastAsia="zh-CN"/>
        </w:rPr>
        <w:t xml:space="preserve">      </w:t>
      </w:r>
      <w:r>
        <w:rPr>
          <w:rFonts w:hint="eastAsia" w:ascii="宋体" w:hAnsi="宋体" w:eastAsia="宋体" w:cs="宋体"/>
          <w:b w:val="0"/>
          <w:i w:val="0"/>
          <w:caps w:val="0"/>
          <w:color w:val="auto"/>
          <w:spacing w:val="0"/>
          <w:w w:val="100"/>
          <w:kern w:val="21"/>
          <w:sz w:val="21"/>
          <w:szCs w:val="21"/>
          <w:highlight w:val="none"/>
        </w:rPr>
        <w:t>日</w:t>
      </w:r>
    </w:p>
    <w:p w14:paraId="2D29ABCA">
      <w:pPr>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br w:type="page"/>
      </w:r>
    </w:p>
    <w:p w14:paraId="03E3152C">
      <w:pPr>
        <w:pStyle w:val="27"/>
        <w:rPr>
          <w:rFonts w:ascii="黑体" w:hAnsi="黑体" w:eastAsia="黑体"/>
          <w:color w:val="auto"/>
          <w:sz w:val="36"/>
          <w:szCs w:val="40"/>
        </w:rPr>
      </w:pPr>
      <w:r>
        <w:rPr>
          <w:rFonts w:hint="eastAsia" w:ascii="黑体" w:hAnsi="黑体" w:eastAsia="黑体"/>
          <w:color w:val="auto"/>
          <w:sz w:val="36"/>
          <w:szCs w:val="40"/>
        </w:rPr>
        <w:t>医技楼信息化专项建设项目功能参数及相</w:t>
      </w:r>
      <w:r>
        <w:rPr>
          <w:rFonts w:hint="eastAsia" w:ascii="黑体" w:hAnsi="黑体" w:eastAsia="黑体"/>
          <w:color w:val="auto"/>
          <w:sz w:val="36"/>
          <w:szCs w:val="40"/>
          <w:lang w:val="en-US" w:eastAsia="zh-CN"/>
        </w:rPr>
        <w:t>关</w:t>
      </w:r>
      <w:r>
        <w:rPr>
          <w:rFonts w:hint="eastAsia" w:ascii="黑体" w:hAnsi="黑体" w:eastAsia="黑体"/>
          <w:color w:val="auto"/>
          <w:sz w:val="36"/>
          <w:szCs w:val="40"/>
        </w:rPr>
        <w:t>要求</w:t>
      </w:r>
    </w:p>
    <w:p w14:paraId="740C4F1C">
      <w:pPr>
        <w:pStyle w:val="2"/>
        <w:numPr>
          <w:ilvl w:val="0"/>
          <w:numId w:val="0"/>
        </w:numPr>
        <w:tabs>
          <w:tab w:val="left" w:pos="5738"/>
        </w:tabs>
        <w:ind w:left="432" w:leftChars="0" w:hanging="432" w:firstLineChars="0"/>
        <w:jc w:val="center"/>
        <w:rPr>
          <w:rFonts w:hint="eastAsia" w:eastAsia="宋体"/>
          <w:color w:val="auto"/>
          <w:lang w:eastAsia="zh-CN"/>
        </w:rPr>
      </w:pPr>
      <w:r>
        <w:rPr>
          <w:rFonts w:hint="eastAsia" w:cs="Times New Roman"/>
          <w:b/>
          <w:bCs/>
          <w:color w:val="auto"/>
          <w:kern w:val="44"/>
          <w:sz w:val="32"/>
          <w:szCs w:val="32"/>
          <w:lang w:val="en-US" w:eastAsia="zh-CN" w:bidi="ar-SA"/>
        </w:rPr>
        <w:t>1</w:t>
      </w:r>
      <w:r>
        <w:rPr>
          <w:rFonts w:hint="eastAsia"/>
          <w:color w:val="auto"/>
        </w:rPr>
        <w:t>应用系统功能要求</w:t>
      </w:r>
    </w:p>
    <w:p w14:paraId="472BEEF6">
      <w:pPr>
        <w:pStyle w:val="4"/>
        <w:numPr>
          <w:ilvl w:val="1"/>
          <w:numId w:val="0"/>
        </w:numPr>
        <w:ind w:left="576" w:leftChars="0" w:hanging="576" w:firstLineChars="0"/>
        <w:rPr>
          <w:color w:val="auto"/>
        </w:rPr>
      </w:pPr>
      <w:bookmarkStart w:id="128" w:name="_Toc208646523"/>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w:t>
      </w:r>
      <w:r>
        <w:rPr>
          <w:rFonts w:hint="eastAsia"/>
          <w:color w:val="auto"/>
        </w:rPr>
        <w:t>医院管理信息系统（HIS）</w:t>
      </w:r>
      <w:bookmarkEnd w:id="128"/>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71CE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7B7B26C2">
            <w:pPr>
              <w:pStyle w:val="18"/>
              <w:jc w:val="center"/>
              <w:rPr>
                <w:b w:val="0"/>
                <w:color w:val="auto"/>
              </w:rPr>
            </w:pPr>
            <w:bookmarkStart w:id="129" w:name="_Hlk204099952"/>
            <w:r>
              <w:rPr>
                <w:rFonts w:hint="eastAsia"/>
                <w:b/>
                <w:color w:val="auto"/>
              </w:rPr>
              <w:t>系统名称</w:t>
            </w:r>
          </w:p>
        </w:tc>
        <w:tc>
          <w:tcPr>
            <w:tcW w:w="6579" w:type="dxa"/>
            <w:shd w:val="clear" w:color="auto" w:fill="BEBEBE" w:themeFill="background1" w:themeFillShade="BF"/>
            <w:vAlign w:val="center"/>
          </w:tcPr>
          <w:p w14:paraId="3E8AE70C">
            <w:pPr>
              <w:pStyle w:val="18"/>
              <w:rPr>
                <w:b/>
                <w:color w:val="auto"/>
              </w:rPr>
            </w:pPr>
            <w:r>
              <w:rPr>
                <w:rFonts w:hint="eastAsia"/>
                <w:b/>
                <w:color w:val="auto"/>
              </w:rPr>
              <w:t>医院管理信息系统（HIS）</w:t>
            </w:r>
          </w:p>
        </w:tc>
      </w:tr>
      <w:tr w14:paraId="0BB2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DF29433">
            <w:pPr>
              <w:pStyle w:val="18"/>
              <w:jc w:val="center"/>
              <w:rPr>
                <w:b/>
                <w:bCs/>
                <w:color w:val="auto"/>
              </w:rPr>
            </w:pPr>
            <w:r>
              <w:rPr>
                <w:rFonts w:hint="eastAsia"/>
                <w:b/>
                <w:bCs/>
                <w:color w:val="auto"/>
              </w:rPr>
              <w:t>系统概述</w:t>
            </w:r>
          </w:p>
        </w:tc>
        <w:tc>
          <w:tcPr>
            <w:tcW w:w="6579" w:type="dxa"/>
            <w:vAlign w:val="center"/>
          </w:tcPr>
          <w:p w14:paraId="7E2C3061">
            <w:pPr>
              <w:pStyle w:val="18"/>
              <w:rPr>
                <w:color w:val="auto"/>
              </w:rPr>
            </w:pPr>
            <w:r>
              <w:rPr>
                <w:rFonts w:hint="eastAsia"/>
                <w:color w:val="auto"/>
              </w:rPr>
              <w:t>需对标电子病历（智慧医疗）4级标准进行升级/重构和功能扩充，并实现与相关业务系统的对接，升级需保障医院历史数据的集成及业务的稳定衔接，需满足医院临床科室对信息化功能的应用需求。</w:t>
            </w:r>
          </w:p>
          <w:p w14:paraId="004900DD">
            <w:pPr>
              <w:pStyle w:val="18"/>
              <w:rPr>
                <w:color w:val="auto"/>
              </w:rPr>
            </w:pPr>
            <w:r>
              <w:rPr>
                <w:rFonts w:hint="eastAsia"/>
                <w:color w:val="auto"/>
              </w:rPr>
              <w:t>医院管理信息系统（HIS）覆盖整个医院职能部门，包含院办、财务科、药剂科、医务部、护理部以及医技科室等，系统需符合医院等级评审要求，帮助医院消除信息孤岛，提升患者服务水平、提高医护工作效率、增强医疗质量、降低运行成本，助力医院全面提升核心竞争力。</w:t>
            </w:r>
          </w:p>
        </w:tc>
      </w:tr>
      <w:tr w14:paraId="4FD7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4D88683">
            <w:pPr>
              <w:pStyle w:val="18"/>
              <w:jc w:val="center"/>
              <w:rPr>
                <w:b/>
                <w:color w:val="auto"/>
              </w:rPr>
            </w:pPr>
            <w:r>
              <w:rPr>
                <w:rFonts w:hint="eastAsia"/>
                <w:b/>
                <w:color w:val="auto"/>
              </w:rPr>
              <w:t>子项名称</w:t>
            </w:r>
          </w:p>
        </w:tc>
        <w:tc>
          <w:tcPr>
            <w:tcW w:w="6579" w:type="dxa"/>
            <w:vAlign w:val="center"/>
          </w:tcPr>
          <w:p w14:paraId="61AD490A">
            <w:pPr>
              <w:pStyle w:val="18"/>
              <w:jc w:val="center"/>
              <w:rPr>
                <w:b/>
                <w:color w:val="auto"/>
              </w:rPr>
            </w:pPr>
            <w:r>
              <w:rPr>
                <w:rFonts w:hint="eastAsia"/>
                <w:b/>
                <w:color w:val="auto"/>
              </w:rPr>
              <w:t>技术和功能配置要求</w:t>
            </w:r>
          </w:p>
        </w:tc>
      </w:tr>
      <w:tr w14:paraId="7770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7BAF6EA">
            <w:pPr>
              <w:pStyle w:val="18"/>
              <w:jc w:val="center"/>
              <w:rPr>
                <w:b w:val="0"/>
                <w:color w:val="auto"/>
              </w:rPr>
            </w:pPr>
            <w:r>
              <w:rPr>
                <w:rFonts w:hint="eastAsia"/>
                <w:b w:val="0"/>
                <w:color w:val="auto"/>
              </w:rPr>
              <w:t>物价管理</w:t>
            </w:r>
          </w:p>
        </w:tc>
        <w:tc>
          <w:tcPr>
            <w:tcW w:w="6579" w:type="dxa"/>
            <w:vAlign w:val="center"/>
          </w:tcPr>
          <w:p w14:paraId="4A9F3E95">
            <w:pPr>
              <w:pStyle w:val="18"/>
              <w:rPr>
                <w:color w:val="auto"/>
              </w:rPr>
            </w:pPr>
            <w:r>
              <w:rPr>
                <w:rFonts w:hint="eastAsia"/>
                <w:color w:val="auto"/>
              </w:rPr>
              <w:t>物价管理作为医院经营管理的重要组成部分，是医院费用收取的基础，使用物价管理子系统可以加强医院对物价的管理，完善价格监督机制，严格执行国家价格法规，合理的运用物价政策，为医生和患者提供优质的服务。</w:t>
            </w:r>
          </w:p>
          <w:p w14:paraId="5A30B038">
            <w:pPr>
              <w:pStyle w:val="18"/>
              <w:rPr>
                <w:color w:val="auto"/>
              </w:rPr>
            </w:pPr>
            <w:r>
              <w:rPr>
                <w:rFonts w:hint="eastAsia"/>
                <w:color w:val="auto"/>
              </w:rPr>
              <w:t>1.诊疗项目维护</w:t>
            </w:r>
          </w:p>
          <w:p w14:paraId="18E5493C">
            <w:pPr>
              <w:pStyle w:val="18"/>
              <w:rPr>
                <w:color w:val="auto"/>
              </w:rPr>
            </w:pPr>
            <w:r>
              <w:rPr>
                <w:rFonts w:hint="eastAsia"/>
                <w:color w:val="auto"/>
              </w:rPr>
              <w:t>实现对除药品外的检查，化验，材料，治疗等诊疗项目的维护，方便医生合理有效的为患者开立诊疗项目，提高患者接受诊疗的效率与体验。</w:t>
            </w:r>
          </w:p>
          <w:p w14:paraId="2F374410">
            <w:pPr>
              <w:pStyle w:val="18"/>
              <w:rPr>
                <w:color w:val="auto"/>
              </w:rPr>
            </w:pPr>
            <w:r>
              <w:rPr>
                <w:rFonts w:hint="eastAsia"/>
                <w:color w:val="auto"/>
              </w:rPr>
              <w:t>2.诊疗项目调价</w:t>
            </w:r>
          </w:p>
          <w:p w14:paraId="763AD54D">
            <w:pPr>
              <w:pStyle w:val="18"/>
              <w:rPr>
                <w:color w:val="auto"/>
              </w:rPr>
            </w:pPr>
            <w:r>
              <w:rPr>
                <w:rFonts w:hint="eastAsia"/>
                <w:color w:val="auto"/>
              </w:rPr>
              <w:t>医生可以使用全院价格的功能对诊疗项目进行价格调整，可以设置及时生效，定时生效等功能，多样化的实现对诊疗项目价格的管控，高效及时的完成价格调整，保障医院的效益。</w:t>
            </w:r>
          </w:p>
          <w:p w14:paraId="4A15F3B7">
            <w:pPr>
              <w:pStyle w:val="18"/>
              <w:rPr>
                <w:color w:val="auto"/>
              </w:rPr>
            </w:pPr>
            <w:r>
              <w:rPr>
                <w:rFonts w:hint="eastAsia"/>
                <w:color w:val="auto"/>
              </w:rPr>
              <w:t>3.复合项目维护</w:t>
            </w:r>
          </w:p>
          <w:p w14:paraId="4733A05A">
            <w:pPr>
              <w:pStyle w:val="18"/>
              <w:rPr>
                <w:color w:val="auto"/>
              </w:rPr>
            </w:pPr>
            <w:r>
              <w:rPr>
                <w:rFonts w:hint="eastAsia"/>
                <w:color w:val="auto"/>
              </w:rPr>
              <w:t>使用复合项目维护窗口，可以将普通诊疗项目进行多样化的组合，组成复合收费项进行计费和价格调整。例如肝功八项，可以参照当地的物价标准进行维护。</w:t>
            </w:r>
          </w:p>
          <w:p w14:paraId="229B739D">
            <w:pPr>
              <w:pStyle w:val="18"/>
              <w:rPr>
                <w:color w:val="auto"/>
              </w:rPr>
            </w:pPr>
            <w:r>
              <w:rPr>
                <w:rFonts w:hint="eastAsia"/>
                <w:color w:val="auto"/>
              </w:rPr>
              <w:t>4.费用组套维护</w:t>
            </w:r>
          </w:p>
          <w:p w14:paraId="40AF1C7C">
            <w:pPr>
              <w:pStyle w:val="18"/>
              <w:rPr>
                <w:color w:val="auto"/>
              </w:rPr>
            </w:pPr>
            <w:r>
              <w:rPr>
                <w:rFonts w:hint="eastAsia"/>
                <w:color w:val="auto"/>
              </w:rPr>
              <w:t>使用费用组套维护功能，可以维护全院，或者科室的收费组套，能够准确清楚的显示组套编码、价格明细等项目，方便收费员录入项目。</w:t>
            </w:r>
          </w:p>
          <w:p w14:paraId="18E4A1B5">
            <w:pPr>
              <w:pStyle w:val="18"/>
              <w:rPr>
                <w:color w:val="auto"/>
              </w:rPr>
            </w:pPr>
            <w:r>
              <w:rPr>
                <w:rFonts w:hint="eastAsia"/>
                <w:color w:val="auto"/>
              </w:rPr>
              <w:t>5.挂号费费用</w:t>
            </w:r>
          </w:p>
          <w:p w14:paraId="161C5C5F">
            <w:pPr>
              <w:pStyle w:val="18"/>
              <w:rPr>
                <w:color w:val="auto"/>
              </w:rPr>
            </w:pPr>
            <w:r>
              <w:rPr>
                <w:rFonts w:hint="eastAsia"/>
                <w:color w:val="auto"/>
              </w:rPr>
              <w:t>按照合同单位，显示并支持每个合同单位下的不同挂号级别的挂号费用的查看和调整。</w:t>
            </w:r>
          </w:p>
          <w:p w14:paraId="59106427">
            <w:pPr>
              <w:pStyle w:val="18"/>
              <w:rPr>
                <w:color w:val="auto"/>
              </w:rPr>
            </w:pPr>
            <w:r>
              <w:rPr>
                <w:rFonts w:hint="eastAsia"/>
                <w:color w:val="auto"/>
              </w:rPr>
              <w:t>6.合同单位维护</w:t>
            </w:r>
          </w:p>
          <w:p w14:paraId="64DF1C7C">
            <w:pPr>
              <w:pStyle w:val="18"/>
              <w:rPr>
                <w:color w:val="auto"/>
              </w:rPr>
            </w:pPr>
            <w:r>
              <w:rPr>
                <w:rFonts w:hint="eastAsia"/>
                <w:color w:val="auto"/>
              </w:rPr>
              <w:t>以功能的形式，展示可以进行维护的不同收费待遇合同单位的编码，可以显示和编辑合同单位的名称、编码等基本信息。</w:t>
            </w:r>
          </w:p>
          <w:p w14:paraId="5E54A599">
            <w:pPr>
              <w:pStyle w:val="18"/>
              <w:rPr>
                <w:color w:val="auto"/>
              </w:rPr>
            </w:pPr>
            <w:r>
              <w:rPr>
                <w:rFonts w:hint="eastAsia"/>
                <w:color w:val="auto"/>
              </w:rPr>
              <w:t>7.合同单位待遇维护</w:t>
            </w:r>
          </w:p>
          <w:p w14:paraId="7061D5A4">
            <w:pPr>
              <w:pStyle w:val="18"/>
              <w:rPr>
                <w:color w:val="auto"/>
              </w:rPr>
            </w:pPr>
            <w:r>
              <w:rPr>
                <w:rFonts w:hint="eastAsia"/>
                <w:color w:val="auto"/>
              </w:rPr>
              <w:t>可以对不同合同单位的基本待遇算法进行维护，详细展示各合同单位待遇明细，比如自费比例，统筹比例，报销上限等，如果待遇复杂可维护对应的待遇计算接口。</w:t>
            </w:r>
          </w:p>
          <w:p w14:paraId="744DE677">
            <w:pPr>
              <w:pStyle w:val="18"/>
              <w:rPr>
                <w:color w:val="auto"/>
              </w:rPr>
            </w:pPr>
            <w:r>
              <w:rPr>
                <w:rFonts w:hint="eastAsia"/>
                <w:color w:val="auto"/>
              </w:rPr>
              <w:t>8.固定费用维护</w:t>
            </w:r>
          </w:p>
          <w:p w14:paraId="6B8F6707">
            <w:pPr>
              <w:pStyle w:val="18"/>
              <w:rPr>
                <w:color w:val="auto"/>
              </w:rPr>
            </w:pPr>
            <w:r>
              <w:rPr>
                <w:rFonts w:hint="eastAsia"/>
                <w:color w:val="auto"/>
              </w:rPr>
              <w:t>主要用于维护某个床位级别下的需要自动收费的项目列表，可详细设置自动收费时间段，等详细属性，多元化的实现对固定费用项目的管理，方便管理人员的操作。</w:t>
            </w:r>
          </w:p>
        </w:tc>
      </w:tr>
      <w:bookmarkEnd w:id="129"/>
      <w:tr w14:paraId="5D1C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DDA4CBA">
            <w:pPr>
              <w:pStyle w:val="18"/>
              <w:jc w:val="center"/>
              <w:rPr>
                <w:b w:val="0"/>
                <w:color w:val="auto"/>
              </w:rPr>
            </w:pPr>
            <w:r>
              <w:rPr>
                <w:rFonts w:hint="eastAsia"/>
                <w:b w:val="0"/>
                <w:color w:val="auto"/>
              </w:rPr>
              <w:t>门急诊挂号</w:t>
            </w:r>
          </w:p>
        </w:tc>
        <w:tc>
          <w:tcPr>
            <w:tcW w:w="6579" w:type="dxa"/>
            <w:vAlign w:val="center"/>
          </w:tcPr>
          <w:p w14:paraId="2ABE3857">
            <w:pPr>
              <w:pStyle w:val="18"/>
              <w:rPr>
                <w:color w:val="auto"/>
              </w:rPr>
            </w:pPr>
            <w:r>
              <w:rPr>
                <w:rFonts w:hint="eastAsia"/>
                <w:color w:val="auto"/>
              </w:rPr>
              <w:t>门急诊挂号实现多种情况和类型病人的档案建立与办卡、预约挂号、窗口挂号、处理号表、统计和门诊病历处理等基本功能，可以直接面向门急诊病人进行服务，建立病人标识码，减少病人排队时间，提高挂号工作效率和服务质量。</w:t>
            </w:r>
          </w:p>
          <w:p w14:paraId="5E8420FE">
            <w:pPr>
              <w:pStyle w:val="18"/>
              <w:rPr>
                <w:color w:val="auto"/>
              </w:rPr>
            </w:pPr>
            <w:r>
              <w:rPr>
                <w:rFonts w:hint="eastAsia"/>
                <w:color w:val="auto"/>
              </w:rPr>
              <w:t>1.挂号功能</w:t>
            </w:r>
          </w:p>
          <w:p w14:paraId="0DF2A3BE">
            <w:pPr>
              <w:pStyle w:val="18"/>
              <w:rPr>
                <w:color w:val="auto"/>
              </w:rPr>
            </w:pPr>
            <w:r>
              <w:rPr>
                <w:rFonts w:hint="eastAsia"/>
                <w:color w:val="auto"/>
              </w:rPr>
              <w:t>挂号员根据病人请求快速选择诊别、科别、号别、医生等选项，生成挂号信息，打印挂号单，并产生就诊病人基本信息等。挂号功能支持医保、公费、自费等多种身份的病人挂号，同时支持多种支付方式</w:t>
            </w:r>
            <w:r>
              <w:rPr>
                <w:rFonts w:hint="eastAsia"/>
                <w:color w:val="auto"/>
                <w:lang w:eastAsia="zh-CN"/>
              </w:rPr>
              <w:t>，</w:t>
            </w:r>
            <w:r>
              <w:rPr>
                <w:rFonts w:hint="eastAsia"/>
                <w:color w:val="auto"/>
              </w:rPr>
              <w:t>具有“一号管多日”的功能。</w:t>
            </w:r>
          </w:p>
          <w:p w14:paraId="30805FFB">
            <w:pPr>
              <w:pStyle w:val="18"/>
              <w:rPr>
                <w:color w:val="auto"/>
              </w:rPr>
            </w:pPr>
            <w:r>
              <w:rPr>
                <w:rFonts w:hint="eastAsia"/>
                <w:color w:val="auto"/>
              </w:rPr>
              <w:t>2.退号处理</w:t>
            </w:r>
          </w:p>
          <w:p w14:paraId="47EEDD40">
            <w:pPr>
              <w:pStyle w:val="18"/>
              <w:rPr>
                <w:color w:val="auto"/>
              </w:rPr>
            </w:pPr>
            <w:r>
              <w:rPr>
                <w:rFonts w:hint="eastAsia"/>
                <w:color w:val="auto"/>
              </w:rPr>
              <w:t>可以通过输入病历号或者挂号发票号，显示对应的允许退号的有效挂号信息，完成病人退号；并能正确处理病人看病日期、午别、诊别、类别、号别以及应退费用和相关统计等功能，同时支持对已看诊号是否可退等权限的管理和维护。</w:t>
            </w:r>
          </w:p>
          <w:p w14:paraId="31AABB84">
            <w:pPr>
              <w:pStyle w:val="18"/>
              <w:rPr>
                <w:color w:val="auto"/>
              </w:rPr>
            </w:pPr>
            <w:r>
              <w:rPr>
                <w:rFonts w:hint="eastAsia"/>
                <w:color w:val="auto"/>
              </w:rPr>
              <w:t>3.换科功能</w:t>
            </w:r>
          </w:p>
          <w:p w14:paraId="7DE87391">
            <w:pPr>
              <w:pStyle w:val="18"/>
              <w:rPr>
                <w:color w:val="auto"/>
              </w:rPr>
            </w:pPr>
            <w:r>
              <w:rPr>
                <w:rFonts w:hint="eastAsia"/>
                <w:color w:val="auto"/>
              </w:rPr>
              <w:t>可以针对患者情况，对已经挂号的患者进行科室的更换，支持专家、专科号、普通号的换科功能。</w:t>
            </w:r>
          </w:p>
          <w:p w14:paraId="59A67FDB">
            <w:pPr>
              <w:pStyle w:val="18"/>
              <w:rPr>
                <w:color w:val="auto"/>
              </w:rPr>
            </w:pPr>
            <w:r>
              <w:rPr>
                <w:rFonts w:hint="eastAsia"/>
                <w:color w:val="auto"/>
              </w:rPr>
              <w:t>4.挂号日结</w:t>
            </w:r>
          </w:p>
          <w:p w14:paraId="6383C9E6">
            <w:pPr>
              <w:pStyle w:val="18"/>
              <w:rPr>
                <w:color w:val="auto"/>
              </w:rPr>
            </w:pPr>
            <w:r>
              <w:rPr>
                <w:rFonts w:hint="eastAsia"/>
                <w:color w:val="auto"/>
              </w:rPr>
              <w:t>按时间段完成日结功能，以列表等形式展示和统计当日挂号数量、类别等具体信息，并支持打印或补打出日报表。</w:t>
            </w:r>
          </w:p>
          <w:p w14:paraId="51E5787C">
            <w:pPr>
              <w:pStyle w:val="18"/>
              <w:rPr>
                <w:color w:val="auto"/>
              </w:rPr>
            </w:pPr>
            <w:r>
              <w:rPr>
                <w:rFonts w:hint="eastAsia"/>
                <w:color w:val="auto"/>
              </w:rPr>
              <w:t>5.其他功能</w:t>
            </w:r>
          </w:p>
          <w:p w14:paraId="6B4C1785">
            <w:pPr>
              <w:pStyle w:val="18"/>
              <w:rPr>
                <w:color w:val="auto"/>
              </w:rPr>
            </w:pPr>
            <w:r>
              <w:rPr>
                <w:rFonts w:hint="eastAsia"/>
                <w:color w:val="auto"/>
              </w:rPr>
              <w:t>门诊挂号子系统提供了多种挂号方式（包括简易挂号、完整挂号），支持医保、公费、自费、本院、合作单位多种身份的病人挂号，同时支持挂号费用结算及报表统计功能。</w:t>
            </w:r>
          </w:p>
          <w:p w14:paraId="612F276D">
            <w:pPr>
              <w:pStyle w:val="18"/>
              <w:rPr>
                <w:color w:val="auto"/>
              </w:rPr>
            </w:pPr>
            <w:r>
              <w:rPr>
                <w:rFonts w:hint="eastAsia"/>
                <w:color w:val="auto"/>
              </w:rPr>
              <w:t>支持专科和专家排班，有查询排班医生、科室排班、临时加号等功能，并且支持自定义排班模版，提升排班效率。</w:t>
            </w:r>
          </w:p>
          <w:p w14:paraId="69085FD4">
            <w:pPr>
              <w:pStyle w:val="18"/>
              <w:rPr>
                <w:color w:val="auto"/>
              </w:rPr>
            </w:pPr>
            <w:r>
              <w:rPr>
                <w:rFonts w:hint="eastAsia"/>
                <w:color w:val="auto"/>
              </w:rPr>
              <w:t>6.查询统计</w:t>
            </w:r>
          </w:p>
          <w:p w14:paraId="0151430D">
            <w:pPr>
              <w:pStyle w:val="18"/>
              <w:rPr>
                <w:color w:val="auto"/>
              </w:rPr>
            </w:pPr>
            <w:r>
              <w:rPr>
                <w:rFonts w:hint="eastAsia"/>
                <w:color w:val="auto"/>
              </w:rPr>
              <w:t>能完成挂号、退号、病人、科室、医师的挂号状况、医师出诊时间、科室挂号现状等查询，按科室、门诊工作量等多种条件统计的功能。</w:t>
            </w:r>
          </w:p>
          <w:p w14:paraId="258606F1">
            <w:pPr>
              <w:pStyle w:val="18"/>
              <w:rPr>
                <w:color w:val="auto"/>
              </w:rPr>
            </w:pPr>
            <w:r>
              <w:rPr>
                <w:rFonts w:hint="eastAsia"/>
                <w:color w:val="auto"/>
              </w:rPr>
              <w:t>7.基本信息维护</w:t>
            </w:r>
          </w:p>
          <w:p w14:paraId="21C50E64">
            <w:pPr>
              <w:pStyle w:val="18"/>
              <w:rPr>
                <w:color w:val="auto"/>
              </w:rPr>
            </w:pPr>
            <w:r>
              <w:rPr>
                <w:rFonts w:hint="eastAsia"/>
                <w:color w:val="auto"/>
              </w:rPr>
              <w:t>挂号员权限等信息维护的功能，可以维护如挂号员姓名、编号，可挂号的级别等信息。同时支持挂号患者基本信息修改和补充功能。</w:t>
            </w:r>
          </w:p>
          <w:p w14:paraId="1FC5D235">
            <w:pPr>
              <w:pStyle w:val="18"/>
              <w:rPr>
                <w:color w:val="auto"/>
              </w:rPr>
            </w:pPr>
            <w:r>
              <w:rPr>
                <w:rFonts w:hint="eastAsia"/>
                <w:color w:val="auto"/>
              </w:rPr>
              <w:t>8.预约挂号</w:t>
            </w:r>
          </w:p>
          <w:p w14:paraId="031DFC1C">
            <w:pPr>
              <w:pStyle w:val="18"/>
              <w:rPr>
                <w:color w:val="auto"/>
              </w:rPr>
            </w:pPr>
            <w:r>
              <w:rPr>
                <w:rFonts w:hint="eastAsia"/>
                <w:color w:val="auto"/>
              </w:rPr>
              <w:t>包含多种形式的预约挂号功能，如系统预约挂号，电话预约挂号、诊间预约挂号、预约取号等功能。</w:t>
            </w:r>
          </w:p>
          <w:p w14:paraId="305D6686">
            <w:pPr>
              <w:pStyle w:val="18"/>
              <w:rPr>
                <w:color w:val="auto"/>
              </w:rPr>
            </w:pPr>
            <w:r>
              <w:rPr>
                <w:rFonts w:hint="eastAsia"/>
                <w:color w:val="auto"/>
              </w:rPr>
              <w:t>9.挂号聚合支付</w:t>
            </w:r>
          </w:p>
          <w:p w14:paraId="0A32E230">
            <w:pPr>
              <w:pStyle w:val="18"/>
              <w:rPr>
                <w:color w:val="auto"/>
              </w:rPr>
            </w:pPr>
            <w:r>
              <w:rPr>
                <w:rFonts w:hint="eastAsia"/>
                <w:color w:val="auto"/>
              </w:rPr>
              <w:t>应用于在挂号中需要支付的功能，可以使用多种支付方式进行挂号费用的收取，有支付记录的存储与支付中出现的异常处理功能。</w:t>
            </w:r>
          </w:p>
        </w:tc>
      </w:tr>
      <w:tr w14:paraId="6C64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64A1608">
            <w:pPr>
              <w:pStyle w:val="18"/>
              <w:jc w:val="center"/>
              <w:rPr>
                <w:b w:val="0"/>
                <w:color w:val="auto"/>
              </w:rPr>
            </w:pPr>
            <w:r>
              <w:rPr>
                <w:rFonts w:hint="eastAsia"/>
                <w:b w:val="0"/>
                <w:color w:val="auto"/>
              </w:rPr>
              <w:t>门急诊收费</w:t>
            </w:r>
          </w:p>
        </w:tc>
        <w:tc>
          <w:tcPr>
            <w:tcW w:w="6579" w:type="dxa"/>
            <w:vAlign w:val="center"/>
          </w:tcPr>
          <w:p w14:paraId="333BEF66">
            <w:pPr>
              <w:pStyle w:val="18"/>
              <w:rPr>
                <w:color w:val="auto"/>
              </w:rPr>
            </w:pPr>
            <w:r>
              <w:rPr>
                <w:rFonts w:hint="eastAsia"/>
                <w:color w:val="auto"/>
              </w:rPr>
              <w:t>门急诊收费可以完成门诊病人划价收费工作，包含收费、退费发票打印等功能，向门诊药房传送处方信息，可以接收门诊划价系统和医生站医生录入的处方，操作员也可以对收费发票进行完善的跟踪管理，进行日结清单打印和发票的重打等。</w:t>
            </w:r>
          </w:p>
          <w:p w14:paraId="1D5BE244">
            <w:pPr>
              <w:pStyle w:val="18"/>
              <w:rPr>
                <w:color w:val="auto"/>
              </w:rPr>
            </w:pPr>
            <w:r>
              <w:rPr>
                <w:rFonts w:hint="eastAsia"/>
                <w:color w:val="auto"/>
              </w:rPr>
              <w:t>1.门诊收费、退费</w:t>
            </w:r>
          </w:p>
          <w:p w14:paraId="690405BF">
            <w:pPr>
              <w:pStyle w:val="18"/>
              <w:rPr>
                <w:color w:val="auto"/>
              </w:rPr>
            </w:pPr>
            <w:r>
              <w:rPr>
                <w:rFonts w:hint="eastAsia"/>
                <w:color w:val="auto"/>
              </w:rPr>
              <w:t>支持自动获取或直接录入收费信息（包括患者姓名、病历号、结算类别、医疗类别、医生编码，开处方科室名称、药品／诊疗项目名称、数量等），支持多种结算方式（自费、公费、医保等）、支持自动找零。银联接口等。</w:t>
            </w:r>
          </w:p>
          <w:p w14:paraId="5A5D4F52">
            <w:pPr>
              <w:pStyle w:val="18"/>
              <w:rPr>
                <w:color w:val="auto"/>
              </w:rPr>
            </w:pPr>
            <w:r>
              <w:rPr>
                <w:rFonts w:hint="eastAsia"/>
                <w:color w:val="auto"/>
              </w:rPr>
              <w:t>退费可以录入门诊发票号选择药品或非药品进行退费，同时也可以选择全部退费或者部分退费。</w:t>
            </w:r>
          </w:p>
          <w:p w14:paraId="48B8DBF3">
            <w:pPr>
              <w:pStyle w:val="18"/>
              <w:rPr>
                <w:color w:val="auto"/>
              </w:rPr>
            </w:pPr>
            <w:r>
              <w:rPr>
                <w:rFonts w:hint="eastAsia"/>
                <w:color w:val="auto"/>
              </w:rPr>
              <w:t>2.门诊发票重打</w:t>
            </w:r>
          </w:p>
          <w:p w14:paraId="76DAC6FA">
            <w:pPr>
              <w:pStyle w:val="18"/>
              <w:rPr>
                <w:color w:val="auto"/>
              </w:rPr>
            </w:pPr>
            <w:r>
              <w:rPr>
                <w:rFonts w:hint="eastAsia"/>
                <w:color w:val="auto"/>
              </w:rPr>
              <w:t>操作员可以通过输入发票号等方式进行详细的查询，并对已经录入的门诊发票号重新打印，将原发票作废处理。</w:t>
            </w:r>
          </w:p>
          <w:p w14:paraId="42104C85">
            <w:pPr>
              <w:pStyle w:val="18"/>
              <w:rPr>
                <w:color w:val="auto"/>
              </w:rPr>
            </w:pPr>
            <w:r>
              <w:rPr>
                <w:rFonts w:hint="eastAsia"/>
                <w:color w:val="auto"/>
              </w:rPr>
              <w:t>3.收费员日结算</w:t>
            </w:r>
          </w:p>
          <w:p w14:paraId="06547325">
            <w:pPr>
              <w:pStyle w:val="18"/>
              <w:rPr>
                <w:color w:val="auto"/>
              </w:rPr>
            </w:pPr>
            <w:r>
              <w:rPr>
                <w:rFonts w:hint="eastAsia"/>
                <w:color w:val="auto"/>
              </w:rPr>
              <w:t>支持收款员收费进行结存并打印日结报表，操作相对简便，可以对多种信息进行显示与维护。</w:t>
            </w:r>
          </w:p>
          <w:p w14:paraId="70D20A56">
            <w:pPr>
              <w:pStyle w:val="18"/>
              <w:rPr>
                <w:color w:val="auto"/>
              </w:rPr>
            </w:pPr>
            <w:r>
              <w:rPr>
                <w:rFonts w:hint="eastAsia"/>
                <w:color w:val="auto"/>
              </w:rPr>
              <w:t>4.其他功能</w:t>
            </w:r>
          </w:p>
          <w:p w14:paraId="44E3726A">
            <w:pPr>
              <w:pStyle w:val="18"/>
              <w:rPr>
                <w:color w:val="auto"/>
              </w:rPr>
            </w:pPr>
            <w:r>
              <w:rPr>
                <w:rFonts w:hint="eastAsia"/>
                <w:color w:val="auto"/>
              </w:rPr>
              <w:t>具有严格发票号管理（如使用发票号和机器生成号管理发票），支持日结功能，能灵活设置发票归集项，提供收费处输入药品时自动检测药房药品库存数量；支持记帐、公费、医保等多种结算方式，支持现金、微信、支付宝、银联等多种支付方式。</w:t>
            </w:r>
          </w:p>
          <w:p w14:paraId="64A91902">
            <w:pPr>
              <w:pStyle w:val="18"/>
              <w:rPr>
                <w:color w:val="auto"/>
              </w:rPr>
            </w:pPr>
            <w:r>
              <w:rPr>
                <w:rFonts w:hint="eastAsia"/>
                <w:color w:val="auto"/>
              </w:rPr>
              <w:t>5.查询统计</w:t>
            </w:r>
          </w:p>
          <w:p w14:paraId="46314D06">
            <w:pPr>
              <w:pStyle w:val="18"/>
              <w:rPr>
                <w:color w:val="auto"/>
              </w:rPr>
            </w:pPr>
            <w:r>
              <w:rPr>
                <w:rFonts w:hint="eastAsia"/>
                <w:color w:val="auto"/>
              </w:rPr>
              <w:t>提供收费员发票查询，收费员工作量统计，门诊收费分项查询等多种信息及项目的查询，提供挂号收费日结等多种信息的查询。</w:t>
            </w:r>
          </w:p>
        </w:tc>
      </w:tr>
      <w:tr w14:paraId="3F02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FBBBF3E">
            <w:pPr>
              <w:pStyle w:val="18"/>
              <w:jc w:val="center"/>
              <w:rPr>
                <w:b w:val="0"/>
                <w:color w:val="auto"/>
              </w:rPr>
            </w:pPr>
            <w:r>
              <w:rPr>
                <w:rFonts w:hint="eastAsia"/>
                <w:b w:val="0"/>
                <w:color w:val="auto"/>
              </w:rPr>
              <w:t>住院登记</w:t>
            </w:r>
          </w:p>
        </w:tc>
        <w:tc>
          <w:tcPr>
            <w:tcW w:w="6579" w:type="dxa"/>
            <w:vAlign w:val="center"/>
          </w:tcPr>
          <w:p w14:paraId="10A4ACD4">
            <w:pPr>
              <w:pStyle w:val="18"/>
              <w:rPr>
                <w:color w:val="auto"/>
              </w:rPr>
            </w:pPr>
            <w:r>
              <w:rPr>
                <w:rFonts w:hint="eastAsia"/>
                <w:color w:val="auto"/>
              </w:rPr>
              <w:t>住院登记包含基本患者信息的录入（支持信息自动带入和手动录入）与修改，患者住院预约审批、欠费患者查询、无费退院、等功能，能够实现对所有患者住院费用、警戒线等信息的维护与管理，实现出院登记与召回等多项功能。</w:t>
            </w:r>
          </w:p>
          <w:p w14:paraId="18870BDF">
            <w:pPr>
              <w:pStyle w:val="18"/>
              <w:rPr>
                <w:color w:val="auto"/>
              </w:rPr>
            </w:pPr>
            <w:r>
              <w:rPr>
                <w:rFonts w:hint="eastAsia"/>
                <w:color w:val="auto"/>
              </w:rPr>
              <w:t>1.入院登记</w:t>
            </w:r>
          </w:p>
          <w:p w14:paraId="0FDF2F19">
            <w:pPr>
              <w:pStyle w:val="18"/>
              <w:rPr>
                <w:color w:val="auto"/>
              </w:rPr>
            </w:pPr>
            <w:r>
              <w:rPr>
                <w:rFonts w:hint="eastAsia"/>
                <w:color w:val="auto"/>
              </w:rPr>
              <w:t>录入患者姓名、性别等基本信息，为患者办理入院登记。患者住院号可选择手工录入或系统自动生成，支持登记时收取住院预交金；患者姓名、性别等必填信息功能中已经用醒目颜色标注出来；支持住院处直接接诊流程（开关控制）；支持患者住院科室的修改（未被病房接诊）；支持患者登记同时录入担保信息，也可以在担保管理功能单独录入。</w:t>
            </w:r>
          </w:p>
          <w:p w14:paraId="001E97B2">
            <w:pPr>
              <w:pStyle w:val="18"/>
              <w:rPr>
                <w:color w:val="auto"/>
              </w:rPr>
            </w:pPr>
            <w:r>
              <w:rPr>
                <w:rFonts w:hint="eastAsia"/>
                <w:color w:val="auto"/>
              </w:rPr>
              <w:t>2.出院登记</w:t>
            </w:r>
          </w:p>
          <w:p w14:paraId="30AE3153">
            <w:pPr>
              <w:pStyle w:val="18"/>
              <w:rPr>
                <w:color w:val="auto"/>
              </w:rPr>
            </w:pPr>
            <w:r>
              <w:rPr>
                <w:rFonts w:hint="eastAsia"/>
                <w:color w:val="auto"/>
              </w:rPr>
              <w:t>支持住院处直接出院登记流程：录入患者住院号，为患者办理出院登记手续，患者的状态标记为“出院登记”。出院登记会停止患者的所有医嘱、床位费等日固定费用的滚动，所以建议在确认患者所有医嘱、费用等信息准确无误后，再为患者办理出院登记。</w:t>
            </w:r>
          </w:p>
          <w:p w14:paraId="25A716B2">
            <w:pPr>
              <w:pStyle w:val="18"/>
              <w:rPr>
                <w:color w:val="auto"/>
              </w:rPr>
            </w:pPr>
            <w:r>
              <w:rPr>
                <w:rFonts w:hint="eastAsia"/>
                <w:color w:val="auto"/>
              </w:rPr>
              <w:t>3.出院召回</w:t>
            </w:r>
          </w:p>
          <w:p w14:paraId="161E6EDA">
            <w:pPr>
              <w:pStyle w:val="18"/>
              <w:rPr>
                <w:color w:val="auto"/>
              </w:rPr>
            </w:pPr>
            <w:r>
              <w:rPr>
                <w:rFonts w:hint="eastAsia"/>
                <w:color w:val="auto"/>
              </w:rPr>
              <w:t>支持住院处出院召回操作。录入患者住院号，为患者进行出院召回。出院召回是出院登记的逆过程，患者的状态将从“出院登记”状态更新回“住院接诊”状态，注意此操作不会恢复患者长期医嘱，请相关医生注意。</w:t>
            </w:r>
          </w:p>
          <w:p w14:paraId="288F5FE9">
            <w:pPr>
              <w:pStyle w:val="18"/>
              <w:rPr>
                <w:color w:val="auto"/>
              </w:rPr>
            </w:pPr>
            <w:r>
              <w:rPr>
                <w:rFonts w:hint="eastAsia"/>
                <w:color w:val="auto"/>
              </w:rPr>
              <w:t>4.患者信息修改</w:t>
            </w:r>
          </w:p>
          <w:p w14:paraId="1F5F48C2">
            <w:pPr>
              <w:pStyle w:val="18"/>
              <w:rPr>
                <w:color w:val="auto"/>
              </w:rPr>
            </w:pPr>
            <w:r>
              <w:rPr>
                <w:rFonts w:hint="eastAsia"/>
                <w:color w:val="auto"/>
              </w:rPr>
              <w:t>录入患者住院号，检索患者的基本信息，供操作人修改。注意只能修改患者姓名、出生日期、民族、籍贯等基本信息，患者的结算方式、住院号、住院科室等信息是不可以在此修改的。</w:t>
            </w:r>
          </w:p>
          <w:p w14:paraId="25770F86">
            <w:pPr>
              <w:pStyle w:val="18"/>
              <w:rPr>
                <w:color w:val="auto"/>
              </w:rPr>
            </w:pPr>
            <w:r>
              <w:rPr>
                <w:rFonts w:hint="eastAsia"/>
                <w:color w:val="auto"/>
              </w:rPr>
              <w:t>5.无费退院</w:t>
            </w:r>
          </w:p>
          <w:p w14:paraId="639B415F">
            <w:pPr>
              <w:pStyle w:val="18"/>
              <w:rPr>
                <w:color w:val="auto"/>
              </w:rPr>
            </w:pPr>
            <w:r>
              <w:rPr>
                <w:rFonts w:hint="eastAsia"/>
                <w:color w:val="auto"/>
              </w:rPr>
              <w:t>录入患者住院号，为没有发生费用的患者办理无费退院。患者的费用总额、预交金必须是0才可办理无费退院。</w:t>
            </w:r>
          </w:p>
          <w:p w14:paraId="5627D478">
            <w:pPr>
              <w:pStyle w:val="18"/>
              <w:rPr>
                <w:color w:val="auto"/>
              </w:rPr>
            </w:pPr>
            <w:r>
              <w:rPr>
                <w:rFonts w:hint="eastAsia"/>
                <w:color w:val="auto"/>
              </w:rPr>
              <w:t>6.担保管理</w:t>
            </w:r>
          </w:p>
          <w:p w14:paraId="510EDC34">
            <w:pPr>
              <w:pStyle w:val="18"/>
              <w:rPr>
                <w:color w:val="auto"/>
              </w:rPr>
            </w:pPr>
            <w:r>
              <w:rPr>
                <w:rFonts w:hint="eastAsia"/>
                <w:color w:val="auto"/>
              </w:rPr>
              <w:t>支持担保金的收取、返还、补打等操作，支持担保信息查询。</w:t>
            </w:r>
          </w:p>
          <w:p w14:paraId="4222A436">
            <w:pPr>
              <w:pStyle w:val="18"/>
              <w:rPr>
                <w:color w:val="auto"/>
              </w:rPr>
            </w:pPr>
            <w:r>
              <w:rPr>
                <w:rFonts w:hint="eastAsia"/>
                <w:color w:val="auto"/>
              </w:rPr>
              <w:t>7.身份变更</w:t>
            </w:r>
          </w:p>
          <w:p w14:paraId="460285FB">
            <w:pPr>
              <w:pStyle w:val="18"/>
              <w:rPr>
                <w:color w:val="auto"/>
              </w:rPr>
            </w:pPr>
            <w:r>
              <w:rPr>
                <w:rFonts w:hint="eastAsia"/>
                <w:color w:val="auto"/>
              </w:rPr>
              <w:t>提供自费转医保、医保转自费、自费转公费、公费转自费等不同身份类别之间的变更。</w:t>
            </w:r>
          </w:p>
          <w:p w14:paraId="69DACA45">
            <w:pPr>
              <w:pStyle w:val="18"/>
              <w:rPr>
                <w:color w:val="auto"/>
              </w:rPr>
            </w:pPr>
            <w:r>
              <w:rPr>
                <w:rFonts w:hint="eastAsia"/>
                <w:color w:val="auto"/>
              </w:rPr>
              <w:t>8.查询</w:t>
            </w:r>
          </w:p>
          <w:p w14:paraId="098E9BFA">
            <w:pPr>
              <w:pStyle w:val="18"/>
              <w:rPr>
                <w:color w:val="auto"/>
              </w:rPr>
            </w:pPr>
            <w:r>
              <w:rPr>
                <w:rFonts w:hint="eastAsia"/>
                <w:color w:val="auto"/>
              </w:rPr>
              <w:t>根据手动录入或一键带入患者基本信息的方式，对入院患者进行详细的信息查询与管理，对已出院患者过往留存信息进行管理维护，在患者召回或再次入院时，自动更新患者信息。</w:t>
            </w:r>
          </w:p>
        </w:tc>
      </w:tr>
      <w:tr w14:paraId="59E9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B9B39CD">
            <w:pPr>
              <w:pStyle w:val="18"/>
              <w:jc w:val="center"/>
              <w:rPr>
                <w:b w:val="0"/>
                <w:color w:val="auto"/>
              </w:rPr>
            </w:pPr>
            <w:r>
              <w:rPr>
                <w:rFonts w:hint="eastAsia"/>
                <w:b w:val="0"/>
                <w:color w:val="auto"/>
              </w:rPr>
              <w:t>住院收费</w:t>
            </w:r>
          </w:p>
        </w:tc>
        <w:tc>
          <w:tcPr>
            <w:tcW w:w="6579" w:type="dxa"/>
            <w:vAlign w:val="center"/>
          </w:tcPr>
          <w:p w14:paraId="6D0542AA">
            <w:pPr>
              <w:pStyle w:val="18"/>
              <w:rPr>
                <w:color w:val="auto"/>
              </w:rPr>
            </w:pPr>
            <w:r>
              <w:rPr>
                <w:rFonts w:hint="eastAsia"/>
                <w:color w:val="auto"/>
              </w:rPr>
              <w:t>住院收费包含已入院患者药品、非药品以及其他项目费用的收取、返还、包括预交金管理、住院优惠减免等多项功能，可以对患者费用信息进行查询，打印催款单和费用日结清单等。</w:t>
            </w:r>
          </w:p>
          <w:p w14:paraId="7DDB61C0">
            <w:pPr>
              <w:pStyle w:val="18"/>
              <w:rPr>
                <w:color w:val="auto"/>
              </w:rPr>
            </w:pPr>
            <w:r>
              <w:rPr>
                <w:rFonts w:hint="eastAsia"/>
                <w:color w:val="auto"/>
              </w:rPr>
              <w:t>1.预交金管理</w:t>
            </w:r>
          </w:p>
          <w:p w14:paraId="6441F577">
            <w:pPr>
              <w:pStyle w:val="18"/>
              <w:rPr>
                <w:color w:val="auto"/>
              </w:rPr>
            </w:pPr>
            <w:r>
              <w:rPr>
                <w:rFonts w:hint="eastAsia"/>
                <w:color w:val="auto"/>
              </w:rPr>
              <w:t>可以通过住院号、科室和姓名等查询条件，一键查询并带入患者信息，显示患者预交金的数额，支付方式等具体信息，可以实现住院患者预交金的收取，返还，预交金发票补打等，收取支持多种支付方式，还可以打印预交金收据凭证。</w:t>
            </w:r>
          </w:p>
          <w:p w14:paraId="5172B3AA">
            <w:pPr>
              <w:pStyle w:val="18"/>
              <w:rPr>
                <w:color w:val="auto"/>
              </w:rPr>
            </w:pPr>
            <w:r>
              <w:rPr>
                <w:rFonts w:hint="eastAsia"/>
                <w:color w:val="auto"/>
              </w:rPr>
              <w:t>2.预交金日结算</w:t>
            </w:r>
          </w:p>
          <w:p w14:paraId="38636E01">
            <w:pPr>
              <w:pStyle w:val="18"/>
              <w:rPr>
                <w:color w:val="auto"/>
              </w:rPr>
            </w:pPr>
            <w:r>
              <w:rPr>
                <w:rFonts w:hint="eastAsia"/>
                <w:color w:val="auto"/>
              </w:rPr>
              <w:t>操作员在一键带入查询患者具体信息后，选择预交金日结并打印详细清单。</w:t>
            </w:r>
          </w:p>
          <w:p w14:paraId="597FEFC2">
            <w:pPr>
              <w:pStyle w:val="18"/>
              <w:rPr>
                <w:color w:val="auto"/>
              </w:rPr>
            </w:pPr>
            <w:r>
              <w:rPr>
                <w:rFonts w:hint="eastAsia"/>
                <w:color w:val="auto"/>
              </w:rPr>
              <w:t>3.非药品收费</w:t>
            </w:r>
          </w:p>
          <w:p w14:paraId="1C1DC5B0">
            <w:pPr>
              <w:pStyle w:val="18"/>
              <w:rPr>
                <w:color w:val="auto"/>
              </w:rPr>
            </w:pPr>
            <w:r>
              <w:rPr>
                <w:rFonts w:hint="eastAsia"/>
                <w:color w:val="auto"/>
              </w:rPr>
              <w:t>操作员手工输入住院患者所发生的费用，集成了单项费用录入、复合项目、组套项目费用录入功能等多种功能，为操作员提升了工作效率。</w:t>
            </w:r>
          </w:p>
          <w:p w14:paraId="3D35AD1B">
            <w:pPr>
              <w:pStyle w:val="18"/>
              <w:rPr>
                <w:color w:val="auto"/>
              </w:rPr>
            </w:pPr>
            <w:r>
              <w:rPr>
                <w:rFonts w:hint="eastAsia"/>
                <w:color w:val="auto"/>
              </w:rPr>
              <w:t>4.非药品退费</w:t>
            </w:r>
          </w:p>
          <w:p w14:paraId="4F3EB92D">
            <w:pPr>
              <w:pStyle w:val="18"/>
              <w:rPr>
                <w:color w:val="auto"/>
              </w:rPr>
            </w:pPr>
            <w:r>
              <w:rPr>
                <w:rFonts w:hint="eastAsia"/>
                <w:color w:val="auto"/>
              </w:rPr>
              <w:t>非药品退费功能可以实现手工操作的单项退费、复合退费等项目的一键退费，无需进行繁琐的确认与操作。</w:t>
            </w:r>
          </w:p>
          <w:p w14:paraId="3452E16B">
            <w:pPr>
              <w:pStyle w:val="18"/>
              <w:rPr>
                <w:color w:val="auto"/>
              </w:rPr>
            </w:pPr>
            <w:r>
              <w:rPr>
                <w:rFonts w:hint="eastAsia"/>
                <w:color w:val="auto"/>
              </w:rPr>
              <w:t>5.退费确认</w:t>
            </w:r>
          </w:p>
          <w:p w14:paraId="6A9E9930">
            <w:pPr>
              <w:pStyle w:val="18"/>
              <w:rPr>
                <w:color w:val="auto"/>
              </w:rPr>
            </w:pPr>
            <w:r>
              <w:rPr>
                <w:rFonts w:hint="eastAsia"/>
                <w:color w:val="auto"/>
              </w:rPr>
              <w:t>可以查询并显示当前患者需要退费的详细信息，例如项目名称、金额和时间等信息，对于退费申请进行退费审批确认。</w:t>
            </w:r>
          </w:p>
          <w:p w14:paraId="6167C60A">
            <w:pPr>
              <w:pStyle w:val="18"/>
              <w:rPr>
                <w:color w:val="auto"/>
              </w:rPr>
            </w:pPr>
            <w:r>
              <w:rPr>
                <w:rFonts w:hint="eastAsia"/>
                <w:color w:val="auto"/>
              </w:rPr>
              <w:t>6.催款单打印</w:t>
            </w:r>
          </w:p>
          <w:p w14:paraId="65255448">
            <w:pPr>
              <w:pStyle w:val="18"/>
              <w:rPr>
                <w:color w:val="auto"/>
              </w:rPr>
            </w:pPr>
            <w:r>
              <w:rPr>
                <w:rFonts w:hint="eastAsia"/>
                <w:color w:val="auto"/>
              </w:rPr>
              <w:t>能够对于当前住院剩余金额低于设置警戒线的患者进行详细信息的查询显示，能够一键打印催款单。</w:t>
            </w:r>
          </w:p>
          <w:p w14:paraId="641F4883">
            <w:pPr>
              <w:pStyle w:val="18"/>
              <w:rPr>
                <w:color w:val="auto"/>
              </w:rPr>
            </w:pPr>
            <w:r>
              <w:rPr>
                <w:rFonts w:hint="eastAsia"/>
                <w:color w:val="auto"/>
              </w:rPr>
              <w:t>7.欠费标准设置</w:t>
            </w:r>
          </w:p>
          <w:p w14:paraId="1F2DBB2F">
            <w:pPr>
              <w:pStyle w:val="18"/>
              <w:rPr>
                <w:color w:val="auto"/>
              </w:rPr>
            </w:pPr>
            <w:r>
              <w:rPr>
                <w:rFonts w:hint="eastAsia"/>
                <w:color w:val="auto"/>
              </w:rPr>
              <w:t>针对多种复杂欠费标准的情况，系统支持分别按全院，病区，科室，个人，合同单位等多种类型进行警戒线设置，可以方便操作员进行管理和维护。</w:t>
            </w:r>
          </w:p>
          <w:p w14:paraId="3872BBA3">
            <w:pPr>
              <w:pStyle w:val="18"/>
              <w:rPr>
                <w:color w:val="auto"/>
              </w:rPr>
            </w:pPr>
            <w:r>
              <w:rPr>
                <w:rFonts w:hint="eastAsia"/>
                <w:color w:val="auto"/>
              </w:rPr>
              <w:t>8.手工开封帐管理</w:t>
            </w:r>
          </w:p>
          <w:p w14:paraId="24953395">
            <w:pPr>
              <w:pStyle w:val="18"/>
              <w:rPr>
                <w:color w:val="auto"/>
              </w:rPr>
            </w:pPr>
            <w:r>
              <w:rPr>
                <w:rFonts w:hint="eastAsia"/>
                <w:color w:val="auto"/>
              </w:rPr>
              <w:t>对需要进行手工封账开账的患者，对有权限的操作员，系统支持按住院号进行单个在院患者手工开封帐操作，支持按科室进行批量患者手工开封帐操作。封帐的患者将不能进行费用操作</w:t>
            </w:r>
          </w:p>
          <w:p w14:paraId="0AE8AD07">
            <w:pPr>
              <w:pStyle w:val="18"/>
              <w:rPr>
                <w:color w:val="auto"/>
              </w:rPr>
            </w:pPr>
            <w:r>
              <w:rPr>
                <w:rFonts w:hint="eastAsia"/>
                <w:color w:val="auto"/>
              </w:rPr>
              <w:t>9.查询</w:t>
            </w:r>
          </w:p>
          <w:p w14:paraId="1B42AD7A">
            <w:pPr>
              <w:pStyle w:val="18"/>
              <w:rPr>
                <w:color w:val="auto"/>
              </w:rPr>
            </w:pPr>
            <w:r>
              <w:rPr>
                <w:rFonts w:hint="eastAsia"/>
                <w:color w:val="auto"/>
              </w:rPr>
              <w:t>系统支持多种类型多种形式的费用项目查询，包含：</w:t>
            </w:r>
          </w:p>
          <w:p w14:paraId="6805E32E">
            <w:pPr>
              <w:pStyle w:val="18"/>
              <w:rPr>
                <w:color w:val="auto"/>
              </w:rPr>
            </w:pPr>
            <w:r>
              <w:rPr>
                <w:rFonts w:hint="eastAsia"/>
                <w:color w:val="auto"/>
              </w:rPr>
              <w:t>预交金查询：可以查询患者预交金余额、支付方式、缴费次数和退费次数等详细信息。</w:t>
            </w:r>
          </w:p>
          <w:p w14:paraId="44E94EF3">
            <w:pPr>
              <w:pStyle w:val="18"/>
              <w:rPr>
                <w:color w:val="auto"/>
              </w:rPr>
            </w:pPr>
            <w:r>
              <w:rPr>
                <w:rFonts w:hint="eastAsia"/>
                <w:color w:val="auto"/>
              </w:rPr>
              <w:t>患者费用查询：查询当前患者产生费用的具体项目明细，包含药品、非药品、组套费用和其他特殊费用的金额、产生时间和科室等详细条目。</w:t>
            </w:r>
          </w:p>
          <w:p w14:paraId="4586A80E">
            <w:pPr>
              <w:pStyle w:val="18"/>
              <w:rPr>
                <w:color w:val="auto"/>
              </w:rPr>
            </w:pPr>
            <w:r>
              <w:rPr>
                <w:rFonts w:hint="eastAsia"/>
                <w:color w:val="auto"/>
              </w:rPr>
              <w:t>在院患者日清单：可以查询并打印在院患者日费用清单。</w:t>
            </w:r>
          </w:p>
        </w:tc>
      </w:tr>
      <w:tr w14:paraId="71D4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DD6A417">
            <w:pPr>
              <w:pStyle w:val="18"/>
              <w:jc w:val="center"/>
              <w:rPr>
                <w:b w:val="0"/>
                <w:color w:val="auto"/>
              </w:rPr>
            </w:pPr>
            <w:r>
              <w:rPr>
                <w:rFonts w:hint="eastAsia"/>
                <w:b w:val="0"/>
                <w:color w:val="auto"/>
              </w:rPr>
              <w:t>财务结算</w:t>
            </w:r>
          </w:p>
        </w:tc>
        <w:tc>
          <w:tcPr>
            <w:tcW w:w="6579" w:type="dxa"/>
            <w:vAlign w:val="center"/>
          </w:tcPr>
          <w:p w14:paraId="2E61F3E7">
            <w:pPr>
              <w:pStyle w:val="18"/>
              <w:rPr>
                <w:color w:val="auto"/>
              </w:rPr>
            </w:pPr>
            <w:r>
              <w:rPr>
                <w:rFonts w:hint="eastAsia"/>
                <w:color w:val="auto"/>
              </w:rPr>
              <w:t>财务结算包含医院门诊、住院处以及各科室详细收入整理统计，拥有发票开具、票号管理、发票回收和日结审核等功能，能够帮助医院完成日常财务管理，有效整合财务费用数据，提升了医院财务结算的效率和准确度，减少了人员成本和压力。</w:t>
            </w:r>
          </w:p>
          <w:p w14:paraId="7ED6ADF8">
            <w:pPr>
              <w:pStyle w:val="18"/>
              <w:rPr>
                <w:color w:val="auto"/>
              </w:rPr>
            </w:pPr>
            <w:r>
              <w:rPr>
                <w:rFonts w:hint="eastAsia"/>
                <w:color w:val="auto"/>
              </w:rPr>
              <w:t>1.发票领用</w:t>
            </w:r>
          </w:p>
          <w:p w14:paraId="0CDD071F">
            <w:pPr>
              <w:pStyle w:val="18"/>
              <w:rPr>
                <w:color w:val="auto"/>
              </w:rPr>
            </w:pPr>
            <w:r>
              <w:rPr>
                <w:rFonts w:hint="eastAsia"/>
                <w:color w:val="auto"/>
              </w:rPr>
              <w:t>系统支持发票号与机器流水号双号管理，发票领用可以使用自定义号段，支持开具增值税专用发票、普票等类型发票开具，可以按个人领用，同时支持发票重打、清单打印等功能。</w:t>
            </w:r>
          </w:p>
          <w:p w14:paraId="1666E5D7">
            <w:pPr>
              <w:pStyle w:val="18"/>
              <w:rPr>
                <w:color w:val="auto"/>
              </w:rPr>
            </w:pPr>
            <w:r>
              <w:rPr>
                <w:rFonts w:hint="eastAsia"/>
                <w:color w:val="auto"/>
              </w:rPr>
              <w:t>2.发票回收管理</w:t>
            </w:r>
          </w:p>
          <w:p w14:paraId="048C17B7">
            <w:pPr>
              <w:pStyle w:val="18"/>
              <w:rPr>
                <w:color w:val="auto"/>
              </w:rPr>
            </w:pPr>
            <w:r>
              <w:rPr>
                <w:rFonts w:hint="eastAsia"/>
                <w:color w:val="auto"/>
              </w:rPr>
              <w:t>系统支持按照发票号或流水号进行查询管理，并显示是否支持重打等详细信息，可以对操作员未使用的号段进行回收。</w:t>
            </w:r>
          </w:p>
          <w:p w14:paraId="0D767A36">
            <w:pPr>
              <w:pStyle w:val="18"/>
              <w:rPr>
                <w:color w:val="auto"/>
              </w:rPr>
            </w:pPr>
            <w:r>
              <w:rPr>
                <w:rFonts w:hint="eastAsia"/>
                <w:color w:val="auto"/>
              </w:rPr>
              <w:t>3.日结审核管理</w:t>
            </w:r>
          </w:p>
          <w:p w14:paraId="153B1BF9">
            <w:pPr>
              <w:pStyle w:val="18"/>
              <w:rPr>
                <w:color w:val="auto"/>
              </w:rPr>
            </w:pPr>
            <w:r>
              <w:rPr>
                <w:rFonts w:hint="eastAsia"/>
                <w:color w:val="auto"/>
              </w:rPr>
              <w:t>可以按照操作员信息对的日结数据进行查询显示，对选定的日结信息进行审核。</w:t>
            </w:r>
          </w:p>
          <w:p w14:paraId="17ACD555">
            <w:pPr>
              <w:pStyle w:val="18"/>
              <w:rPr>
                <w:color w:val="auto"/>
              </w:rPr>
            </w:pPr>
            <w:r>
              <w:rPr>
                <w:rFonts w:hint="eastAsia"/>
                <w:color w:val="auto"/>
              </w:rPr>
              <w:t>4.统计大类维护</w:t>
            </w:r>
          </w:p>
          <w:p w14:paraId="5C80E85B">
            <w:pPr>
              <w:pStyle w:val="18"/>
              <w:rPr>
                <w:color w:val="auto"/>
              </w:rPr>
            </w:pPr>
            <w:r>
              <w:rPr>
                <w:rFonts w:hint="eastAsia"/>
                <w:color w:val="auto"/>
              </w:rPr>
              <w:t>系统支持维护门诊发票和最小费用的对应关系、维护住院发票和最小费用的对应关系、维护病案和最小费用对应关系、维护自定归类统计与最小费用关系，同时包含门诊发票打印使用、住院发票打印使用、病案首页打印使用、自定义归类查询等多种维护功能。</w:t>
            </w:r>
          </w:p>
          <w:p w14:paraId="585EDA07">
            <w:pPr>
              <w:pStyle w:val="18"/>
              <w:rPr>
                <w:color w:val="auto"/>
              </w:rPr>
            </w:pPr>
            <w:r>
              <w:rPr>
                <w:rFonts w:hint="eastAsia"/>
                <w:color w:val="auto"/>
              </w:rPr>
              <w:t>5.发票调号管理</w:t>
            </w:r>
          </w:p>
          <w:p w14:paraId="49DF18C2">
            <w:pPr>
              <w:pStyle w:val="18"/>
              <w:rPr>
                <w:color w:val="auto"/>
              </w:rPr>
            </w:pPr>
            <w:r>
              <w:rPr>
                <w:rFonts w:hint="eastAsia"/>
                <w:color w:val="auto"/>
              </w:rPr>
              <w:t>按照操作员进行查询显示并指定在用号段，可以按发票类型指定当前使用号，并进行日志记录，支持日志的查询统计。</w:t>
            </w:r>
          </w:p>
          <w:p w14:paraId="0EC598A1">
            <w:pPr>
              <w:pStyle w:val="18"/>
              <w:rPr>
                <w:color w:val="auto"/>
              </w:rPr>
            </w:pPr>
            <w:r>
              <w:rPr>
                <w:rFonts w:hint="eastAsia"/>
                <w:color w:val="auto"/>
              </w:rPr>
              <w:t>6.查询统计</w:t>
            </w:r>
          </w:p>
          <w:p w14:paraId="4D7D1D46">
            <w:pPr>
              <w:pStyle w:val="18"/>
              <w:rPr>
                <w:color w:val="auto"/>
              </w:rPr>
            </w:pPr>
            <w:r>
              <w:rPr>
                <w:rFonts w:hint="eastAsia"/>
                <w:color w:val="auto"/>
              </w:rPr>
              <w:t>门诊收费分项统计：支持查询和统计详细的门诊收费项目名称、金额、合计信息。</w:t>
            </w:r>
          </w:p>
          <w:p w14:paraId="53D8D687">
            <w:pPr>
              <w:pStyle w:val="18"/>
              <w:rPr>
                <w:color w:val="auto"/>
              </w:rPr>
            </w:pPr>
            <w:r>
              <w:rPr>
                <w:rFonts w:hint="eastAsia"/>
                <w:color w:val="auto"/>
              </w:rPr>
              <w:t>门诊各科收入统计(月报)：支持查询和统计门诊各科室名称、统计类别、合计信息，支持门诊各科收入统计查询。。</w:t>
            </w:r>
          </w:p>
          <w:p w14:paraId="40AAD98D">
            <w:pPr>
              <w:pStyle w:val="18"/>
              <w:rPr>
                <w:color w:val="auto"/>
              </w:rPr>
            </w:pPr>
            <w:r>
              <w:rPr>
                <w:rFonts w:hint="eastAsia"/>
                <w:color w:val="auto"/>
              </w:rPr>
              <w:t>科室挂号收入汇总：支持查询和统计科室名称、挂号级别、挂号人数、收费总计、合计信息。</w:t>
            </w:r>
          </w:p>
          <w:p w14:paraId="7568CE43">
            <w:pPr>
              <w:pStyle w:val="18"/>
              <w:rPr>
                <w:color w:val="auto"/>
              </w:rPr>
            </w:pPr>
            <w:r>
              <w:rPr>
                <w:rFonts w:hint="eastAsia"/>
                <w:color w:val="auto"/>
              </w:rPr>
              <w:t>住院收费分项统计：支持查询和统计住院收费项目名称、金额、合计信息。</w:t>
            </w:r>
          </w:p>
          <w:p w14:paraId="50BDCA96">
            <w:pPr>
              <w:pStyle w:val="18"/>
              <w:rPr>
                <w:color w:val="auto"/>
              </w:rPr>
            </w:pPr>
            <w:r>
              <w:rPr>
                <w:rFonts w:hint="eastAsia"/>
                <w:color w:val="auto"/>
              </w:rPr>
              <w:t>结算发票查询：支持查询统计结算患者发票及明细。</w:t>
            </w:r>
          </w:p>
          <w:p w14:paraId="1C11CC36">
            <w:pPr>
              <w:pStyle w:val="18"/>
              <w:rPr>
                <w:color w:val="auto"/>
              </w:rPr>
            </w:pPr>
            <w:r>
              <w:rPr>
                <w:rFonts w:hint="eastAsia"/>
                <w:color w:val="auto"/>
              </w:rPr>
              <w:t>住院科室收入统计：支持查询统计住院各科室本科室患者的各项收费合计。</w:t>
            </w:r>
          </w:p>
        </w:tc>
      </w:tr>
      <w:tr w14:paraId="39D6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E153EAF">
            <w:pPr>
              <w:pStyle w:val="18"/>
              <w:jc w:val="center"/>
              <w:rPr>
                <w:b w:val="0"/>
                <w:color w:val="auto"/>
              </w:rPr>
            </w:pPr>
            <w:r>
              <w:rPr>
                <w:rFonts w:hint="eastAsia"/>
                <w:b w:val="0"/>
                <w:color w:val="auto"/>
              </w:rPr>
              <w:t>住院结算</w:t>
            </w:r>
          </w:p>
        </w:tc>
        <w:tc>
          <w:tcPr>
            <w:tcW w:w="6579" w:type="dxa"/>
            <w:vAlign w:val="center"/>
          </w:tcPr>
          <w:p w14:paraId="4012AE8B">
            <w:pPr>
              <w:pStyle w:val="18"/>
              <w:rPr>
                <w:color w:val="auto"/>
              </w:rPr>
            </w:pPr>
            <w:r>
              <w:rPr>
                <w:rFonts w:hint="eastAsia"/>
                <w:color w:val="auto"/>
              </w:rPr>
              <w:t>住院结算包含出院结算、中途结算、欠费结算、结算召回等多种结算和统计功能，能够对在院患者和已出院患者信息的整合统计，支持多情景、多阶段的结算功能，同时支持收据和清单的打印。需支持床旁结算。</w:t>
            </w:r>
          </w:p>
          <w:p w14:paraId="27BEE4C9">
            <w:pPr>
              <w:pStyle w:val="18"/>
              <w:rPr>
                <w:color w:val="auto"/>
              </w:rPr>
            </w:pPr>
            <w:r>
              <w:rPr>
                <w:rFonts w:hint="eastAsia"/>
                <w:color w:val="auto"/>
              </w:rPr>
              <w:t>1.中途结算</w:t>
            </w:r>
          </w:p>
          <w:p w14:paraId="615BC823">
            <w:pPr>
              <w:pStyle w:val="18"/>
              <w:rPr>
                <w:color w:val="auto"/>
              </w:rPr>
            </w:pPr>
            <w:r>
              <w:rPr>
                <w:rFonts w:hint="eastAsia"/>
                <w:color w:val="auto"/>
              </w:rPr>
              <w:t>通过住院号一键带入患者信息，可以查询显示患者目前所有费用科目及款项，支持患者住院中，阶段性的结算，可以调取收费接口，以多种支付方式进行结算，并打印结算收据，同时支持手工定额结算，提升结算操作性。</w:t>
            </w:r>
          </w:p>
          <w:p w14:paraId="1919CDBE">
            <w:pPr>
              <w:pStyle w:val="18"/>
              <w:rPr>
                <w:color w:val="auto"/>
              </w:rPr>
            </w:pPr>
            <w:r>
              <w:rPr>
                <w:rFonts w:hint="eastAsia"/>
                <w:color w:val="auto"/>
              </w:rPr>
              <w:t>2.出院结算</w:t>
            </w:r>
          </w:p>
          <w:p w14:paraId="0DF6C280">
            <w:pPr>
              <w:pStyle w:val="18"/>
              <w:rPr>
                <w:color w:val="auto"/>
              </w:rPr>
            </w:pPr>
            <w:r>
              <w:rPr>
                <w:rFonts w:hint="eastAsia"/>
                <w:color w:val="auto"/>
              </w:rPr>
              <w:t>通过住院号一键带入患者信息，显示当前患者所有收费项目明细，可以调用经过审核的住院减免信息，支持银联、储值卡和医保等多种收费方式，实现患者的结算，并打印结算收据。</w:t>
            </w:r>
          </w:p>
          <w:p w14:paraId="4E905F1F">
            <w:pPr>
              <w:pStyle w:val="18"/>
              <w:rPr>
                <w:color w:val="auto"/>
              </w:rPr>
            </w:pPr>
            <w:r>
              <w:rPr>
                <w:rFonts w:hint="eastAsia"/>
                <w:color w:val="auto"/>
              </w:rPr>
              <w:t>3.欠费结算</w:t>
            </w:r>
          </w:p>
          <w:p w14:paraId="139E1210">
            <w:pPr>
              <w:pStyle w:val="18"/>
              <w:rPr>
                <w:color w:val="auto"/>
              </w:rPr>
            </w:pPr>
            <w:r>
              <w:rPr>
                <w:rFonts w:hint="eastAsia"/>
                <w:color w:val="auto"/>
              </w:rPr>
              <w:t>系统支持对患者进行欠费结算，可以查询并维护欠费患者信息，同时保留打印票据功能。</w:t>
            </w:r>
          </w:p>
          <w:p w14:paraId="3227B592">
            <w:pPr>
              <w:pStyle w:val="18"/>
              <w:rPr>
                <w:color w:val="auto"/>
              </w:rPr>
            </w:pPr>
            <w:r>
              <w:rPr>
                <w:rFonts w:hint="eastAsia"/>
                <w:color w:val="auto"/>
              </w:rPr>
              <w:t>4.结算召回</w:t>
            </w:r>
          </w:p>
          <w:p w14:paraId="386D8000">
            <w:pPr>
              <w:pStyle w:val="18"/>
              <w:rPr>
                <w:color w:val="auto"/>
              </w:rPr>
            </w:pPr>
            <w:r>
              <w:rPr>
                <w:rFonts w:hint="eastAsia"/>
                <w:color w:val="auto"/>
              </w:rPr>
              <w:t>对已经进行中途结算、出院结算和欠费结算的患者进行取消结算，按照票据号码查询之前结算信息，待操作员进行召回操作后，对返还金额进行记录保存。</w:t>
            </w:r>
          </w:p>
          <w:p w14:paraId="5BD4514C">
            <w:pPr>
              <w:pStyle w:val="18"/>
              <w:rPr>
                <w:color w:val="auto"/>
              </w:rPr>
            </w:pPr>
            <w:r>
              <w:rPr>
                <w:rFonts w:hint="eastAsia"/>
                <w:color w:val="auto"/>
              </w:rPr>
              <w:t>5.操作员日结</w:t>
            </w:r>
          </w:p>
          <w:p w14:paraId="7B3FAD84">
            <w:pPr>
              <w:pStyle w:val="18"/>
              <w:rPr>
                <w:color w:val="auto"/>
              </w:rPr>
            </w:pPr>
            <w:r>
              <w:rPr>
                <w:rFonts w:hint="eastAsia"/>
                <w:color w:val="auto"/>
              </w:rPr>
              <w:t>包括预交金在院病人各项费用、出院病人结账和退款等统计汇总。</w:t>
            </w:r>
          </w:p>
          <w:p w14:paraId="54F0AA25">
            <w:pPr>
              <w:pStyle w:val="18"/>
              <w:rPr>
                <w:color w:val="auto"/>
              </w:rPr>
            </w:pPr>
            <w:r>
              <w:rPr>
                <w:rFonts w:hint="eastAsia"/>
                <w:color w:val="auto"/>
              </w:rPr>
              <w:t>6.床旁结算</w:t>
            </w:r>
          </w:p>
          <w:p w14:paraId="2FBC3DC3">
            <w:pPr>
              <w:pStyle w:val="18"/>
              <w:rPr>
                <w:color w:val="auto"/>
              </w:rPr>
            </w:pPr>
            <w:r>
              <w:rPr>
                <w:rFonts w:hint="eastAsia"/>
                <w:color w:val="auto"/>
              </w:rPr>
              <w:t>需实现患者床旁结算。</w:t>
            </w:r>
          </w:p>
          <w:p w14:paraId="639A2007">
            <w:pPr>
              <w:pStyle w:val="18"/>
              <w:rPr>
                <w:color w:val="auto"/>
              </w:rPr>
            </w:pPr>
            <w:r>
              <w:rPr>
                <w:rFonts w:hint="eastAsia"/>
                <w:color w:val="auto"/>
              </w:rPr>
              <w:t>7.查询统计</w:t>
            </w:r>
          </w:p>
          <w:p w14:paraId="2ACBA39B">
            <w:pPr>
              <w:pStyle w:val="18"/>
              <w:rPr>
                <w:color w:val="auto"/>
              </w:rPr>
            </w:pPr>
            <w:r>
              <w:rPr>
                <w:rFonts w:hint="eastAsia"/>
                <w:color w:val="auto"/>
              </w:rPr>
              <w:t>提供如下查询统计：</w:t>
            </w:r>
          </w:p>
          <w:p w14:paraId="61503CD6">
            <w:pPr>
              <w:pStyle w:val="18"/>
              <w:rPr>
                <w:color w:val="auto"/>
              </w:rPr>
            </w:pPr>
            <w:r>
              <w:rPr>
                <w:rFonts w:hint="eastAsia"/>
                <w:color w:val="auto"/>
              </w:rPr>
              <w:t>预交金查询：按照不同方式查询预交金并打印清单。</w:t>
            </w:r>
          </w:p>
          <w:p w14:paraId="5E3ABB2D">
            <w:pPr>
              <w:pStyle w:val="18"/>
              <w:rPr>
                <w:color w:val="auto"/>
              </w:rPr>
            </w:pPr>
            <w:r>
              <w:rPr>
                <w:rFonts w:hint="eastAsia"/>
                <w:color w:val="auto"/>
              </w:rPr>
              <w:t>住院发票查询：查询结算发票信息。</w:t>
            </w:r>
          </w:p>
          <w:p w14:paraId="0E2B9A99">
            <w:pPr>
              <w:pStyle w:val="18"/>
              <w:rPr>
                <w:color w:val="auto"/>
              </w:rPr>
            </w:pPr>
            <w:r>
              <w:rPr>
                <w:rFonts w:hint="eastAsia"/>
                <w:color w:val="auto"/>
              </w:rPr>
              <w:t>出院患者清单：查询出院登记的患者费用清单。</w:t>
            </w:r>
          </w:p>
        </w:tc>
      </w:tr>
      <w:tr w14:paraId="74E2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6DD433D">
            <w:pPr>
              <w:pStyle w:val="18"/>
              <w:jc w:val="center"/>
              <w:rPr>
                <w:b w:val="0"/>
                <w:color w:val="auto"/>
              </w:rPr>
            </w:pPr>
            <w:r>
              <w:rPr>
                <w:rFonts w:hint="eastAsia"/>
                <w:b w:val="0"/>
                <w:color w:val="auto"/>
              </w:rPr>
              <w:t>药库管理</w:t>
            </w:r>
          </w:p>
        </w:tc>
        <w:tc>
          <w:tcPr>
            <w:tcW w:w="6579" w:type="dxa"/>
            <w:vAlign w:val="center"/>
          </w:tcPr>
          <w:p w14:paraId="2169840E">
            <w:pPr>
              <w:pStyle w:val="18"/>
              <w:rPr>
                <w:color w:val="auto"/>
              </w:rPr>
            </w:pPr>
            <w:r>
              <w:rPr>
                <w:rFonts w:hint="eastAsia"/>
                <w:color w:val="auto"/>
              </w:rPr>
              <w:t>药库管理主要服务于医院药库人员，该系统具备药品管理，药品入出库管理，采购管理，库存管理，基本信息维护等功能，是药品从厂商购入，药品入库，出给各个科室的首要关键节点模块。</w:t>
            </w:r>
          </w:p>
          <w:p w14:paraId="67FBE187">
            <w:pPr>
              <w:pStyle w:val="18"/>
              <w:rPr>
                <w:color w:val="auto"/>
              </w:rPr>
            </w:pPr>
            <w:r>
              <w:rPr>
                <w:rFonts w:hint="eastAsia"/>
                <w:color w:val="auto"/>
              </w:rPr>
              <w:t>1.基本信息维护</w:t>
            </w:r>
          </w:p>
          <w:p w14:paraId="4507ED15">
            <w:pPr>
              <w:pStyle w:val="18"/>
              <w:rPr>
                <w:color w:val="auto"/>
              </w:rPr>
            </w:pPr>
            <w:r>
              <w:rPr>
                <w:rFonts w:hint="eastAsia"/>
                <w:color w:val="auto"/>
              </w:rPr>
              <w:t>提供药品字典库维护功能：可以维护如名称、厂家、产地、规格、等级、类别、价格形式、用法、用量、频次、药理、批文信息、供货商、招标信息等，支持多种别名；对毒麻药品、精神药品的种类、贵重药品、院内制剂、试敏药、GMP、OTC、特殊限制药品等均有特定的判断识别处理。</w:t>
            </w:r>
          </w:p>
          <w:p w14:paraId="5C1F0DD4">
            <w:pPr>
              <w:pStyle w:val="18"/>
              <w:rPr>
                <w:color w:val="auto"/>
              </w:rPr>
            </w:pPr>
            <w:r>
              <w:rPr>
                <w:rFonts w:hint="eastAsia"/>
                <w:color w:val="auto"/>
              </w:rPr>
              <w:t>提供出入库科室维护(出库目标科室、入库来源)。</w:t>
            </w:r>
          </w:p>
          <w:p w14:paraId="2E6257A2">
            <w:pPr>
              <w:pStyle w:val="18"/>
              <w:rPr>
                <w:color w:val="auto"/>
              </w:rPr>
            </w:pPr>
            <w:r>
              <w:rPr>
                <w:rFonts w:hint="eastAsia"/>
                <w:color w:val="auto"/>
              </w:rPr>
              <w:t>提供常数维护：维护药品管理中常用的基础数据，如最小单位、包装单位、剂型、剂量单位、药品性质、存储条件等。</w:t>
            </w:r>
          </w:p>
          <w:p w14:paraId="0DC89E9F">
            <w:pPr>
              <w:pStyle w:val="18"/>
              <w:rPr>
                <w:color w:val="auto"/>
              </w:rPr>
            </w:pPr>
            <w:r>
              <w:rPr>
                <w:rFonts w:hint="eastAsia"/>
                <w:color w:val="auto"/>
              </w:rPr>
              <w:t>提供药理作用维护：维护药品的药理作用信息。</w:t>
            </w:r>
          </w:p>
          <w:p w14:paraId="6479F926">
            <w:pPr>
              <w:pStyle w:val="18"/>
              <w:rPr>
                <w:color w:val="auto"/>
              </w:rPr>
            </w:pPr>
            <w:r>
              <w:rPr>
                <w:rFonts w:hint="eastAsia"/>
                <w:color w:val="auto"/>
              </w:rPr>
              <w:t>提供供货公司维护：维护药品常用的供货公司信息。</w:t>
            </w:r>
          </w:p>
          <w:p w14:paraId="36581A45">
            <w:pPr>
              <w:pStyle w:val="18"/>
              <w:rPr>
                <w:color w:val="auto"/>
              </w:rPr>
            </w:pPr>
            <w:r>
              <w:rPr>
                <w:rFonts w:hint="eastAsia"/>
                <w:color w:val="auto"/>
              </w:rPr>
              <w:t>提供生产厂家维护：维护药品常用的生产厂家信息。</w:t>
            </w:r>
          </w:p>
          <w:p w14:paraId="6CF49F62">
            <w:pPr>
              <w:pStyle w:val="18"/>
              <w:rPr>
                <w:color w:val="auto"/>
              </w:rPr>
            </w:pPr>
            <w:r>
              <w:rPr>
                <w:rFonts w:hint="eastAsia"/>
                <w:color w:val="auto"/>
              </w:rPr>
              <w:t>提供参数设置维护：维护全院药品管理中使用的控制参数，如各药房拆分属性、有效期警示天数等。</w:t>
            </w:r>
          </w:p>
          <w:p w14:paraId="7F935607">
            <w:pPr>
              <w:pStyle w:val="18"/>
              <w:rPr>
                <w:color w:val="auto"/>
              </w:rPr>
            </w:pPr>
            <w:r>
              <w:rPr>
                <w:rFonts w:hint="eastAsia"/>
                <w:color w:val="auto"/>
              </w:rPr>
              <w:t>提供特限药品维护：维护某些特殊限制药品在特定科室使用的信息。</w:t>
            </w:r>
          </w:p>
          <w:p w14:paraId="52584C3E">
            <w:pPr>
              <w:pStyle w:val="18"/>
              <w:rPr>
                <w:color w:val="auto"/>
              </w:rPr>
            </w:pPr>
            <w:r>
              <w:rPr>
                <w:rFonts w:hint="eastAsia"/>
                <w:color w:val="auto"/>
              </w:rPr>
              <w:t>提供药品多级单位维护：维护药品的门诊发药、住院发药等发药单位对照。</w:t>
            </w:r>
          </w:p>
          <w:p w14:paraId="2071D08D">
            <w:pPr>
              <w:pStyle w:val="18"/>
              <w:rPr>
                <w:color w:val="auto"/>
              </w:rPr>
            </w:pPr>
            <w:r>
              <w:rPr>
                <w:rFonts w:hint="eastAsia"/>
                <w:color w:val="auto"/>
              </w:rPr>
              <w:t>提供部门库存常数维护：维护各个库房的管理属性，如是否管库存、是否按批号管理等。</w:t>
            </w:r>
          </w:p>
          <w:p w14:paraId="495A6586">
            <w:pPr>
              <w:pStyle w:val="18"/>
              <w:rPr>
                <w:color w:val="auto"/>
              </w:rPr>
            </w:pPr>
            <w:r>
              <w:rPr>
                <w:rFonts w:hint="eastAsia"/>
                <w:color w:val="auto"/>
              </w:rPr>
              <w:t>提供人员控药权限维护：维护某个操作员有操作哪种药品类别的权限。</w:t>
            </w:r>
          </w:p>
          <w:p w14:paraId="2BF59747">
            <w:pPr>
              <w:pStyle w:val="18"/>
              <w:rPr>
                <w:color w:val="auto"/>
              </w:rPr>
            </w:pPr>
            <w:r>
              <w:rPr>
                <w:rFonts w:hint="eastAsia"/>
                <w:color w:val="auto"/>
              </w:rPr>
              <w:t>提供抗菌药物维护：维护抗菌药物列表。</w:t>
            </w:r>
          </w:p>
          <w:p w14:paraId="07B95138">
            <w:pPr>
              <w:pStyle w:val="18"/>
              <w:rPr>
                <w:color w:val="auto"/>
              </w:rPr>
            </w:pPr>
            <w:r>
              <w:rPr>
                <w:rFonts w:hint="eastAsia"/>
                <w:color w:val="auto"/>
              </w:rPr>
              <w:t>提供药品管理模板维护：可以维护盘点、计划、申请的模板。</w:t>
            </w:r>
          </w:p>
          <w:p w14:paraId="6B6D7D53">
            <w:pPr>
              <w:pStyle w:val="18"/>
              <w:rPr>
                <w:color w:val="auto"/>
              </w:rPr>
            </w:pPr>
            <w:r>
              <w:rPr>
                <w:rFonts w:hint="eastAsia"/>
                <w:color w:val="auto"/>
              </w:rPr>
              <w:t>协定处方管理：可以维护协定处方明细信息。</w:t>
            </w:r>
          </w:p>
          <w:p w14:paraId="626DCAE4">
            <w:pPr>
              <w:pStyle w:val="18"/>
              <w:rPr>
                <w:color w:val="auto"/>
              </w:rPr>
            </w:pPr>
            <w:r>
              <w:rPr>
                <w:rFonts w:hint="eastAsia"/>
                <w:color w:val="auto"/>
              </w:rPr>
              <w:t>协定处方包装：对维护好的协定处方进行包装。</w:t>
            </w:r>
          </w:p>
          <w:p w14:paraId="290D82D8">
            <w:pPr>
              <w:pStyle w:val="18"/>
              <w:rPr>
                <w:color w:val="auto"/>
              </w:rPr>
            </w:pPr>
            <w:r>
              <w:rPr>
                <w:rFonts w:hint="eastAsia"/>
                <w:color w:val="auto"/>
              </w:rPr>
              <w:t>2.入出库管理</w:t>
            </w:r>
          </w:p>
          <w:p w14:paraId="06614F2C">
            <w:pPr>
              <w:pStyle w:val="18"/>
              <w:rPr>
                <w:color w:val="auto"/>
              </w:rPr>
            </w:pPr>
            <w:r>
              <w:rPr>
                <w:rFonts w:hint="eastAsia"/>
                <w:color w:val="auto"/>
              </w:rPr>
              <w:t>入库计划：制定入库计划，可以手动生成入库计划，也可以按照警戒线、日消耗量自动生成入库计划。</w:t>
            </w:r>
          </w:p>
          <w:p w14:paraId="5E26EF06">
            <w:pPr>
              <w:pStyle w:val="18"/>
              <w:rPr>
                <w:color w:val="auto"/>
              </w:rPr>
            </w:pPr>
            <w:r>
              <w:rPr>
                <w:rFonts w:hint="eastAsia"/>
                <w:color w:val="auto"/>
              </w:rPr>
              <w:t>采购计划：制定采购计划，根据制定的入库计划，生成采购计划。可以修改计划入库数量，并且可以拆分在不同的供货公司采购。</w:t>
            </w:r>
          </w:p>
          <w:p w14:paraId="16ACA12F">
            <w:pPr>
              <w:pStyle w:val="18"/>
              <w:rPr>
                <w:color w:val="auto"/>
              </w:rPr>
            </w:pPr>
            <w:r>
              <w:rPr>
                <w:rFonts w:hint="eastAsia"/>
                <w:color w:val="auto"/>
              </w:rPr>
              <w:t>药品入库：可以有多种不同的入库类型，如正常入库、发票入库、核准入库、特殊入库、入库退货、外部入库申请等。</w:t>
            </w:r>
          </w:p>
          <w:p w14:paraId="77B0400B">
            <w:pPr>
              <w:pStyle w:val="18"/>
              <w:rPr>
                <w:color w:val="auto"/>
              </w:rPr>
            </w:pPr>
            <w:r>
              <w:rPr>
                <w:rFonts w:hint="eastAsia"/>
                <w:color w:val="auto"/>
              </w:rPr>
              <w:t>药品出库：可以有多种不同的出库类型，如正常出库、出库审批、特殊出库、调拨、报损、出库退库等。可以手动出库，也可以自动接收科室领药单。</w:t>
            </w:r>
          </w:p>
          <w:p w14:paraId="3F95DA23">
            <w:pPr>
              <w:pStyle w:val="18"/>
              <w:rPr>
                <w:color w:val="auto"/>
              </w:rPr>
            </w:pPr>
            <w:r>
              <w:rPr>
                <w:rFonts w:hint="eastAsia"/>
                <w:color w:val="auto"/>
              </w:rPr>
              <w:t>单据补打：可以补打各种入库和出库单据。</w:t>
            </w:r>
          </w:p>
          <w:p w14:paraId="72DE392B">
            <w:pPr>
              <w:pStyle w:val="18"/>
              <w:rPr>
                <w:color w:val="auto"/>
              </w:rPr>
            </w:pPr>
            <w:r>
              <w:rPr>
                <w:rFonts w:hint="eastAsia"/>
                <w:color w:val="auto"/>
              </w:rPr>
              <w:t>供货商结存：维护各供货公司的货款结存情况。</w:t>
            </w:r>
          </w:p>
          <w:p w14:paraId="52441943">
            <w:pPr>
              <w:pStyle w:val="18"/>
              <w:rPr>
                <w:color w:val="auto"/>
              </w:rPr>
            </w:pPr>
            <w:r>
              <w:rPr>
                <w:rFonts w:hint="eastAsia"/>
                <w:color w:val="auto"/>
              </w:rPr>
              <w:t>供货商付款统计：统计各供货公司的付款情况。</w:t>
            </w:r>
          </w:p>
          <w:p w14:paraId="1989F5E2">
            <w:pPr>
              <w:pStyle w:val="18"/>
              <w:rPr>
                <w:color w:val="auto"/>
              </w:rPr>
            </w:pPr>
            <w:r>
              <w:rPr>
                <w:rFonts w:hint="eastAsia"/>
                <w:color w:val="auto"/>
              </w:rPr>
              <w:t>3.在库管理</w:t>
            </w:r>
          </w:p>
          <w:p w14:paraId="5CAAB112">
            <w:pPr>
              <w:pStyle w:val="18"/>
              <w:rPr>
                <w:color w:val="auto"/>
              </w:rPr>
            </w:pPr>
            <w:r>
              <w:rPr>
                <w:rFonts w:hint="eastAsia"/>
                <w:color w:val="auto"/>
              </w:rPr>
              <w:t>提供库存盘点管理：对药库库存进行盘点与结存。</w:t>
            </w:r>
          </w:p>
          <w:p w14:paraId="1B57F4CE">
            <w:pPr>
              <w:pStyle w:val="18"/>
              <w:rPr>
                <w:color w:val="auto"/>
              </w:rPr>
            </w:pPr>
            <w:r>
              <w:rPr>
                <w:rFonts w:hint="eastAsia"/>
                <w:color w:val="auto"/>
              </w:rPr>
              <w:t>提供药品调价管理：针对药品价格的变化进行调价。</w:t>
            </w:r>
          </w:p>
          <w:p w14:paraId="18574094">
            <w:pPr>
              <w:pStyle w:val="18"/>
              <w:rPr>
                <w:color w:val="auto"/>
              </w:rPr>
            </w:pPr>
            <w:r>
              <w:rPr>
                <w:rFonts w:hint="eastAsia"/>
                <w:color w:val="auto"/>
              </w:rPr>
              <w:t>提供药品库存管理：提供库存信息一览，并提供多种条件的过滤，支持维护警戒线，药房和药库账页、药品停用标记，药品入出库明细、库存报警以及有效期报警，货位号维护等多种功能。</w:t>
            </w:r>
          </w:p>
          <w:p w14:paraId="66553B04">
            <w:pPr>
              <w:pStyle w:val="18"/>
              <w:rPr>
                <w:color w:val="auto"/>
              </w:rPr>
            </w:pPr>
            <w:r>
              <w:rPr>
                <w:rFonts w:hint="eastAsia"/>
                <w:color w:val="auto"/>
              </w:rPr>
              <w:t>提供药品月结管理：对药库的账目进行月结并打印月结统计表。</w:t>
            </w:r>
          </w:p>
          <w:p w14:paraId="6EC5ECB4">
            <w:pPr>
              <w:pStyle w:val="18"/>
              <w:rPr>
                <w:color w:val="auto"/>
              </w:rPr>
            </w:pPr>
            <w:r>
              <w:rPr>
                <w:rFonts w:hint="eastAsia"/>
                <w:color w:val="auto"/>
              </w:rPr>
              <w:t xml:space="preserve">提供药品月结校对功能：校对帐目及库存的平衡关系。 </w:t>
            </w:r>
          </w:p>
          <w:p w14:paraId="3A16B6F1">
            <w:pPr>
              <w:pStyle w:val="18"/>
              <w:rPr>
                <w:color w:val="auto"/>
              </w:rPr>
            </w:pPr>
            <w:r>
              <w:rPr>
                <w:rFonts w:hint="eastAsia"/>
                <w:color w:val="auto"/>
              </w:rPr>
              <w:t>4.采购管理</w:t>
            </w:r>
          </w:p>
          <w:p w14:paraId="147517A4">
            <w:pPr>
              <w:pStyle w:val="18"/>
              <w:rPr>
                <w:color w:val="auto"/>
              </w:rPr>
            </w:pPr>
            <w:r>
              <w:rPr>
                <w:rFonts w:hint="eastAsia"/>
                <w:color w:val="auto"/>
              </w:rPr>
              <w:t>自动生成采购计划及采购单，可以进行采购单审核。</w:t>
            </w:r>
          </w:p>
          <w:p w14:paraId="6B18AB1E">
            <w:pPr>
              <w:pStyle w:val="18"/>
              <w:rPr>
                <w:color w:val="auto"/>
              </w:rPr>
            </w:pPr>
            <w:r>
              <w:rPr>
                <w:rFonts w:hint="eastAsia"/>
                <w:color w:val="auto"/>
              </w:rPr>
              <w:t>5.查询统计</w:t>
            </w:r>
          </w:p>
          <w:p w14:paraId="2C69951C">
            <w:pPr>
              <w:pStyle w:val="18"/>
              <w:rPr>
                <w:color w:val="auto"/>
              </w:rPr>
            </w:pPr>
            <w:r>
              <w:rPr>
                <w:rFonts w:hint="eastAsia"/>
                <w:color w:val="auto"/>
              </w:rPr>
              <w:t>提供各类药品日常统计功能：可生成各种药品的入库明细、出库明细、盘点明细、调价明细、调拨明细、报损明细、退药明细，提供月结报表。</w:t>
            </w:r>
          </w:p>
          <w:p w14:paraId="698A2CB5">
            <w:pPr>
              <w:pStyle w:val="18"/>
              <w:rPr>
                <w:color w:val="auto"/>
              </w:rPr>
            </w:pPr>
            <w:r>
              <w:rPr>
                <w:rFonts w:hint="eastAsia"/>
                <w:color w:val="auto"/>
              </w:rPr>
              <w:t>提供抗菌药物的统计功能：各种抗菌药物统计报表。</w:t>
            </w:r>
          </w:p>
        </w:tc>
      </w:tr>
      <w:tr w14:paraId="6780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1B073AB">
            <w:pPr>
              <w:pStyle w:val="18"/>
              <w:jc w:val="center"/>
              <w:rPr>
                <w:b w:val="0"/>
                <w:color w:val="auto"/>
              </w:rPr>
            </w:pPr>
            <w:r>
              <w:rPr>
                <w:rFonts w:hint="eastAsia"/>
                <w:b w:val="0"/>
                <w:color w:val="auto"/>
              </w:rPr>
              <w:t>门诊药房管理</w:t>
            </w:r>
          </w:p>
        </w:tc>
        <w:tc>
          <w:tcPr>
            <w:tcW w:w="6579" w:type="dxa"/>
            <w:vAlign w:val="center"/>
          </w:tcPr>
          <w:p w14:paraId="095233ED">
            <w:pPr>
              <w:pStyle w:val="18"/>
              <w:rPr>
                <w:color w:val="auto"/>
              </w:rPr>
            </w:pPr>
            <w:r>
              <w:rPr>
                <w:rFonts w:hint="eastAsia"/>
                <w:color w:val="auto"/>
              </w:rPr>
              <w:t>门诊药房管理服务于门诊药师，承担门诊药房发药，门诊退药，处方打印，用药指导打印，煎药凭证打印，药品管理，药房盘点，药品的入出库等重要功能，为药师提供方便快捷的发药方式和方便日常工作统计的报表功能。</w:t>
            </w:r>
          </w:p>
          <w:p w14:paraId="319EC58B">
            <w:pPr>
              <w:pStyle w:val="18"/>
              <w:rPr>
                <w:color w:val="auto"/>
              </w:rPr>
            </w:pPr>
            <w:r>
              <w:rPr>
                <w:rFonts w:hint="eastAsia"/>
                <w:color w:val="auto"/>
              </w:rPr>
              <w:t>1.门诊药房信息维护</w:t>
            </w:r>
          </w:p>
          <w:p w14:paraId="330D330C">
            <w:pPr>
              <w:pStyle w:val="18"/>
              <w:rPr>
                <w:color w:val="auto"/>
              </w:rPr>
            </w:pPr>
            <w:r>
              <w:rPr>
                <w:rFonts w:hint="eastAsia"/>
                <w:color w:val="auto"/>
              </w:rPr>
              <w:t>提供门诊终端维护：对配药台、发药窗口进行各种属性的维护。</w:t>
            </w:r>
          </w:p>
          <w:p w14:paraId="1C6C2D20">
            <w:pPr>
              <w:pStyle w:val="18"/>
              <w:rPr>
                <w:color w:val="auto"/>
              </w:rPr>
            </w:pPr>
            <w:r>
              <w:rPr>
                <w:rFonts w:hint="eastAsia"/>
                <w:color w:val="auto"/>
              </w:rPr>
              <w:t>提供门诊处方调剂：对门诊的处方进行调剂，可选平均调剂与竞争调剂。</w:t>
            </w:r>
          </w:p>
          <w:p w14:paraId="7D0BEF53">
            <w:pPr>
              <w:pStyle w:val="18"/>
              <w:rPr>
                <w:color w:val="auto"/>
              </w:rPr>
            </w:pPr>
            <w:r>
              <w:rPr>
                <w:rFonts w:hint="eastAsia"/>
                <w:color w:val="auto"/>
              </w:rPr>
              <w:t>提供门诊特殊终端维护：维护特殊的配药窗口属性。</w:t>
            </w:r>
          </w:p>
          <w:p w14:paraId="4DE94707">
            <w:pPr>
              <w:pStyle w:val="18"/>
              <w:rPr>
                <w:color w:val="auto"/>
              </w:rPr>
            </w:pPr>
            <w:r>
              <w:rPr>
                <w:rFonts w:hint="eastAsia"/>
                <w:color w:val="auto"/>
              </w:rPr>
              <w:t>2.门诊药房发药</w:t>
            </w:r>
          </w:p>
          <w:p w14:paraId="0956A566">
            <w:pPr>
              <w:pStyle w:val="18"/>
              <w:rPr>
                <w:color w:val="auto"/>
              </w:rPr>
            </w:pPr>
            <w:r>
              <w:rPr>
                <w:rFonts w:hint="eastAsia"/>
                <w:color w:val="auto"/>
              </w:rPr>
              <w:t>提供两种发药方式：自动调剂发药，手工发药。</w:t>
            </w:r>
          </w:p>
          <w:p w14:paraId="5C13E2F7">
            <w:pPr>
              <w:pStyle w:val="18"/>
              <w:rPr>
                <w:color w:val="auto"/>
              </w:rPr>
            </w:pPr>
            <w:r>
              <w:rPr>
                <w:rFonts w:hint="eastAsia"/>
                <w:color w:val="auto"/>
              </w:rPr>
              <w:t>自动调剂发药：根据设定的调剂方式，系统自动把已收费的药品分配到配药台，配药台人员核准后进行配药，发药台接收到配药核准的药品信息后进行确认并发药。</w:t>
            </w:r>
          </w:p>
          <w:p w14:paraId="01F6FE51">
            <w:pPr>
              <w:pStyle w:val="18"/>
              <w:rPr>
                <w:color w:val="auto"/>
              </w:rPr>
            </w:pPr>
            <w:r>
              <w:rPr>
                <w:rFonts w:hint="eastAsia"/>
                <w:color w:val="auto"/>
              </w:rPr>
              <w:t>手工发药：药房发药人员录入患者的发票号（或者病历号、处方号）显示当前处方的药品，进行发药。</w:t>
            </w:r>
          </w:p>
          <w:p w14:paraId="7B872211">
            <w:pPr>
              <w:pStyle w:val="18"/>
              <w:rPr>
                <w:color w:val="auto"/>
              </w:rPr>
            </w:pPr>
            <w:r>
              <w:rPr>
                <w:rFonts w:hint="eastAsia"/>
                <w:color w:val="auto"/>
              </w:rPr>
              <w:t>门诊代发药：门诊药房之间可以相互代替发药，门急诊药房可以代替住院药房发药，扣除发药药房库存。</w:t>
            </w:r>
          </w:p>
          <w:p w14:paraId="0A32F2AC">
            <w:pPr>
              <w:pStyle w:val="18"/>
              <w:rPr>
                <w:color w:val="auto"/>
              </w:rPr>
            </w:pPr>
            <w:r>
              <w:rPr>
                <w:rFonts w:hint="eastAsia"/>
                <w:color w:val="auto"/>
              </w:rPr>
              <w:t>发药模式分为两种：配药、发药分开进行，也可以采用门诊直接发药模式。</w:t>
            </w:r>
          </w:p>
          <w:p w14:paraId="5F946AB4">
            <w:pPr>
              <w:pStyle w:val="18"/>
              <w:rPr>
                <w:color w:val="auto"/>
              </w:rPr>
            </w:pPr>
            <w:r>
              <w:rPr>
                <w:rFonts w:hint="eastAsia"/>
                <w:color w:val="auto"/>
              </w:rPr>
              <w:t>单据打印：处方打印、用药指导打印、煎药凭证打印。</w:t>
            </w:r>
          </w:p>
          <w:p w14:paraId="5BCE5A66">
            <w:pPr>
              <w:pStyle w:val="18"/>
              <w:rPr>
                <w:color w:val="auto"/>
              </w:rPr>
            </w:pPr>
            <w:r>
              <w:rPr>
                <w:rFonts w:hint="eastAsia"/>
                <w:color w:val="auto"/>
              </w:rPr>
              <w:t>信息查看：处方查看、过敏信息查看、患者用药指导告知。</w:t>
            </w:r>
          </w:p>
          <w:p w14:paraId="166EE12F">
            <w:pPr>
              <w:pStyle w:val="18"/>
              <w:rPr>
                <w:color w:val="auto"/>
              </w:rPr>
            </w:pPr>
            <w:r>
              <w:rPr>
                <w:rFonts w:hint="eastAsia"/>
                <w:color w:val="auto"/>
              </w:rPr>
              <w:t>3.门诊药房退药</w:t>
            </w:r>
          </w:p>
          <w:p w14:paraId="36C191A8">
            <w:pPr>
              <w:pStyle w:val="18"/>
              <w:rPr>
                <w:color w:val="auto"/>
              </w:rPr>
            </w:pPr>
            <w:r>
              <w:rPr>
                <w:rFonts w:hint="eastAsia"/>
                <w:color w:val="auto"/>
              </w:rPr>
              <w:t>录入患者发票号后，显示待退药品信息，选择药品进行退药，支持半退和全退。</w:t>
            </w:r>
          </w:p>
          <w:p w14:paraId="3AFD9BBE">
            <w:pPr>
              <w:pStyle w:val="18"/>
              <w:rPr>
                <w:color w:val="auto"/>
              </w:rPr>
            </w:pPr>
            <w:r>
              <w:rPr>
                <w:rFonts w:hint="eastAsia"/>
                <w:color w:val="auto"/>
              </w:rPr>
              <w:t>4.门诊药房管理</w:t>
            </w:r>
          </w:p>
          <w:p w14:paraId="2E4CAD54">
            <w:pPr>
              <w:pStyle w:val="18"/>
              <w:rPr>
                <w:color w:val="auto"/>
              </w:rPr>
            </w:pPr>
            <w:r>
              <w:rPr>
                <w:rFonts w:hint="eastAsia"/>
                <w:color w:val="auto"/>
              </w:rPr>
              <w:t>根据本地药品量的消耗，生成领药申请单，传送到药库，支持多个药房管理，具有类似药库的各种进销存管理和查询功能，具有查询病人任意时段处方内容。</w:t>
            </w:r>
          </w:p>
          <w:p w14:paraId="4EA2392B">
            <w:pPr>
              <w:pStyle w:val="18"/>
              <w:rPr>
                <w:color w:val="auto"/>
              </w:rPr>
            </w:pPr>
            <w:r>
              <w:rPr>
                <w:rFonts w:hint="eastAsia"/>
                <w:color w:val="auto"/>
              </w:rPr>
              <w:t>5.查询统计</w:t>
            </w:r>
          </w:p>
          <w:p w14:paraId="407815AA">
            <w:pPr>
              <w:pStyle w:val="18"/>
              <w:rPr>
                <w:color w:val="auto"/>
              </w:rPr>
            </w:pPr>
            <w:r>
              <w:rPr>
                <w:rFonts w:hint="eastAsia"/>
                <w:color w:val="auto"/>
              </w:rPr>
              <w:t>提供门诊处方查询、配药工作量查询、发药工作量查询、门诊药房发药量统计、门诊药房退药量统计。</w:t>
            </w:r>
          </w:p>
          <w:p w14:paraId="59E3FBF0">
            <w:pPr>
              <w:pStyle w:val="18"/>
              <w:rPr>
                <w:color w:val="auto"/>
              </w:rPr>
            </w:pPr>
            <w:r>
              <w:rPr>
                <w:rFonts w:hint="eastAsia"/>
                <w:color w:val="auto"/>
              </w:rPr>
              <w:t>6.门诊药房发药排队叫号</w:t>
            </w:r>
          </w:p>
          <w:p w14:paraId="1A451695">
            <w:pPr>
              <w:pStyle w:val="18"/>
              <w:rPr>
                <w:color w:val="auto"/>
              </w:rPr>
            </w:pPr>
            <w:r>
              <w:rPr>
                <w:rFonts w:hint="eastAsia"/>
                <w:color w:val="auto"/>
              </w:rPr>
              <w:t>患者在门诊收费后自动分配一个取药排队序号，在门诊药房大屏幕上显示待发药患者名称，门诊药房发药系统中按照排队序号显示待发药患者信息。发药人选择待发药患者点击叫号，同时门诊大屏幕显示取药患者姓名，门诊扬声器播放患者名称到对应窗口取药。此功能类似银行排队叫号。</w:t>
            </w:r>
          </w:p>
        </w:tc>
      </w:tr>
      <w:tr w14:paraId="33E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80A3E76">
            <w:pPr>
              <w:pStyle w:val="18"/>
              <w:jc w:val="center"/>
              <w:rPr>
                <w:b w:val="0"/>
                <w:color w:val="auto"/>
              </w:rPr>
            </w:pPr>
            <w:r>
              <w:rPr>
                <w:rFonts w:hint="eastAsia"/>
                <w:b w:val="0"/>
                <w:color w:val="auto"/>
              </w:rPr>
              <w:t>住院药房管理</w:t>
            </w:r>
          </w:p>
        </w:tc>
        <w:tc>
          <w:tcPr>
            <w:tcW w:w="6579" w:type="dxa"/>
            <w:vAlign w:val="center"/>
          </w:tcPr>
          <w:p w14:paraId="7C0B00C4">
            <w:pPr>
              <w:pStyle w:val="18"/>
              <w:rPr>
                <w:color w:val="auto"/>
              </w:rPr>
            </w:pPr>
            <w:r>
              <w:rPr>
                <w:rFonts w:hint="eastAsia"/>
                <w:color w:val="auto"/>
              </w:rPr>
              <w:t>住院药房管理主要服务于住院药师，承担住院药房发药，药品管理，药品盘点，药品入出库，报表统计等关键功能，为住院药师提供方便快捷的发药模式和详细的单据打印和补打功能</w:t>
            </w:r>
          </w:p>
          <w:p w14:paraId="4D295F7B">
            <w:pPr>
              <w:pStyle w:val="18"/>
              <w:rPr>
                <w:color w:val="auto"/>
              </w:rPr>
            </w:pPr>
            <w:r>
              <w:rPr>
                <w:rFonts w:hint="eastAsia"/>
                <w:color w:val="auto"/>
              </w:rPr>
              <w:t>1.住院药房信息维护</w:t>
            </w:r>
          </w:p>
          <w:p w14:paraId="4740CA53">
            <w:pPr>
              <w:pStyle w:val="18"/>
              <w:rPr>
                <w:color w:val="auto"/>
              </w:rPr>
            </w:pPr>
            <w:r>
              <w:rPr>
                <w:rFonts w:hint="eastAsia"/>
                <w:color w:val="auto"/>
              </w:rPr>
              <w:t>摆药单维护：可以自定义设定各种类型的摆药单，如：大输液摆药单、毒麻药摆药单、口服摆药单等等。</w:t>
            </w:r>
          </w:p>
          <w:p w14:paraId="1B9EA76C">
            <w:pPr>
              <w:pStyle w:val="18"/>
              <w:rPr>
                <w:color w:val="auto"/>
              </w:rPr>
            </w:pPr>
            <w:r>
              <w:rPr>
                <w:rFonts w:hint="eastAsia"/>
                <w:color w:val="auto"/>
              </w:rPr>
              <w:t>摆药台维护：维护各个药房的摆药台，以及摆药台中有哪些摆药单。</w:t>
            </w:r>
          </w:p>
          <w:p w14:paraId="3089A8D6">
            <w:pPr>
              <w:pStyle w:val="18"/>
              <w:rPr>
                <w:color w:val="auto"/>
              </w:rPr>
            </w:pPr>
            <w:r>
              <w:rPr>
                <w:rFonts w:hint="eastAsia"/>
                <w:color w:val="auto"/>
              </w:rPr>
              <w:t>默认取药科室维护：设定各病区科室对应的取药药房，可以指定取药时间和取药类别。</w:t>
            </w:r>
          </w:p>
          <w:p w14:paraId="2C1EE1F9">
            <w:pPr>
              <w:pStyle w:val="18"/>
              <w:rPr>
                <w:color w:val="auto"/>
              </w:rPr>
            </w:pPr>
            <w:r>
              <w:rPr>
                <w:rFonts w:hint="eastAsia"/>
                <w:color w:val="auto"/>
              </w:rPr>
              <w:t>药品拆分属性维护：设定药品品种或药品剂型发药时的拆分方式，有：不可拆分、可拆分不取整，如果不维护默认是不可拆分。</w:t>
            </w:r>
          </w:p>
          <w:p w14:paraId="37CFEB31">
            <w:pPr>
              <w:pStyle w:val="18"/>
              <w:rPr>
                <w:color w:val="auto"/>
              </w:rPr>
            </w:pPr>
            <w:r>
              <w:rPr>
                <w:rFonts w:hint="eastAsia"/>
                <w:color w:val="auto"/>
              </w:rPr>
              <w:t>2.药品批费</w:t>
            </w:r>
          </w:p>
          <w:p w14:paraId="3E7E998F">
            <w:pPr>
              <w:pStyle w:val="18"/>
              <w:rPr>
                <w:color w:val="auto"/>
              </w:rPr>
            </w:pPr>
            <w:r>
              <w:rPr>
                <w:rFonts w:hint="eastAsia"/>
                <w:color w:val="auto"/>
              </w:rPr>
              <w:t>录入患者住院号，选择药品进行批费。</w:t>
            </w:r>
          </w:p>
          <w:p w14:paraId="19D5C5DD">
            <w:pPr>
              <w:pStyle w:val="18"/>
              <w:rPr>
                <w:color w:val="auto"/>
              </w:rPr>
            </w:pPr>
            <w:r>
              <w:rPr>
                <w:rFonts w:hint="eastAsia"/>
                <w:color w:val="auto"/>
              </w:rPr>
              <w:t>3.药品退费</w:t>
            </w:r>
          </w:p>
          <w:p w14:paraId="39146AA1">
            <w:pPr>
              <w:pStyle w:val="18"/>
              <w:rPr>
                <w:color w:val="auto"/>
              </w:rPr>
            </w:pPr>
            <w:r>
              <w:rPr>
                <w:rFonts w:hint="eastAsia"/>
                <w:color w:val="auto"/>
              </w:rPr>
              <w:t>录入患者住院号，选择已收费的药品进行退费。</w:t>
            </w:r>
          </w:p>
          <w:p w14:paraId="5F4B76EE">
            <w:pPr>
              <w:pStyle w:val="18"/>
              <w:rPr>
                <w:color w:val="auto"/>
              </w:rPr>
            </w:pPr>
            <w:r>
              <w:rPr>
                <w:rFonts w:hint="eastAsia"/>
                <w:color w:val="auto"/>
              </w:rPr>
              <w:t>4.住院药房直接摆药</w:t>
            </w:r>
          </w:p>
          <w:p w14:paraId="6D1E7D7F">
            <w:pPr>
              <w:pStyle w:val="18"/>
              <w:rPr>
                <w:color w:val="auto"/>
              </w:rPr>
            </w:pPr>
            <w:r>
              <w:rPr>
                <w:rFonts w:hint="eastAsia"/>
                <w:color w:val="auto"/>
              </w:rPr>
              <w:t>选择病区（或科室、患者）对列出的待摆的药品确认摆药。</w:t>
            </w:r>
          </w:p>
          <w:p w14:paraId="45C166B3">
            <w:pPr>
              <w:pStyle w:val="18"/>
              <w:rPr>
                <w:color w:val="auto"/>
              </w:rPr>
            </w:pPr>
            <w:r>
              <w:rPr>
                <w:rFonts w:hint="eastAsia"/>
                <w:color w:val="auto"/>
              </w:rPr>
              <w:t>住院代发药：住院药房之间可以代替发药，扣除发药药房库存。</w:t>
            </w:r>
          </w:p>
          <w:p w14:paraId="278DBAB8">
            <w:pPr>
              <w:pStyle w:val="18"/>
              <w:rPr>
                <w:color w:val="auto"/>
              </w:rPr>
            </w:pPr>
            <w:r>
              <w:rPr>
                <w:rFonts w:hint="eastAsia"/>
                <w:color w:val="auto"/>
              </w:rPr>
              <w:t>支持手术室/产房等非医嘱摆药。</w:t>
            </w:r>
          </w:p>
          <w:p w14:paraId="0340E895">
            <w:pPr>
              <w:pStyle w:val="18"/>
              <w:rPr>
                <w:color w:val="auto"/>
              </w:rPr>
            </w:pPr>
            <w:r>
              <w:rPr>
                <w:rFonts w:hint="eastAsia"/>
                <w:color w:val="auto"/>
              </w:rPr>
              <w:t>5.住院医嘱摆药</w:t>
            </w:r>
          </w:p>
          <w:p w14:paraId="6C275765">
            <w:pPr>
              <w:pStyle w:val="18"/>
              <w:rPr>
                <w:color w:val="auto"/>
              </w:rPr>
            </w:pPr>
            <w:r>
              <w:rPr>
                <w:rFonts w:hint="eastAsia"/>
                <w:color w:val="auto"/>
              </w:rPr>
              <w:t>前提是经过住院护士站审核和分解的药品医嘱，摆药时可以看到各病区、病区下的摆药单和各个摆药单下的患者，同时支持手术室等科室进行非医嘱摆药，选择其一保存进行摆药。</w:t>
            </w:r>
          </w:p>
          <w:p w14:paraId="3C50B189">
            <w:pPr>
              <w:pStyle w:val="18"/>
              <w:rPr>
                <w:color w:val="auto"/>
              </w:rPr>
            </w:pPr>
            <w:r>
              <w:rPr>
                <w:rFonts w:hint="eastAsia"/>
                <w:color w:val="auto"/>
              </w:rPr>
              <w:t>6.确认护士退药</w:t>
            </w:r>
          </w:p>
          <w:p w14:paraId="7EB79847">
            <w:pPr>
              <w:pStyle w:val="18"/>
              <w:rPr>
                <w:color w:val="auto"/>
              </w:rPr>
            </w:pPr>
            <w:r>
              <w:rPr>
                <w:rFonts w:hint="eastAsia"/>
                <w:color w:val="auto"/>
              </w:rPr>
              <w:t>显示护士站的退药申请，确认进行退药。</w:t>
            </w:r>
          </w:p>
          <w:p w14:paraId="6459CEE2">
            <w:pPr>
              <w:pStyle w:val="18"/>
              <w:rPr>
                <w:color w:val="auto"/>
              </w:rPr>
            </w:pPr>
            <w:r>
              <w:rPr>
                <w:rFonts w:hint="eastAsia"/>
                <w:color w:val="auto"/>
              </w:rPr>
              <w:t>7.查询统计</w:t>
            </w:r>
          </w:p>
          <w:p w14:paraId="64628DF0">
            <w:pPr>
              <w:pStyle w:val="18"/>
              <w:rPr>
                <w:color w:val="auto"/>
              </w:rPr>
            </w:pPr>
            <w:r>
              <w:rPr>
                <w:rFonts w:hint="eastAsia"/>
                <w:color w:val="auto"/>
              </w:rPr>
              <w:t>提供药房发药退药统计、住院发药工作量统计。</w:t>
            </w:r>
          </w:p>
        </w:tc>
      </w:tr>
      <w:tr w14:paraId="6040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5CFEC1A">
            <w:pPr>
              <w:pStyle w:val="18"/>
              <w:jc w:val="center"/>
              <w:rPr>
                <w:b w:val="0"/>
                <w:color w:val="auto"/>
              </w:rPr>
            </w:pPr>
            <w:r>
              <w:rPr>
                <w:rFonts w:hint="eastAsia"/>
                <w:b w:val="0"/>
                <w:color w:val="auto"/>
              </w:rPr>
              <w:t>执行确认管理</w:t>
            </w:r>
          </w:p>
        </w:tc>
        <w:tc>
          <w:tcPr>
            <w:tcW w:w="6579" w:type="dxa"/>
            <w:vAlign w:val="center"/>
          </w:tcPr>
          <w:p w14:paraId="14A1494F">
            <w:pPr>
              <w:pStyle w:val="18"/>
              <w:rPr>
                <w:color w:val="auto"/>
              </w:rPr>
            </w:pPr>
            <w:r>
              <w:rPr>
                <w:rFonts w:hint="eastAsia"/>
                <w:color w:val="auto"/>
              </w:rPr>
              <w:t>执行确认管理主要服务于医技科室，承担门诊和住院所有终端确认项目的执行确认和执行确认取消功能，同时也可以确认耗材等拓展功能，为医技科室的医生带来方便快捷的确认方式，支持一键确认和部分确认功能，灵活性很高</w:t>
            </w:r>
          </w:p>
          <w:p w14:paraId="0A862775">
            <w:pPr>
              <w:pStyle w:val="18"/>
              <w:rPr>
                <w:color w:val="auto"/>
              </w:rPr>
            </w:pPr>
            <w:r>
              <w:rPr>
                <w:rFonts w:hint="eastAsia"/>
                <w:color w:val="auto"/>
              </w:rPr>
              <w:t>1.门诊执行确认</w:t>
            </w:r>
          </w:p>
          <w:p w14:paraId="57A4591E">
            <w:pPr>
              <w:pStyle w:val="18"/>
              <w:rPr>
                <w:color w:val="auto"/>
              </w:rPr>
            </w:pPr>
            <w:r>
              <w:rPr>
                <w:rFonts w:hint="eastAsia"/>
                <w:color w:val="auto"/>
              </w:rPr>
              <w:t>在门诊患者开立医技项目并收费后，提供医技项目执行确认功能，医生可根据医技项目的实际执行情况，进行费用补划价。医技项目执行确认后，此项目将不能进行退费。</w:t>
            </w:r>
          </w:p>
          <w:p w14:paraId="56FBB4C8">
            <w:pPr>
              <w:pStyle w:val="18"/>
              <w:rPr>
                <w:color w:val="auto"/>
              </w:rPr>
            </w:pPr>
            <w:r>
              <w:rPr>
                <w:rFonts w:hint="eastAsia"/>
                <w:color w:val="auto"/>
              </w:rPr>
              <w:t>2.门诊执行取消确认</w:t>
            </w:r>
          </w:p>
          <w:p w14:paraId="1153312E">
            <w:pPr>
              <w:pStyle w:val="18"/>
              <w:rPr>
                <w:color w:val="auto"/>
              </w:rPr>
            </w:pPr>
            <w:r>
              <w:rPr>
                <w:rFonts w:hint="eastAsia"/>
                <w:color w:val="auto"/>
              </w:rPr>
              <w:t>在为患者进行完门诊执行确认后，如果患者因特殊原因不做此医技项目，可使用此功能进行确认取消，取消后此医技项目可进行退费。</w:t>
            </w:r>
          </w:p>
          <w:p w14:paraId="3F9260FE">
            <w:pPr>
              <w:pStyle w:val="18"/>
              <w:rPr>
                <w:color w:val="auto"/>
              </w:rPr>
            </w:pPr>
            <w:r>
              <w:rPr>
                <w:rFonts w:hint="eastAsia"/>
                <w:color w:val="auto"/>
              </w:rPr>
              <w:t>3.门诊执行确认查询</w:t>
            </w:r>
          </w:p>
          <w:p w14:paraId="6D9FBB59">
            <w:pPr>
              <w:pStyle w:val="18"/>
              <w:rPr>
                <w:color w:val="auto"/>
              </w:rPr>
            </w:pPr>
            <w:r>
              <w:rPr>
                <w:rFonts w:hint="eastAsia"/>
                <w:color w:val="auto"/>
              </w:rPr>
              <w:t>提供基本的查询功能，如工作量、费用等。</w:t>
            </w:r>
          </w:p>
          <w:p w14:paraId="23E345B0">
            <w:pPr>
              <w:pStyle w:val="18"/>
              <w:rPr>
                <w:color w:val="auto"/>
              </w:rPr>
            </w:pPr>
            <w:r>
              <w:rPr>
                <w:rFonts w:hint="eastAsia"/>
                <w:color w:val="auto"/>
              </w:rPr>
              <w:t>4.住院执行确认</w:t>
            </w:r>
          </w:p>
          <w:p w14:paraId="60F52A42">
            <w:pPr>
              <w:pStyle w:val="18"/>
              <w:rPr>
                <w:color w:val="auto"/>
              </w:rPr>
            </w:pPr>
            <w:r>
              <w:rPr>
                <w:rFonts w:hint="eastAsia"/>
                <w:color w:val="auto"/>
              </w:rPr>
              <w:t>在住院患者开立医技项目后，提供医技项目执行确认功能，并且在医技项目执行时收费，医生可根据医技项目的实际执行情况，进行费用补收。医技项目执行确认后，此项目将不能进行退费。</w:t>
            </w:r>
          </w:p>
          <w:p w14:paraId="3862FE18">
            <w:pPr>
              <w:pStyle w:val="18"/>
              <w:rPr>
                <w:color w:val="auto"/>
              </w:rPr>
            </w:pPr>
            <w:r>
              <w:rPr>
                <w:rFonts w:hint="eastAsia"/>
                <w:color w:val="auto"/>
              </w:rPr>
              <w:t>5.住院执行取消确认</w:t>
            </w:r>
          </w:p>
          <w:p w14:paraId="48BAA992">
            <w:pPr>
              <w:pStyle w:val="18"/>
              <w:rPr>
                <w:color w:val="auto"/>
              </w:rPr>
            </w:pPr>
            <w:r>
              <w:rPr>
                <w:rFonts w:hint="eastAsia"/>
                <w:color w:val="auto"/>
              </w:rPr>
              <w:t>在为患者进行完住院执行确认后，如果患者因特殊原因不做此医技项目，可使用此功能进行确认取消，取消后此医技项目才可进行退费。</w:t>
            </w:r>
          </w:p>
          <w:p w14:paraId="3C08317D">
            <w:pPr>
              <w:pStyle w:val="18"/>
              <w:rPr>
                <w:color w:val="auto"/>
              </w:rPr>
            </w:pPr>
            <w:r>
              <w:rPr>
                <w:rFonts w:hint="eastAsia"/>
                <w:color w:val="auto"/>
              </w:rPr>
              <w:t>6.住院执行确认查询</w:t>
            </w:r>
          </w:p>
          <w:p w14:paraId="215F4E05">
            <w:pPr>
              <w:pStyle w:val="18"/>
              <w:rPr>
                <w:color w:val="auto"/>
              </w:rPr>
            </w:pPr>
            <w:r>
              <w:rPr>
                <w:rFonts w:hint="eastAsia"/>
                <w:color w:val="auto"/>
              </w:rPr>
              <w:t>提供基本的查询功能，如工作量、费用等。</w:t>
            </w:r>
          </w:p>
        </w:tc>
      </w:tr>
      <w:tr w14:paraId="656A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4BE42A5">
            <w:pPr>
              <w:pStyle w:val="18"/>
              <w:jc w:val="center"/>
              <w:rPr>
                <w:b w:val="0"/>
                <w:color w:val="auto"/>
              </w:rPr>
            </w:pPr>
            <w:r>
              <w:rPr>
                <w:rFonts w:hint="eastAsia"/>
                <w:b w:val="0"/>
                <w:color w:val="auto"/>
              </w:rPr>
              <w:t>患者账户管理</w:t>
            </w:r>
          </w:p>
        </w:tc>
        <w:tc>
          <w:tcPr>
            <w:tcW w:w="6579" w:type="dxa"/>
            <w:vAlign w:val="center"/>
          </w:tcPr>
          <w:p w14:paraId="020F901B">
            <w:pPr>
              <w:pStyle w:val="18"/>
              <w:rPr>
                <w:color w:val="auto"/>
              </w:rPr>
            </w:pPr>
            <w:r>
              <w:rPr>
                <w:rFonts w:hint="eastAsia"/>
                <w:color w:val="auto"/>
              </w:rPr>
              <w:t>实现门诊办公室对院内就诊卡\电子健康卡\电子医保卡进行管理。</w:t>
            </w:r>
          </w:p>
          <w:p w14:paraId="2A181F52">
            <w:pPr>
              <w:pStyle w:val="18"/>
              <w:rPr>
                <w:color w:val="auto"/>
              </w:rPr>
            </w:pPr>
            <w:r>
              <w:rPr>
                <w:rFonts w:hint="eastAsia"/>
                <w:color w:val="auto"/>
              </w:rPr>
              <w:t>1.就诊卡发放</w:t>
            </w:r>
          </w:p>
          <w:p w14:paraId="7A765984">
            <w:pPr>
              <w:pStyle w:val="18"/>
              <w:rPr>
                <w:color w:val="auto"/>
              </w:rPr>
            </w:pPr>
            <w:r>
              <w:rPr>
                <w:rFonts w:hint="eastAsia"/>
                <w:color w:val="auto"/>
              </w:rPr>
              <w:t>为患者建立就诊卡，可使用实体卡、电子就诊卡、电子医保卡，用于门诊办公室收费人员为患者建立电子档案，导诊台或收费人员录入患者信息，或通过读取患者身份证、医保卡来获取个人信息帮助快速建档，并将信息保存，完成患者就诊卡发放。</w:t>
            </w:r>
          </w:p>
          <w:p w14:paraId="29550DCC">
            <w:pPr>
              <w:pStyle w:val="18"/>
              <w:rPr>
                <w:color w:val="auto"/>
              </w:rPr>
            </w:pPr>
            <w:r>
              <w:rPr>
                <w:rFonts w:hint="eastAsia"/>
                <w:color w:val="auto"/>
              </w:rPr>
              <w:t>通过挂号可支持就诊卡收取卡押金收取。门诊就诊卡与住院就诊卡通用，并支持多种介质充当就诊卡。</w:t>
            </w:r>
          </w:p>
          <w:p w14:paraId="3EFF13DD">
            <w:pPr>
              <w:pStyle w:val="18"/>
              <w:rPr>
                <w:color w:val="auto"/>
              </w:rPr>
            </w:pPr>
            <w:r>
              <w:rPr>
                <w:rFonts w:hint="eastAsia"/>
                <w:color w:val="auto"/>
              </w:rPr>
              <w:t>2.补办就诊卡</w:t>
            </w:r>
          </w:p>
          <w:p w14:paraId="5AA9ED6F">
            <w:pPr>
              <w:pStyle w:val="18"/>
              <w:rPr>
                <w:color w:val="auto"/>
              </w:rPr>
            </w:pPr>
            <w:r>
              <w:rPr>
                <w:rFonts w:hint="eastAsia"/>
                <w:color w:val="auto"/>
              </w:rPr>
              <w:t>如患者就诊卡遗失或损坏，通过就诊卡发放功能可查询出已建立档案的患者信息，并为患者进行就诊卡的补办或重新方法就诊卡。</w:t>
            </w:r>
          </w:p>
          <w:p w14:paraId="4406A798">
            <w:pPr>
              <w:pStyle w:val="18"/>
              <w:rPr>
                <w:color w:val="auto"/>
              </w:rPr>
            </w:pPr>
            <w:r>
              <w:rPr>
                <w:rFonts w:hint="eastAsia"/>
                <w:color w:val="auto"/>
              </w:rPr>
              <w:t>更换时可进行患者信息的更改，即时同步患者的最新信息，当输入原卡号与新卡号后完成给患者换卡的操作。</w:t>
            </w:r>
          </w:p>
          <w:p w14:paraId="4E585E1D">
            <w:pPr>
              <w:pStyle w:val="18"/>
              <w:rPr>
                <w:color w:val="auto"/>
              </w:rPr>
            </w:pPr>
            <w:r>
              <w:rPr>
                <w:rFonts w:hint="eastAsia"/>
                <w:color w:val="auto"/>
              </w:rPr>
              <w:t>3.退卡</w:t>
            </w:r>
          </w:p>
          <w:p w14:paraId="2F1F6DF4">
            <w:pPr>
              <w:pStyle w:val="18"/>
              <w:rPr>
                <w:color w:val="auto"/>
              </w:rPr>
            </w:pPr>
            <w:r>
              <w:rPr>
                <w:rFonts w:hint="eastAsia"/>
                <w:color w:val="auto"/>
              </w:rPr>
              <w:t>在患者结清账户后，通过就诊卡读取相关信息，完成退卡功能，并返还患者卡押金。</w:t>
            </w:r>
          </w:p>
          <w:p w14:paraId="63CA074D">
            <w:pPr>
              <w:pStyle w:val="18"/>
              <w:rPr>
                <w:color w:val="auto"/>
              </w:rPr>
            </w:pPr>
            <w:r>
              <w:rPr>
                <w:rFonts w:hint="eastAsia"/>
                <w:color w:val="auto"/>
              </w:rPr>
              <w:t>4.患者基本信息维护</w:t>
            </w:r>
          </w:p>
          <w:p w14:paraId="5886F0C2">
            <w:pPr>
              <w:pStyle w:val="18"/>
              <w:rPr>
                <w:color w:val="auto"/>
              </w:rPr>
            </w:pPr>
            <w:r>
              <w:rPr>
                <w:rFonts w:hint="eastAsia"/>
                <w:color w:val="auto"/>
              </w:rPr>
              <w:t>患者基本信息修改功能可实现对患者信息的修改，通过患者就诊卡号查询出系统中已建立的患者基本信息，并可通过此功能对患者姓名、性别、证件号、国籍、婚姻状况、出生地、现住地、手机号、工作单位、单位电话、联系人、联系地址、邮件、职业等信息进行修改。</w:t>
            </w:r>
          </w:p>
          <w:p w14:paraId="4BCF2FDF">
            <w:pPr>
              <w:pStyle w:val="18"/>
              <w:rPr>
                <w:color w:val="auto"/>
              </w:rPr>
            </w:pPr>
            <w:r>
              <w:rPr>
                <w:rFonts w:hint="eastAsia"/>
                <w:color w:val="auto"/>
              </w:rPr>
              <w:t>所修改的内容会与就诊卡号进行绑定，不会因修改患者信息而变更患者就诊卡号。</w:t>
            </w:r>
          </w:p>
          <w:p w14:paraId="666C5F57">
            <w:pPr>
              <w:pStyle w:val="18"/>
              <w:rPr>
                <w:color w:val="auto"/>
              </w:rPr>
            </w:pPr>
            <w:r>
              <w:rPr>
                <w:rFonts w:hint="eastAsia"/>
                <w:color w:val="auto"/>
              </w:rPr>
              <w:t>5.统计查询</w:t>
            </w:r>
          </w:p>
          <w:p w14:paraId="66928AEF">
            <w:pPr>
              <w:pStyle w:val="18"/>
              <w:rPr>
                <w:color w:val="auto"/>
              </w:rPr>
            </w:pPr>
            <w:r>
              <w:rPr>
                <w:rFonts w:hint="eastAsia"/>
                <w:color w:val="auto"/>
              </w:rPr>
              <w:t>可对就诊卡进行多维度的查询统计，其中包括账户扣费查询、门诊账户余额查询、门诊办卡统计、账户费用查询、预交金查询统计等，通过这些统计功能可实现对患者就诊卡信息，发卡、补卡、退卡、费用等信息的统计。</w:t>
            </w:r>
          </w:p>
          <w:p w14:paraId="1EE8D61B">
            <w:pPr>
              <w:pStyle w:val="18"/>
              <w:rPr>
                <w:color w:val="auto"/>
              </w:rPr>
            </w:pPr>
            <w:r>
              <w:rPr>
                <w:rFonts w:hint="eastAsia"/>
                <w:color w:val="auto"/>
              </w:rPr>
              <w:t>6</w:t>
            </w:r>
            <w:r>
              <w:rPr>
                <w:color w:val="auto"/>
              </w:rPr>
              <w:t>.</w:t>
            </w:r>
            <w:r>
              <w:rPr>
                <w:rFonts w:hint="eastAsia"/>
                <w:color w:val="auto"/>
              </w:rPr>
              <w:t>支持导入旧HIS系统中门诊预交金信息。</w:t>
            </w:r>
          </w:p>
        </w:tc>
      </w:tr>
      <w:tr w14:paraId="3CAC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534DE93">
            <w:pPr>
              <w:pStyle w:val="18"/>
              <w:jc w:val="center"/>
              <w:rPr>
                <w:b w:val="0"/>
                <w:color w:val="auto"/>
              </w:rPr>
            </w:pPr>
            <w:r>
              <w:rPr>
                <w:rFonts w:hint="eastAsia"/>
                <w:b w:val="0"/>
                <w:color w:val="auto"/>
              </w:rPr>
              <w:t>住院护士站</w:t>
            </w:r>
          </w:p>
        </w:tc>
        <w:tc>
          <w:tcPr>
            <w:tcW w:w="6579" w:type="dxa"/>
            <w:vAlign w:val="center"/>
          </w:tcPr>
          <w:p w14:paraId="184B8479">
            <w:pPr>
              <w:pStyle w:val="18"/>
              <w:rPr>
                <w:color w:val="auto"/>
              </w:rPr>
            </w:pPr>
            <w:r>
              <w:rPr>
                <w:rFonts w:hint="eastAsia"/>
                <w:color w:val="auto"/>
              </w:rPr>
              <w:t>护士进行日常工作的主体工作站，需提供患者管理、医嘱管理、医嘱执行管理、费用管理、报表查询、单据打印功能。</w:t>
            </w:r>
          </w:p>
          <w:p w14:paraId="2425CBFB">
            <w:pPr>
              <w:pStyle w:val="18"/>
              <w:rPr>
                <w:color w:val="auto"/>
              </w:rPr>
            </w:pPr>
            <w:r>
              <w:rPr>
                <w:rFonts w:hint="eastAsia"/>
                <w:color w:val="auto"/>
              </w:rPr>
              <w:t>1.病房管理</w:t>
            </w:r>
          </w:p>
          <w:p w14:paraId="590F3499">
            <w:pPr>
              <w:pStyle w:val="18"/>
              <w:rPr>
                <w:color w:val="auto"/>
              </w:rPr>
            </w:pPr>
            <w:r>
              <w:rPr>
                <w:rFonts w:hint="eastAsia"/>
                <w:color w:val="auto"/>
              </w:rPr>
              <w:t>接诊：给新住院的患者或者他科转入的患者分配病床，安排住院医师、主治医师、主任医师、责任护士。</w:t>
            </w:r>
          </w:p>
          <w:p w14:paraId="3761B84F">
            <w:pPr>
              <w:pStyle w:val="18"/>
              <w:rPr>
                <w:color w:val="auto"/>
              </w:rPr>
            </w:pPr>
            <w:r>
              <w:rPr>
                <w:rFonts w:hint="eastAsia"/>
                <w:color w:val="auto"/>
              </w:rPr>
              <w:t>包床、转床：给患者包住多张病床或调换病床。</w:t>
            </w:r>
          </w:p>
          <w:p w14:paraId="3AE889AA">
            <w:pPr>
              <w:pStyle w:val="18"/>
              <w:rPr>
                <w:color w:val="auto"/>
              </w:rPr>
            </w:pPr>
            <w:r>
              <w:rPr>
                <w:rFonts w:hint="eastAsia"/>
                <w:color w:val="auto"/>
              </w:rPr>
              <w:t>转科：给患者转科。</w:t>
            </w:r>
          </w:p>
          <w:p w14:paraId="05F605DE">
            <w:pPr>
              <w:pStyle w:val="18"/>
              <w:rPr>
                <w:color w:val="auto"/>
              </w:rPr>
            </w:pPr>
            <w:r>
              <w:rPr>
                <w:rFonts w:hint="eastAsia"/>
                <w:color w:val="auto"/>
              </w:rPr>
              <w:t>转病区：给患者转病区。</w:t>
            </w:r>
          </w:p>
          <w:p w14:paraId="4A4BD796">
            <w:pPr>
              <w:pStyle w:val="18"/>
              <w:rPr>
                <w:color w:val="auto"/>
              </w:rPr>
            </w:pPr>
            <w:r>
              <w:rPr>
                <w:rFonts w:hint="eastAsia"/>
                <w:color w:val="auto"/>
              </w:rPr>
              <w:t>换医师：给患者修改三级医师和责任护士</w:t>
            </w:r>
          </w:p>
          <w:p w14:paraId="5A9A6956">
            <w:pPr>
              <w:pStyle w:val="18"/>
              <w:rPr>
                <w:color w:val="auto"/>
              </w:rPr>
            </w:pPr>
            <w:r>
              <w:rPr>
                <w:rFonts w:hint="eastAsia"/>
                <w:color w:val="auto"/>
              </w:rPr>
              <w:t>婴儿登记：为产妇进行婴儿登记，填写新生儿基本信息。</w:t>
            </w:r>
          </w:p>
          <w:p w14:paraId="70C7EBE5">
            <w:pPr>
              <w:pStyle w:val="18"/>
              <w:rPr>
                <w:color w:val="auto"/>
              </w:rPr>
            </w:pPr>
            <w:r>
              <w:rPr>
                <w:rFonts w:hint="eastAsia"/>
                <w:color w:val="auto"/>
              </w:rPr>
              <w:t>出院登记：给患者进行出院登记。</w:t>
            </w:r>
          </w:p>
          <w:p w14:paraId="40B1A05C">
            <w:pPr>
              <w:pStyle w:val="18"/>
              <w:rPr>
                <w:color w:val="auto"/>
              </w:rPr>
            </w:pPr>
            <w:r>
              <w:rPr>
                <w:rFonts w:hint="eastAsia"/>
                <w:color w:val="auto"/>
              </w:rPr>
              <w:t>出院召回：给已出院登记但未结算的患者召回住院，并分配病床。</w:t>
            </w:r>
          </w:p>
          <w:p w14:paraId="7961C01C">
            <w:pPr>
              <w:pStyle w:val="18"/>
              <w:rPr>
                <w:color w:val="auto"/>
              </w:rPr>
            </w:pPr>
            <w:r>
              <w:rPr>
                <w:rFonts w:hint="eastAsia"/>
                <w:color w:val="auto"/>
              </w:rPr>
              <w:t>2.床位信息管理</w:t>
            </w:r>
          </w:p>
          <w:p w14:paraId="3613F872">
            <w:pPr>
              <w:pStyle w:val="18"/>
              <w:rPr>
                <w:color w:val="auto"/>
              </w:rPr>
            </w:pPr>
            <w:r>
              <w:rPr>
                <w:rFonts w:hint="eastAsia"/>
                <w:color w:val="auto"/>
              </w:rPr>
              <w:t>查询床位的床位等级、床位费、床位编制、使用状态以及对加床的维护。</w:t>
            </w:r>
          </w:p>
          <w:p w14:paraId="372EF413">
            <w:pPr>
              <w:pStyle w:val="18"/>
              <w:rPr>
                <w:color w:val="auto"/>
              </w:rPr>
            </w:pPr>
            <w:r>
              <w:rPr>
                <w:rFonts w:hint="eastAsia"/>
                <w:color w:val="auto"/>
              </w:rPr>
              <w:t>3.医嘱审核（接收、核对）管理</w:t>
            </w:r>
          </w:p>
          <w:p w14:paraId="1F563B65">
            <w:pPr>
              <w:pStyle w:val="18"/>
              <w:rPr>
                <w:color w:val="auto"/>
              </w:rPr>
            </w:pPr>
            <w:r>
              <w:rPr>
                <w:rFonts w:hint="eastAsia"/>
                <w:color w:val="auto"/>
              </w:rPr>
              <w:t>对新开立或新停止的医嘱进行审核，临时医嘱审核后产生执行数据，并发送到药房、医技等终端部门。</w:t>
            </w:r>
          </w:p>
          <w:p w14:paraId="4A3157E6">
            <w:pPr>
              <w:pStyle w:val="18"/>
              <w:rPr>
                <w:color w:val="auto"/>
              </w:rPr>
            </w:pPr>
            <w:r>
              <w:rPr>
                <w:rFonts w:hint="eastAsia"/>
                <w:color w:val="auto"/>
              </w:rPr>
              <w:t>4.医嘱自动分解</w:t>
            </w:r>
          </w:p>
          <w:p w14:paraId="6205F3F6">
            <w:pPr>
              <w:pStyle w:val="18"/>
              <w:rPr>
                <w:color w:val="auto"/>
              </w:rPr>
            </w:pPr>
            <w:r>
              <w:rPr>
                <w:rFonts w:hint="eastAsia"/>
                <w:color w:val="auto"/>
              </w:rPr>
              <w:t>对审核过的长期医嘱，按照频次自动分解出执行数据，并发送到药房、医技等终端部门。</w:t>
            </w:r>
          </w:p>
          <w:p w14:paraId="196D034E">
            <w:pPr>
              <w:pStyle w:val="18"/>
              <w:rPr>
                <w:color w:val="auto"/>
              </w:rPr>
            </w:pPr>
            <w:r>
              <w:rPr>
                <w:rFonts w:hint="eastAsia"/>
                <w:color w:val="auto"/>
              </w:rPr>
              <w:t>5.护士站收费</w:t>
            </w:r>
          </w:p>
          <w:p w14:paraId="06248023">
            <w:pPr>
              <w:pStyle w:val="18"/>
              <w:rPr>
                <w:color w:val="auto"/>
              </w:rPr>
            </w:pPr>
            <w:r>
              <w:rPr>
                <w:rFonts w:hint="eastAsia"/>
                <w:color w:val="auto"/>
              </w:rPr>
              <w:t>护士站进行手工计费，可以根据客户需求，选择是否可以批药品费用。</w:t>
            </w:r>
          </w:p>
          <w:p w14:paraId="4154660D">
            <w:pPr>
              <w:pStyle w:val="18"/>
              <w:rPr>
                <w:color w:val="auto"/>
              </w:rPr>
            </w:pPr>
            <w:r>
              <w:rPr>
                <w:rFonts w:hint="eastAsia"/>
                <w:color w:val="auto"/>
              </w:rPr>
              <w:t>6.护士站退费</w:t>
            </w:r>
          </w:p>
          <w:p w14:paraId="5DDBE86C">
            <w:pPr>
              <w:pStyle w:val="18"/>
              <w:rPr>
                <w:color w:val="auto"/>
              </w:rPr>
            </w:pPr>
            <w:r>
              <w:rPr>
                <w:rFonts w:hint="eastAsia"/>
                <w:color w:val="auto"/>
              </w:rPr>
              <w:t>护士站对非药品进行退费，可根据患者需要选择：（1）退费申请、确认退费流程；（2）直接退费流程。</w:t>
            </w:r>
          </w:p>
          <w:p w14:paraId="5870600F">
            <w:pPr>
              <w:pStyle w:val="18"/>
              <w:rPr>
                <w:color w:val="auto"/>
              </w:rPr>
            </w:pPr>
            <w:r>
              <w:rPr>
                <w:rFonts w:hint="eastAsia"/>
                <w:color w:val="auto"/>
              </w:rPr>
              <w:t>护士站对药品进行退费申请，药房确认后，可以退费。</w:t>
            </w:r>
          </w:p>
          <w:p w14:paraId="6A21FDB5">
            <w:pPr>
              <w:pStyle w:val="18"/>
              <w:rPr>
                <w:color w:val="auto"/>
              </w:rPr>
            </w:pPr>
            <w:r>
              <w:rPr>
                <w:rFonts w:hint="eastAsia"/>
                <w:color w:val="auto"/>
              </w:rPr>
              <w:t>7.费用核对</w:t>
            </w:r>
          </w:p>
          <w:p w14:paraId="350EF5ED">
            <w:pPr>
              <w:pStyle w:val="18"/>
              <w:rPr>
                <w:color w:val="auto"/>
              </w:rPr>
            </w:pPr>
            <w:r>
              <w:rPr>
                <w:rFonts w:hint="eastAsia"/>
                <w:color w:val="auto"/>
              </w:rPr>
              <w:t>对患者在院期间应收费用进行核对，防止由于人为或其他原因产生漏费、多收费的问题。</w:t>
            </w:r>
          </w:p>
          <w:p w14:paraId="19FD5187">
            <w:pPr>
              <w:pStyle w:val="18"/>
              <w:rPr>
                <w:color w:val="auto"/>
              </w:rPr>
            </w:pPr>
            <w:r>
              <w:rPr>
                <w:rFonts w:hint="eastAsia"/>
                <w:color w:val="auto"/>
              </w:rPr>
              <w:t>8.药品统领</w:t>
            </w:r>
          </w:p>
          <w:p w14:paraId="262D6603">
            <w:pPr>
              <w:pStyle w:val="18"/>
              <w:rPr>
                <w:color w:val="auto"/>
              </w:rPr>
            </w:pPr>
            <w:r>
              <w:rPr>
                <w:rFonts w:hint="eastAsia"/>
                <w:color w:val="auto"/>
              </w:rPr>
              <w:t>支持以护士统领的模式进行发药操作。即护士需要领药时进行统领操作，药房可以集中处理护士站的领药需求，将药品统一送到护士站手中。</w:t>
            </w:r>
          </w:p>
          <w:p w14:paraId="36AF3CE2">
            <w:pPr>
              <w:pStyle w:val="18"/>
              <w:rPr>
                <w:color w:val="auto"/>
              </w:rPr>
            </w:pPr>
            <w:r>
              <w:rPr>
                <w:rFonts w:hint="eastAsia"/>
                <w:color w:val="auto"/>
              </w:rPr>
              <w:t>9.护士站资料维护</w:t>
            </w:r>
          </w:p>
          <w:p w14:paraId="7BBF81FD">
            <w:pPr>
              <w:pStyle w:val="18"/>
              <w:rPr>
                <w:color w:val="auto"/>
              </w:rPr>
            </w:pPr>
            <w:r>
              <w:rPr>
                <w:rFonts w:hint="eastAsia"/>
                <w:color w:val="auto"/>
              </w:rPr>
              <w:t>对维护病床信息、附材信息、执行单、收费套餐、科室常用项目等信息的维护。</w:t>
            </w:r>
          </w:p>
          <w:p w14:paraId="7CEAC995">
            <w:pPr>
              <w:pStyle w:val="18"/>
              <w:rPr>
                <w:color w:val="auto"/>
              </w:rPr>
            </w:pPr>
            <w:r>
              <w:rPr>
                <w:rFonts w:hint="eastAsia"/>
                <w:color w:val="auto"/>
              </w:rPr>
              <w:t>10.警戒线设置</w:t>
            </w:r>
          </w:p>
          <w:p w14:paraId="564450F0">
            <w:pPr>
              <w:pStyle w:val="18"/>
              <w:rPr>
                <w:color w:val="auto"/>
              </w:rPr>
            </w:pPr>
            <w:r>
              <w:rPr>
                <w:rFonts w:hint="eastAsia"/>
                <w:color w:val="auto"/>
              </w:rPr>
              <w:t>维护病区内患者欠费警界线。</w:t>
            </w:r>
          </w:p>
          <w:p w14:paraId="15E1F21D">
            <w:pPr>
              <w:pStyle w:val="18"/>
              <w:rPr>
                <w:color w:val="auto"/>
              </w:rPr>
            </w:pPr>
            <w:r>
              <w:rPr>
                <w:rFonts w:hint="eastAsia"/>
                <w:color w:val="auto"/>
              </w:rPr>
              <w:t>11.其他功能</w:t>
            </w:r>
          </w:p>
          <w:p w14:paraId="1811FDBB">
            <w:pPr>
              <w:pStyle w:val="18"/>
              <w:rPr>
                <w:color w:val="auto"/>
              </w:rPr>
            </w:pPr>
            <w:r>
              <w:rPr>
                <w:rFonts w:hint="eastAsia"/>
                <w:color w:val="auto"/>
              </w:rPr>
              <w:t>医嘱审核时，具有添加、修改删除附加材料功能，有审核医嘱功能。</w:t>
            </w:r>
          </w:p>
          <w:p w14:paraId="053FB572">
            <w:pPr>
              <w:pStyle w:val="18"/>
              <w:rPr>
                <w:color w:val="auto"/>
              </w:rPr>
            </w:pPr>
            <w:r>
              <w:rPr>
                <w:rFonts w:hint="eastAsia"/>
                <w:color w:val="auto"/>
              </w:rPr>
              <w:t>提供准确的一日清单。</w:t>
            </w:r>
          </w:p>
          <w:p w14:paraId="782086F7">
            <w:pPr>
              <w:pStyle w:val="18"/>
              <w:rPr>
                <w:color w:val="auto"/>
              </w:rPr>
            </w:pPr>
            <w:r>
              <w:rPr>
                <w:rFonts w:hint="eastAsia"/>
                <w:color w:val="auto"/>
              </w:rPr>
              <w:t>提供查询病人欠费情况，并打印催缴通知单。</w:t>
            </w:r>
          </w:p>
          <w:p w14:paraId="12E6A68C">
            <w:pPr>
              <w:pStyle w:val="18"/>
              <w:rPr>
                <w:color w:val="auto"/>
              </w:rPr>
            </w:pPr>
            <w:r>
              <w:rPr>
                <w:rFonts w:hint="eastAsia"/>
                <w:color w:val="auto"/>
              </w:rPr>
              <w:t>具有病区床位使用情况一览表，病床信息包括：显示床号、住院号、姓名、性别、年龄、诊断、护理等级、费用情况等。</w:t>
            </w:r>
          </w:p>
          <w:p w14:paraId="3590033B">
            <w:pPr>
              <w:pStyle w:val="18"/>
              <w:rPr>
                <w:color w:val="auto"/>
              </w:rPr>
            </w:pPr>
            <w:r>
              <w:rPr>
                <w:rFonts w:hint="eastAsia"/>
                <w:color w:val="auto"/>
              </w:rPr>
              <w:t>可以查询病区一次性卫生材料领入量、消耗量、结余量。</w:t>
            </w:r>
          </w:p>
          <w:p w14:paraId="70D8B503">
            <w:pPr>
              <w:pStyle w:val="18"/>
              <w:rPr>
                <w:color w:val="auto"/>
              </w:rPr>
            </w:pPr>
            <w:r>
              <w:rPr>
                <w:rFonts w:hint="eastAsia"/>
                <w:color w:val="auto"/>
              </w:rPr>
              <w:t>具有按用法不同打印各种不同的医嘱执行单、巡回单、输液卡等单据。</w:t>
            </w:r>
          </w:p>
          <w:p w14:paraId="44A53857">
            <w:pPr>
              <w:pStyle w:val="18"/>
              <w:rPr>
                <w:color w:val="auto"/>
              </w:rPr>
            </w:pPr>
            <w:r>
              <w:rPr>
                <w:rFonts w:hint="eastAsia"/>
                <w:color w:val="auto"/>
              </w:rPr>
              <w:t>12.单据打印</w:t>
            </w:r>
          </w:p>
          <w:p w14:paraId="116F2C03">
            <w:pPr>
              <w:pStyle w:val="18"/>
              <w:rPr>
                <w:color w:val="auto"/>
              </w:rPr>
            </w:pPr>
            <w:r>
              <w:rPr>
                <w:rFonts w:hint="eastAsia"/>
                <w:color w:val="auto"/>
              </w:rPr>
              <w:t>输液卡：用于贴在输液液体表面，方便注射前核对和PDA扫描。</w:t>
            </w:r>
          </w:p>
          <w:p w14:paraId="70F830B9">
            <w:pPr>
              <w:pStyle w:val="18"/>
              <w:rPr>
                <w:color w:val="auto"/>
              </w:rPr>
            </w:pPr>
            <w:r>
              <w:rPr>
                <w:rFonts w:hint="eastAsia"/>
                <w:color w:val="auto"/>
              </w:rPr>
              <w:t>执行单：可以根据实际情况，设置每个执行单的内容，方便护士执行医嘱。</w:t>
            </w:r>
          </w:p>
          <w:p w14:paraId="7C722DE7">
            <w:pPr>
              <w:pStyle w:val="18"/>
              <w:rPr>
                <w:color w:val="auto"/>
              </w:rPr>
            </w:pPr>
            <w:r>
              <w:rPr>
                <w:rFonts w:hint="eastAsia"/>
                <w:color w:val="auto"/>
              </w:rPr>
              <w:t>治疗单：展示治疗项目，方便护士进行护理、治疗。</w:t>
            </w:r>
          </w:p>
          <w:p w14:paraId="4357EB22">
            <w:pPr>
              <w:pStyle w:val="18"/>
              <w:rPr>
                <w:color w:val="auto"/>
              </w:rPr>
            </w:pPr>
            <w:r>
              <w:rPr>
                <w:rFonts w:hint="eastAsia"/>
                <w:color w:val="auto"/>
              </w:rPr>
              <w:t>翻身卡：方便记录患者翻身情况。</w:t>
            </w:r>
          </w:p>
          <w:p w14:paraId="1EE446B4">
            <w:pPr>
              <w:pStyle w:val="18"/>
              <w:rPr>
                <w:color w:val="auto"/>
              </w:rPr>
            </w:pPr>
            <w:r>
              <w:rPr>
                <w:rFonts w:hint="eastAsia"/>
                <w:color w:val="auto"/>
              </w:rPr>
              <w:t>床头卡：记录患者信息。</w:t>
            </w:r>
          </w:p>
          <w:p w14:paraId="36792894">
            <w:pPr>
              <w:pStyle w:val="18"/>
              <w:rPr>
                <w:color w:val="auto"/>
              </w:rPr>
            </w:pPr>
            <w:r>
              <w:rPr>
                <w:rFonts w:hint="eastAsia"/>
                <w:color w:val="auto"/>
              </w:rPr>
              <w:t>13.查询统计</w:t>
            </w:r>
          </w:p>
          <w:p w14:paraId="611690A7">
            <w:pPr>
              <w:pStyle w:val="18"/>
              <w:rPr>
                <w:color w:val="auto"/>
              </w:rPr>
            </w:pPr>
            <w:r>
              <w:rPr>
                <w:rFonts w:hint="eastAsia"/>
                <w:color w:val="auto"/>
              </w:rPr>
              <w:t>患者一日清单：对在院患者一日费用明细进行查询。</w:t>
            </w:r>
          </w:p>
          <w:p w14:paraId="39B83D2C">
            <w:pPr>
              <w:pStyle w:val="18"/>
              <w:rPr>
                <w:color w:val="auto"/>
              </w:rPr>
            </w:pPr>
            <w:r>
              <w:rPr>
                <w:rFonts w:hint="eastAsia"/>
                <w:color w:val="auto"/>
              </w:rPr>
              <w:t>患者费用查询：查询患者入院期间所发生费用进行查询，其中包括预交金、药品明细、非药品明细、费用汇总信息、结算信息。</w:t>
            </w:r>
          </w:p>
          <w:p w14:paraId="6C0F870A">
            <w:pPr>
              <w:pStyle w:val="18"/>
              <w:rPr>
                <w:color w:val="auto"/>
              </w:rPr>
            </w:pPr>
            <w:r>
              <w:rPr>
                <w:rFonts w:hint="eastAsia"/>
                <w:color w:val="auto"/>
              </w:rPr>
              <w:t>医嘱执行情况查询：查询医嘱目前执行状态。</w:t>
            </w:r>
          </w:p>
          <w:p w14:paraId="2ABC8478">
            <w:pPr>
              <w:pStyle w:val="18"/>
              <w:rPr>
                <w:color w:val="auto"/>
              </w:rPr>
            </w:pPr>
            <w:r>
              <w:rPr>
                <w:rFonts w:hint="eastAsia"/>
                <w:color w:val="auto"/>
              </w:rPr>
              <w:t>医嘱摆药查询：护士站查询药房对当前科室的摆药情况。</w:t>
            </w:r>
          </w:p>
          <w:p w14:paraId="1D32B08F">
            <w:pPr>
              <w:pStyle w:val="18"/>
              <w:rPr>
                <w:color w:val="auto"/>
              </w:rPr>
            </w:pPr>
            <w:r>
              <w:rPr>
                <w:rFonts w:hint="eastAsia"/>
                <w:color w:val="auto"/>
              </w:rPr>
              <w:t>护士站退药查询：对患者已退药品进行查询。</w:t>
            </w:r>
          </w:p>
        </w:tc>
      </w:tr>
      <w:tr w14:paraId="4032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2EB5454">
            <w:pPr>
              <w:pStyle w:val="18"/>
              <w:jc w:val="center"/>
              <w:rPr>
                <w:b w:val="0"/>
                <w:color w:val="auto"/>
              </w:rPr>
            </w:pPr>
            <w:r>
              <w:rPr>
                <w:rFonts w:hint="eastAsia"/>
                <w:b w:val="0"/>
                <w:color w:val="auto"/>
              </w:rPr>
              <w:t>系统管理</w:t>
            </w:r>
          </w:p>
        </w:tc>
        <w:tc>
          <w:tcPr>
            <w:tcW w:w="6579" w:type="dxa"/>
            <w:vAlign w:val="center"/>
          </w:tcPr>
          <w:p w14:paraId="090EDF74">
            <w:pPr>
              <w:pStyle w:val="18"/>
              <w:rPr>
                <w:color w:val="auto"/>
              </w:rPr>
            </w:pPr>
            <w:r>
              <w:rPr>
                <w:rFonts w:hint="eastAsia"/>
                <w:color w:val="auto"/>
              </w:rPr>
              <w:t>系统管理主要用于进行系统基础配置。</w:t>
            </w:r>
          </w:p>
          <w:p w14:paraId="1A9F1CD1">
            <w:pPr>
              <w:pStyle w:val="18"/>
              <w:rPr>
                <w:color w:val="auto"/>
              </w:rPr>
            </w:pPr>
            <w:r>
              <w:rPr>
                <w:rFonts w:hint="eastAsia"/>
                <w:color w:val="auto"/>
              </w:rPr>
              <w:t>1.自动更新设置</w:t>
            </w:r>
          </w:p>
          <w:p w14:paraId="65212FD3">
            <w:pPr>
              <w:pStyle w:val="18"/>
              <w:rPr>
                <w:color w:val="auto"/>
              </w:rPr>
            </w:pPr>
            <w:r>
              <w:rPr>
                <w:rFonts w:hint="eastAsia"/>
                <w:color w:val="auto"/>
              </w:rPr>
              <w:t>提供程序的自动更新，和自动更新设置维护。</w:t>
            </w:r>
          </w:p>
          <w:p w14:paraId="4534B0CE">
            <w:pPr>
              <w:pStyle w:val="18"/>
              <w:rPr>
                <w:color w:val="auto"/>
              </w:rPr>
            </w:pPr>
            <w:r>
              <w:rPr>
                <w:rFonts w:hint="eastAsia"/>
                <w:color w:val="auto"/>
              </w:rPr>
              <w:t>2.资源管理</w:t>
            </w:r>
          </w:p>
          <w:p w14:paraId="116FB20B">
            <w:pPr>
              <w:pStyle w:val="18"/>
              <w:rPr>
                <w:color w:val="auto"/>
              </w:rPr>
            </w:pPr>
            <w:r>
              <w:rPr>
                <w:rFonts w:hint="eastAsia"/>
                <w:color w:val="auto"/>
              </w:rPr>
              <w:t>配置程序的菜单资源，常数资源，报表资源。</w:t>
            </w:r>
          </w:p>
          <w:p w14:paraId="050E165C">
            <w:pPr>
              <w:pStyle w:val="18"/>
              <w:rPr>
                <w:color w:val="auto"/>
              </w:rPr>
            </w:pPr>
            <w:r>
              <w:rPr>
                <w:rFonts w:hint="eastAsia"/>
                <w:color w:val="auto"/>
              </w:rPr>
              <w:t>3.资源授权</w:t>
            </w:r>
          </w:p>
          <w:p w14:paraId="087C6A0B">
            <w:pPr>
              <w:pStyle w:val="18"/>
              <w:rPr>
                <w:color w:val="auto"/>
              </w:rPr>
            </w:pPr>
            <w:r>
              <w:rPr>
                <w:rFonts w:hint="eastAsia"/>
                <w:color w:val="auto"/>
              </w:rPr>
              <w:t>对系统资源进行菜单，用户，常数，报表的授权管理。</w:t>
            </w:r>
          </w:p>
          <w:p w14:paraId="27FCD854">
            <w:pPr>
              <w:pStyle w:val="18"/>
              <w:rPr>
                <w:color w:val="auto"/>
              </w:rPr>
            </w:pPr>
            <w:r>
              <w:rPr>
                <w:rFonts w:hint="eastAsia"/>
                <w:color w:val="auto"/>
              </w:rPr>
              <w:t>4.权限维护与设置</w:t>
            </w:r>
          </w:p>
          <w:p w14:paraId="2A03C810">
            <w:pPr>
              <w:pStyle w:val="18"/>
              <w:rPr>
                <w:color w:val="auto"/>
              </w:rPr>
            </w:pPr>
            <w:r>
              <w:rPr>
                <w:rFonts w:hint="eastAsia"/>
                <w:color w:val="auto"/>
              </w:rPr>
              <w:t>对组织机构，血库，药库，住院处，医嘱权限，物资管理等模块的权限维护与设置。</w:t>
            </w:r>
          </w:p>
          <w:p w14:paraId="6E1ED478">
            <w:pPr>
              <w:pStyle w:val="18"/>
              <w:rPr>
                <w:color w:val="auto"/>
              </w:rPr>
            </w:pPr>
            <w:r>
              <w:rPr>
                <w:rFonts w:hint="eastAsia"/>
                <w:color w:val="auto"/>
              </w:rPr>
              <w:t>5.接口及参数配置</w:t>
            </w:r>
          </w:p>
          <w:p w14:paraId="2FC9E473">
            <w:pPr>
              <w:pStyle w:val="18"/>
              <w:rPr>
                <w:color w:val="auto"/>
              </w:rPr>
            </w:pPr>
            <w:r>
              <w:rPr>
                <w:rFonts w:hint="eastAsia"/>
                <w:color w:val="auto"/>
              </w:rPr>
              <w:t>维护系统公开接口的实现方式，控制参数等配置</w:t>
            </w:r>
          </w:p>
          <w:p w14:paraId="6F4DD622">
            <w:pPr>
              <w:pStyle w:val="18"/>
              <w:rPr>
                <w:color w:val="auto"/>
              </w:rPr>
            </w:pPr>
            <w:r>
              <w:rPr>
                <w:rFonts w:hint="eastAsia"/>
                <w:color w:val="auto"/>
              </w:rPr>
              <w:t>6.门诊收费参数设置</w:t>
            </w:r>
          </w:p>
          <w:p w14:paraId="181CC5B3">
            <w:pPr>
              <w:pStyle w:val="18"/>
              <w:rPr>
                <w:color w:val="auto"/>
              </w:rPr>
            </w:pPr>
            <w:r>
              <w:rPr>
                <w:rFonts w:hint="eastAsia"/>
                <w:color w:val="auto"/>
              </w:rPr>
              <w:t>设置门诊收费流程的相关参数。</w:t>
            </w:r>
          </w:p>
          <w:p w14:paraId="22D91482">
            <w:pPr>
              <w:pStyle w:val="18"/>
              <w:rPr>
                <w:color w:val="auto"/>
              </w:rPr>
            </w:pPr>
            <w:r>
              <w:rPr>
                <w:rFonts w:hint="eastAsia"/>
                <w:color w:val="auto"/>
              </w:rPr>
              <w:t>7.挂号参数设置</w:t>
            </w:r>
          </w:p>
          <w:p w14:paraId="7CF486B4">
            <w:pPr>
              <w:pStyle w:val="18"/>
              <w:rPr>
                <w:color w:val="auto"/>
              </w:rPr>
            </w:pPr>
            <w:r>
              <w:rPr>
                <w:rFonts w:hint="eastAsia"/>
                <w:color w:val="auto"/>
              </w:rPr>
              <w:t>设置门诊挂号流程相关的参数</w:t>
            </w:r>
          </w:p>
          <w:p w14:paraId="4BE0B288">
            <w:pPr>
              <w:pStyle w:val="18"/>
              <w:rPr>
                <w:color w:val="auto"/>
              </w:rPr>
            </w:pPr>
            <w:r>
              <w:rPr>
                <w:rFonts w:hint="eastAsia"/>
                <w:color w:val="auto"/>
              </w:rPr>
              <w:t>8.药房药库设置</w:t>
            </w:r>
          </w:p>
          <w:p w14:paraId="062DF116">
            <w:pPr>
              <w:pStyle w:val="18"/>
              <w:rPr>
                <w:color w:val="auto"/>
              </w:rPr>
            </w:pPr>
            <w:r>
              <w:rPr>
                <w:rFonts w:hint="eastAsia"/>
                <w:color w:val="auto"/>
              </w:rPr>
              <w:t>设置门诊药房，住院药房，药库的相关参数。</w:t>
            </w:r>
          </w:p>
          <w:p w14:paraId="2B869F20">
            <w:pPr>
              <w:pStyle w:val="18"/>
              <w:rPr>
                <w:color w:val="auto"/>
              </w:rPr>
            </w:pPr>
            <w:r>
              <w:rPr>
                <w:rFonts w:hint="eastAsia"/>
                <w:color w:val="auto"/>
              </w:rPr>
              <w:t>9.其他参数设置</w:t>
            </w:r>
          </w:p>
          <w:p w14:paraId="66936910">
            <w:pPr>
              <w:pStyle w:val="18"/>
              <w:rPr>
                <w:color w:val="auto"/>
              </w:rPr>
            </w:pPr>
            <w:r>
              <w:rPr>
                <w:rFonts w:hint="eastAsia"/>
                <w:color w:val="auto"/>
              </w:rPr>
              <w:t>设置其他模块相关的参数。</w:t>
            </w:r>
          </w:p>
        </w:tc>
      </w:tr>
      <w:tr w14:paraId="6A20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9ADBC6E">
            <w:pPr>
              <w:pStyle w:val="18"/>
              <w:jc w:val="center"/>
              <w:rPr>
                <w:b w:val="0"/>
                <w:color w:val="auto"/>
              </w:rPr>
            </w:pPr>
            <w:r>
              <w:rPr>
                <w:rFonts w:hint="eastAsia"/>
                <w:b w:val="0"/>
                <w:color w:val="auto"/>
              </w:rPr>
              <w:t>基本信息维护</w:t>
            </w:r>
          </w:p>
        </w:tc>
        <w:tc>
          <w:tcPr>
            <w:tcW w:w="6579" w:type="dxa"/>
            <w:vAlign w:val="center"/>
          </w:tcPr>
          <w:p w14:paraId="4922BF8C">
            <w:pPr>
              <w:pStyle w:val="18"/>
              <w:rPr>
                <w:color w:val="auto"/>
              </w:rPr>
            </w:pPr>
            <w:r>
              <w:rPr>
                <w:rFonts w:hint="eastAsia"/>
                <w:color w:val="auto"/>
              </w:rPr>
              <w:t>基本信息维护子系统主要用于维护系统运行中所使用到的基础数据。</w:t>
            </w:r>
          </w:p>
          <w:p w14:paraId="551B33CD">
            <w:pPr>
              <w:pStyle w:val="18"/>
              <w:rPr>
                <w:color w:val="auto"/>
              </w:rPr>
            </w:pPr>
            <w:r>
              <w:rPr>
                <w:rFonts w:hint="eastAsia"/>
                <w:color w:val="auto"/>
              </w:rPr>
              <w:t>1.用法维护</w:t>
            </w:r>
          </w:p>
          <w:p w14:paraId="0F9F266D">
            <w:pPr>
              <w:pStyle w:val="18"/>
              <w:rPr>
                <w:color w:val="auto"/>
              </w:rPr>
            </w:pPr>
            <w:r>
              <w:rPr>
                <w:rFonts w:hint="eastAsia"/>
                <w:color w:val="auto"/>
              </w:rPr>
              <w:t>该功能服务于信息科。用于标准化设置医院基础数据。维护药品医嘱的用法列表。</w:t>
            </w:r>
          </w:p>
          <w:p w14:paraId="6791ED1A">
            <w:pPr>
              <w:pStyle w:val="18"/>
              <w:rPr>
                <w:color w:val="auto"/>
              </w:rPr>
            </w:pPr>
            <w:r>
              <w:rPr>
                <w:rFonts w:hint="eastAsia"/>
                <w:color w:val="auto"/>
              </w:rPr>
              <w:t>2.最小费用维护</w:t>
            </w:r>
          </w:p>
          <w:p w14:paraId="6441DF8D">
            <w:pPr>
              <w:pStyle w:val="18"/>
              <w:rPr>
                <w:color w:val="auto"/>
              </w:rPr>
            </w:pPr>
            <w:r>
              <w:rPr>
                <w:rFonts w:hint="eastAsia"/>
                <w:color w:val="auto"/>
              </w:rPr>
              <w:t>该功能服务于信息科。用于标准化设置医院基础数据。维护系统可拆分为最小的费用统计类别维护。</w:t>
            </w:r>
          </w:p>
          <w:p w14:paraId="4E2A0DA5">
            <w:pPr>
              <w:pStyle w:val="18"/>
              <w:rPr>
                <w:color w:val="auto"/>
              </w:rPr>
            </w:pPr>
            <w:r>
              <w:rPr>
                <w:rFonts w:hint="eastAsia"/>
                <w:color w:val="auto"/>
              </w:rPr>
              <w:t>3.支付方式维护</w:t>
            </w:r>
          </w:p>
          <w:p w14:paraId="3E5A6296">
            <w:pPr>
              <w:pStyle w:val="18"/>
              <w:rPr>
                <w:color w:val="auto"/>
              </w:rPr>
            </w:pPr>
            <w:r>
              <w:rPr>
                <w:rFonts w:hint="eastAsia"/>
                <w:color w:val="auto"/>
              </w:rPr>
              <w:t>该功能服务于信息科或财务科。用于标准化设置医院基础数据。维护费用系统收取费用的支付方式列表。</w:t>
            </w:r>
          </w:p>
          <w:p w14:paraId="2C84E0B2">
            <w:pPr>
              <w:pStyle w:val="18"/>
              <w:rPr>
                <w:color w:val="auto"/>
              </w:rPr>
            </w:pPr>
            <w:r>
              <w:rPr>
                <w:rFonts w:hint="eastAsia"/>
                <w:color w:val="auto"/>
              </w:rPr>
              <w:t>4.样本类型维护</w:t>
            </w:r>
          </w:p>
          <w:p w14:paraId="00ACDC18">
            <w:pPr>
              <w:pStyle w:val="18"/>
              <w:rPr>
                <w:color w:val="auto"/>
              </w:rPr>
            </w:pPr>
            <w:r>
              <w:rPr>
                <w:rFonts w:hint="eastAsia"/>
                <w:color w:val="auto"/>
              </w:rPr>
              <w:t>该功能服务于信息科或检验科。用于标准化设置医院基础数据。维护检验，检查项目所需的样本类型列表。</w:t>
            </w:r>
          </w:p>
          <w:p w14:paraId="02842684">
            <w:pPr>
              <w:pStyle w:val="18"/>
              <w:rPr>
                <w:color w:val="auto"/>
              </w:rPr>
            </w:pPr>
            <w:r>
              <w:rPr>
                <w:rFonts w:hint="eastAsia"/>
                <w:color w:val="auto"/>
              </w:rPr>
              <w:t>5.频次维护</w:t>
            </w:r>
          </w:p>
          <w:p w14:paraId="22C6465C">
            <w:pPr>
              <w:pStyle w:val="18"/>
              <w:rPr>
                <w:color w:val="auto"/>
              </w:rPr>
            </w:pPr>
            <w:r>
              <w:rPr>
                <w:rFonts w:hint="eastAsia"/>
                <w:color w:val="auto"/>
              </w:rPr>
              <w:t>该功能服务于信息科。用于标准化设置医院基础数据。维护医嘱所需的频次列表，包括频次编码、中文名、时间点、等频次属性信息，符合HL7标准。</w:t>
            </w:r>
          </w:p>
          <w:p w14:paraId="2B860370">
            <w:pPr>
              <w:pStyle w:val="18"/>
              <w:rPr>
                <w:color w:val="auto"/>
              </w:rPr>
            </w:pPr>
            <w:r>
              <w:rPr>
                <w:rFonts w:hint="eastAsia"/>
                <w:color w:val="auto"/>
              </w:rPr>
              <w:t>6.科室分类维护</w:t>
            </w:r>
          </w:p>
          <w:p w14:paraId="4F3E99DE">
            <w:pPr>
              <w:pStyle w:val="18"/>
              <w:rPr>
                <w:color w:val="auto"/>
              </w:rPr>
            </w:pPr>
            <w:r>
              <w:rPr>
                <w:rFonts w:hint="eastAsia"/>
                <w:color w:val="auto"/>
              </w:rPr>
              <w:t>该功能服务于信息科或院办等职能部门。用于标准化设置医院基础数据。按照类别维护院内科室的从属关系，维护人员与科室的从属关系，维护人员所在科室的权限。</w:t>
            </w:r>
          </w:p>
          <w:p w14:paraId="2FA1C85B">
            <w:pPr>
              <w:pStyle w:val="18"/>
              <w:rPr>
                <w:color w:val="auto"/>
              </w:rPr>
            </w:pPr>
            <w:r>
              <w:rPr>
                <w:rFonts w:hint="eastAsia"/>
                <w:color w:val="auto"/>
              </w:rPr>
              <w:t>7.科常用项目维护</w:t>
            </w:r>
          </w:p>
          <w:p w14:paraId="6C902006">
            <w:pPr>
              <w:pStyle w:val="18"/>
              <w:rPr>
                <w:color w:val="auto"/>
              </w:rPr>
            </w:pPr>
            <w:r>
              <w:rPr>
                <w:rFonts w:hint="eastAsia"/>
                <w:color w:val="auto"/>
              </w:rPr>
              <w:t>该功能服务于院办或各个科室等。用于标准化设置医院基础数据。维护科室常用诊疗项目目录，方便检索和录入。</w:t>
            </w:r>
          </w:p>
          <w:p w14:paraId="702985A1">
            <w:pPr>
              <w:pStyle w:val="18"/>
              <w:rPr>
                <w:color w:val="auto"/>
              </w:rPr>
            </w:pPr>
            <w:r>
              <w:rPr>
                <w:rFonts w:hint="eastAsia"/>
                <w:color w:val="auto"/>
              </w:rPr>
              <w:t>8.其他常数维护</w:t>
            </w:r>
          </w:p>
          <w:p w14:paraId="03F870A5">
            <w:pPr>
              <w:pStyle w:val="18"/>
              <w:rPr>
                <w:color w:val="auto"/>
              </w:rPr>
            </w:pPr>
            <w:r>
              <w:rPr>
                <w:rFonts w:hint="eastAsia"/>
                <w:color w:val="auto"/>
              </w:rPr>
              <w:t>该功能服务于信息科或各大使用科室等。用于标准化设置医院基础数据。维护其他一些系统内需要的常数，例如民族、转归、性别、检查部位、输血反应、诊断分期、诊断分级、职业、职务等信息。</w:t>
            </w:r>
          </w:p>
          <w:p w14:paraId="6D0626DB">
            <w:pPr>
              <w:pStyle w:val="18"/>
              <w:rPr>
                <w:color w:val="auto"/>
              </w:rPr>
            </w:pPr>
            <w:r>
              <w:rPr>
                <w:rFonts w:hint="eastAsia"/>
                <w:color w:val="auto"/>
              </w:rPr>
              <w:t>9.医疗组维护</w:t>
            </w:r>
          </w:p>
          <w:p w14:paraId="200D9340">
            <w:pPr>
              <w:pStyle w:val="18"/>
              <w:rPr>
                <w:color w:val="auto"/>
              </w:rPr>
            </w:pPr>
            <w:r>
              <w:rPr>
                <w:rFonts w:hint="eastAsia"/>
                <w:color w:val="auto"/>
              </w:rPr>
              <w:t>该功能服务于院办或信息科。用于标准化设置医院基础数据。维护医院内的医疗组信息。</w:t>
            </w:r>
          </w:p>
          <w:p w14:paraId="43D6C31C">
            <w:pPr>
              <w:pStyle w:val="18"/>
              <w:rPr>
                <w:color w:val="auto"/>
              </w:rPr>
            </w:pPr>
            <w:r>
              <w:rPr>
                <w:rFonts w:hint="eastAsia"/>
                <w:color w:val="auto"/>
              </w:rPr>
              <w:t>10.科室基本信息维护</w:t>
            </w:r>
          </w:p>
          <w:p w14:paraId="2107E03E">
            <w:pPr>
              <w:pStyle w:val="18"/>
              <w:rPr>
                <w:color w:val="auto"/>
              </w:rPr>
            </w:pPr>
            <w:r>
              <w:rPr>
                <w:rFonts w:hint="eastAsia"/>
                <w:color w:val="auto"/>
              </w:rPr>
              <w:t>该功能服务于院办或信息科。用于标准化设置医院基础数据。包括科室编码、名称、分类、、所属院区等科室的基本信息维护。</w:t>
            </w:r>
          </w:p>
          <w:p w14:paraId="4632608C">
            <w:pPr>
              <w:pStyle w:val="18"/>
              <w:rPr>
                <w:color w:val="auto"/>
              </w:rPr>
            </w:pPr>
            <w:r>
              <w:rPr>
                <w:rFonts w:hint="eastAsia"/>
                <w:color w:val="auto"/>
              </w:rPr>
              <w:t>11.人员基本信息维护</w:t>
            </w:r>
          </w:p>
          <w:p w14:paraId="15AEB347">
            <w:pPr>
              <w:pStyle w:val="18"/>
              <w:rPr>
                <w:color w:val="auto"/>
              </w:rPr>
            </w:pPr>
            <w:r>
              <w:rPr>
                <w:rFonts w:hint="eastAsia"/>
                <w:color w:val="auto"/>
              </w:rPr>
              <w:t>该功能服务于院办或信息科。用于标准化设置医院基础数据。包括医院医生、护士、收费员、医技科室人员等人员的基本信息维护。</w:t>
            </w:r>
          </w:p>
        </w:tc>
      </w:tr>
      <w:tr w14:paraId="5899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8BBB87E">
            <w:pPr>
              <w:pStyle w:val="18"/>
              <w:jc w:val="center"/>
              <w:rPr>
                <w:b w:val="0"/>
                <w:color w:val="auto"/>
              </w:rPr>
            </w:pPr>
            <w:r>
              <w:rPr>
                <w:rFonts w:hint="eastAsia"/>
                <w:b w:val="0"/>
                <w:color w:val="auto"/>
              </w:rPr>
              <w:t>医保类接口</w:t>
            </w:r>
          </w:p>
        </w:tc>
        <w:tc>
          <w:tcPr>
            <w:tcW w:w="6579" w:type="dxa"/>
            <w:vAlign w:val="center"/>
          </w:tcPr>
          <w:p w14:paraId="54A1A73E">
            <w:pPr>
              <w:pStyle w:val="18"/>
              <w:rPr>
                <w:color w:val="auto"/>
              </w:rPr>
            </w:pPr>
            <w:r>
              <w:rPr>
                <w:rFonts w:hint="eastAsia"/>
                <w:color w:val="auto"/>
              </w:rPr>
              <w:t>需包含医保两定对接、工伤接口、商业保险以及项目建设期内所有已知的医保管理部门要求的对接接口。</w:t>
            </w:r>
          </w:p>
        </w:tc>
      </w:tr>
      <w:tr w14:paraId="4DA9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1E29B5F">
            <w:pPr>
              <w:pStyle w:val="18"/>
              <w:jc w:val="center"/>
              <w:rPr>
                <w:b w:val="0"/>
                <w:color w:val="auto"/>
              </w:rPr>
            </w:pPr>
            <w:r>
              <w:rPr>
                <w:rFonts w:hint="eastAsia"/>
                <w:b w:val="0"/>
                <w:color w:val="auto"/>
              </w:rPr>
              <w:t>其他接口</w:t>
            </w:r>
          </w:p>
        </w:tc>
        <w:tc>
          <w:tcPr>
            <w:tcW w:w="6579" w:type="dxa"/>
            <w:vAlign w:val="center"/>
          </w:tcPr>
          <w:p w14:paraId="0D6F44AF">
            <w:pPr>
              <w:pStyle w:val="18"/>
              <w:rPr>
                <w:color w:val="auto"/>
              </w:rPr>
            </w:pPr>
            <w:r>
              <w:rPr>
                <w:rFonts w:hint="eastAsia"/>
                <w:color w:val="auto"/>
              </w:rPr>
              <w:t>需包含财务系统接口、银医接口、电子健康卡接口及院内应用、智慧服务（患者移动端、自助服务系统）接口、对账平台接口、检查检验互认接口、支付宝医保移动支付接口以及项目建设期质保期内上级管理部门及外部机构要求的对接接口。</w:t>
            </w:r>
          </w:p>
          <w:p w14:paraId="00AAB7C2">
            <w:pPr>
              <w:pStyle w:val="18"/>
              <w:rPr>
                <w:color w:val="auto"/>
              </w:rPr>
            </w:pPr>
            <w:r>
              <w:rPr>
                <w:rFonts w:hint="eastAsia"/>
                <w:color w:val="auto"/>
              </w:rPr>
              <w:t>需利旧接口包括：</w:t>
            </w:r>
          </w:p>
          <w:p w14:paraId="30583A36">
            <w:pPr>
              <w:pStyle w:val="18"/>
              <w:rPr>
                <w:color w:val="auto"/>
              </w:rPr>
            </w:pPr>
            <w:r>
              <w:rPr>
                <w:rFonts w:hint="eastAsia"/>
                <w:color w:val="auto"/>
              </w:rPr>
              <w:t>1.传染病智能监测预警前置软件数据采集接口开发服务；</w:t>
            </w:r>
          </w:p>
          <w:p w14:paraId="43BDEDF4">
            <w:pPr>
              <w:pStyle w:val="18"/>
              <w:rPr>
                <w:color w:val="auto"/>
              </w:rPr>
            </w:pPr>
            <w:r>
              <w:rPr>
                <w:rFonts w:hint="eastAsia"/>
                <w:color w:val="auto"/>
              </w:rPr>
              <w:t>2.门（急）诊诊疗信息页及数据上报开发服务；</w:t>
            </w:r>
          </w:p>
          <w:p w14:paraId="685E81CB">
            <w:pPr>
              <w:pStyle w:val="18"/>
              <w:rPr>
                <w:color w:val="auto"/>
              </w:rPr>
            </w:pPr>
            <w:r>
              <w:rPr>
                <w:rFonts w:hint="eastAsia"/>
                <w:color w:val="auto"/>
              </w:rPr>
              <w:t>3.异常病例数据上报开发服务；</w:t>
            </w:r>
          </w:p>
          <w:p w14:paraId="0CA62A4E">
            <w:pPr>
              <w:pStyle w:val="18"/>
              <w:rPr>
                <w:color w:val="auto"/>
              </w:rPr>
            </w:pPr>
            <w:r>
              <w:rPr>
                <w:rFonts w:hint="eastAsia"/>
                <w:color w:val="auto"/>
              </w:rPr>
              <w:t>4.陕西省医保药品耗材追溯信息采集开发服务；</w:t>
            </w:r>
          </w:p>
          <w:p w14:paraId="5DB1B8D8">
            <w:pPr>
              <w:pStyle w:val="18"/>
              <w:rPr>
                <w:color w:val="auto"/>
              </w:rPr>
            </w:pPr>
            <w:r>
              <w:rPr>
                <w:rFonts w:hint="eastAsia"/>
                <w:color w:val="auto"/>
              </w:rPr>
              <w:t>5.医疗保障事前、事中智能监管系统对接开发服务；</w:t>
            </w:r>
          </w:p>
          <w:p w14:paraId="060D0D64">
            <w:pPr>
              <w:pStyle w:val="18"/>
              <w:rPr>
                <w:color w:val="auto"/>
              </w:rPr>
            </w:pPr>
            <w:r>
              <w:rPr>
                <w:rFonts w:hint="eastAsia"/>
                <w:color w:val="auto"/>
              </w:rPr>
              <w:t>6.医保电子处方流转对接开发服务；</w:t>
            </w:r>
          </w:p>
          <w:p w14:paraId="3DC75D6A">
            <w:pPr>
              <w:pStyle w:val="18"/>
              <w:rPr>
                <w:color w:val="auto"/>
              </w:rPr>
            </w:pPr>
            <w:r>
              <w:rPr>
                <w:rFonts w:hint="eastAsia"/>
                <w:color w:val="auto"/>
              </w:rPr>
              <w:t>7.食源性上报接口；</w:t>
            </w:r>
          </w:p>
          <w:p w14:paraId="24578C2B">
            <w:pPr>
              <w:pStyle w:val="18"/>
              <w:rPr>
                <w:rFonts w:hint="eastAsia" w:eastAsia="宋体"/>
                <w:color w:val="auto"/>
                <w:lang w:eastAsia="zh-CN"/>
              </w:rPr>
            </w:pPr>
            <w:r>
              <w:rPr>
                <w:rFonts w:hint="eastAsia"/>
                <w:color w:val="auto"/>
              </w:rPr>
              <w:t>8.电子发票接口</w:t>
            </w:r>
            <w:r>
              <w:rPr>
                <w:rFonts w:hint="eastAsia"/>
                <w:color w:val="auto"/>
                <w:lang w:eastAsia="zh-CN"/>
              </w:rPr>
              <w:t>；</w:t>
            </w:r>
          </w:p>
          <w:p w14:paraId="7813BC6A">
            <w:pPr>
              <w:rPr>
                <w:color w:val="auto"/>
              </w:rPr>
            </w:pPr>
            <w:r>
              <w:rPr>
                <w:rFonts w:hint="eastAsia"/>
                <w:color w:val="auto"/>
                <w:lang w:val="en-US" w:eastAsia="zh-CN"/>
              </w:rPr>
              <w:t>9.</w:t>
            </w:r>
            <w:r>
              <w:rPr>
                <w:rFonts w:hint="eastAsia"/>
                <w:color w:val="auto"/>
              </w:rPr>
              <w:t>区域平台等政策性上报接口。</w:t>
            </w:r>
          </w:p>
        </w:tc>
      </w:tr>
    </w:tbl>
    <w:p w14:paraId="696D98CD">
      <w:pPr>
        <w:pStyle w:val="4"/>
        <w:numPr>
          <w:ilvl w:val="1"/>
          <w:numId w:val="0"/>
        </w:numPr>
        <w:ind w:left="576" w:leftChars="0" w:hanging="576" w:firstLineChars="0"/>
        <w:rPr>
          <w:color w:val="auto"/>
        </w:rPr>
      </w:pPr>
      <w:bookmarkStart w:id="130" w:name="_Toc208646524"/>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w:t>
      </w:r>
      <w:r>
        <w:rPr>
          <w:rFonts w:hint="eastAsia"/>
          <w:color w:val="auto"/>
        </w:rPr>
        <w:t>一体化医生工作站（EMR）</w:t>
      </w:r>
      <w:bookmarkEnd w:id="130"/>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4027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2C8BE0CB">
            <w:pPr>
              <w:pStyle w:val="18"/>
              <w:jc w:val="center"/>
              <w:rPr>
                <w:b w:val="0"/>
                <w:color w:val="auto"/>
              </w:rPr>
            </w:pPr>
            <w:bookmarkStart w:id="131" w:name="_Hlk204103736"/>
            <w:r>
              <w:rPr>
                <w:rFonts w:hint="eastAsia"/>
                <w:b/>
                <w:color w:val="auto"/>
              </w:rPr>
              <w:t>系统名称</w:t>
            </w:r>
          </w:p>
        </w:tc>
        <w:tc>
          <w:tcPr>
            <w:tcW w:w="6579" w:type="dxa"/>
            <w:shd w:val="clear" w:color="auto" w:fill="BEBEBE" w:themeFill="background1" w:themeFillShade="BF"/>
            <w:vAlign w:val="center"/>
          </w:tcPr>
          <w:p w14:paraId="0D3B89F1">
            <w:pPr>
              <w:pStyle w:val="18"/>
              <w:rPr>
                <w:b/>
                <w:color w:val="auto"/>
              </w:rPr>
            </w:pPr>
            <w:r>
              <w:rPr>
                <w:rFonts w:hint="eastAsia"/>
                <w:b/>
                <w:color w:val="auto"/>
              </w:rPr>
              <w:t>一体化医生工作站（EMR）</w:t>
            </w:r>
          </w:p>
        </w:tc>
      </w:tr>
      <w:tr w14:paraId="31BB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854ABFE">
            <w:pPr>
              <w:pStyle w:val="18"/>
              <w:jc w:val="center"/>
              <w:rPr>
                <w:b/>
                <w:bCs/>
                <w:color w:val="auto"/>
              </w:rPr>
            </w:pPr>
            <w:r>
              <w:rPr>
                <w:rFonts w:hint="eastAsia"/>
                <w:b/>
                <w:bCs/>
                <w:color w:val="auto"/>
              </w:rPr>
              <w:t>系统概述</w:t>
            </w:r>
          </w:p>
        </w:tc>
        <w:tc>
          <w:tcPr>
            <w:tcW w:w="6579" w:type="dxa"/>
            <w:vAlign w:val="center"/>
          </w:tcPr>
          <w:p w14:paraId="73570CB5">
            <w:pPr>
              <w:pStyle w:val="18"/>
              <w:rPr>
                <w:color w:val="auto"/>
              </w:rPr>
            </w:pPr>
            <w:r>
              <w:rPr>
                <w:rFonts w:hint="eastAsia"/>
                <w:color w:val="auto"/>
              </w:rPr>
              <w:t>医生工作站系统需对标电子病历（智慧医疗）4级标准进行升级，并实现与相关业务系统的对接，升级需保障医院历史数据的集成及业务的稳定衔接，需满足医院临床科室对信息化功能的应用需求。</w:t>
            </w:r>
          </w:p>
          <w:p w14:paraId="6D8F68FF">
            <w:pPr>
              <w:pStyle w:val="18"/>
              <w:rPr>
                <w:bCs/>
                <w:color w:val="auto"/>
              </w:rPr>
            </w:pPr>
            <w:r>
              <w:rPr>
                <w:rFonts w:hint="eastAsia"/>
                <w:bCs/>
                <w:color w:val="auto"/>
              </w:rPr>
              <w:t>以医疗工作者为核心的医疗过程和管理是医院业务的核心，</w:t>
            </w:r>
            <w:bookmarkStart w:id="132" w:name="_Hlk204103696"/>
            <w:r>
              <w:rPr>
                <w:rFonts w:hint="eastAsia"/>
                <w:bCs/>
                <w:color w:val="auto"/>
              </w:rPr>
              <w:t>一体化的医生应用体验是指以电子医嘱为驱动，以电子病历为核心，提供便捷的“一站式”操作功能，能够帮助医院更好地支撑核心业务高效运行和精细化管理，提升服务水平，改善工作效率，提高医疗质量。</w:t>
            </w:r>
            <w:bookmarkEnd w:id="132"/>
          </w:p>
        </w:tc>
      </w:tr>
      <w:tr w14:paraId="2662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33ADAB8">
            <w:pPr>
              <w:pStyle w:val="18"/>
              <w:jc w:val="center"/>
              <w:rPr>
                <w:b/>
                <w:color w:val="auto"/>
              </w:rPr>
            </w:pPr>
            <w:r>
              <w:rPr>
                <w:rFonts w:hint="eastAsia"/>
                <w:b/>
                <w:color w:val="auto"/>
              </w:rPr>
              <w:t>子项名称</w:t>
            </w:r>
          </w:p>
        </w:tc>
        <w:tc>
          <w:tcPr>
            <w:tcW w:w="6579" w:type="dxa"/>
            <w:vAlign w:val="center"/>
          </w:tcPr>
          <w:p w14:paraId="53E57FBD">
            <w:pPr>
              <w:pStyle w:val="18"/>
              <w:jc w:val="center"/>
              <w:rPr>
                <w:b/>
                <w:color w:val="auto"/>
              </w:rPr>
            </w:pPr>
            <w:r>
              <w:rPr>
                <w:rFonts w:hint="eastAsia"/>
                <w:b/>
                <w:color w:val="auto"/>
              </w:rPr>
              <w:t>技术和功能配置要求</w:t>
            </w:r>
          </w:p>
        </w:tc>
      </w:tr>
      <w:tr w14:paraId="5441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33D826F">
            <w:pPr>
              <w:pStyle w:val="18"/>
              <w:jc w:val="center"/>
              <w:rPr>
                <w:b w:val="0"/>
                <w:color w:val="auto"/>
              </w:rPr>
            </w:pPr>
            <w:r>
              <w:rPr>
                <w:rFonts w:hint="eastAsia"/>
                <w:b w:val="0"/>
                <w:color w:val="auto"/>
              </w:rPr>
              <w:t>门诊医生</w:t>
            </w:r>
          </w:p>
          <w:p w14:paraId="09C1A947">
            <w:pPr>
              <w:pStyle w:val="18"/>
              <w:jc w:val="center"/>
              <w:rPr>
                <w:b w:val="0"/>
                <w:color w:val="auto"/>
              </w:rPr>
            </w:pPr>
            <w:r>
              <w:rPr>
                <w:rFonts w:hint="eastAsia"/>
                <w:b w:val="0"/>
                <w:color w:val="auto"/>
              </w:rPr>
              <w:t>工作站</w:t>
            </w:r>
          </w:p>
        </w:tc>
        <w:tc>
          <w:tcPr>
            <w:tcW w:w="6579" w:type="dxa"/>
            <w:vAlign w:val="center"/>
          </w:tcPr>
          <w:p w14:paraId="6587D12C">
            <w:pPr>
              <w:pStyle w:val="18"/>
              <w:rPr>
                <w:color w:val="auto"/>
              </w:rPr>
            </w:pPr>
            <w:r>
              <w:rPr>
                <w:rFonts w:hint="eastAsia"/>
                <w:color w:val="auto"/>
              </w:rPr>
              <w:t>门诊医生工作站主要帮助医院门诊业务实现高效精细化管理，提高工作效率，保障患者看诊效果。</w:t>
            </w:r>
          </w:p>
          <w:p w14:paraId="267070A9">
            <w:pPr>
              <w:pStyle w:val="18"/>
              <w:rPr>
                <w:color w:val="auto"/>
              </w:rPr>
            </w:pPr>
            <w:r>
              <w:rPr>
                <w:rFonts w:hint="eastAsia"/>
                <w:color w:val="auto"/>
              </w:rPr>
              <w:t>门诊医生工作站是门诊医生看诊的医事主体，要求系统需支持患者列表展示、门诊处方开立、门诊诊断、门诊病历书写的基本功能，需支持最大限度的展示患者信息资源（挂号信息、治疗信息、历史诊疗信息），并基于实现相关查询快速定位。需支持以医生看诊为主体整合各项医疗资源（检查、检验、输血、预约住院）通过医嘱开立（药品、治疗、材料、医技申请单、预约单、指引单）的形式完成患者于门诊的诊疗。</w:t>
            </w:r>
          </w:p>
          <w:p w14:paraId="429EB78B">
            <w:pPr>
              <w:pStyle w:val="18"/>
              <w:rPr>
                <w:color w:val="auto"/>
              </w:rPr>
            </w:pPr>
            <w:r>
              <w:rPr>
                <w:rFonts w:hint="eastAsia"/>
                <w:color w:val="auto"/>
              </w:rPr>
              <w:t>功能需包括门诊医生站、诊断履历、患者组件、门诊医嘱、门诊病历、门诊诊断、门诊报告查看、办理入院，具体要求如下：</w:t>
            </w:r>
          </w:p>
          <w:p w14:paraId="5DF43985">
            <w:pPr>
              <w:pStyle w:val="18"/>
              <w:rPr>
                <w:bCs/>
                <w:color w:val="auto"/>
              </w:rPr>
            </w:pPr>
            <w:r>
              <w:rPr>
                <w:rFonts w:hint="eastAsia"/>
                <w:bCs/>
                <w:color w:val="auto"/>
              </w:rPr>
              <w:t>（一）门诊医生站</w:t>
            </w:r>
          </w:p>
          <w:p w14:paraId="7D4F7DFA">
            <w:pPr>
              <w:pStyle w:val="18"/>
              <w:rPr>
                <w:color w:val="auto"/>
              </w:rPr>
            </w:pPr>
            <w:r>
              <w:rPr>
                <w:rFonts w:hint="eastAsia"/>
                <w:color w:val="auto"/>
              </w:rPr>
              <w:t>门诊医生站主要用于门诊医生对挂号患者进行有序看诊过程，需支持患者分诊叫号、患者查询，帮助医生按序对患者进行看诊以及能够快速定位患者进行查看治疗。</w:t>
            </w:r>
          </w:p>
          <w:p w14:paraId="6DA0D7C7">
            <w:pPr>
              <w:pStyle w:val="18"/>
              <w:rPr>
                <w:color w:val="auto"/>
              </w:rPr>
            </w:pPr>
            <w:r>
              <w:rPr>
                <w:rFonts w:hint="eastAsia"/>
                <w:color w:val="auto"/>
              </w:rPr>
              <w:t>1.患者查询</w:t>
            </w:r>
          </w:p>
          <w:p w14:paraId="4E82E627">
            <w:pPr>
              <w:pStyle w:val="18"/>
              <w:rPr>
                <w:color w:val="auto"/>
              </w:rPr>
            </w:pPr>
            <w:r>
              <w:rPr>
                <w:rFonts w:hint="eastAsia"/>
                <w:color w:val="auto"/>
              </w:rPr>
              <w:t>需支持多种方式的患者查询功能，帮助医生快速检索定位患者，提高工作效率。</w:t>
            </w:r>
          </w:p>
          <w:p w14:paraId="0EC43F90">
            <w:pPr>
              <w:pStyle w:val="18"/>
              <w:rPr>
                <w:color w:val="auto"/>
              </w:rPr>
            </w:pPr>
            <w:r>
              <w:rPr>
                <w:rFonts w:hint="eastAsia"/>
                <w:color w:val="auto"/>
              </w:rPr>
              <w:t>2.布局设置</w:t>
            </w:r>
          </w:p>
          <w:p w14:paraId="19C71F2D">
            <w:pPr>
              <w:pStyle w:val="18"/>
              <w:rPr>
                <w:color w:val="auto"/>
              </w:rPr>
            </w:pPr>
            <w:r>
              <w:rPr>
                <w:rFonts w:hint="eastAsia"/>
                <w:color w:val="auto"/>
              </w:rPr>
              <w:t>系统需支持以（患者列表、医嘱、病历、诊断）四大核心功能为基础构建差异化的功能布局设置以满足医生的使用习惯。</w:t>
            </w:r>
          </w:p>
          <w:p w14:paraId="0703CD1B">
            <w:pPr>
              <w:pStyle w:val="18"/>
              <w:rPr>
                <w:color w:val="auto"/>
              </w:rPr>
            </w:pPr>
            <w:r>
              <w:rPr>
                <w:rFonts w:hint="eastAsia"/>
                <w:color w:val="auto"/>
              </w:rPr>
              <w:t>需支持保存医生的布局设置，并应用于其他PC客户端。</w:t>
            </w:r>
          </w:p>
          <w:p w14:paraId="37E02A6C">
            <w:pPr>
              <w:pStyle w:val="18"/>
              <w:rPr>
                <w:color w:val="auto"/>
              </w:rPr>
            </w:pPr>
            <w:r>
              <w:rPr>
                <w:rFonts w:hint="eastAsia"/>
                <w:color w:val="auto"/>
              </w:rPr>
              <w:t>3.患者队列</w:t>
            </w:r>
          </w:p>
          <w:p w14:paraId="2DC8521E">
            <w:pPr>
              <w:pStyle w:val="18"/>
              <w:rPr>
                <w:color w:val="auto"/>
              </w:rPr>
            </w:pPr>
            <w:r>
              <w:rPr>
                <w:rFonts w:hint="eastAsia"/>
                <w:color w:val="auto"/>
              </w:rPr>
              <w:t>需支持不同科室、不同医生的挂号患者展示，并根据患者是否已看诊进行区分；</w:t>
            </w:r>
          </w:p>
          <w:p w14:paraId="79031D6A">
            <w:pPr>
              <w:pStyle w:val="18"/>
              <w:rPr>
                <w:color w:val="auto"/>
              </w:rPr>
            </w:pPr>
            <w:r>
              <w:rPr>
                <w:rFonts w:hint="eastAsia"/>
                <w:color w:val="auto"/>
              </w:rPr>
              <w:t>需支持显示不同科室、不同医生的待诊患者人数、已诊患者人数；</w:t>
            </w:r>
          </w:p>
          <w:p w14:paraId="078C6785">
            <w:pPr>
              <w:pStyle w:val="18"/>
              <w:rPr>
                <w:color w:val="auto"/>
              </w:rPr>
            </w:pPr>
            <w:r>
              <w:rPr>
                <w:rFonts w:hint="eastAsia"/>
                <w:color w:val="auto"/>
              </w:rPr>
              <w:t>需支持挂号患者的午别提示；</w:t>
            </w:r>
          </w:p>
          <w:p w14:paraId="306BFE1C">
            <w:pPr>
              <w:pStyle w:val="18"/>
              <w:rPr>
                <w:color w:val="auto"/>
              </w:rPr>
            </w:pPr>
            <w:r>
              <w:rPr>
                <w:rFonts w:hint="eastAsia"/>
                <w:color w:val="auto"/>
              </w:rPr>
              <w:t>需支持患者基本信息以及特殊信息、特殊标识的展示，包括姓名、性别、费用类别。</w:t>
            </w:r>
          </w:p>
          <w:p w14:paraId="3A0032C4">
            <w:pPr>
              <w:pStyle w:val="18"/>
              <w:rPr>
                <w:color w:val="auto"/>
              </w:rPr>
            </w:pPr>
            <w:r>
              <w:rPr>
                <w:rFonts w:hint="eastAsia"/>
                <w:color w:val="auto"/>
              </w:rPr>
              <w:t>4.分诊叫号</w:t>
            </w:r>
          </w:p>
          <w:p w14:paraId="34A864B1">
            <w:pPr>
              <w:pStyle w:val="18"/>
              <w:rPr>
                <w:color w:val="auto"/>
              </w:rPr>
            </w:pPr>
            <w:r>
              <w:rPr>
                <w:rFonts w:hint="eastAsia"/>
                <w:color w:val="auto"/>
              </w:rPr>
              <w:t>需支持医生对看诊队列的患者候诊顺序进行控制，包括：</w:t>
            </w:r>
          </w:p>
          <w:p w14:paraId="3B2BABD3">
            <w:pPr>
              <w:pStyle w:val="18"/>
              <w:rPr>
                <w:color w:val="auto"/>
              </w:rPr>
            </w:pPr>
            <w:r>
              <w:rPr>
                <w:rFonts w:hint="eastAsia"/>
                <w:color w:val="auto"/>
              </w:rPr>
              <w:t>叫号：呼叫看诊患者到诊室看诊；</w:t>
            </w:r>
          </w:p>
          <w:p w14:paraId="156B891C">
            <w:pPr>
              <w:pStyle w:val="18"/>
              <w:rPr>
                <w:color w:val="auto"/>
              </w:rPr>
            </w:pPr>
            <w:r>
              <w:rPr>
                <w:rFonts w:hint="eastAsia"/>
                <w:color w:val="auto"/>
              </w:rPr>
              <w:t>过号：对呼叫后没有到诊的患者进行过号标记；</w:t>
            </w:r>
          </w:p>
          <w:p w14:paraId="5977A746">
            <w:pPr>
              <w:pStyle w:val="18"/>
              <w:rPr>
                <w:color w:val="auto"/>
              </w:rPr>
            </w:pPr>
            <w:r>
              <w:rPr>
                <w:rFonts w:hint="eastAsia"/>
                <w:color w:val="auto"/>
              </w:rPr>
              <w:t>重呼：对呼叫后没有及时到诊的患者进行重呼；</w:t>
            </w:r>
          </w:p>
          <w:p w14:paraId="5E5919CB">
            <w:pPr>
              <w:pStyle w:val="18"/>
              <w:rPr>
                <w:color w:val="auto"/>
              </w:rPr>
            </w:pPr>
            <w:r>
              <w:rPr>
                <w:rFonts w:hint="eastAsia"/>
                <w:color w:val="auto"/>
              </w:rPr>
              <w:t>诊出：对完成就诊的患者进行诊出操作。</w:t>
            </w:r>
          </w:p>
          <w:p w14:paraId="1B3F7A22">
            <w:pPr>
              <w:pStyle w:val="18"/>
              <w:rPr>
                <w:color w:val="auto"/>
              </w:rPr>
            </w:pPr>
            <w:r>
              <w:rPr>
                <w:rFonts w:hint="eastAsia"/>
                <w:color w:val="auto"/>
              </w:rPr>
              <w:t>5.取消看诊</w:t>
            </w:r>
          </w:p>
          <w:p w14:paraId="6D3D27B7">
            <w:pPr>
              <w:pStyle w:val="18"/>
              <w:rPr>
                <w:color w:val="auto"/>
              </w:rPr>
            </w:pPr>
            <w:r>
              <w:rPr>
                <w:rFonts w:hint="eastAsia"/>
                <w:color w:val="auto"/>
              </w:rPr>
              <w:t>系统需支持对已看诊的患者做取消看诊状态的处理已错诊患者重新分配看诊科室/资源。</w:t>
            </w:r>
          </w:p>
          <w:p w14:paraId="5E298E9D">
            <w:pPr>
              <w:pStyle w:val="18"/>
              <w:rPr>
                <w:color w:val="auto"/>
              </w:rPr>
            </w:pPr>
            <w:r>
              <w:rPr>
                <w:rFonts w:hint="eastAsia"/>
                <w:color w:val="auto"/>
              </w:rPr>
              <w:t>6.既往就诊</w:t>
            </w:r>
          </w:p>
          <w:p w14:paraId="7B51160B">
            <w:pPr>
              <w:pStyle w:val="18"/>
              <w:rPr>
                <w:color w:val="auto"/>
              </w:rPr>
            </w:pPr>
            <w:r>
              <w:rPr>
                <w:rFonts w:hint="eastAsia"/>
                <w:color w:val="auto"/>
              </w:rPr>
              <w:t>需支持查看患者历次就诊病历、诊断、医嘱的既往就诊信息，可复制、粘贴、自动带入上一次的就诊信息。</w:t>
            </w:r>
          </w:p>
          <w:p w14:paraId="70C78B3F">
            <w:pPr>
              <w:pStyle w:val="18"/>
              <w:rPr>
                <w:bCs/>
                <w:color w:val="auto"/>
              </w:rPr>
            </w:pPr>
            <w:r>
              <w:rPr>
                <w:rFonts w:hint="eastAsia"/>
                <w:bCs/>
                <w:color w:val="auto"/>
              </w:rPr>
              <w:t>（二）诊断履历</w:t>
            </w:r>
          </w:p>
          <w:p w14:paraId="3235D56A">
            <w:pPr>
              <w:pStyle w:val="18"/>
              <w:rPr>
                <w:color w:val="auto"/>
              </w:rPr>
            </w:pPr>
            <w:r>
              <w:rPr>
                <w:rFonts w:hint="eastAsia"/>
                <w:color w:val="auto"/>
              </w:rPr>
              <w:t>需支持诊断履历查看，诊断履历主要用于医生查看患者历次治疗的诊断信息，帮助医生对患者进行跟踪诊断，提高医生看诊效率。</w:t>
            </w:r>
          </w:p>
          <w:p w14:paraId="56492224">
            <w:pPr>
              <w:pStyle w:val="18"/>
              <w:rPr>
                <w:color w:val="auto"/>
              </w:rPr>
            </w:pPr>
            <w:r>
              <w:rPr>
                <w:rFonts w:hint="eastAsia"/>
                <w:color w:val="auto"/>
              </w:rPr>
              <w:t>需支持按照就诊场景（门诊、急诊、住院）以及时间倒序顺序展示患者历次治疗的全部诊断信息。</w:t>
            </w:r>
          </w:p>
          <w:p w14:paraId="4EAFA8BA">
            <w:pPr>
              <w:pStyle w:val="18"/>
              <w:rPr>
                <w:bCs/>
                <w:color w:val="auto"/>
              </w:rPr>
            </w:pPr>
            <w:r>
              <w:rPr>
                <w:rFonts w:hint="eastAsia"/>
                <w:bCs/>
                <w:color w:val="auto"/>
              </w:rPr>
              <w:t>（三）患者组件</w:t>
            </w:r>
          </w:p>
          <w:p w14:paraId="43E8C5C1">
            <w:pPr>
              <w:pStyle w:val="18"/>
              <w:rPr>
                <w:color w:val="auto"/>
              </w:rPr>
            </w:pPr>
            <w:r>
              <w:rPr>
                <w:rFonts w:hint="eastAsia"/>
                <w:color w:val="auto"/>
              </w:rPr>
              <w:t>患者组件主要用于展示患者基本信息以及特殊的患者信息，帮助医生快速了解患者基本情况。</w:t>
            </w:r>
          </w:p>
          <w:p w14:paraId="53F76351">
            <w:pPr>
              <w:pStyle w:val="18"/>
              <w:rPr>
                <w:color w:val="auto"/>
              </w:rPr>
            </w:pPr>
            <w:r>
              <w:rPr>
                <w:rFonts w:hint="eastAsia"/>
                <w:color w:val="auto"/>
              </w:rPr>
              <w:t>1.患者档案</w:t>
            </w:r>
          </w:p>
          <w:p w14:paraId="54A9EAF9">
            <w:pPr>
              <w:pStyle w:val="18"/>
              <w:rPr>
                <w:color w:val="auto"/>
              </w:rPr>
            </w:pPr>
            <w:r>
              <w:rPr>
                <w:rFonts w:hint="eastAsia"/>
                <w:color w:val="auto"/>
              </w:rPr>
              <w:t>需支持医生查看患者的档案信息，如挂号登记的基本信息、联系人。</w:t>
            </w:r>
          </w:p>
          <w:p w14:paraId="15A8366A">
            <w:pPr>
              <w:pStyle w:val="18"/>
              <w:rPr>
                <w:color w:val="auto"/>
              </w:rPr>
            </w:pPr>
            <w:r>
              <w:rPr>
                <w:rFonts w:hint="eastAsia"/>
                <w:color w:val="auto"/>
              </w:rPr>
              <w:t>2.患者名片</w:t>
            </w:r>
          </w:p>
          <w:p w14:paraId="713C3FD2">
            <w:pPr>
              <w:pStyle w:val="18"/>
              <w:rPr>
                <w:color w:val="auto"/>
              </w:rPr>
            </w:pPr>
            <w:r>
              <w:rPr>
                <w:rFonts w:hint="eastAsia"/>
                <w:color w:val="auto"/>
              </w:rPr>
              <w:t>需支持根据患者不同性别、年龄展示不同的患者头像（如：老年男、老年女、男性、女性、男童、女童、男婴、女婴、未知性别）；</w:t>
            </w:r>
          </w:p>
          <w:p w14:paraId="2F6947C9">
            <w:pPr>
              <w:pStyle w:val="18"/>
              <w:rPr>
                <w:color w:val="auto"/>
              </w:rPr>
            </w:pPr>
            <w:r>
              <w:rPr>
                <w:rFonts w:hint="eastAsia"/>
                <w:color w:val="auto"/>
              </w:rPr>
              <w:t>需支持医生查看患者基本信息，包括姓名、年龄、地址、费用类别。</w:t>
            </w:r>
          </w:p>
          <w:p w14:paraId="74F3C474">
            <w:pPr>
              <w:pStyle w:val="18"/>
              <w:rPr>
                <w:color w:val="auto"/>
              </w:rPr>
            </w:pPr>
            <w:r>
              <w:rPr>
                <w:rFonts w:hint="eastAsia"/>
                <w:color w:val="auto"/>
              </w:rPr>
              <w:t>3.就诊费用</w:t>
            </w:r>
          </w:p>
          <w:p w14:paraId="46C49F8F">
            <w:pPr>
              <w:pStyle w:val="18"/>
              <w:rPr>
                <w:color w:val="auto"/>
              </w:rPr>
            </w:pPr>
            <w:r>
              <w:rPr>
                <w:rFonts w:hint="eastAsia"/>
                <w:color w:val="auto"/>
              </w:rPr>
              <w:t>需支持查看患者本次就诊开立医嘱的费用总计，提供查询费用明细的快捷操作。</w:t>
            </w:r>
          </w:p>
          <w:p w14:paraId="002A0FE3">
            <w:pPr>
              <w:pStyle w:val="18"/>
              <w:rPr>
                <w:color w:val="auto"/>
              </w:rPr>
            </w:pPr>
            <w:r>
              <w:rPr>
                <w:rFonts w:hint="eastAsia"/>
                <w:color w:val="auto"/>
              </w:rPr>
              <w:t>4.患者过敏信息管理</w:t>
            </w:r>
          </w:p>
          <w:p w14:paraId="68B03042">
            <w:pPr>
              <w:pStyle w:val="18"/>
              <w:rPr>
                <w:color w:val="auto"/>
              </w:rPr>
            </w:pPr>
            <w:r>
              <w:rPr>
                <w:rFonts w:hint="eastAsia"/>
                <w:color w:val="auto"/>
              </w:rPr>
              <w:t>需支持患者过敏信息的录入、展示和维护，包括过敏源、过敏严重程度，方便医生了解患者的过敏信息。</w:t>
            </w:r>
          </w:p>
          <w:p w14:paraId="4A38480B">
            <w:pPr>
              <w:pStyle w:val="18"/>
              <w:rPr>
                <w:color w:val="auto"/>
              </w:rPr>
            </w:pPr>
            <w:r>
              <w:rPr>
                <w:rFonts w:hint="eastAsia"/>
                <w:color w:val="auto"/>
              </w:rPr>
              <w:t>5.患者NOTE</w:t>
            </w:r>
          </w:p>
          <w:p w14:paraId="6C309DB8">
            <w:pPr>
              <w:pStyle w:val="18"/>
              <w:rPr>
                <w:color w:val="auto"/>
              </w:rPr>
            </w:pPr>
            <w:r>
              <w:rPr>
                <w:rFonts w:hint="eastAsia"/>
                <w:color w:val="auto"/>
              </w:rPr>
              <w:t>需支持医生对患者进行自定义信息录入，并具有提醒功能，具体需包括录入、待办、已办、标记功能。</w:t>
            </w:r>
          </w:p>
          <w:p w14:paraId="201F7FE0">
            <w:pPr>
              <w:pStyle w:val="18"/>
              <w:rPr>
                <w:color w:val="auto"/>
              </w:rPr>
            </w:pPr>
            <w:r>
              <w:rPr>
                <w:rFonts w:hint="eastAsia"/>
                <w:color w:val="auto"/>
              </w:rPr>
              <w:t>6.患者标签</w:t>
            </w:r>
          </w:p>
          <w:p w14:paraId="73797ABB">
            <w:pPr>
              <w:pStyle w:val="18"/>
              <w:rPr>
                <w:color w:val="auto"/>
              </w:rPr>
            </w:pPr>
            <w:r>
              <w:rPr>
                <w:rFonts w:hint="eastAsia"/>
                <w:color w:val="auto"/>
              </w:rPr>
              <w:t>需支持医生对患者进行特殊标记（如：特殊关怀、攻击性）以及进行查看、编辑、删除操作。</w:t>
            </w:r>
          </w:p>
          <w:p w14:paraId="16664748">
            <w:pPr>
              <w:pStyle w:val="18"/>
              <w:rPr>
                <w:bCs/>
                <w:color w:val="auto"/>
              </w:rPr>
            </w:pPr>
            <w:r>
              <w:rPr>
                <w:rFonts w:hint="eastAsia"/>
                <w:bCs/>
                <w:color w:val="auto"/>
              </w:rPr>
              <w:t>（四）门诊医嘱</w:t>
            </w:r>
          </w:p>
          <w:p w14:paraId="6CC945A2">
            <w:pPr>
              <w:pStyle w:val="18"/>
              <w:rPr>
                <w:color w:val="auto"/>
              </w:rPr>
            </w:pPr>
            <w:r>
              <w:rPr>
                <w:rFonts w:hint="eastAsia"/>
                <w:color w:val="auto"/>
              </w:rPr>
              <w:t>需支持医生开立门诊患者需要的所有项目，包括西药、检查、检验、治疗、手术、病理、中成药、中草药，需支持对已开立的医嘱进行编辑、删除等操作。</w:t>
            </w:r>
          </w:p>
          <w:p w14:paraId="008145B3">
            <w:pPr>
              <w:pStyle w:val="18"/>
              <w:rPr>
                <w:color w:val="auto"/>
              </w:rPr>
            </w:pPr>
            <w:r>
              <w:rPr>
                <w:rFonts w:hint="eastAsia"/>
                <w:color w:val="auto"/>
              </w:rPr>
              <w:t>需支持历史医嘱的查看、存为组套、复制开立、一键开立操作；能够查看医嘱的执行情况；需支持医生对当前开立医嘱的金额进行计算；需支持医嘱开立的校验功能，包括性别校验、过敏源信息校验。</w:t>
            </w:r>
          </w:p>
          <w:p w14:paraId="7A5BA297">
            <w:pPr>
              <w:pStyle w:val="18"/>
              <w:rPr>
                <w:color w:val="auto"/>
              </w:rPr>
            </w:pPr>
            <w:r>
              <w:rPr>
                <w:rFonts w:hint="eastAsia"/>
                <w:color w:val="auto"/>
              </w:rPr>
              <w:t>1.医嘱开立</w:t>
            </w:r>
          </w:p>
          <w:p w14:paraId="28796E66">
            <w:pPr>
              <w:pStyle w:val="18"/>
              <w:rPr>
                <w:color w:val="auto"/>
              </w:rPr>
            </w:pPr>
            <w:r>
              <w:rPr>
                <w:rFonts w:hint="eastAsia"/>
                <w:color w:val="auto"/>
              </w:rPr>
              <w:t>医嘱开立是门诊医生站的核心功能是医生对患者施行医疗手段的指令中枢，通过医嘱建立与门诊护士、医技科室、药房等辅助治疗部门的协做功能，并以处方的形式记录治疗方案。</w:t>
            </w:r>
          </w:p>
          <w:p w14:paraId="558D0184">
            <w:pPr>
              <w:pStyle w:val="18"/>
              <w:rPr>
                <w:color w:val="auto"/>
              </w:rPr>
            </w:pPr>
            <w:r>
              <w:rPr>
                <w:rFonts w:hint="eastAsia"/>
                <w:color w:val="auto"/>
              </w:rPr>
              <w:t>需支持不同形式的快速便捷的医嘱开立模式；</w:t>
            </w:r>
          </w:p>
          <w:p w14:paraId="1D800337">
            <w:pPr>
              <w:pStyle w:val="18"/>
              <w:rPr>
                <w:color w:val="auto"/>
              </w:rPr>
            </w:pPr>
            <w:r>
              <w:rPr>
                <w:rFonts w:hint="eastAsia"/>
                <w:color w:val="auto"/>
              </w:rPr>
              <w:t>需支持设置医嘱多种看诊序列，例如：普通序列、慢病医嘱序列、特病医嘱序列；</w:t>
            </w:r>
          </w:p>
          <w:p w14:paraId="53081BC9">
            <w:pPr>
              <w:pStyle w:val="18"/>
              <w:rPr>
                <w:color w:val="auto"/>
              </w:rPr>
            </w:pPr>
            <w:r>
              <w:rPr>
                <w:rFonts w:hint="eastAsia"/>
                <w:color w:val="auto"/>
              </w:rPr>
              <w:t>需支持针对不同看诊序列进行病种绑定、诊断绑定、结算类型绑定；</w:t>
            </w:r>
          </w:p>
          <w:p w14:paraId="791EE0CE">
            <w:pPr>
              <w:pStyle w:val="18"/>
              <w:rPr>
                <w:color w:val="auto"/>
              </w:rPr>
            </w:pPr>
            <w:r>
              <w:rPr>
                <w:rFonts w:hint="eastAsia"/>
                <w:color w:val="auto"/>
              </w:rPr>
              <w:t>需支持多种类型、多个医嘱一次性开立的模式；</w:t>
            </w:r>
          </w:p>
          <w:p w14:paraId="30A34988">
            <w:pPr>
              <w:pStyle w:val="18"/>
              <w:rPr>
                <w:color w:val="auto"/>
              </w:rPr>
            </w:pPr>
            <w:r>
              <w:rPr>
                <w:rFonts w:hint="eastAsia"/>
                <w:color w:val="auto"/>
              </w:rPr>
              <w:t>需支持鼠标操作、全键盘操作两种不同的操作习惯；</w:t>
            </w:r>
          </w:p>
          <w:p w14:paraId="0348A247">
            <w:pPr>
              <w:pStyle w:val="18"/>
              <w:rPr>
                <w:color w:val="auto"/>
              </w:rPr>
            </w:pPr>
            <w:r>
              <w:rPr>
                <w:rFonts w:hint="eastAsia"/>
                <w:color w:val="auto"/>
              </w:rPr>
              <w:t>需支持在医嘱开立时提供药品商品名/通用名、规格、剂型、价格、进口/国产、是否需要皮试、是否特殊管制、取药药房、库存量的查询与展示；</w:t>
            </w:r>
          </w:p>
          <w:p w14:paraId="1486364B">
            <w:pPr>
              <w:pStyle w:val="18"/>
              <w:rPr>
                <w:color w:val="auto"/>
              </w:rPr>
            </w:pPr>
            <w:r>
              <w:rPr>
                <w:rFonts w:hint="eastAsia"/>
                <w:color w:val="auto"/>
              </w:rPr>
              <w:t>需支持在开立药品时自动显示药品默认的频次用法；</w:t>
            </w:r>
          </w:p>
          <w:p w14:paraId="7BDD8D13">
            <w:pPr>
              <w:pStyle w:val="18"/>
              <w:rPr>
                <w:color w:val="auto"/>
              </w:rPr>
            </w:pPr>
            <w:r>
              <w:rPr>
                <w:rFonts w:hint="eastAsia"/>
                <w:color w:val="auto"/>
              </w:rPr>
              <w:t>需支持不均等给药开立模式；</w:t>
            </w:r>
          </w:p>
          <w:p w14:paraId="7D79FAB9">
            <w:pPr>
              <w:pStyle w:val="18"/>
              <w:rPr>
                <w:color w:val="auto"/>
              </w:rPr>
            </w:pPr>
            <w:r>
              <w:rPr>
                <w:rFonts w:hint="eastAsia"/>
                <w:color w:val="auto"/>
              </w:rPr>
              <w:t>需支持设置协定处方便捷开立医嘱功能；</w:t>
            </w:r>
          </w:p>
          <w:p w14:paraId="4B948FE8">
            <w:pPr>
              <w:pStyle w:val="18"/>
              <w:rPr>
                <w:color w:val="auto"/>
              </w:rPr>
            </w:pPr>
            <w:r>
              <w:rPr>
                <w:rFonts w:hint="eastAsia"/>
                <w:color w:val="auto"/>
              </w:rPr>
              <w:t>需支持设置绑定辅材便捷开立医嘱功能；</w:t>
            </w:r>
          </w:p>
          <w:p w14:paraId="1D618522">
            <w:pPr>
              <w:pStyle w:val="18"/>
              <w:rPr>
                <w:color w:val="auto"/>
              </w:rPr>
            </w:pPr>
            <w:r>
              <w:rPr>
                <w:rFonts w:hint="eastAsia"/>
                <w:color w:val="auto"/>
              </w:rPr>
              <w:t>需支持静滴类用法医嘱精确或范围录入滴速方式；</w:t>
            </w:r>
          </w:p>
          <w:p w14:paraId="413D38A0">
            <w:pPr>
              <w:pStyle w:val="18"/>
              <w:rPr>
                <w:color w:val="auto"/>
              </w:rPr>
            </w:pPr>
            <w:r>
              <w:rPr>
                <w:rFonts w:hint="eastAsia"/>
                <w:color w:val="auto"/>
              </w:rPr>
              <w:t>需支持常用的医嘱项目以及功能的快捷开立方式；</w:t>
            </w:r>
          </w:p>
          <w:p w14:paraId="64B232B5">
            <w:pPr>
              <w:pStyle w:val="18"/>
              <w:rPr>
                <w:color w:val="auto"/>
              </w:rPr>
            </w:pPr>
            <w:r>
              <w:rPr>
                <w:rFonts w:hint="eastAsia"/>
                <w:color w:val="auto"/>
              </w:rPr>
              <w:t>需支持开立术语的多种查询方式（精准匹配、模糊匹配、前匹配、后匹配）、或按拼音/五笔检索，并支持快速切换；</w:t>
            </w:r>
          </w:p>
          <w:p w14:paraId="235028C4">
            <w:pPr>
              <w:pStyle w:val="18"/>
              <w:rPr>
                <w:color w:val="auto"/>
              </w:rPr>
            </w:pPr>
            <w:r>
              <w:rPr>
                <w:rFonts w:hint="eastAsia"/>
                <w:color w:val="auto"/>
              </w:rPr>
              <w:t>需支持医嘱保存但不签名模式；</w:t>
            </w:r>
          </w:p>
          <w:p w14:paraId="5538A6F7">
            <w:pPr>
              <w:pStyle w:val="18"/>
              <w:rPr>
                <w:color w:val="auto"/>
              </w:rPr>
            </w:pPr>
            <w:r>
              <w:rPr>
                <w:rFonts w:hint="eastAsia"/>
                <w:color w:val="auto"/>
              </w:rPr>
              <w:t>需支持在医嘱开立时与患者过敏源信息进行校验，并进行冲突提示；</w:t>
            </w:r>
          </w:p>
          <w:p w14:paraId="796A41AC">
            <w:pPr>
              <w:pStyle w:val="18"/>
              <w:rPr>
                <w:color w:val="auto"/>
              </w:rPr>
            </w:pPr>
            <w:r>
              <w:rPr>
                <w:rFonts w:hint="eastAsia"/>
                <w:color w:val="auto"/>
              </w:rPr>
              <w:t>需支持在医嘱开立时与患者性别进行校验，并进行冲突提示；</w:t>
            </w:r>
          </w:p>
          <w:p w14:paraId="7C664B8E">
            <w:pPr>
              <w:pStyle w:val="18"/>
              <w:rPr>
                <w:color w:val="auto"/>
              </w:rPr>
            </w:pPr>
            <w:r>
              <w:rPr>
                <w:rFonts w:hint="eastAsia"/>
                <w:color w:val="auto"/>
              </w:rPr>
              <w:t>需支持在医嘱保存时校验库存，库存不足给予提示；</w:t>
            </w:r>
          </w:p>
          <w:p w14:paraId="7B6D9253">
            <w:pPr>
              <w:pStyle w:val="18"/>
              <w:rPr>
                <w:color w:val="auto"/>
              </w:rPr>
            </w:pPr>
            <w:r>
              <w:rPr>
                <w:rFonts w:hint="eastAsia"/>
                <w:color w:val="auto"/>
              </w:rPr>
              <w:t>需支持在医嘱保存时校验权限，权限不足给予提示；</w:t>
            </w:r>
          </w:p>
          <w:p w14:paraId="35937137">
            <w:pPr>
              <w:pStyle w:val="18"/>
              <w:rPr>
                <w:color w:val="auto"/>
              </w:rPr>
            </w:pPr>
            <w:r>
              <w:rPr>
                <w:rFonts w:hint="eastAsia"/>
                <w:color w:val="auto"/>
              </w:rPr>
              <w:t>需支持重复开立相同医嘱保存时给予提示；</w:t>
            </w:r>
          </w:p>
          <w:p w14:paraId="746B1695">
            <w:pPr>
              <w:pStyle w:val="18"/>
              <w:rPr>
                <w:color w:val="auto"/>
              </w:rPr>
            </w:pPr>
            <w:r>
              <w:rPr>
                <w:rFonts w:hint="eastAsia"/>
                <w:color w:val="auto"/>
              </w:rPr>
              <w:t>需支持在医嘱开立时限制用药量与天数。</w:t>
            </w:r>
          </w:p>
          <w:p w14:paraId="4B4E3688">
            <w:pPr>
              <w:pStyle w:val="18"/>
              <w:rPr>
                <w:color w:val="auto"/>
              </w:rPr>
            </w:pPr>
            <w:r>
              <w:rPr>
                <w:rFonts w:hint="eastAsia"/>
                <w:color w:val="auto"/>
              </w:rPr>
              <w:t>2.检查申请单</w:t>
            </w:r>
          </w:p>
          <w:p w14:paraId="128EE889">
            <w:pPr>
              <w:pStyle w:val="18"/>
              <w:rPr>
                <w:color w:val="auto"/>
              </w:rPr>
            </w:pPr>
            <w:r>
              <w:rPr>
                <w:rFonts w:hint="eastAsia"/>
                <w:color w:val="auto"/>
              </w:rPr>
              <w:t>需支持两种检查申请单创建方式（开立医嘱后生成申请单/创建申请单后生成医嘱）；</w:t>
            </w:r>
          </w:p>
          <w:p w14:paraId="0F7B7D2E">
            <w:pPr>
              <w:pStyle w:val="18"/>
              <w:rPr>
                <w:color w:val="auto"/>
              </w:rPr>
            </w:pPr>
            <w:r>
              <w:rPr>
                <w:rFonts w:hint="eastAsia"/>
                <w:color w:val="auto"/>
              </w:rPr>
              <w:t>需支持快速切换申请单类型（如：CT、超声、X线、心电、MRI、内镜、电生理、病理）；</w:t>
            </w:r>
          </w:p>
          <w:p w14:paraId="0F7E040A">
            <w:pPr>
              <w:pStyle w:val="18"/>
              <w:rPr>
                <w:color w:val="auto"/>
              </w:rPr>
            </w:pPr>
            <w:r>
              <w:rPr>
                <w:rFonts w:hint="eastAsia"/>
                <w:color w:val="auto"/>
              </w:rPr>
              <w:t>需支持常用检查项目查询；</w:t>
            </w:r>
          </w:p>
          <w:p w14:paraId="706D9B31">
            <w:pPr>
              <w:pStyle w:val="18"/>
              <w:rPr>
                <w:color w:val="auto"/>
              </w:rPr>
            </w:pPr>
            <w:r>
              <w:rPr>
                <w:rFonts w:hint="eastAsia"/>
                <w:color w:val="auto"/>
              </w:rPr>
              <w:t>需支持常用检查项目的快速复用；</w:t>
            </w:r>
          </w:p>
          <w:p w14:paraId="37E7A368">
            <w:pPr>
              <w:pStyle w:val="18"/>
              <w:rPr>
                <w:color w:val="auto"/>
              </w:rPr>
            </w:pPr>
            <w:r>
              <w:rPr>
                <w:rFonts w:hint="eastAsia"/>
                <w:color w:val="auto"/>
              </w:rPr>
              <w:t>需支持按照检查部位进行检索；</w:t>
            </w:r>
          </w:p>
          <w:p w14:paraId="4C74A951">
            <w:pPr>
              <w:pStyle w:val="18"/>
              <w:rPr>
                <w:color w:val="auto"/>
              </w:rPr>
            </w:pPr>
            <w:r>
              <w:rPr>
                <w:rFonts w:hint="eastAsia"/>
                <w:color w:val="auto"/>
              </w:rPr>
              <w:t>需支持展示患者简要病史数据，并能后自主编辑；</w:t>
            </w:r>
          </w:p>
          <w:p w14:paraId="32906EC7">
            <w:pPr>
              <w:pStyle w:val="18"/>
              <w:rPr>
                <w:color w:val="auto"/>
              </w:rPr>
            </w:pPr>
            <w:r>
              <w:rPr>
                <w:rFonts w:hint="eastAsia"/>
                <w:color w:val="auto"/>
              </w:rPr>
              <w:t>需支持插入、编辑图片以及描述需要特殊说明的检查部位或注意事项；</w:t>
            </w:r>
          </w:p>
          <w:p w14:paraId="69F6A6C6">
            <w:pPr>
              <w:pStyle w:val="18"/>
              <w:rPr>
                <w:color w:val="auto"/>
              </w:rPr>
            </w:pPr>
            <w:r>
              <w:rPr>
                <w:rFonts w:hint="eastAsia"/>
                <w:color w:val="auto"/>
              </w:rPr>
              <w:t>需支持医生自定义录入检查目的信息；</w:t>
            </w:r>
          </w:p>
          <w:p w14:paraId="3668FC02">
            <w:pPr>
              <w:pStyle w:val="18"/>
              <w:rPr>
                <w:color w:val="auto"/>
              </w:rPr>
            </w:pPr>
            <w:r>
              <w:rPr>
                <w:rFonts w:hint="eastAsia"/>
                <w:color w:val="auto"/>
              </w:rPr>
              <w:t>需支持医生自定义录入检查备注信息；</w:t>
            </w:r>
          </w:p>
          <w:p w14:paraId="749898CA">
            <w:pPr>
              <w:pStyle w:val="18"/>
              <w:rPr>
                <w:color w:val="auto"/>
              </w:rPr>
            </w:pPr>
            <w:r>
              <w:rPr>
                <w:rFonts w:hint="eastAsia"/>
                <w:color w:val="auto"/>
              </w:rPr>
              <w:t>需支持医生标记特殊信息，包括绿色通道、接触隔离、单病种、是否轮椅、是否步行；</w:t>
            </w:r>
          </w:p>
          <w:p w14:paraId="1D2A62D7">
            <w:pPr>
              <w:pStyle w:val="18"/>
              <w:rPr>
                <w:color w:val="auto"/>
              </w:rPr>
            </w:pPr>
            <w:r>
              <w:rPr>
                <w:rFonts w:hint="eastAsia"/>
                <w:color w:val="auto"/>
              </w:rPr>
              <w:t>需支持对已开立的检查项目及费用进行预览，能够增减数目；</w:t>
            </w:r>
          </w:p>
          <w:p w14:paraId="7E1E837B">
            <w:pPr>
              <w:pStyle w:val="18"/>
              <w:rPr>
                <w:color w:val="auto"/>
              </w:rPr>
            </w:pPr>
            <w:r>
              <w:rPr>
                <w:rFonts w:hint="eastAsia"/>
                <w:color w:val="auto"/>
              </w:rPr>
              <w:t>需支持根据检查类型、检查方法、执行科室、大部位、小部位自动分单。</w:t>
            </w:r>
          </w:p>
          <w:p w14:paraId="73A6FA6B">
            <w:pPr>
              <w:pStyle w:val="18"/>
              <w:rPr>
                <w:color w:val="auto"/>
              </w:rPr>
            </w:pPr>
            <w:r>
              <w:rPr>
                <w:rFonts w:hint="eastAsia"/>
                <w:color w:val="auto"/>
              </w:rPr>
              <w:t>3.检验申请单</w:t>
            </w:r>
          </w:p>
          <w:p w14:paraId="67E1DB12">
            <w:pPr>
              <w:pStyle w:val="18"/>
              <w:rPr>
                <w:color w:val="auto"/>
              </w:rPr>
            </w:pPr>
            <w:r>
              <w:rPr>
                <w:rFonts w:hint="eastAsia"/>
                <w:color w:val="auto"/>
              </w:rPr>
              <w:t>需支持快速切换申请单类型（如：生化、基础检验、微生物、免疫学、变态反应）；</w:t>
            </w:r>
          </w:p>
          <w:p w14:paraId="5E9E39A6">
            <w:pPr>
              <w:pStyle w:val="18"/>
              <w:rPr>
                <w:color w:val="auto"/>
              </w:rPr>
            </w:pPr>
            <w:r>
              <w:rPr>
                <w:rFonts w:hint="eastAsia"/>
                <w:color w:val="auto"/>
              </w:rPr>
              <w:t>需支持常用检验项目查询；</w:t>
            </w:r>
          </w:p>
          <w:p w14:paraId="771675A9">
            <w:pPr>
              <w:pStyle w:val="18"/>
              <w:rPr>
                <w:color w:val="auto"/>
              </w:rPr>
            </w:pPr>
            <w:r>
              <w:rPr>
                <w:rFonts w:hint="eastAsia"/>
                <w:color w:val="auto"/>
              </w:rPr>
              <w:t>需支持常用检验项目的快速复用；</w:t>
            </w:r>
          </w:p>
          <w:p w14:paraId="33ACC4DD">
            <w:pPr>
              <w:pStyle w:val="18"/>
              <w:rPr>
                <w:color w:val="auto"/>
              </w:rPr>
            </w:pPr>
            <w:r>
              <w:rPr>
                <w:rFonts w:hint="eastAsia"/>
                <w:color w:val="auto"/>
              </w:rPr>
              <w:t>需支持对已开立的检验项目及费用进行预览，能够增减数目。</w:t>
            </w:r>
          </w:p>
          <w:p w14:paraId="06091E7E">
            <w:pPr>
              <w:pStyle w:val="18"/>
              <w:rPr>
                <w:color w:val="auto"/>
              </w:rPr>
            </w:pPr>
            <w:r>
              <w:rPr>
                <w:rFonts w:hint="eastAsia"/>
                <w:color w:val="auto"/>
              </w:rPr>
              <w:t>需支持根据检验类型、执行科室、样本自动分单。</w:t>
            </w:r>
          </w:p>
          <w:p w14:paraId="26E370D6">
            <w:pPr>
              <w:pStyle w:val="18"/>
              <w:rPr>
                <w:color w:val="auto"/>
              </w:rPr>
            </w:pPr>
            <w:r>
              <w:rPr>
                <w:rFonts w:hint="eastAsia"/>
                <w:color w:val="auto"/>
              </w:rPr>
              <w:t>4.中草药开立</w:t>
            </w:r>
          </w:p>
          <w:p w14:paraId="7E6C89E5">
            <w:pPr>
              <w:pStyle w:val="18"/>
              <w:rPr>
                <w:color w:val="auto"/>
              </w:rPr>
            </w:pPr>
            <w:r>
              <w:rPr>
                <w:rFonts w:hint="eastAsia"/>
                <w:color w:val="auto"/>
              </w:rPr>
              <w:t>需支持按照草药类型快速过滤（如：全部、中草药、三九方、草药颗粒、XX品牌草药）或按照草药房（草药药房、颗粒药房、制剂室）；</w:t>
            </w:r>
          </w:p>
          <w:p w14:paraId="24F31353">
            <w:pPr>
              <w:pStyle w:val="18"/>
              <w:rPr>
                <w:color w:val="auto"/>
              </w:rPr>
            </w:pPr>
            <w:r>
              <w:rPr>
                <w:rFonts w:hint="eastAsia"/>
                <w:color w:val="auto"/>
              </w:rPr>
              <w:t>需支持鼠标操作、全键盘操作两种不同的操作习惯；</w:t>
            </w:r>
          </w:p>
          <w:p w14:paraId="1C3917D1">
            <w:pPr>
              <w:pStyle w:val="18"/>
              <w:rPr>
                <w:color w:val="auto"/>
              </w:rPr>
            </w:pPr>
            <w:r>
              <w:rPr>
                <w:rFonts w:hint="eastAsia"/>
                <w:color w:val="auto"/>
              </w:rPr>
              <w:t>需支持上次草药处方快速复用的操作；</w:t>
            </w:r>
          </w:p>
          <w:p w14:paraId="55537D66">
            <w:pPr>
              <w:pStyle w:val="18"/>
              <w:rPr>
                <w:color w:val="auto"/>
              </w:rPr>
            </w:pPr>
            <w:r>
              <w:rPr>
                <w:rFonts w:hint="eastAsia"/>
                <w:color w:val="auto"/>
              </w:rPr>
              <w:t>需支持在两味草药之间快速插入一味药；</w:t>
            </w:r>
          </w:p>
          <w:p w14:paraId="7EFE8F0A">
            <w:pPr>
              <w:pStyle w:val="18"/>
              <w:rPr>
                <w:color w:val="auto"/>
              </w:rPr>
            </w:pPr>
            <w:r>
              <w:rPr>
                <w:rFonts w:hint="eastAsia"/>
                <w:color w:val="auto"/>
              </w:rPr>
              <w:t>需支持按照基本剂量单位或最小单位开立草药；</w:t>
            </w:r>
          </w:p>
          <w:p w14:paraId="06C25C6F">
            <w:pPr>
              <w:pStyle w:val="18"/>
              <w:rPr>
                <w:color w:val="auto"/>
              </w:rPr>
            </w:pPr>
            <w:r>
              <w:rPr>
                <w:rFonts w:hint="eastAsia"/>
                <w:color w:val="auto"/>
              </w:rPr>
              <w:t>需支持草药特殊煎制法的录入；</w:t>
            </w:r>
          </w:p>
          <w:p w14:paraId="6960D415">
            <w:pPr>
              <w:pStyle w:val="18"/>
              <w:rPr>
                <w:color w:val="auto"/>
              </w:rPr>
            </w:pPr>
            <w:r>
              <w:rPr>
                <w:rFonts w:hint="eastAsia"/>
                <w:color w:val="auto"/>
              </w:rPr>
              <w:t>需支持开立的草药医嘱部分代煎、部分自煎功能；</w:t>
            </w:r>
          </w:p>
          <w:p w14:paraId="42B50797">
            <w:pPr>
              <w:pStyle w:val="18"/>
              <w:rPr>
                <w:color w:val="auto"/>
              </w:rPr>
            </w:pPr>
            <w:r>
              <w:rPr>
                <w:rFonts w:hint="eastAsia"/>
                <w:color w:val="auto"/>
              </w:rPr>
              <w:t>需支持药引的选择录入及自定义输入，治则治法的选择与自定义录入；</w:t>
            </w:r>
          </w:p>
          <w:p w14:paraId="35F0FD27">
            <w:pPr>
              <w:pStyle w:val="18"/>
              <w:rPr>
                <w:color w:val="auto"/>
              </w:rPr>
            </w:pPr>
            <w:r>
              <w:rPr>
                <w:rFonts w:hint="eastAsia"/>
                <w:color w:val="auto"/>
              </w:rPr>
              <w:t>需</w:t>
            </w:r>
            <w:r>
              <w:rPr>
                <w:color w:val="auto"/>
              </w:rPr>
              <w:t>支持</w:t>
            </w:r>
            <w:r>
              <w:rPr>
                <w:rFonts w:hint="eastAsia"/>
                <w:color w:val="auto"/>
              </w:rPr>
              <w:t>医嘱西医处方与中医处方融合，需对保存后的草药方提供展开查询草药详细处方的快捷操作；</w:t>
            </w:r>
          </w:p>
          <w:p w14:paraId="792C9E13">
            <w:pPr>
              <w:pStyle w:val="18"/>
              <w:rPr>
                <w:color w:val="auto"/>
              </w:rPr>
            </w:pPr>
            <w:r>
              <w:rPr>
                <w:rFonts w:hint="eastAsia"/>
                <w:color w:val="auto"/>
              </w:rPr>
              <w:t>需支持对草药君臣佐使进行分类统计；</w:t>
            </w:r>
          </w:p>
          <w:p w14:paraId="3FB94819">
            <w:pPr>
              <w:pStyle w:val="18"/>
              <w:rPr>
                <w:color w:val="auto"/>
              </w:rPr>
            </w:pPr>
            <w:r>
              <w:rPr>
                <w:rFonts w:hint="eastAsia"/>
                <w:color w:val="auto"/>
              </w:rPr>
              <w:t>需支持草药秘方打包组套；</w:t>
            </w:r>
          </w:p>
          <w:p w14:paraId="420FB109">
            <w:pPr>
              <w:pStyle w:val="18"/>
              <w:rPr>
                <w:color w:val="auto"/>
              </w:rPr>
            </w:pPr>
            <w:r>
              <w:rPr>
                <w:rFonts w:hint="eastAsia"/>
                <w:color w:val="auto"/>
              </w:rPr>
              <w:t>需支持草药多种开立跳转顺序；</w:t>
            </w:r>
          </w:p>
          <w:p w14:paraId="6F078AD2">
            <w:pPr>
              <w:pStyle w:val="18"/>
              <w:rPr>
                <w:color w:val="auto"/>
              </w:rPr>
            </w:pPr>
            <w:r>
              <w:rPr>
                <w:rFonts w:hint="eastAsia"/>
                <w:color w:val="auto"/>
              </w:rPr>
              <w:t>需支持对每行开立医嘱条目数量及字体自适应变化进行配置。</w:t>
            </w:r>
          </w:p>
          <w:p w14:paraId="0F65915A">
            <w:pPr>
              <w:pStyle w:val="18"/>
              <w:rPr>
                <w:color w:val="auto"/>
              </w:rPr>
            </w:pPr>
            <w:r>
              <w:rPr>
                <w:rFonts w:hint="eastAsia"/>
                <w:color w:val="auto"/>
              </w:rPr>
              <w:t>5.医嘱组合</w:t>
            </w:r>
          </w:p>
          <w:p w14:paraId="4685F54C">
            <w:pPr>
              <w:pStyle w:val="18"/>
              <w:rPr>
                <w:color w:val="auto"/>
              </w:rPr>
            </w:pPr>
            <w:r>
              <w:rPr>
                <w:rFonts w:hint="eastAsia"/>
                <w:color w:val="auto"/>
              </w:rPr>
              <w:t>需支持医嘱的组合与拆组；</w:t>
            </w:r>
          </w:p>
          <w:p w14:paraId="1C204904">
            <w:pPr>
              <w:pStyle w:val="18"/>
              <w:rPr>
                <w:color w:val="auto"/>
              </w:rPr>
            </w:pPr>
            <w:r>
              <w:rPr>
                <w:rFonts w:hint="eastAsia"/>
                <w:color w:val="auto"/>
              </w:rPr>
              <w:t>需支持医嘱大输液自动成组；</w:t>
            </w:r>
          </w:p>
          <w:p w14:paraId="1D9DE137">
            <w:pPr>
              <w:pStyle w:val="18"/>
              <w:rPr>
                <w:color w:val="auto"/>
              </w:rPr>
            </w:pPr>
            <w:r>
              <w:rPr>
                <w:rFonts w:hint="eastAsia"/>
                <w:color w:val="auto"/>
              </w:rPr>
              <w:t>需支持子医嘱自动成组。</w:t>
            </w:r>
          </w:p>
          <w:p w14:paraId="4CD5CEC0">
            <w:pPr>
              <w:pStyle w:val="18"/>
              <w:rPr>
                <w:color w:val="auto"/>
              </w:rPr>
            </w:pPr>
            <w:r>
              <w:rPr>
                <w:rFonts w:hint="eastAsia"/>
                <w:color w:val="auto"/>
              </w:rPr>
              <w:t>6.历史医嘱</w:t>
            </w:r>
          </w:p>
          <w:p w14:paraId="41697870">
            <w:pPr>
              <w:pStyle w:val="18"/>
              <w:rPr>
                <w:color w:val="auto"/>
              </w:rPr>
            </w:pPr>
            <w:r>
              <w:rPr>
                <w:rFonts w:hint="eastAsia"/>
                <w:color w:val="auto"/>
              </w:rPr>
              <w:t>需支持查看患者不同就诊场景（门诊/住院）下的历史医嘱；</w:t>
            </w:r>
          </w:p>
          <w:p w14:paraId="063E2E9E">
            <w:pPr>
              <w:pStyle w:val="18"/>
              <w:rPr>
                <w:color w:val="auto"/>
              </w:rPr>
            </w:pPr>
            <w:r>
              <w:rPr>
                <w:rFonts w:hint="eastAsia"/>
                <w:color w:val="auto"/>
              </w:rPr>
              <w:t>需支持按照医嘱类型、类别、精确搜索信息；</w:t>
            </w:r>
          </w:p>
          <w:p w14:paraId="1A8F1348">
            <w:pPr>
              <w:pStyle w:val="18"/>
              <w:rPr>
                <w:color w:val="auto"/>
              </w:rPr>
            </w:pPr>
            <w:r>
              <w:rPr>
                <w:rFonts w:hint="eastAsia"/>
                <w:color w:val="auto"/>
              </w:rPr>
              <w:t>需支持历史医嘱存为组套；</w:t>
            </w:r>
          </w:p>
          <w:p w14:paraId="7DE36740">
            <w:pPr>
              <w:pStyle w:val="18"/>
              <w:rPr>
                <w:color w:val="auto"/>
              </w:rPr>
            </w:pPr>
            <w:r>
              <w:rPr>
                <w:rFonts w:hint="eastAsia"/>
                <w:color w:val="auto"/>
              </w:rPr>
              <w:t>需支持历史医嘱直接复制粘贴为当前门诊或住院医嘱；</w:t>
            </w:r>
          </w:p>
          <w:p w14:paraId="17FD0800">
            <w:pPr>
              <w:pStyle w:val="18"/>
              <w:rPr>
                <w:color w:val="auto"/>
              </w:rPr>
            </w:pPr>
            <w:r>
              <w:rPr>
                <w:rFonts w:hint="eastAsia"/>
                <w:color w:val="auto"/>
              </w:rPr>
              <w:t>需支持一键自动带入历史看诊（病历、诊断、医嘱）信息。</w:t>
            </w:r>
          </w:p>
          <w:p w14:paraId="6128A451">
            <w:pPr>
              <w:pStyle w:val="18"/>
              <w:rPr>
                <w:color w:val="auto"/>
              </w:rPr>
            </w:pPr>
            <w:r>
              <w:rPr>
                <w:rFonts w:hint="eastAsia"/>
                <w:color w:val="auto"/>
              </w:rPr>
              <w:t>7.医嘱计算器</w:t>
            </w:r>
          </w:p>
          <w:p w14:paraId="6F3499BB">
            <w:pPr>
              <w:pStyle w:val="18"/>
              <w:rPr>
                <w:color w:val="auto"/>
              </w:rPr>
            </w:pPr>
            <w:r>
              <w:rPr>
                <w:rFonts w:hint="eastAsia"/>
                <w:color w:val="auto"/>
              </w:rPr>
              <w:t>需支持患者性别、身高、体重自动带入计算器；</w:t>
            </w:r>
          </w:p>
          <w:p w14:paraId="4FFA80C3">
            <w:pPr>
              <w:pStyle w:val="18"/>
              <w:rPr>
                <w:color w:val="auto"/>
              </w:rPr>
            </w:pPr>
            <w:r>
              <w:rPr>
                <w:rFonts w:hint="eastAsia"/>
                <w:color w:val="auto"/>
              </w:rPr>
              <w:t>需支持内置多种医学公式（如：体表面积、肾小球滤过率、肌酐清除率），支持快速计算；</w:t>
            </w:r>
          </w:p>
          <w:p w14:paraId="582A8CFC">
            <w:pPr>
              <w:pStyle w:val="18"/>
              <w:rPr>
                <w:color w:val="auto"/>
              </w:rPr>
            </w:pPr>
            <w:r>
              <w:rPr>
                <w:rFonts w:hint="eastAsia"/>
                <w:color w:val="auto"/>
              </w:rPr>
              <w:t>需支持内置胰岛素用量，胰岛素抵抗指数，高血糖钠校正的计算功能。</w:t>
            </w:r>
          </w:p>
          <w:p w14:paraId="736F78B5">
            <w:pPr>
              <w:pStyle w:val="18"/>
              <w:rPr>
                <w:color w:val="auto"/>
              </w:rPr>
            </w:pPr>
            <w:r>
              <w:rPr>
                <w:rFonts w:hint="eastAsia"/>
                <w:color w:val="auto"/>
              </w:rPr>
              <w:t>8.门诊医嘱保存</w:t>
            </w:r>
          </w:p>
          <w:p w14:paraId="1676BDCE">
            <w:pPr>
              <w:pStyle w:val="18"/>
              <w:rPr>
                <w:color w:val="auto"/>
              </w:rPr>
            </w:pPr>
            <w:r>
              <w:rPr>
                <w:rFonts w:hint="eastAsia"/>
                <w:color w:val="auto"/>
              </w:rPr>
              <w:t>需支持门诊医嘱保存后，自动插入到门诊病历指定区域；</w:t>
            </w:r>
          </w:p>
          <w:p w14:paraId="645C39A9">
            <w:pPr>
              <w:pStyle w:val="18"/>
              <w:rPr>
                <w:color w:val="auto"/>
              </w:rPr>
            </w:pPr>
            <w:r>
              <w:rPr>
                <w:rFonts w:hint="eastAsia"/>
                <w:color w:val="auto"/>
              </w:rPr>
              <w:t>需支持门诊医嘱保存后，自动同步特殊信息，包括合理用药、CDSS、上报平台；</w:t>
            </w:r>
          </w:p>
          <w:p w14:paraId="411D0094">
            <w:pPr>
              <w:pStyle w:val="18"/>
              <w:rPr>
                <w:color w:val="auto"/>
              </w:rPr>
            </w:pPr>
            <w:r>
              <w:rPr>
                <w:rFonts w:hint="eastAsia"/>
                <w:color w:val="auto"/>
              </w:rPr>
              <w:t>需支持对门诊医嘱进行CA加密信息保存。</w:t>
            </w:r>
          </w:p>
          <w:p w14:paraId="10AC1518">
            <w:pPr>
              <w:pStyle w:val="18"/>
              <w:rPr>
                <w:color w:val="auto"/>
              </w:rPr>
            </w:pPr>
            <w:r>
              <w:rPr>
                <w:rFonts w:hint="eastAsia"/>
                <w:color w:val="auto"/>
              </w:rPr>
              <w:t>9.门诊医嘱作废</w:t>
            </w:r>
          </w:p>
          <w:p w14:paraId="34B1FFB4">
            <w:pPr>
              <w:pStyle w:val="18"/>
              <w:rPr>
                <w:color w:val="auto"/>
              </w:rPr>
            </w:pPr>
            <w:r>
              <w:rPr>
                <w:rFonts w:hint="eastAsia"/>
                <w:color w:val="auto"/>
              </w:rPr>
              <w:t>需支持门诊医嘱未收费状态可以删除，门诊病历指定区域的医嘱内容自动删除；</w:t>
            </w:r>
          </w:p>
          <w:p w14:paraId="2BAB68E5">
            <w:pPr>
              <w:pStyle w:val="18"/>
              <w:rPr>
                <w:color w:val="auto"/>
              </w:rPr>
            </w:pPr>
            <w:r>
              <w:rPr>
                <w:rFonts w:hint="eastAsia"/>
                <w:color w:val="auto"/>
              </w:rPr>
              <w:t>需支持门诊医嘱收费后，可以作废。</w:t>
            </w:r>
          </w:p>
          <w:p w14:paraId="69E3DE20">
            <w:pPr>
              <w:pStyle w:val="18"/>
              <w:rPr>
                <w:color w:val="auto"/>
              </w:rPr>
            </w:pPr>
            <w:r>
              <w:rPr>
                <w:rFonts w:hint="eastAsia"/>
                <w:color w:val="auto"/>
              </w:rPr>
              <w:t>10.门诊医嘱状态查询</w:t>
            </w:r>
          </w:p>
          <w:p w14:paraId="65CD4FA8">
            <w:pPr>
              <w:pStyle w:val="18"/>
              <w:rPr>
                <w:color w:val="auto"/>
              </w:rPr>
            </w:pPr>
            <w:r>
              <w:rPr>
                <w:rFonts w:hint="eastAsia"/>
                <w:color w:val="auto"/>
              </w:rPr>
              <w:t>需支持查看闭环流程监视以及医嘱执行状态。</w:t>
            </w:r>
          </w:p>
          <w:p w14:paraId="1075DEAA">
            <w:pPr>
              <w:pStyle w:val="18"/>
              <w:rPr>
                <w:color w:val="auto"/>
              </w:rPr>
            </w:pPr>
            <w:r>
              <w:rPr>
                <w:rFonts w:hint="eastAsia"/>
                <w:color w:val="auto"/>
              </w:rPr>
              <w:t>11.医嘱组套管理</w:t>
            </w:r>
          </w:p>
          <w:p w14:paraId="14EBD230">
            <w:pPr>
              <w:pStyle w:val="18"/>
              <w:rPr>
                <w:color w:val="auto"/>
              </w:rPr>
            </w:pPr>
            <w:r>
              <w:rPr>
                <w:rFonts w:hint="eastAsia"/>
                <w:color w:val="auto"/>
              </w:rPr>
              <w:t>需支持多种检索方式（组套名、拼音首字母、五笔码）快速检索医嘱组套；</w:t>
            </w:r>
          </w:p>
          <w:p w14:paraId="35EB3848">
            <w:pPr>
              <w:pStyle w:val="18"/>
              <w:rPr>
                <w:color w:val="auto"/>
              </w:rPr>
            </w:pPr>
            <w:r>
              <w:rPr>
                <w:rFonts w:hint="eastAsia"/>
                <w:color w:val="auto"/>
              </w:rPr>
              <w:t>需支持多种组套类型并且不同权限的角色可编辑相应的组套内容；</w:t>
            </w:r>
          </w:p>
          <w:p w14:paraId="1BDAE884">
            <w:pPr>
              <w:pStyle w:val="18"/>
              <w:rPr>
                <w:color w:val="auto"/>
              </w:rPr>
            </w:pPr>
            <w:r>
              <w:rPr>
                <w:rFonts w:hint="eastAsia"/>
                <w:color w:val="auto"/>
              </w:rPr>
              <w:t>需支持新增医嘱组套，保存时自动生成检索关键字（拼音首字母/五笔码）；</w:t>
            </w:r>
          </w:p>
          <w:p w14:paraId="3816D8EF">
            <w:pPr>
              <w:pStyle w:val="18"/>
              <w:rPr>
                <w:color w:val="auto"/>
              </w:rPr>
            </w:pPr>
            <w:r>
              <w:rPr>
                <w:rFonts w:hint="eastAsia"/>
                <w:color w:val="auto"/>
              </w:rPr>
              <w:t>需支持新增医嘱组套，保存时可定义组套使用方式；</w:t>
            </w:r>
          </w:p>
          <w:p w14:paraId="5F8D1F84">
            <w:pPr>
              <w:pStyle w:val="18"/>
              <w:rPr>
                <w:color w:val="auto"/>
              </w:rPr>
            </w:pPr>
            <w:r>
              <w:rPr>
                <w:rFonts w:hint="eastAsia"/>
                <w:color w:val="auto"/>
              </w:rPr>
              <w:t>需支持将已开立的医嘱条目保存为医嘱组套；</w:t>
            </w:r>
          </w:p>
          <w:p w14:paraId="43FEEADD">
            <w:pPr>
              <w:pStyle w:val="18"/>
              <w:rPr>
                <w:color w:val="auto"/>
              </w:rPr>
            </w:pPr>
            <w:r>
              <w:rPr>
                <w:rFonts w:hint="eastAsia"/>
                <w:color w:val="auto"/>
              </w:rPr>
              <w:t>需支持将不同的医嘱类型的医嘱项目存为一个组套（如：药品、检查、检验）；</w:t>
            </w:r>
          </w:p>
          <w:p w14:paraId="2584E6F2">
            <w:pPr>
              <w:pStyle w:val="18"/>
              <w:rPr>
                <w:color w:val="auto"/>
              </w:rPr>
            </w:pPr>
            <w:r>
              <w:rPr>
                <w:rFonts w:hint="eastAsia"/>
                <w:color w:val="auto"/>
              </w:rPr>
              <w:t>需支持在原组套内容基础上追加内容；</w:t>
            </w:r>
          </w:p>
          <w:p w14:paraId="769C9067">
            <w:pPr>
              <w:pStyle w:val="18"/>
              <w:rPr>
                <w:color w:val="auto"/>
              </w:rPr>
            </w:pPr>
            <w:r>
              <w:rPr>
                <w:rFonts w:hint="eastAsia"/>
                <w:color w:val="auto"/>
              </w:rPr>
              <w:t>需支持按角色提供常用组套便捷开立方式；</w:t>
            </w:r>
          </w:p>
          <w:p w14:paraId="6F5CABFD">
            <w:pPr>
              <w:pStyle w:val="18"/>
              <w:rPr>
                <w:color w:val="auto"/>
              </w:rPr>
            </w:pPr>
            <w:r>
              <w:rPr>
                <w:rFonts w:hint="eastAsia"/>
                <w:color w:val="auto"/>
              </w:rPr>
              <w:t>需支持按药理作用分类组套便捷开立方式。</w:t>
            </w:r>
          </w:p>
          <w:p w14:paraId="513EEA64">
            <w:pPr>
              <w:pStyle w:val="18"/>
              <w:rPr>
                <w:color w:val="auto"/>
              </w:rPr>
            </w:pPr>
            <w:r>
              <w:rPr>
                <w:rFonts w:hint="eastAsia"/>
                <w:color w:val="auto"/>
              </w:rPr>
              <w:t>12.医嘱门诊日志</w:t>
            </w:r>
          </w:p>
          <w:p w14:paraId="75B2E44D">
            <w:pPr>
              <w:pStyle w:val="18"/>
              <w:rPr>
                <w:color w:val="auto"/>
              </w:rPr>
            </w:pPr>
            <w:r>
              <w:rPr>
                <w:rFonts w:hint="eastAsia"/>
                <w:color w:val="auto"/>
              </w:rPr>
              <w:t>需支持显示患者基本信息；</w:t>
            </w:r>
          </w:p>
          <w:p w14:paraId="6AED6657">
            <w:pPr>
              <w:pStyle w:val="18"/>
              <w:rPr>
                <w:color w:val="auto"/>
              </w:rPr>
            </w:pPr>
            <w:r>
              <w:rPr>
                <w:rFonts w:hint="eastAsia"/>
                <w:color w:val="auto"/>
              </w:rPr>
              <w:t>需支持显示患者接诊过程信息；</w:t>
            </w:r>
          </w:p>
          <w:p w14:paraId="307C07ED">
            <w:pPr>
              <w:pStyle w:val="18"/>
              <w:rPr>
                <w:color w:val="auto"/>
              </w:rPr>
            </w:pPr>
            <w:r>
              <w:rPr>
                <w:rFonts w:hint="eastAsia"/>
                <w:color w:val="auto"/>
              </w:rPr>
              <w:t>需支持录入诊毕患者的去向和时间。</w:t>
            </w:r>
          </w:p>
          <w:p w14:paraId="2148CD5E">
            <w:pPr>
              <w:pStyle w:val="18"/>
              <w:rPr>
                <w:color w:val="auto"/>
              </w:rPr>
            </w:pPr>
            <w:r>
              <w:rPr>
                <w:rFonts w:hint="eastAsia"/>
                <w:color w:val="auto"/>
              </w:rPr>
              <w:t>13.医嘱开立设置</w:t>
            </w:r>
          </w:p>
          <w:p w14:paraId="00FB4075">
            <w:pPr>
              <w:pStyle w:val="18"/>
              <w:rPr>
                <w:color w:val="auto"/>
              </w:rPr>
            </w:pPr>
            <w:r>
              <w:rPr>
                <w:rFonts w:hint="eastAsia"/>
                <w:color w:val="auto"/>
              </w:rPr>
              <w:t>需支持按照使用习惯设置是否默认展开医嘱组套树；</w:t>
            </w:r>
          </w:p>
          <w:p w14:paraId="41E4698C">
            <w:pPr>
              <w:pStyle w:val="18"/>
              <w:rPr>
                <w:color w:val="auto"/>
              </w:rPr>
            </w:pPr>
            <w:r>
              <w:rPr>
                <w:rFonts w:hint="eastAsia"/>
                <w:color w:val="auto"/>
              </w:rPr>
              <w:t>需支持医嘱跳转顺序设置；</w:t>
            </w:r>
          </w:p>
          <w:p w14:paraId="72B1FDAB">
            <w:pPr>
              <w:pStyle w:val="18"/>
              <w:rPr>
                <w:color w:val="auto"/>
              </w:rPr>
            </w:pPr>
            <w:r>
              <w:rPr>
                <w:rFonts w:hint="eastAsia"/>
                <w:color w:val="auto"/>
              </w:rPr>
              <w:t>需支持设置每行显示的草药味数（1-5味）；</w:t>
            </w:r>
          </w:p>
          <w:p w14:paraId="315D7E4F">
            <w:pPr>
              <w:pStyle w:val="18"/>
              <w:rPr>
                <w:color w:val="auto"/>
              </w:rPr>
            </w:pPr>
            <w:r>
              <w:rPr>
                <w:rFonts w:hint="eastAsia"/>
                <w:color w:val="auto"/>
              </w:rPr>
              <w:t>需支持草药开立跳转顺序设置，如：设置为“药品-数量-药品-数量…”或“药品-药品-药品-药品-数量-数量…”；</w:t>
            </w:r>
          </w:p>
          <w:p w14:paraId="6AC379D5">
            <w:pPr>
              <w:pStyle w:val="18"/>
              <w:rPr>
                <w:color w:val="auto"/>
              </w:rPr>
            </w:pPr>
            <w:r>
              <w:rPr>
                <w:rFonts w:hint="eastAsia"/>
                <w:color w:val="auto"/>
              </w:rPr>
              <w:t>需支持自定义设置功能菜单顺序。</w:t>
            </w:r>
          </w:p>
          <w:p w14:paraId="6825D81D">
            <w:pPr>
              <w:pStyle w:val="18"/>
              <w:rPr>
                <w:color w:val="auto"/>
              </w:rPr>
            </w:pPr>
            <w:r>
              <w:rPr>
                <w:rFonts w:hint="eastAsia"/>
                <w:color w:val="auto"/>
              </w:rPr>
              <w:t>14.毒麻药待办信息</w:t>
            </w:r>
          </w:p>
          <w:p w14:paraId="0EE0B46B">
            <w:pPr>
              <w:pStyle w:val="18"/>
              <w:rPr>
                <w:color w:val="auto"/>
              </w:rPr>
            </w:pPr>
            <w:r>
              <w:rPr>
                <w:rFonts w:hint="eastAsia"/>
                <w:color w:val="auto"/>
              </w:rPr>
              <w:t>需支持开立毒麻药是自动提醒录入毒麻代办人信息。</w:t>
            </w:r>
          </w:p>
          <w:p w14:paraId="5D762537">
            <w:pPr>
              <w:pStyle w:val="18"/>
              <w:rPr>
                <w:color w:val="auto"/>
              </w:rPr>
            </w:pPr>
            <w:r>
              <w:rPr>
                <w:rFonts w:hint="eastAsia"/>
                <w:color w:val="auto"/>
              </w:rPr>
              <w:t>15.抗生素</w:t>
            </w:r>
          </w:p>
          <w:p w14:paraId="187E9F9A">
            <w:pPr>
              <w:pStyle w:val="18"/>
              <w:rPr>
                <w:color w:val="auto"/>
              </w:rPr>
            </w:pPr>
            <w:r>
              <w:rPr>
                <w:rFonts w:hint="eastAsia"/>
                <w:color w:val="auto"/>
              </w:rPr>
              <w:t>需支持门诊开立非限制级、限制级抗生素时，自动提醒录入治疗用药、预防用药、联合用药信息；</w:t>
            </w:r>
          </w:p>
          <w:p w14:paraId="4CBD8AA5">
            <w:pPr>
              <w:pStyle w:val="18"/>
              <w:rPr>
                <w:color w:val="auto"/>
              </w:rPr>
            </w:pPr>
            <w:r>
              <w:rPr>
                <w:rFonts w:hint="eastAsia"/>
                <w:color w:val="auto"/>
              </w:rPr>
              <w:t>需支持非限制级、限制级、特级抗生素开立和相应权限设置；</w:t>
            </w:r>
          </w:p>
          <w:p w14:paraId="1E7CC285">
            <w:pPr>
              <w:pStyle w:val="18"/>
              <w:rPr>
                <w:color w:val="auto"/>
              </w:rPr>
            </w:pPr>
            <w:r>
              <w:rPr>
                <w:rFonts w:hint="eastAsia"/>
                <w:color w:val="auto"/>
              </w:rPr>
              <w:t>需支持急诊开立特殊级抗生素紧急流程。</w:t>
            </w:r>
          </w:p>
          <w:p w14:paraId="333F3558">
            <w:pPr>
              <w:pStyle w:val="18"/>
              <w:rPr>
                <w:color w:val="auto"/>
              </w:rPr>
            </w:pPr>
            <w:r>
              <w:rPr>
                <w:rFonts w:hint="eastAsia"/>
                <w:color w:val="auto"/>
              </w:rPr>
              <w:t>16.处方打印</w:t>
            </w:r>
          </w:p>
          <w:p w14:paraId="1AEE4052">
            <w:pPr>
              <w:pStyle w:val="18"/>
              <w:rPr>
                <w:color w:val="auto"/>
              </w:rPr>
            </w:pPr>
            <w:r>
              <w:rPr>
                <w:rFonts w:hint="eastAsia"/>
                <w:color w:val="auto"/>
              </w:rPr>
              <w:t>需支持西药、草药、毒药、麻药、精1、精2处方单打印；</w:t>
            </w:r>
          </w:p>
          <w:p w14:paraId="41264AFA">
            <w:pPr>
              <w:pStyle w:val="18"/>
              <w:rPr>
                <w:color w:val="auto"/>
              </w:rPr>
            </w:pPr>
            <w:r>
              <w:rPr>
                <w:rFonts w:hint="eastAsia"/>
                <w:color w:val="auto"/>
              </w:rPr>
              <w:t>需支持指引单打印；</w:t>
            </w:r>
          </w:p>
          <w:p w14:paraId="751733B5">
            <w:pPr>
              <w:pStyle w:val="18"/>
              <w:rPr>
                <w:color w:val="auto"/>
              </w:rPr>
            </w:pPr>
            <w:r>
              <w:rPr>
                <w:rFonts w:hint="eastAsia"/>
                <w:color w:val="auto"/>
              </w:rPr>
              <w:t>需支持治疗单打印；</w:t>
            </w:r>
          </w:p>
          <w:p w14:paraId="16278D42">
            <w:pPr>
              <w:pStyle w:val="18"/>
              <w:rPr>
                <w:color w:val="auto"/>
              </w:rPr>
            </w:pPr>
            <w:r>
              <w:rPr>
                <w:rFonts w:hint="eastAsia"/>
                <w:color w:val="auto"/>
              </w:rPr>
              <w:t>需支持检查、检验申请单打印。</w:t>
            </w:r>
          </w:p>
          <w:p w14:paraId="0662E30A">
            <w:pPr>
              <w:pStyle w:val="18"/>
              <w:rPr>
                <w:bCs/>
                <w:color w:val="auto"/>
              </w:rPr>
            </w:pPr>
            <w:r>
              <w:rPr>
                <w:rFonts w:hint="eastAsia"/>
                <w:bCs/>
                <w:color w:val="auto"/>
              </w:rPr>
              <w:t>（五）门诊病历</w:t>
            </w:r>
          </w:p>
          <w:p w14:paraId="1AACA3BE">
            <w:pPr>
              <w:pStyle w:val="18"/>
              <w:rPr>
                <w:color w:val="auto"/>
              </w:rPr>
            </w:pPr>
            <w:r>
              <w:rPr>
                <w:rFonts w:hint="eastAsia"/>
                <w:color w:val="auto"/>
              </w:rPr>
              <w:t>门诊电子病历是门诊医生站的核心功能，医嘱是治疗方案的指令发布，病历是对于治疗方案的过程记录。医生通过病历详述患者病症、检查方式、治疗方案，同时记录患者于方案执行的病症变化过程，通过病历可展示患者于门诊期间的诊询过程。</w:t>
            </w:r>
          </w:p>
          <w:p w14:paraId="6C1270D6">
            <w:pPr>
              <w:pStyle w:val="18"/>
              <w:rPr>
                <w:color w:val="auto"/>
              </w:rPr>
            </w:pPr>
            <w:r>
              <w:rPr>
                <w:rFonts w:hint="eastAsia"/>
                <w:color w:val="auto"/>
              </w:rPr>
              <w:t>1.门诊病历书写</w:t>
            </w:r>
          </w:p>
          <w:p w14:paraId="1A7FA028">
            <w:pPr>
              <w:pStyle w:val="18"/>
              <w:rPr>
                <w:color w:val="auto"/>
              </w:rPr>
            </w:pPr>
            <w:r>
              <w:rPr>
                <w:rFonts w:hint="eastAsia"/>
                <w:color w:val="auto"/>
              </w:rPr>
              <w:t>需支持初诊病历模板/复诊病历模版，供不同就诊场景使用；</w:t>
            </w:r>
          </w:p>
          <w:p w14:paraId="2D2FCCEA">
            <w:pPr>
              <w:pStyle w:val="18"/>
              <w:rPr>
                <w:color w:val="auto"/>
              </w:rPr>
            </w:pPr>
            <w:r>
              <w:rPr>
                <w:rFonts w:hint="eastAsia"/>
                <w:color w:val="auto"/>
              </w:rPr>
              <w:t>需支持使用病历组套快速创建门诊病历；</w:t>
            </w:r>
          </w:p>
          <w:p w14:paraId="1DD4F132">
            <w:pPr>
              <w:pStyle w:val="18"/>
              <w:rPr>
                <w:color w:val="auto"/>
              </w:rPr>
            </w:pPr>
            <w:r>
              <w:rPr>
                <w:rFonts w:hint="eastAsia"/>
                <w:color w:val="auto"/>
              </w:rPr>
              <w:t>需支持复诊患者病历快速复用；</w:t>
            </w:r>
          </w:p>
          <w:p w14:paraId="0D35C9E2">
            <w:pPr>
              <w:pStyle w:val="18"/>
              <w:rPr>
                <w:color w:val="auto"/>
              </w:rPr>
            </w:pPr>
            <w:r>
              <w:rPr>
                <w:rFonts w:hint="eastAsia"/>
                <w:color w:val="auto"/>
              </w:rPr>
              <w:t>需支持患者基本信息自动带入病历；</w:t>
            </w:r>
          </w:p>
          <w:p w14:paraId="638E97D9">
            <w:pPr>
              <w:pStyle w:val="18"/>
              <w:rPr>
                <w:color w:val="auto"/>
              </w:rPr>
            </w:pPr>
            <w:r>
              <w:rPr>
                <w:rFonts w:hint="eastAsia"/>
                <w:color w:val="auto"/>
              </w:rPr>
              <w:t>需支持门诊病历的结构化录入；</w:t>
            </w:r>
          </w:p>
          <w:p w14:paraId="70645B3C">
            <w:pPr>
              <w:pStyle w:val="18"/>
              <w:rPr>
                <w:color w:val="auto"/>
              </w:rPr>
            </w:pPr>
            <w:r>
              <w:rPr>
                <w:rFonts w:hint="eastAsia"/>
                <w:color w:val="auto"/>
              </w:rPr>
              <w:t>需支持元素信息点选书写；</w:t>
            </w:r>
          </w:p>
          <w:p w14:paraId="550D1338">
            <w:pPr>
              <w:pStyle w:val="18"/>
              <w:rPr>
                <w:color w:val="auto"/>
              </w:rPr>
            </w:pPr>
            <w:r>
              <w:rPr>
                <w:rFonts w:hint="eastAsia"/>
                <w:color w:val="auto"/>
              </w:rPr>
              <w:t>需支持医嘱联动；</w:t>
            </w:r>
          </w:p>
          <w:p w14:paraId="71A72016">
            <w:pPr>
              <w:pStyle w:val="18"/>
              <w:rPr>
                <w:color w:val="auto"/>
              </w:rPr>
            </w:pPr>
            <w:r>
              <w:rPr>
                <w:rFonts w:hint="eastAsia"/>
                <w:color w:val="auto"/>
              </w:rPr>
              <w:t>需支持快速插入检查检验结果；</w:t>
            </w:r>
          </w:p>
          <w:p w14:paraId="3386D68B">
            <w:pPr>
              <w:pStyle w:val="18"/>
              <w:rPr>
                <w:color w:val="auto"/>
              </w:rPr>
            </w:pPr>
            <w:r>
              <w:rPr>
                <w:rFonts w:hint="eastAsia"/>
                <w:color w:val="auto"/>
              </w:rPr>
              <w:t>需支持插入特殊符号功能；</w:t>
            </w:r>
          </w:p>
          <w:p w14:paraId="56E1515C">
            <w:pPr>
              <w:pStyle w:val="18"/>
              <w:rPr>
                <w:color w:val="auto"/>
              </w:rPr>
            </w:pPr>
            <w:r>
              <w:rPr>
                <w:rFonts w:hint="eastAsia"/>
                <w:color w:val="auto"/>
              </w:rPr>
              <w:t>需支持插入图片；</w:t>
            </w:r>
          </w:p>
          <w:p w14:paraId="1CFB1F79">
            <w:pPr>
              <w:pStyle w:val="18"/>
              <w:rPr>
                <w:color w:val="auto"/>
              </w:rPr>
            </w:pPr>
            <w:r>
              <w:rPr>
                <w:rFonts w:hint="eastAsia"/>
                <w:color w:val="auto"/>
              </w:rPr>
              <w:t>需支持病历带入公式结果(例如肌酐清除率、评分)；</w:t>
            </w:r>
          </w:p>
          <w:p w14:paraId="68F331C2">
            <w:pPr>
              <w:pStyle w:val="18"/>
              <w:rPr>
                <w:color w:val="auto"/>
              </w:rPr>
            </w:pPr>
            <w:r>
              <w:rPr>
                <w:rFonts w:hint="eastAsia"/>
                <w:color w:val="auto"/>
              </w:rPr>
              <w:t>需支持在病历中追加内容。</w:t>
            </w:r>
          </w:p>
          <w:p w14:paraId="54C8C048">
            <w:pPr>
              <w:pStyle w:val="18"/>
              <w:rPr>
                <w:color w:val="auto"/>
              </w:rPr>
            </w:pPr>
            <w:r>
              <w:rPr>
                <w:rFonts w:hint="eastAsia"/>
                <w:color w:val="auto"/>
              </w:rPr>
              <w:t>2.门诊病历保存及签名</w:t>
            </w:r>
          </w:p>
          <w:p w14:paraId="34857E12">
            <w:pPr>
              <w:pStyle w:val="18"/>
              <w:rPr>
                <w:color w:val="auto"/>
              </w:rPr>
            </w:pPr>
            <w:r>
              <w:rPr>
                <w:rFonts w:hint="eastAsia"/>
                <w:color w:val="auto"/>
              </w:rPr>
              <w:t>需支持对接CA电子签名；</w:t>
            </w:r>
          </w:p>
          <w:p w14:paraId="0042524F">
            <w:pPr>
              <w:pStyle w:val="18"/>
              <w:rPr>
                <w:color w:val="auto"/>
              </w:rPr>
            </w:pPr>
            <w:r>
              <w:rPr>
                <w:rFonts w:hint="eastAsia"/>
                <w:color w:val="auto"/>
              </w:rPr>
              <w:t>需支持暂存病历书写内容；</w:t>
            </w:r>
          </w:p>
          <w:p w14:paraId="0B5C450B">
            <w:pPr>
              <w:pStyle w:val="18"/>
              <w:rPr>
                <w:color w:val="auto"/>
              </w:rPr>
            </w:pPr>
            <w:r>
              <w:rPr>
                <w:rFonts w:hint="eastAsia"/>
                <w:color w:val="auto"/>
              </w:rPr>
              <w:t>需支持病历保存时或签名时校验必填项；</w:t>
            </w:r>
          </w:p>
          <w:p w14:paraId="6DD16E24">
            <w:pPr>
              <w:pStyle w:val="18"/>
              <w:rPr>
                <w:color w:val="auto"/>
              </w:rPr>
            </w:pPr>
            <w:r>
              <w:rPr>
                <w:rFonts w:hint="eastAsia"/>
                <w:color w:val="auto"/>
              </w:rPr>
              <w:t>需支持门诊病历主诉字数限制的提示；</w:t>
            </w:r>
          </w:p>
          <w:p w14:paraId="167B5DAC">
            <w:pPr>
              <w:pStyle w:val="18"/>
              <w:rPr>
                <w:color w:val="auto"/>
              </w:rPr>
            </w:pPr>
            <w:r>
              <w:rPr>
                <w:rFonts w:hint="eastAsia"/>
                <w:color w:val="auto"/>
              </w:rPr>
              <w:t>需支持显示带有院方规定的水印；</w:t>
            </w:r>
          </w:p>
          <w:p w14:paraId="15C54AC1">
            <w:pPr>
              <w:pStyle w:val="18"/>
              <w:rPr>
                <w:color w:val="auto"/>
              </w:rPr>
            </w:pPr>
            <w:r>
              <w:rPr>
                <w:rFonts w:hint="eastAsia"/>
                <w:color w:val="auto"/>
              </w:rPr>
              <w:t>需支持病历签名后锁定，可申请解锁。</w:t>
            </w:r>
          </w:p>
          <w:p w14:paraId="4CD19B97">
            <w:pPr>
              <w:pStyle w:val="18"/>
              <w:rPr>
                <w:color w:val="auto"/>
              </w:rPr>
            </w:pPr>
            <w:r>
              <w:rPr>
                <w:rFonts w:hint="eastAsia"/>
                <w:color w:val="auto"/>
              </w:rPr>
              <w:t>3.门诊病历打印</w:t>
            </w:r>
          </w:p>
          <w:p w14:paraId="204AC2A7">
            <w:pPr>
              <w:pStyle w:val="18"/>
              <w:rPr>
                <w:color w:val="auto"/>
              </w:rPr>
            </w:pPr>
            <w:r>
              <w:rPr>
                <w:rFonts w:hint="eastAsia"/>
                <w:color w:val="auto"/>
              </w:rPr>
              <w:t>需支持门诊病历打印；</w:t>
            </w:r>
          </w:p>
          <w:p w14:paraId="6F1A4F7D">
            <w:pPr>
              <w:pStyle w:val="18"/>
              <w:rPr>
                <w:color w:val="auto"/>
              </w:rPr>
            </w:pPr>
            <w:r>
              <w:rPr>
                <w:rFonts w:hint="eastAsia"/>
                <w:color w:val="auto"/>
              </w:rPr>
              <w:t>需支持门诊病历集中打印；</w:t>
            </w:r>
          </w:p>
          <w:p w14:paraId="5F6871E8">
            <w:pPr>
              <w:pStyle w:val="18"/>
              <w:rPr>
                <w:color w:val="auto"/>
              </w:rPr>
            </w:pPr>
            <w:r>
              <w:rPr>
                <w:rFonts w:hint="eastAsia"/>
                <w:color w:val="auto"/>
              </w:rPr>
              <w:t>需支持打印后的病历不允许修改。</w:t>
            </w:r>
          </w:p>
          <w:p w14:paraId="44E6C917">
            <w:pPr>
              <w:pStyle w:val="18"/>
              <w:rPr>
                <w:color w:val="auto"/>
              </w:rPr>
            </w:pPr>
            <w:r>
              <w:rPr>
                <w:rFonts w:hint="eastAsia"/>
                <w:color w:val="auto"/>
              </w:rPr>
              <w:t>需支持打印后不可修改病历的申请修改；</w:t>
            </w:r>
          </w:p>
          <w:p w14:paraId="64BD6234">
            <w:pPr>
              <w:pStyle w:val="18"/>
              <w:rPr>
                <w:color w:val="auto"/>
              </w:rPr>
            </w:pPr>
            <w:r>
              <w:rPr>
                <w:rFonts w:hint="eastAsia"/>
                <w:color w:val="auto"/>
              </w:rPr>
              <w:t>需支持门诊部审批打印后不可修改病历；</w:t>
            </w:r>
          </w:p>
          <w:p w14:paraId="506D3F7A">
            <w:pPr>
              <w:pStyle w:val="18"/>
              <w:rPr>
                <w:color w:val="auto"/>
              </w:rPr>
            </w:pPr>
            <w:r>
              <w:rPr>
                <w:rFonts w:hint="eastAsia"/>
                <w:color w:val="auto"/>
              </w:rPr>
              <w:t>需支持打印或自助机打印带有院方规定的水印；</w:t>
            </w:r>
          </w:p>
          <w:p w14:paraId="0A291C51">
            <w:pPr>
              <w:pStyle w:val="18"/>
              <w:rPr>
                <w:color w:val="auto"/>
              </w:rPr>
            </w:pPr>
            <w:r>
              <w:rPr>
                <w:rFonts w:hint="eastAsia"/>
                <w:color w:val="auto"/>
              </w:rPr>
              <w:t>4.门诊病历删除</w:t>
            </w:r>
          </w:p>
          <w:p w14:paraId="662FFF9A">
            <w:pPr>
              <w:pStyle w:val="18"/>
              <w:rPr>
                <w:color w:val="auto"/>
              </w:rPr>
            </w:pPr>
            <w:r>
              <w:rPr>
                <w:rFonts w:hint="eastAsia"/>
                <w:color w:val="auto"/>
              </w:rPr>
              <w:t>需支持对未签名的病历进行删除；</w:t>
            </w:r>
          </w:p>
          <w:p w14:paraId="5A6DAF47">
            <w:pPr>
              <w:pStyle w:val="18"/>
              <w:rPr>
                <w:color w:val="auto"/>
              </w:rPr>
            </w:pPr>
            <w:r>
              <w:rPr>
                <w:rFonts w:hint="eastAsia"/>
                <w:color w:val="auto"/>
              </w:rPr>
              <w:t>需支持查看病历操作记录查询。</w:t>
            </w:r>
          </w:p>
          <w:p w14:paraId="3CEA2C0E">
            <w:pPr>
              <w:pStyle w:val="18"/>
              <w:rPr>
                <w:color w:val="auto"/>
              </w:rPr>
            </w:pPr>
            <w:r>
              <w:rPr>
                <w:rFonts w:hint="eastAsia"/>
                <w:color w:val="auto"/>
              </w:rPr>
              <w:t>需支持门诊病历删除后可恢复。</w:t>
            </w:r>
          </w:p>
          <w:p w14:paraId="7EA8F930">
            <w:pPr>
              <w:pStyle w:val="18"/>
              <w:rPr>
                <w:color w:val="auto"/>
              </w:rPr>
            </w:pPr>
            <w:r>
              <w:rPr>
                <w:rFonts w:hint="eastAsia"/>
                <w:color w:val="auto"/>
              </w:rPr>
              <w:t>5.门诊病历组套管理</w:t>
            </w:r>
          </w:p>
          <w:p w14:paraId="336C9A0E">
            <w:pPr>
              <w:pStyle w:val="18"/>
              <w:rPr>
                <w:color w:val="auto"/>
              </w:rPr>
            </w:pPr>
            <w:r>
              <w:rPr>
                <w:rFonts w:hint="eastAsia"/>
                <w:color w:val="auto"/>
              </w:rPr>
              <w:t>需支持多种不同权限的病历组套，权限不同可编辑病历组套范围不同；</w:t>
            </w:r>
          </w:p>
          <w:p w14:paraId="685EC90D">
            <w:pPr>
              <w:pStyle w:val="18"/>
              <w:rPr>
                <w:color w:val="auto"/>
              </w:rPr>
            </w:pPr>
            <w:r>
              <w:rPr>
                <w:rFonts w:hint="eastAsia"/>
                <w:color w:val="auto"/>
              </w:rPr>
              <w:t>需支持两种不同的病历组套类型（模板组套/元素组套）；</w:t>
            </w:r>
          </w:p>
          <w:p w14:paraId="1753D9E2">
            <w:pPr>
              <w:pStyle w:val="18"/>
              <w:rPr>
                <w:color w:val="auto"/>
              </w:rPr>
            </w:pPr>
            <w:r>
              <w:rPr>
                <w:rFonts w:hint="eastAsia"/>
                <w:color w:val="auto"/>
              </w:rPr>
              <w:t>需支持将当前病历一键存为组套（模板组套/元素组套）；</w:t>
            </w:r>
          </w:p>
          <w:p w14:paraId="06DA64A2">
            <w:pPr>
              <w:pStyle w:val="18"/>
              <w:rPr>
                <w:color w:val="auto"/>
              </w:rPr>
            </w:pPr>
            <w:r>
              <w:rPr>
                <w:rFonts w:hint="eastAsia"/>
                <w:color w:val="auto"/>
              </w:rPr>
              <w:t>需支持指定职级医师维护所在科室的病历组套。</w:t>
            </w:r>
          </w:p>
          <w:p w14:paraId="035350CE">
            <w:pPr>
              <w:pStyle w:val="18"/>
              <w:rPr>
                <w:color w:val="auto"/>
              </w:rPr>
            </w:pPr>
            <w:r>
              <w:rPr>
                <w:rFonts w:hint="eastAsia"/>
                <w:color w:val="auto"/>
              </w:rPr>
              <w:t>需支持病历组套分级为个人、科室二个级别；</w:t>
            </w:r>
          </w:p>
          <w:p w14:paraId="2E4F99EC">
            <w:pPr>
              <w:pStyle w:val="18"/>
              <w:rPr>
                <w:color w:val="auto"/>
              </w:rPr>
            </w:pPr>
            <w:r>
              <w:rPr>
                <w:rFonts w:hint="eastAsia"/>
                <w:color w:val="auto"/>
              </w:rPr>
              <w:t>需支持文本组套分级为个人、科室、全院三个级别；</w:t>
            </w:r>
          </w:p>
          <w:p w14:paraId="3ED0B739">
            <w:pPr>
              <w:pStyle w:val="18"/>
              <w:rPr>
                <w:color w:val="auto"/>
              </w:rPr>
            </w:pPr>
            <w:r>
              <w:rPr>
                <w:rFonts w:hint="eastAsia"/>
                <w:color w:val="auto"/>
              </w:rPr>
              <w:t>需支持文本组套个人文件夹名可修改，可上下移动；</w:t>
            </w:r>
          </w:p>
          <w:p w14:paraId="6811D0EF">
            <w:pPr>
              <w:pStyle w:val="18"/>
              <w:rPr>
                <w:color w:val="auto"/>
              </w:rPr>
            </w:pPr>
            <w:r>
              <w:rPr>
                <w:rFonts w:hint="eastAsia"/>
                <w:color w:val="auto"/>
              </w:rPr>
              <w:t>需支持将病历组套设置为常用组套。</w:t>
            </w:r>
          </w:p>
          <w:p w14:paraId="0E8948C1">
            <w:pPr>
              <w:pStyle w:val="18"/>
              <w:rPr>
                <w:color w:val="auto"/>
              </w:rPr>
            </w:pPr>
            <w:r>
              <w:rPr>
                <w:rFonts w:hint="eastAsia"/>
                <w:color w:val="auto"/>
              </w:rPr>
              <w:t>6.门诊知情同意书</w:t>
            </w:r>
          </w:p>
          <w:p w14:paraId="43B8C51E">
            <w:pPr>
              <w:pStyle w:val="18"/>
              <w:rPr>
                <w:color w:val="auto"/>
              </w:rPr>
            </w:pPr>
            <w:r>
              <w:rPr>
                <w:rFonts w:hint="eastAsia"/>
                <w:color w:val="auto"/>
              </w:rPr>
              <w:t>需支持根据门诊知情同意书不同类型分类展示知情同意书列表；</w:t>
            </w:r>
          </w:p>
          <w:p w14:paraId="226EE1CC">
            <w:pPr>
              <w:pStyle w:val="18"/>
              <w:rPr>
                <w:color w:val="auto"/>
              </w:rPr>
            </w:pPr>
            <w:r>
              <w:rPr>
                <w:rFonts w:hint="eastAsia"/>
                <w:color w:val="auto"/>
              </w:rPr>
              <w:t>需支持展示知情同意书状态（待创建、暂存、签名）；</w:t>
            </w:r>
          </w:p>
          <w:p w14:paraId="12D9170B">
            <w:pPr>
              <w:pStyle w:val="18"/>
              <w:rPr>
                <w:color w:val="auto"/>
              </w:rPr>
            </w:pPr>
            <w:r>
              <w:rPr>
                <w:rFonts w:hint="eastAsia"/>
                <w:color w:val="auto"/>
              </w:rPr>
              <w:t>需支持在创建门诊知情同意书时，患者基本信息（姓名、性别、年龄、科室）自动带入；</w:t>
            </w:r>
          </w:p>
          <w:p w14:paraId="2D55C2DC">
            <w:pPr>
              <w:pStyle w:val="18"/>
              <w:rPr>
                <w:color w:val="auto"/>
              </w:rPr>
            </w:pPr>
            <w:r>
              <w:rPr>
                <w:rFonts w:hint="eastAsia"/>
                <w:color w:val="auto"/>
              </w:rPr>
              <w:t>需支持门诊知情同意书医生电子签名、患者电子签名。</w:t>
            </w:r>
          </w:p>
          <w:p w14:paraId="4E213ECC">
            <w:pPr>
              <w:pStyle w:val="18"/>
              <w:rPr>
                <w:color w:val="auto"/>
              </w:rPr>
            </w:pPr>
            <w:r>
              <w:rPr>
                <w:rFonts w:hint="eastAsia"/>
                <w:color w:val="auto"/>
              </w:rPr>
              <w:t>7.疾病证明</w:t>
            </w:r>
          </w:p>
          <w:p w14:paraId="6C72FFE2">
            <w:pPr>
              <w:pStyle w:val="18"/>
              <w:rPr>
                <w:color w:val="auto"/>
              </w:rPr>
            </w:pPr>
            <w:r>
              <w:rPr>
                <w:rFonts w:hint="eastAsia"/>
                <w:color w:val="auto"/>
              </w:rPr>
              <w:t>需支持在医生站内开具疾病证明（病假单）。</w:t>
            </w:r>
          </w:p>
          <w:p w14:paraId="12CF70E6">
            <w:pPr>
              <w:pStyle w:val="18"/>
              <w:rPr>
                <w:bCs/>
                <w:color w:val="auto"/>
              </w:rPr>
            </w:pPr>
            <w:r>
              <w:rPr>
                <w:rFonts w:hint="eastAsia"/>
                <w:bCs/>
                <w:color w:val="auto"/>
              </w:rPr>
              <w:t>（六）门诊诊断</w:t>
            </w:r>
          </w:p>
          <w:p w14:paraId="3B2ADB55">
            <w:pPr>
              <w:pStyle w:val="18"/>
              <w:rPr>
                <w:color w:val="auto"/>
              </w:rPr>
            </w:pPr>
            <w:r>
              <w:rPr>
                <w:rFonts w:hint="eastAsia"/>
                <w:color w:val="auto"/>
              </w:rPr>
              <w:t>住院诊断是门诊医生站的核心功能，用以标识患者所患疾病，基于ICD10诊断明确患者看诊目的是患者就诊的根本。</w:t>
            </w:r>
          </w:p>
          <w:p w14:paraId="762D130F">
            <w:pPr>
              <w:pStyle w:val="18"/>
              <w:rPr>
                <w:color w:val="auto"/>
              </w:rPr>
            </w:pPr>
            <w:r>
              <w:rPr>
                <w:rFonts w:hint="eastAsia"/>
                <w:color w:val="auto"/>
              </w:rPr>
              <w:t>1.门诊诊断开立</w:t>
            </w:r>
          </w:p>
          <w:p w14:paraId="3A4115B8">
            <w:pPr>
              <w:pStyle w:val="18"/>
              <w:rPr>
                <w:color w:val="auto"/>
              </w:rPr>
            </w:pPr>
            <w:r>
              <w:rPr>
                <w:rFonts w:hint="eastAsia"/>
                <w:color w:val="auto"/>
              </w:rPr>
              <w:t>需支持常规开立、组套开立、复用患者既往诊断；</w:t>
            </w:r>
          </w:p>
          <w:p w14:paraId="6DEB03A4">
            <w:pPr>
              <w:pStyle w:val="18"/>
              <w:rPr>
                <w:color w:val="auto"/>
              </w:rPr>
            </w:pPr>
            <w:r>
              <w:rPr>
                <w:rFonts w:hint="eastAsia"/>
                <w:color w:val="auto"/>
              </w:rPr>
              <w:t>需支持诊断的结构化录入，支持编辑前后缀；</w:t>
            </w:r>
          </w:p>
          <w:p w14:paraId="6BF79593">
            <w:pPr>
              <w:pStyle w:val="18"/>
              <w:rPr>
                <w:color w:val="auto"/>
              </w:rPr>
            </w:pPr>
            <w:r>
              <w:rPr>
                <w:rFonts w:hint="eastAsia"/>
                <w:color w:val="auto"/>
              </w:rPr>
              <w:t>需支持标记主要诊断、疑似诊断；</w:t>
            </w:r>
          </w:p>
          <w:p w14:paraId="143210EE">
            <w:pPr>
              <w:pStyle w:val="18"/>
              <w:rPr>
                <w:color w:val="auto"/>
              </w:rPr>
            </w:pPr>
            <w:r>
              <w:rPr>
                <w:rFonts w:hint="eastAsia"/>
                <w:color w:val="auto"/>
              </w:rPr>
              <w:t>需支持根据患者性别校验诊断合理性；</w:t>
            </w:r>
          </w:p>
          <w:p w14:paraId="5FC03CEC">
            <w:pPr>
              <w:pStyle w:val="18"/>
              <w:rPr>
                <w:color w:val="auto"/>
              </w:rPr>
            </w:pPr>
            <w:r>
              <w:rPr>
                <w:rFonts w:hint="eastAsia"/>
                <w:color w:val="auto"/>
              </w:rPr>
              <w:t>需支持诊断医保对照；</w:t>
            </w:r>
          </w:p>
          <w:p w14:paraId="6CEE07FE">
            <w:pPr>
              <w:pStyle w:val="18"/>
              <w:rPr>
                <w:color w:val="auto"/>
              </w:rPr>
            </w:pPr>
            <w:r>
              <w:rPr>
                <w:rFonts w:hint="eastAsia"/>
                <w:color w:val="auto"/>
              </w:rPr>
              <w:t>需支持中医诊断的结构化录入。</w:t>
            </w:r>
          </w:p>
          <w:p w14:paraId="02B58873">
            <w:pPr>
              <w:pStyle w:val="18"/>
              <w:rPr>
                <w:color w:val="auto"/>
              </w:rPr>
            </w:pPr>
            <w:r>
              <w:rPr>
                <w:rFonts w:hint="eastAsia"/>
                <w:color w:val="auto"/>
              </w:rPr>
              <w:t>2.门诊诊断删除及作废</w:t>
            </w:r>
          </w:p>
          <w:p w14:paraId="094049EB">
            <w:pPr>
              <w:pStyle w:val="18"/>
              <w:rPr>
                <w:color w:val="auto"/>
              </w:rPr>
            </w:pPr>
            <w:r>
              <w:rPr>
                <w:rFonts w:hint="eastAsia"/>
                <w:color w:val="auto"/>
              </w:rPr>
              <w:t>需支持对未签名的诊断进行删除操作；</w:t>
            </w:r>
          </w:p>
          <w:p w14:paraId="02608150">
            <w:pPr>
              <w:pStyle w:val="18"/>
              <w:rPr>
                <w:color w:val="auto"/>
              </w:rPr>
            </w:pPr>
            <w:r>
              <w:rPr>
                <w:rFonts w:hint="eastAsia"/>
                <w:color w:val="auto"/>
              </w:rPr>
              <w:t>需支持对已签名的诊断进行作废操作。</w:t>
            </w:r>
          </w:p>
          <w:p w14:paraId="4B4D825D">
            <w:pPr>
              <w:pStyle w:val="18"/>
              <w:rPr>
                <w:color w:val="auto"/>
              </w:rPr>
            </w:pPr>
            <w:r>
              <w:rPr>
                <w:rFonts w:hint="eastAsia"/>
                <w:color w:val="auto"/>
              </w:rPr>
              <w:t>3.门诊诊断上报</w:t>
            </w:r>
          </w:p>
          <w:p w14:paraId="778F1017">
            <w:pPr>
              <w:pStyle w:val="18"/>
              <w:rPr>
                <w:color w:val="auto"/>
              </w:rPr>
            </w:pPr>
            <w:r>
              <w:rPr>
                <w:rFonts w:hint="eastAsia"/>
                <w:color w:val="auto"/>
              </w:rPr>
              <w:t>需支持自动关联传染病诊断报告卡。</w:t>
            </w:r>
          </w:p>
          <w:p w14:paraId="4669384B">
            <w:pPr>
              <w:pStyle w:val="18"/>
              <w:rPr>
                <w:color w:val="auto"/>
              </w:rPr>
            </w:pPr>
            <w:r>
              <w:rPr>
                <w:rFonts w:hint="eastAsia"/>
                <w:color w:val="auto"/>
              </w:rPr>
              <w:t>4.门诊诊断组套管理</w:t>
            </w:r>
          </w:p>
          <w:p w14:paraId="4DA16B7D">
            <w:pPr>
              <w:pStyle w:val="18"/>
              <w:rPr>
                <w:color w:val="auto"/>
              </w:rPr>
            </w:pPr>
            <w:r>
              <w:rPr>
                <w:rFonts w:hint="eastAsia"/>
                <w:color w:val="auto"/>
              </w:rPr>
              <w:t>需支持自动抓取账号高频使用诊断，生成常用诊断组套；</w:t>
            </w:r>
          </w:p>
          <w:p w14:paraId="44A576DF">
            <w:pPr>
              <w:pStyle w:val="18"/>
              <w:rPr>
                <w:color w:val="auto"/>
              </w:rPr>
            </w:pPr>
            <w:r>
              <w:rPr>
                <w:rFonts w:hint="eastAsia"/>
                <w:color w:val="auto"/>
              </w:rPr>
              <w:t>需支持个人和科室两个级别的诊断组套维护。</w:t>
            </w:r>
          </w:p>
          <w:p w14:paraId="1ACE2866">
            <w:pPr>
              <w:pStyle w:val="18"/>
              <w:rPr>
                <w:bCs/>
                <w:color w:val="auto"/>
              </w:rPr>
            </w:pPr>
            <w:r>
              <w:rPr>
                <w:rFonts w:hint="eastAsia"/>
                <w:bCs/>
                <w:color w:val="auto"/>
              </w:rPr>
              <w:t>（七）门诊报告查看</w:t>
            </w:r>
          </w:p>
          <w:p w14:paraId="71F08D4B">
            <w:pPr>
              <w:pStyle w:val="18"/>
              <w:rPr>
                <w:color w:val="auto"/>
              </w:rPr>
            </w:pPr>
            <w:r>
              <w:rPr>
                <w:rFonts w:hint="eastAsia"/>
                <w:color w:val="auto"/>
              </w:rPr>
              <w:t>1.门诊检查报告查看</w:t>
            </w:r>
          </w:p>
          <w:p w14:paraId="346977F3">
            <w:pPr>
              <w:pStyle w:val="18"/>
              <w:rPr>
                <w:color w:val="auto"/>
              </w:rPr>
            </w:pPr>
            <w:r>
              <w:rPr>
                <w:rFonts w:hint="eastAsia"/>
                <w:color w:val="auto"/>
              </w:rPr>
              <w:t>需支持在医生站内查看检查报告及影像，无需切换至检查系统。</w:t>
            </w:r>
          </w:p>
          <w:p w14:paraId="4D2B68F0">
            <w:pPr>
              <w:pStyle w:val="18"/>
              <w:rPr>
                <w:color w:val="auto"/>
              </w:rPr>
            </w:pPr>
            <w:r>
              <w:rPr>
                <w:rFonts w:hint="eastAsia"/>
                <w:color w:val="auto"/>
              </w:rPr>
              <w:t>2.门诊检验报告查看</w:t>
            </w:r>
          </w:p>
          <w:p w14:paraId="156599DB">
            <w:pPr>
              <w:pStyle w:val="18"/>
              <w:rPr>
                <w:color w:val="auto"/>
              </w:rPr>
            </w:pPr>
            <w:r>
              <w:rPr>
                <w:rFonts w:hint="eastAsia"/>
                <w:color w:val="auto"/>
              </w:rPr>
              <w:t>需支持在医生站内查看检验报告，无需切换至检验系统。</w:t>
            </w:r>
          </w:p>
          <w:p w14:paraId="75CC11CA">
            <w:pPr>
              <w:pStyle w:val="18"/>
              <w:rPr>
                <w:color w:val="auto"/>
              </w:rPr>
            </w:pPr>
            <w:r>
              <w:rPr>
                <w:rFonts w:hint="eastAsia"/>
                <w:color w:val="auto"/>
              </w:rPr>
              <w:t>需支持对于相同检验项目多次检验结果，通过时序图的方式呈现变化趋势。</w:t>
            </w:r>
          </w:p>
          <w:p w14:paraId="30D36B2B">
            <w:pPr>
              <w:pStyle w:val="18"/>
              <w:rPr>
                <w:bCs/>
                <w:color w:val="auto"/>
              </w:rPr>
            </w:pPr>
            <w:r>
              <w:rPr>
                <w:rFonts w:hint="eastAsia"/>
                <w:bCs/>
                <w:color w:val="auto"/>
              </w:rPr>
              <w:t>（八）办理入院</w:t>
            </w:r>
          </w:p>
          <w:p w14:paraId="39C322F8">
            <w:pPr>
              <w:pStyle w:val="18"/>
              <w:rPr>
                <w:color w:val="auto"/>
              </w:rPr>
            </w:pPr>
            <w:r>
              <w:rPr>
                <w:rFonts w:hint="eastAsia"/>
                <w:color w:val="auto"/>
              </w:rPr>
              <w:t>入院通知单是常规患者的入院凭证，经过门诊医生的诊治对重病情患者办理相关入院证明，目的是精确看诊合理分配医疗资源，规范住院流程、避免患者过度治疗。</w:t>
            </w:r>
          </w:p>
          <w:p w14:paraId="0E214F7A">
            <w:pPr>
              <w:pStyle w:val="18"/>
              <w:rPr>
                <w:color w:val="auto"/>
              </w:rPr>
            </w:pPr>
            <w:r>
              <w:rPr>
                <w:rFonts w:hint="eastAsia"/>
                <w:color w:val="auto"/>
              </w:rPr>
              <w:t>需支持开立入院通知单（住院证），在开立住院通知单时，患者的基本信息（如：病历号、费用类别、姓名、性别、年龄、出生日期）自动带入；</w:t>
            </w:r>
          </w:p>
          <w:p w14:paraId="2EF2A475">
            <w:pPr>
              <w:pStyle w:val="18"/>
              <w:rPr>
                <w:color w:val="auto"/>
              </w:rPr>
            </w:pPr>
            <w:r>
              <w:rPr>
                <w:rFonts w:hint="eastAsia"/>
                <w:color w:val="auto"/>
              </w:rPr>
              <w:t>需支持在开立住院通知单时，患者门诊主诊断自动带入；</w:t>
            </w:r>
          </w:p>
          <w:p w14:paraId="2D9BEBA1">
            <w:pPr>
              <w:pStyle w:val="18"/>
              <w:rPr>
                <w:color w:val="auto"/>
              </w:rPr>
            </w:pPr>
            <w:r>
              <w:rPr>
                <w:rFonts w:hint="eastAsia"/>
                <w:color w:val="auto"/>
              </w:rPr>
              <w:t>需支持默认提供患者入院情况（危/急/一般）、入院处理录入项目，支持本地化按需增减信息项。</w:t>
            </w:r>
          </w:p>
          <w:p w14:paraId="51AB5222">
            <w:pPr>
              <w:pStyle w:val="18"/>
              <w:rPr>
                <w:bCs/>
                <w:color w:val="auto"/>
              </w:rPr>
            </w:pPr>
            <w:r>
              <w:rPr>
                <w:rFonts w:hint="eastAsia"/>
                <w:bCs/>
                <w:color w:val="auto"/>
              </w:rPr>
              <w:t>（九）会诊</w:t>
            </w:r>
          </w:p>
          <w:p w14:paraId="347AC99B">
            <w:pPr>
              <w:pStyle w:val="18"/>
              <w:rPr>
                <w:color w:val="auto"/>
              </w:rPr>
            </w:pPr>
            <w:r>
              <w:rPr>
                <w:rFonts w:hint="eastAsia"/>
                <w:color w:val="auto"/>
              </w:rPr>
              <w:t>1.会诊申请</w:t>
            </w:r>
          </w:p>
          <w:p w14:paraId="6594FE52">
            <w:pPr>
              <w:pStyle w:val="18"/>
              <w:rPr>
                <w:color w:val="auto"/>
              </w:rPr>
            </w:pPr>
            <w:r>
              <w:rPr>
                <w:rFonts w:hint="eastAsia"/>
                <w:color w:val="auto"/>
              </w:rPr>
              <w:t>需支持科间会诊、急会诊；</w:t>
            </w:r>
          </w:p>
          <w:p w14:paraId="1FED86C7">
            <w:pPr>
              <w:pStyle w:val="18"/>
              <w:rPr>
                <w:color w:val="auto"/>
              </w:rPr>
            </w:pPr>
            <w:r>
              <w:rPr>
                <w:rFonts w:hint="eastAsia"/>
                <w:color w:val="auto"/>
              </w:rPr>
              <w:t>需支持查看已申请患者会诊处理情况；</w:t>
            </w:r>
          </w:p>
          <w:p w14:paraId="765844D9">
            <w:pPr>
              <w:pStyle w:val="18"/>
              <w:rPr>
                <w:color w:val="auto"/>
              </w:rPr>
            </w:pPr>
            <w:r>
              <w:rPr>
                <w:rFonts w:hint="eastAsia"/>
                <w:color w:val="auto"/>
              </w:rPr>
              <w:t>2.接收及拒绝</w:t>
            </w:r>
          </w:p>
          <w:p w14:paraId="335640C1">
            <w:pPr>
              <w:pStyle w:val="18"/>
              <w:rPr>
                <w:color w:val="auto"/>
              </w:rPr>
            </w:pPr>
            <w:r>
              <w:rPr>
                <w:rFonts w:hint="eastAsia"/>
                <w:color w:val="auto"/>
              </w:rPr>
              <w:t>需支持医嘱与病历会诊申请的联动即创建申请单默认开立会诊医嘱。</w:t>
            </w:r>
          </w:p>
          <w:p w14:paraId="0EFEF2C6">
            <w:pPr>
              <w:pStyle w:val="18"/>
              <w:rPr>
                <w:color w:val="auto"/>
              </w:rPr>
            </w:pPr>
            <w:r>
              <w:rPr>
                <w:rFonts w:hint="eastAsia"/>
                <w:color w:val="auto"/>
              </w:rPr>
              <w:t>需支持在处理会诊患者前，查看患者治疗过程信息；</w:t>
            </w:r>
          </w:p>
          <w:p w14:paraId="65B4546B">
            <w:pPr>
              <w:pStyle w:val="18"/>
              <w:rPr>
                <w:color w:val="auto"/>
              </w:rPr>
            </w:pPr>
            <w:r>
              <w:rPr>
                <w:rFonts w:hint="eastAsia"/>
                <w:color w:val="auto"/>
              </w:rPr>
              <w:t>需支持接收会诊，书写会诊意见；</w:t>
            </w:r>
          </w:p>
          <w:p w14:paraId="52177971">
            <w:pPr>
              <w:pStyle w:val="18"/>
              <w:rPr>
                <w:color w:val="auto"/>
              </w:rPr>
            </w:pPr>
            <w:r>
              <w:rPr>
                <w:rFonts w:hint="eastAsia"/>
                <w:color w:val="auto"/>
              </w:rPr>
              <w:t>需支持拒绝会诊，填写拒绝理由；</w:t>
            </w:r>
          </w:p>
          <w:p w14:paraId="699AC575">
            <w:pPr>
              <w:pStyle w:val="18"/>
              <w:rPr>
                <w:color w:val="auto"/>
              </w:rPr>
            </w:pPr>
            <w:r>
              <w:rPr>
                <w:rFonts w:hint="eastAsia"/>
                <w:color w:val="auto"/>
              </w:rPr>
              <w:t>3.会诊互评</w:t>
            </w:r>
          </w:p>
          <w:p w14:paraId="7195F86F">
            <w:pPr>
              <w:pStyle w:val="18"/>
              <w:rPr>
                <w:color w:val="auto"/>
              </w:rPr>
            </w:pPr>
            <w:r>
              <w:rPr>
                <w:rFonts w:hint="eastAsia"/>
                <w:color w:val="auto"/>
              </w:rPr>
              <w:t>需支持会诊科室与受邀科室相互评价，具备评价查询和分析功能；</w:t>
            </w:r>
          </w:p>
          <w:p w14:paraId="2168BFD9">
            <w:pPr>
              <w:pStyle w:val="18"/>
              <w:rPr>
                <w:color w:val="auto"/>
              </w:rPr>
            </w:pPr>
            <w:r>
              <w:rPr>
                <w:rFonts w:hint="eastAsia"/>
                <w:color w:val="auto"/>
              </w:rPr>
              <w:t>会诊完成时，需支持会诊专家评价本次会诊，且评价内容只允许会诊专家方可见；</w:t>
            </w:r>
          </w:p>
          <w:p w14:paraId="4A94B5AF">
            <w:pPr>
              <w:pStyle w:val="18"/>
              <w:rPr>
                <w:color w:val="auto"/>
              </w:rPr>
            </w:pPr>
            <w:r>
              <w:rPr>
                <w:rFonts w:hint="eastAsia"/>
                <w:color w:val="auto"/>
              </w:rPr>
              <w:t>会诊完成后，需支持会诊申请医师评价本次会诊，且评价内容只允许申请方可见；</w:t>
            </w:r>
          </w:p>
          <w:p w14:paraId="460AC9D9">
            <w:pPr>
              <w:pStyle w:val="18"/>
              <w:rPr>
                <w:color w:val="auto"/>
              </w:rPr>
            </w:pPr>
            <w:r>
              <w:rPr>
                <w:rFonts w:hint="eastAsia"/>
                <w:color w:val="auto"/>
              </w:rPr>
              <w:t>会诊评价内容，需支持自定义维护。</w:t>
            </w:r>
          </w:p>
          <w:p w14:paraId="26EE6A6B">
            <w:pPr>
              <w:pStyle w:val="18"/>
              <w:rPr>
                <w:bCs/>
                <w:color w:val="auto"/>
              </w:rPr>
            </w:pPr>
            <w:r>
              <w:rPr>
                <w:rFonts w:hint="eastAsia"/>
                <w:bCs/>
                <w:color w:val="auto"/>
              </w:rPr>
              <w:t>（十）门诊病历归档</w:t>
            </w:r>
          </w:p>
          <w:p w14:paraId="23754385">
            <w:pPr>
              <w:pStyle w:val="18"/>
              <w:rPr>
                <w:color w:val="auto"/>
              </w:rPr>
            </w:pPr>
            <w:r>
              <w:rPr>
                <w:rFonts w:hint="eastAsia"/>
                <w:color w:val="auto"/>
              </w:rPr>
              <w:t>需支持门诊病历定时归档；</w:t>
            </w:r>
          </w:p>
          <w:p w14:paraId="64AC0514">
            <w:pPr>
              <w:pStyle w:val="18"/>
              <w:rPr>
                <w:color w:val="auto"/>
              </w:rPr>
            </w:pPr>
            <w:r>
              <w:rPr>
                <w:rFonts w:hint="eastAsia"/>
                <w:color w:val="auto"/>
              </w:rPr>
              <w:t>需支持医生申请解归档门诊病历；</w:t>
            </w:r>
          </w:p>
          <w:p w14:paraId="364BC036">
            <w:pPr>
              <w:pStyle w:val="18"/>
              <w:rPr>
                <w:color w:val="auto"/>
              </w:rPr>
            </w:pPr>
            <w:r>
              <w:rPr>
                <w:rFonts w:hint="eastAsia"/>
                <w:color w:val="auto"/>
              </w:rPr>
              <w:t>需支持门诊部审批接归档门诊病历。</w:t>
            </w:r>
          </w:p>
          <w:p w14:paraId="13199955">
            <w:pPr>
              <w:pStyle w:val="18"/>
              <w:rPr>
                <w:bCs/>
                <w:color w:val="auto"/>
              </w:rPr>
            </w:pPr>
            <w:r>
              <w:rPr>
                <w:rFonts w:hint="eastAsia"/>
                <w:bCs/>
                <w:color w:val="auto"/>
              </w:rPr>
              <w:t>（十一）门诊病历质控</w:t>
            </w:r>
          </w:p>
          <w:p w14:paraId="581C10D1">
            <w:pPr>
              <w:pStyle w:val="18"/>
              <w:rPr>
                <w:color w:val="auto"/>
              </w:rPr>
            </w:pPr>
            <w:r>
              <w:rPr>
                <w:rFonts w:hint="eastAsia"/>
                <w:color w:val="auto"/>
              </w:rPr>
              <w:t>门诊病历质控需支持满足人工检查和系统自动评分两种方式，要求能够对质控评分的标准进行维护，并提供质控结果综合查询功能。</w:t>
            </w:r>
          </w:p>
          <w:p w14:paraId="47BE11F2">
            <w:pPr>
              <w:pStyle w:val="18"/>
              <w:rPr>
                <w:color w:val="auto"/>
              </w:rPr>
            </w:pPr>
            <w:r>
              <w:rPr>
                <w:rFonts w:hint="eastAsia"/>
                <w:color w:val="auto"/>
              </w:rPr>
              <w:t>1.门诊质控标准维护</w:t>
            </w:r>
          </w:p>
          <w:p w14:paraId="61C33998">
            <w:pPr>
              <w:pStyle w:val="18"/>
              <w:rPr>
                <w:color w:val="auto"/>
              </w:rPr>
            </w:pPr>
            <w:r>
              <w:rPr>
                <w:rFonts w:hint="eastAsia"/>
                <w:color w:val="auto"/>
              </w:rPr>
              <w:t>系统需支持质控规则管理库，并内置标准质控规则，以层级方式呈现规则项、规则细项、评分标准。</w:t>
            </w:r>
          </w:p>
          <w:p w14:paraId="19855D67">
            <w:pPr>
              <w:pStyle w:val="18"/>
              <w:rPr>
                <w:color w:val="auto"/>
              </w:rPr>
            </w:pPr>
            <w:r>
              <w:rPr>
                <w:rFonts w:hint="eastAsia"/>
                <w:color w:val="auto"/>
              </w:rPr>
              <w:t>系统需支持质控规则库维护功能可对内置规则进行停用和启用处理、可对质控规则的分值做相应调整。</w:t>
            </w:r>
          </w:p>
          <w:p w14:paraId="2C5D0273">
            <w:pPr>
              <w:pStyle w:val="18"/>
              <w:rPr>
                <w:color w:val="auto"/>
              </w:rPr>
            </w:pPr>
            <w:r>
              <w:rPr>
                <w:rFonts w:hint="eastAsia"/>
                <w:color w:val="auto"/>
              </w:rPr>
              <w:t>系统内置规则标准需支持（规则项目分类、规则项目描述、总分数、细项分数、扣分方式、单项否决标识）</w:t>
            </w:r>
          </w:p>
          <w:p w14:paraId="0733BAF1">
            <w:pPr>
              <w:pStyle w:val="18"/>
              <w:rPr>
                <w:color w:val="auto"/>
              </w:rPr>
            </w:pPr>
            <w:r>
              <w:rPr>
                <w:rFonts w:hint="eastAsia"/>
                <w:color w:val="auto"/>
              </w:rPr>
              <w:t>2.质控评分手工项目维护</w:t>
            </w:r>
          </w:p>
          <w:p w14:paraId="669755C3">
            <w:pPr>
              <w:pStyle w:val="18"/>
              <w:rPr>
                <w:color w:val="auto"/>
              </w:rPr>
            </w:pPr>
            <w:r>
              <w:rPr>
                <w:rFonts w:hint="eastAsia"/>
                <w:color w:val="auto"/>
              </w:rPr>
              <w:t>系统质控评分项目需基于质控规则库选取，可通过选取的规则构建适用不同科室的质控评分项目。</w:t>
            </w:r>
          </w:p>
          <w:p w14:paraId="56C20C1B">
            <w:pPr>
              <w:pStyle w:val="18"/>
              <w:rPr>
                <w:color w:val="auto"/>
              </w:rPr>
            </w:pPr>
            <w:r>
              <w:rPr>
                <w:rFonts w:hint="eastAsia"/>
                <w:color w:val="auto"/>
              </w:rPr>
              <w:t>需支持在评分项目中创建扣分项目，用于人工病历检查；</w:t>
            </w:r>
          </w:p>
          <w:p w14:paraId="6D5741B8">
            <w:pPr>
              <w:pStyle w:val="18"/>
              <w:rPr>
                <w:color w:val="auto"/>
              </w:rPr>
            </w:pPr>
            <w:r>
              <w:rPr>
                <w:rFonts w:hint="eastAsia"/>
                <w:color w:val="auto"/>
              </w:rPr>
              <w:t>需支持为项目设置单项分数或者可多次重复扣分的分数；</w:t>
            </w:r>
          </w:p>
          <w:p w14:paraId="47812ED9">
            <w:pPr>
              <w:pStyle w:val="18"/>
              <w:rPr>
                <w:color w:val="auto"/>
              </w:rPr>
            </w:pPr>
            <w:r>
              <w:rPr>
                <w:rFonts w:hint="eastAsia"/>
                <w:color w:val="auto"/>
              </w:rPr>
              <w:t>需支持设定当前项目的最高扣分上限。</w:t>
            </w:r>
          </w:p>
          <w:p w14:paraId="41EF102D">
            <w:pPr>
              <w:pStyle w:val="18"/>
              <w:rPr>
                <w:color w:val="auto"/>
              </w:rPr>
            </w:pPr>
            <w:r>
              <w:rPr>
                <w:rFonts w:hint="eastAsia"/>
                <w:color w:val="auto"/>
              </w:rPr>
              <w:t>3.质控评分自动项目维护</w:t>
            </w:r>
          </w:p>
          <w:p w14:paraId="0B4C63EB">
            <w:pPr>
              <w:pStyle w:val="18"/>
              <w:rPr>
                <w:color w:val="auto"/>
              </w:rPr>
            </w:pPr>
            <w:r>
              <w:rPr>
                <w:rFonts w:hint="eastAsia"/>
                <w:color w:val="auto"/>
              </w:rPr>
              <w:t>需支持在评分规则项目库中选择部分项目用于自动评分规则，可通过自动评分工具为门诊病历打分。</w:t>
            </w:r>
          </w:p>
          <w:p w14:paraId="0CA1F27C">
            <w:pPr>
              <w:pStyle w:val="18"/>
              <w:rPr>
                <w:color w:val="auto"/>
              </w:rPr>
            </w:pPr>
            <w:r>
              <w:rPr>
                <w:rFonts w:hint="eastAsia"/>
                <w:color w:val="auto"/>
              </w:rPr>
              <w:t>4.门诊质控评分</w:t>
            </w:r>
          </w:p>
          <w:p w14:paraId="3BE036CB">
            <w:pPr>
              <w:pStyle w:val="18"/>
              <w:rPr>
                <w:color w:val="auto"/>
              </w:rPr>
            </w:pPr>
            <w:r>
              <w:rPr>
                <w:rFonts w:hint="eastAsia"/>
                <w:color w:val="auto"/>
              </w:rPr>
              <w:t>需支持质控员参照评分标准对照病历内容为病历打分。</w:t>
            </w:r>
          </w:p>
          <w:p w14:paraId="23A2E8FB">
            <w:pPr>
              <w:pStyle w:val="18"/>
              <w:rPr>
                <w:color w:val="auto"/>
              </w:rPr>
            </w:pPr>
            <w:r>
              <w:rPr>
                <w:rFonts w:hint="eastAsia"/>
                <w:color w:val="auto"/>
              </w:rPr>
              <w:t>需支持质控人员针对病历存在的缺陷手工录入缺陷内容以及扣分原因，质控员需支持根据评分标准进行单项扣分、多项扣分以及单项否决评分。</w:t>
            </w:r>
          </w:p>
          <w:p w14:paraId="3BD0B9DA">
            <w:pPr>
              <w:pStyle w:val="18"/>
              <w:rPr>
                <w:color w:val="auto"/>
              </w:rPr>
            </w:pPr>
            <w:r>
              <w:rPr>
                <w:rFonts w:hint="eastAsia"/>
                <w:color w:val="auto"/>
              </w:rPr>
              <w:t>5.质控结果查看</w:t>
            </w:r>
          </w:p>
          <w:p w14:paraId="5176C3C6">
            <w:pPr>
              <w:pStyle w:val="18"/>
              <w:rPr>
                <w:color w:val="auto"/>
              </w:rPr>
            </w:pPr>
            <w:r>
              <w:rPr>
                <w:rFonts w:hint="eastAsia"/>
                <w:color w:val="auto"/>
              </w:rPr>
              <w:t>系统需支持质控结果综合查询功能，要求能查询一段时间内当前质控员或全部质控员的质控的病历情况。</w:t>
            </w:r>
          </w:p>
        </w:tc>
      </w:tr>
      <w:bookmarkEnd w:id="131"/>
      <w:tr w14:paraId="1966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CDE08B9">
            <w:pPr>
              <w:pStyle w:val="18"/>
              <w:jc w:val="center"/>
              <w:rPr>
                <w:b w:val="0"/>
                <w:color w:val="auto"/>
              </w:rPr>
            </w:pPr>
            <w:r>
              <w:rPr>
                <w:rFonts w:hint="eastAsia"/>
                <w:b w:val="0"/>
                <w:color w:val="auto"/>
              </w:rPr>
              <w:t>住院医生</w:t>
            </w:r>
          </w:p>
          <w:p w14:paraId="1D01A023">
            <w:pPr>
              <w:pStyle w:val="18"/>
              <w:jc w:val="center"/>
              <w:rPr>
                <w:b w:val="0"/>
                <w:color w:val="auto"/>
              </w:rPr>
            </w:pPr>
            <w:r>
              <w:rPr>
                <w:rFonts w:hint="eastAsia"/>
                <w:b w:val="0"/>
                <w:color w:val="auto"/>
              </w:rPr>
              <w:t>工作站</w:t>
            </w:r>
          </w:p>
        </w:tc>
        <w:tc>
          <w:tcPr>
            <w:tcW w:w="6579" w:type="dxa"/>
            <w:vAlign w:val="center"/>
          </w:tcPr>
          <w:p w14:paraId="62692D2A">
            <w:pPr>
              <w:pStyle w:val="18"/>
              <w:rPr>
                <w:color w:val="auto"/>
              </w:rPr>
            </w:pPr>
            <w:r>
              <w:rPr>
                <w:rFonts w:hint="eastAsia"/>
                <w:color w:val="auto"/>
              </w:rPr>
              <w:t>住院医生工作站主要帮助医院住院业务实现高效精细化管理，提高工作效率，保障患者治疗效果。</w:t>
            </w:r>
          </w:p>
          <w:p w14:paraId="77F684EA">
            <w:pPr>
              <w:pStyle w:val="18"/>
              <w:rPr>
                <w:color w:val="auto"/>
              </w:rPr>
            </w:pPr>
            <w:r>
              <w:rPr>
                <w:rFonts w:hint="eastAsia"/>
                <w:color w:val="auto"/>
              </w:rPr>
              <w:t>住院医生工作站是医生看诊住院患者的医事主体，要求系统具备患者列表展示、医嘱开立、诊断开立、病历书写的基本功能，需最大限度的展示患者信息资源（患者信息、治疗信息、历史诊疗信息），并基于实现相关查询快速定位。需以医生看诊为主体整合各项医疗资源（检查、检验、输血、手术）通过医嘱开立（药品、治疗、材料、医技申请单、预约单、指引单）的形式完成患者于住院的诊疗。</w:t>
            </w:r>
          </w:p>
          <w:p w14:paraId="4755EAFC">
            <w:pPr>
              <w:pStyle w:val="18"/>
              <w:rPr>
                <w:color w:val="auto"/>
              </w:rPr>
            </w:pPr>
            <w:r>
              <w:rPr>
                <w:rFonts w:hint="eastAsia"/>
                <w:color w:val="auto"/>
              </w:rPr>
              <w:t>功能需包括住院医生站、患者组件、住院医嘱、住院电子病历、住院诊断管理、住院报告查看、会诊，具体要求如下：</w:t>
            </w:r>
          </w:p>
          <w:p w14:paraId="4624A7A1">
            <w:pPr>
              <w:pStyle w:val="18"/>
              <w:rPr>
                <w:bCs/>
                <w:color w:val="auto"/>
              </w:rPr>
            </w:pPr>
            <w:r>
              <w:rPr>
                <w:rFonts w:hint="eastAsia"/>
                <w:bCs/>
                <w:color w:val="auto"/>
              </w:rPr>
              <w:t>（一）住院医生站</w:t>
            </w:r>
          </w:p>
          <w:p w14:paraId="073F9C6A">
            <w:pPr>
              <w:pStyle w:val="18"/>
              <w:rPr>
                <w:color w:val="auto"/>
              </w:rPr>
            </w:pPr>
            <w:r>
              <w:rPr>
                <w:rFonts w:hint="eastAsia"/>
                <w:color w:val="auto"/>
              </w:rPr>
              <w:t>需提供住院患者列表功能；</w:t>
            </w:r>
          </w:p>
          <w:p w14:paraId="2E604894">
            <w:pPr>
              <w:pStyle w:val="18"/>
              <w:rPr>
                <w:color w:val="auto"/>
              </w:rPr>
            </w:pPr>
            <w:r>
              <w:rPr>
                <w:rFonts w:hint="eastAsia"/>
                <w:color w:val="auto"/>
              </w:rPr>
              <w:t>需支持根据患者来源多种过滤方式（分管患者、全科患者、授权患者、转出患者、转入患者）来快速定位指定患者；</w:t>
            </w:r>
          </w:p>
          <w:p w14:paraId="3ECD26D7">
            <w:pPr>
              <w:pStyle w:val="18"/>
              <w:rPr>
                <w:color w:val="auto"/>
              </w:rPr>
            </w:pPr>
            <w:r>
              <w:rPr>
                <w:rFonts w:hint="eastAsia"/>
                <w:color w:val="auto"/>
              </w:rPr>
              <w:t>需支持根据患者状态多种过滤方式（在院患者、出院患者）快速定位指定患者；</w:t>
            </w:r>
          </w:p>
          <w:p w14:paraId="5F57CE1C">
            <w:pPr>
              <w:pStyle w:val="18"/>
              <w:rPr>
                <w:color w:val="auto"/>
              </w:rPr>
            </w:pPr>
            <w:r>
              <w:rPr>
                <w:rFonts w:hint="eastAsia"/>
                <w:color w:val="auto"/>
              </w:rPr>
              <w:t>需支持自定义扩展患者来源分类。例如：日间手术、预住院、血透；</w:t>
            </w:r>
          </w:p>
          <w:p w14:paraId="468AF75E">
            <w:pPr>
              <w:pStyle w:val="18"/>
              <w:rPr>
                <w:color w:val="auto"/>
              </w:rPr>
            </w:pPr>
            <w:r>
              <w:rPr>
                <w:rFonts w:hint="eastAsia"/>
                <w:color w:val="auto"/>
              </w:rPr>
              <w:t>需支持快捷查询会诊患者信息；</w:t>
            </w:r>
          </w:p>
          <w:p w14:paraId="5C4099E7">
            <w:pPr>
              <w:pStyle w:val="18"/>
              <w:rPr>
                <w:color w:val="auto"/>
              </w:rPr>
            </w:pPr>
            <w:r>
              <w:rPr>
                <w:rFonts w:hint="eastAsia"/>
                <w:color w:val="auto"/>
              </w:rPr>
              <w:t>需支持根据时间、病区、科室快速过滤患者及对患者进行排序；</w:t>
            </w:r>
          </w:p>
          <w:p w14:paraId="355D1B12">
            <w:pPr>
              <w:pStyle w:val="18"/>
              <w:rPr>
                <w:color w:val="auto"/>
              </w:rPr>
            </w:pPr>
            <w:r>
              <w:rPr>
                <w:rFonts w:hint="eastAsia"/>
                <w:color w:val="auto"/>
              </w:rPr>
              <w:t>需支持根据特殊标记筛选患者，如危重、临床路径、手术、婴儿、新入院；</w:t>
            </w:r>
          </w:p>
          <w:p w14:paraId="4FE44772">
            <w:pPr>
              <w:pStyle w:val="18"/>
              <w:rPr>
                <w:color w:val="auto"/>
              </w:rPr>
            </w:pPr>
            <w:r>
              <w:rPr>
                <w:rFonts w:hint="eastAsia"/>
                <w:color w:val="auto"/>
              </w:rPr>
              <w:t>需支持自定义住院患者列表各级分类联动关系；</w:t>
            </w:r>
          </w:p>
          <w:p w14:paraId="0395CC51">
            <w:pPr>
              <w:pStyle w:val="18"/>
              <w:rPr>
                <w:color w:val="auto"/>
              </w:rPr>
            </w:pPr>
            <w:r>
              <w:rPr>
                <w:rFonts w:hint="eastAsia"/>
                <w:color w:val="auto"/>
              </w:rPr>
              <w:t>需支持支持导出患者信息功能；</w:t>
            </w:r>
          </w:p>
          <w:p w14:paraId="24CBE21F">
            <w:pPr>
              <w:pStyle w:val="18"/>
              <w:rPr>
                <w:color w:val="auto"/>
              </w:rPr>
            </w:pPr>
            <w:r>
              <w:rPr>
                <w:rFonts w:hint="eastAsia"/>
                <w:color w:val="auto"/>
              </w:rPr>
              <w:t>需支持详细显示患者的床号、姓名、年龄、病历号、入院日期、天数、诊断、护理级别、三级责任医师、责任护士信息；</w:t>
            </w:r>
          </w:p>
          <w:p w14:paraId="3CAE768F">
            <w:pPr>
              <w:pStyle w:val="18"/>
              <w:rPr>
                <w:color w:val="auto"/>
              </w:rPr>
            </w:pPr>
            <w:r>
              <w:rPr>
                <w:rFonts w:hint="eastAsia"/>
                <w:color w:val="auto"/>
              </w:rPr>
              <w:t>需支持自定义扩展需显示的详细信息；</w:t>
            </w:r>
          </w:p>
          <w:p w14:paraId="0C0727BD">
            <w:pPr>
              <w:pStyle w:val="18"/>
              <w:rPr>
                <w:color w:val="auto"/>
              </w:rPr>
            </w:pPr>
            <w:r>
              <w:rPr>
                <w:rFonts w:hint="eastAsia"/>
                <w:color w:val="auto"/>
              </w:rPr>
              <w:t>需支持个性化设置详细信息位置、宽度、顺序；</w:t>
            </w:r>
          </w:p>
          <w:p w14:paraId="098C44B2">
            <w:pPr>
              <w:pStyle w:val="18"/>
              <w:rPr>
                <w:color w:val="auto"/>
              </w:rPr>
            </w:pPr>
            <w:r>
              <w:rPr>
                <w:rFonts w:hint="eastAsia"/>
                <w:color w:val="auto"/>
              </w:rPr>
              <w:t>需支持治疗过程快速入口，可以快速查看患者的历史就诊信息；</w:t>
            </w:r>
          </w:p>
          <w:p w14:paraId="65341BA1">
            <w:pPr>
              <w:pStyle w:val="18"/>
              <w:rPr>
                <w:color w:val="auto"/>
              </w:rPr>
            </w:pPr>
            <w:r>
              <w:rPr>
                <w:rFonts w:hint="eastAsia"/>
                <w:color w:val="auto"/>
              </w:rPr>
              <w:t>需对患者是否有攻击性、高危传染病，财务警告以及其他不良事纪进行明显提示；</w:t>
            </w:r>
          </w:p>
          <w:p w14:paraId="1B14EDD2">
            <w:pPr>
              <w:pStyle w:val="18"/>
              <w:rPr>
                <w:color w:val="auto"/>
              </w:rPr>
            </w:pPr>
            <w:r>
              <w:rPr>
                <w:rFonts w:hint="eastAsia"/>
                <w:color w:val="auto"/>
              </w:rPr>
              <w:t>需支持创建和修改病历的快速入口，如病程记录、会诊、入院记录、手术记录入口，医生可以快速的为患者书写病历；</w:t>
            </w:r>
          </w:p>
          <w:p w14:paraId="0CF44E36">
            <w:pPr>
              <w:pStyle w:val="18"/>
              <w:rPr>
                <w:color w:val="auto"/>
              </w:rPr>
            </w:pPr>
            <w:r>
              <w:rPr>
                <w:rFonts w:hint="eastAsia"/>
                <w:color w:val="auto"/>
              </w:rPr>
              <w:t>需支持查看变化医嘱，有效医嘱，检查检验反馈；</w:t>
            </w:r>
          </w:p>
          <w:p w14:paraId="13691495">
            <w:pPr>
              <w:pStyle w:val="18"/>
              <w:rPr>
                <w:color w:val="auto"/>
              </w:rPr>
            </w:pPr>
            <w:r>
              <w:rPr>
                <w:rFonts w:hint="eastAsia"/>
                <w:color w:val="auto"/>
              </w:rPr>
              <w:t>需支持显示体温，血压，血糖的变化情况。</w:t>
            </w:r>
          </w:p>
          <w:p w14:paraId="41475CFD">
            <w:pPr>
              <w:pStyle w:val="18"/>
              <w:rPr>
                <w:bCs/>
                <w:color w:val="auto"/>
              </w:rPr>
            </w:pPr>
            <w:r>
              <w:rPr>
                <w:rFonts w:hint="eastAsia"/>
                <w:bCs/>
                <w:color w:val="auto"/>
              </w:rPr>
              <w:t>（二）患者组件</w:t>
            </w:r>
          </w:p>
          <w:p w14:paraId="69C72CF9">
            <w:pPr>
              <w:pStyle w:val="18"/>
              <w:rPr>
                <w:color w:val="auto"/>
              </w:rPr>
            </w:pPr>
            <w:r>
              <w:rPr>
                <w:rFonts w:hint="eastAsia"/>
                <w:color w:val="auto"/>
              </w:rPr>
              <w:t>患者组件主要用于展示患者基本信息以及特殊的患者信息，帮助医生快速了解患者基本情况。</w:t>
            </w:r>
          </w:p>
          <w:p w14:paraId="19154F36">
            <w:pPr>
              <w:pStyle w:val="18"/>
              <w:rPr>
                <w:color w:val="auto"/>
              </w:rPr>
            </w:pPr>
            <w:r>
              <w:rPr>
                <w:rFonts w:hint="eastAsia"/>
                <w:color w:val="auto"/>
              </w:rPr>
              <w:t>1.患者档案</w:t>
            </w:r>
          </w:p>
          <w:p w14:paraId="618C7CAB">
            <w:pPr>
              <w:pStyle w:val="18"/>
              <w:rPr>
                <w:color w:val="auto"/>
              </w:rPr>
            </w:pPr>
            <w:r>
              <w:rPr>
                <w:rFonts w:hint="eastAsia"/>
                <w:color w:val="auto"/>
              </w:rPr>
              <w:t>需支持医生查看支持查看患者的档案信息，如基本信息、联系人。</w:t>
            </w:r>
          </w:p>
          <w:p w14:paraId="659792D9">
            <w:pPr>
              <w:pStyle w:val="18"/>
              <w:rPr>
                <w:color w:val="auto"/>
              </w:rPr>
            </w:pPr>
            <w:r>
              <w:rPr>
                <w:rFonts w:hint="eastAsia"/>
                <w:color w:val="auto"/>
              </w:rPr>
              <w:t>2.患者名片</w:t>
            </w:r>
          </w:p>
          <w:p w14:paraId="02E969CD">
            <w:pPr>
              <w:pStyle w:val="18"/>
              <w:rPr>
                <w:color w:val="auto"/>
              </w:rPr>
            </w:pPr>
            <w:r>
              <w:rPr>
                <w:rFonts w:hint="eastAsia"/>
                <w:color w:val="auto"/>
              </w:rPr>
              <w:t>需支持根据患者不同性别、年龄展示不同的患者头像（如：老年男、老年女、男性、女性、男童、女童、男婴、女婴、未知性别）；</w:t>
            </w:r>
          </w:p>
          <w:p w14:paraId="4F8C7E37">
            <w:pPr>
              <w:pStyle w:val="18"/>
              <w:rPr>
                <w:color w:val="auto"/>
              </w:rPr>
            </w:pPr>
            <w:r>
              <w:rPr>
                <w:rFonts w:hint="eastAsia"/>
                <w:color w:val="auto"/>
              </w:rPr>
              <w:t>需支持医生查看患者基本信息，包括姓名、年龄、地址、费用类别。</w:t>
            </w:r>
          </w:p>
          <w:p w14:paraId="5BD2EC48">
            <w:pPr>
              <w:pStyle w:val="18"/>
              <w:rPr>
                <w:color w:val="auto"/>
              </w:rPr>
            </w:pPr>
            <w:r>
              <w:rPr>
                <w:rFonts w:hint="eastAsia"/>
                <w:color w:val="auto"/>
              </w:rPr>
              <w:t>3.就诊费用</w:t>
            </w:r>
          </w:p>
          <w:p w14:paraId="45BF7101">
            <w:pPr>
              <w:pStyle w:val="18"/>
              <w:rPr>
                <w:color w:val="auto"/>
              </w:rPr>
            </w:pPr>
            <w:r>
              <w:rPr>
                <w:rFonts w:hint="eastAsia"/>
                <w:color w:val="auto"/>
              </w:rPr>
              <w:t>需支持查看患者本次就诊开立医嘱的费用总计，提供查询费用明细的快捷操作。</w:t>
            </w:r>
          </w:p>
          <w:p w14:paraId="5C5F0DF3">
            <w:pPr>
              <w:pStyle w:val="18"/>
              <w:rPr>
                <w:color w:val="auto"/>
              </w:rPr>
            </w:pPr>
            <w:r>
              <w:rPr>
                <w:rFonts w:hint="eastAsia"/>
                <w:color w:val="auto"/>
              </w:rPr>
              <w:t>4.患者过敏信息管理</w:t>
            </w:r>
          </w:p>
          <w:p w14:paraId="45A71445">
            <w:pPr>
              <w:pStyle w:val="18"/>
              <w:rPr>
                <w:color w:val="auto"/>
              </w:rPr>
            </w:pPr>
            <w:r>
              <w:rPr>
                <w:rFonts w:hint="eastAsia"/>
                <w:color w:val="auto"/>
              </w:rPr>
              <w:t>需支持患者过敏信息的录入、展示和维护，包括过敏原、过敏严重程度，方便医生了解患者的过敏信息。</w:t>
            </w:r>
          </w:p>
          <w:p w14:paraId="35C1719C">
            <w:pPr>
              <w:pStyle w:val="18"/>
              <w:rPr>
                <w:color w:val="auto"/>
              </w:rPr>
            </w:pPr>
            <w:r>
              <w:rPr>
                <w:rFonts w:hint="eastAsia"/>
                <w:color w:val="auto"/>
              </w:rPr>
              <w:t>5.患者待办信息</w:t>
            </w:r>
          </w:p>
          <w:p w14:paraId="59303FA4">
            <w:pPr>
              <w:pStyle w:val="18"/>
              <w:rPr>
                <w:color w:val="auto"/>
              </w:rPr>
            </w:pPr>
            <w:r>
              <w:rPr>
                <w:rFonts w:hint="eastAsia"/>
                <w:color w:val="auto"/>
              </w:rPr>
              <w:t>需支持显示患者待办信息数量；</w:t>
            </w:r>
          </w:p>
          <w:p w14:paraId="2B066BD8">
            <w:pPr>
              <w:pStyle w:val="18"/>
              <w:rPr>
                <w:color w:val="auto"/>
              </w:rPr>
            </w:pPr>
            <w:r>
              <w:rPr>
                <w:rFonts w:hint="eastAsia"/>
                <w:color w:val="auto"/>
              </w:rPr>
              <w:t>需支持点击图标快捷跳转至待办列表。</w:t>
            </w:r>
          </w:p>
          <w:p w14:paraId="3063FB36">
            <w:pPr>
              <w:pStyle w:val="18"/>
              <w:rPr>
                <w:color w:val="auto"/>
              </w:rPr>
            </w:pPr>
            <w:r>
              <w:rPr>
                <w:rFonts w:hint="eastAsia"/>
                <w:color w:val="auto"/>
              </w:rPr>
              <w:t>6.患者标签</w:t>
            </w:r>
          </w:p>
          <w:p w14:paraId="06A913DF">
            <w:pPr>
              <w:pStyle w:val="18"/>
              <w:rPr>
                <w:color w:val="auto"/>
              </w:rPr>
            </w:pPr>
            <w:r>
              <w:rPr>
                <w:rFonts w:hint="eastAsia"/>
                <w:color w:val="auto"/>
              </w:rPr>
              <w:t>需支持医生对患者进行特殊标记（如：特殊关怀、攻击性）以及进行查看、编辑、删除操作。</w:t>
            </w:r>
          </w:p>
          <w:p w14:paraId="1F6C0FE8">
            <w:pPr>
              <w:pStyle w:val="18"/>
              <w:rPr>
                <w:color w:val="auto"/>
              </w:rPr>
            </w:pPr>
            <w:r>
              <w:rPr>
                <w:rFonts w:hint="eastAsia"/>
                <w:color w:val="auto"/>
              </w:rPr>
              <w:t>7.待办列表</w:t>
            </w:r>
          </w:p>
          <w:p w14:paraId="0FAAEC1C">
            <w:pPr>
              <w:pStyle w:val="18"/>
              <w:rPr>
                <w:color w:val="auto"/>
              </w:rPr>
            </w:pPr>
            <w:r>
              <w:rPr>
                <w:rFonts w:hint="eastAsia"/>
                <w:color w:val="auto"/>
              </w:rPr>
              <w:t>医生站待办列表是对医生日常工作的重要辅助功能，系统需具备任务分拣归类的能力以患者头像标记代办数量或消息的形式提醒医生，需包含病历质控提醒、检查检验报告、会诊、危急值、皮试结果、代签病历、处方点平诸多任分类的待办事项归类，可通过任务提醒快速跳转至相应功能。</w:t>
            </w:r>
          </w:p>
          <w:p w14:paraId="2B30A3D2">
            <w:pPr>
              <w:pStyle w:val="18"/>
              <w:rPr>
                <w:color w:val="auto"/>
              </w:rPr>
            </w:pPr>
            <w:r>
              <w:rPr>
                <w:rFonts w:hint="eastAsia"/>
                <w:color w:val="auto"/>
              </w:rPr>
              <w:t>需支持质控终末返修，可快捷跳转至问题病历并进行修改；</w:t>
            </w:r>
          </w:p>
          <w:p w14:paraId="04098B3B">
            <w:pPr>
              <w:pStyle w:val="18"/>
              <w:rPr>
                <w:color w:val="auto"/>
              </w:rPr>
            </w:pPr>
            <w:r>
              <w:rPr>
                <w:rFonts w:hint="eastAsia"/>
                <w:color w:val="auto"/>
              </w:rPr>
              <w:t>需支持质控环节返修，可快捷跳转至问题病历并进行修改；</w:t>
            </w:r>
          </w:p>
          <w:p w14:paraId="7D2F0509">
            <w:pPr>
              <w:pStyle w:val="18"/>
              <w:rPr>
                <w:color w:val="auto"/>
              </w:rPr>
            </w:pPr>
            <w:r>
              <w:rPr>
                <w:rFonts w:hint="eastAsia"/>
                <w:color w:val="auto"/>
              </w:rPr>
              <w:t>需支持检查报告查看，已读、未读报告；</w:t>
            </w:r>
          </w:p>
          <w:p w14:paraId="0FE129BA">
            <w:pPr>
              <w:pStyle w:val="18"/>
              <w:rPr>
                <w:color w:val="auto"/>
              </w:rPr>
            </w:pPr>
            <w:r>
              <w:rPr>
                <w:rFonts w:hint="eastAsia"/>
                <w:color w:val="auto"/>
              </w:rPr>
              <w:t>需支持检验报告查看，已读、未读报告；</w:t>
            </w:r>
          </w:p>
          <w:p w14:paraId="4C0A76FF">
            <w:pPr>
              <w:pStyle w:val="18"/>
              <w:rPr>
                <w:color w:val="auto"/>
              </w:rPr>
            </w:pPr>
            <w:r>
              <w:rPr>
                <w:rFonts w:hint="eastAsia"/>
                <w:color w:val="auto"/>
              </w:rPr>
              <w:t>需支持质控提醒；</w:t>
            </w:r>
          </w:p>
          <w:p w14:paraId="4883F7D7">
            <w:pPr>
              <w:pStyle w:val="18"/>
              <w:rPr>
                <w:color w:val="auto"/>
              </w:rPr>
            </w:pPr>
            <w:r>
              <w:rPr>
                <w:rFonts w:hint="eastAsia"/>
                <w:color w:val="auto"/>
              </w:rPr>
              <w:t>需支持快捷跳转至待签的患者病历进行签名；</w:t>
            </w:r>
          </w:p>
          <w:p w14:paraId="09C7DFD4">
            <w:pPr>
              <w:pStyle w:val="18"/>
              <w:rPr>
                <w:color w:val="auto"/>
              </w:rPr>
            </w:pPr>
            <w:r>
              <w:rPr>
                <w:rFonts w:hint="eastAsia"/>
                <w:color w:val="auto"/>
              </w:rPr>
              <w:t>需支持快捷跳转至上级待签的患者病历进行签名。</w:t>
            </w:r>
          </w:p>
          <w:p w14:paraId="53E290FF">
            <w:pPr>
              <w:pStyle w:val="18"/>
              <w:rPr>
                <w:bCs/>
                <w:color w:val="auto"/>
              </w:rPr>
            </w:pPr>
            <w:r>
              <w:rPr>
                <w:rFonts w:hint="eastAsia"/>
                <w:bCs/>
                <w:color w:val="auto"/>
              </w:rPr>
              <w:t>（三）住院医嘱</w:t>
            </w:r>
          </w:p>
          <w:p w14:paraId="35E15D54">
            <w:pPr>
              <w:pStyle w:val="18"/>
              <w:rPr>
                <w:color w:val="auto"/>
              </w:rPr>
            </w:pPr>
            <w:r>
              <w:rPr>
                <w:rFonts w:hint="eastAsia"/>
                <w:color w:val="auto"/>
              </w:rPr>
              <w:t>住院医嘱是住院医生站的核心功能，是医生对患者施行医疗手段的指令中枢，通过医嘱建立与护士站、医技科室、药房等辅助治疗部门的协作功能，并以医嘱单的形式记录治疗方案。</w:t>
            </w:r>
          </w:p>
          <w:p w14:paraId="21C63F6D">
            <w:pPr>
              <w:pStyle w:val="18"/>
              <w:rPr>
                <w:color w:val="auto"/>
              </w:rPr>
            </w:pPr>
            <w:r>
              <w:rPr>
                <w:rFonts w:hint="eastAsia"/>
                <w:color w:val="auto"/>
              </w:rPr>
              <w:t>住院医嘱需要具备以下功能：需支持医生开立住院患者需要的所有项目，包括西药、中成药、草药、检查、检验、治疗、手术、用血、自备药、体位、护理级别、护理常规、病情、膳食、转科、转床、出院；需支持对已开立的医嘱进行编辑、删除等操作；需支持历史医嘱的查看以及再次开立的操作；能够查看医嘱的执行情况；需支持医生对当前开立医嘱的金额进行计算；需支持医嘱开立的校验功能，包括性别校验、过敏原信息校验。</w:t>
            </w:r>
          </w:p>
          <w:p w14:paraId="4D7BFF41">
            <w:pPr>
              <w:pStyle w:val="18"/>
              <w:rPr>
                <w:color w:val="auto"/>
              </w:rPr>
            </w:pPr>
            <w:r>
              <w:rPr>
                <w:rFonts w:hint="eastAsia"/>
                <w:color w:val="auto"/>
              </w:rPr>
              <w:t>1.医嘱开立</w:t>
            </w:r>
          </w:p>
          <w:p w14:paraId="28FC4578">
            <w:pPr>
              <w:pStyle w:val="18"/>
              <w:rPr>
                <w:color w:val="auto"/>
              </w:rPr>
            </w:pPr>
            <w:r>
              <w:rPr>
                <w:rFonts w:hint="eastAsia"/>
                <w:color w:val="auto"/>
              </w:rPr>
              <w:t>需支持不同形式的快速便捷的医嘱开立模式；</w:t>
            </w:r>
          </w:p>
          <w:p w14:paraId="7101D2CD">
            <w:pPr>
              <w:pStyle w:val="18"/>
              <w:rPr>
                <w:color w:val="auto"/>
              </w:rPr>
            </w:pPr>
            <w:r>
              <w:rPr>
                <w:rFonts w:hint="eastAsia"/>
                <w:color w:val="auto"/>
              </w:rPr>
              <w:t>需支持多种类型、多个医嘱一次性开立的模式；</w:t>
            </w:r>
          </w:p>
          <w:p w14:paraId="6E00E3E0">
            <w:pPr>
              <w:pStyle w:val="18"/>
              <w:rPr>
                <w:color w:val="auto"/>
              </w:rPr>
            </w:pPr>
            <w:r>
              <w:rPr>
                <w:rFonts w:hint="eastAsia"/>
                <w:color w:val="auto"/>
              </w:rPr>
              <w:t>需支持鼠标操作、全键盘操作两种不同的操作习惯；</w:t>
            </w:r>
          </w:p>
          <w:p w14:paraId="33330DAC">
            <w:pPr>
              <w:pStyle w:val="18"/>
              <w:rPr>
                <w:color w:val="auto"/>
              </w:rPr>
            </w:pPr>
            <w:r>
              <w:rPr>
                <w:rFonts w:hint="eastAsia"/>
                <w:color w:val="auto"/>
              </w:rPr>
              <w:t>需支持在医嘱开立时提供药品商品名/通用名、规格、剂型、价格、进口/国产、是否需要皮试、是否特殊管制、取药药房、库存量的查询与展示；</w:t>
            </w:r>
          </w:p>
          <w:p w14:paraId="48A05EB8">
            <w:pPr>
              <w:pStyle w:val="18"/>
              <w:rPr>
                <w:color w:val="auto"/>
              </w:rPr>
            </w:pPr>
            <w:r>
              <w:rPr>
                <w:rFonts w:hint="eastAsia"/>
                <w:color w:val="auto"/>
              </w:rPr>
              <w:t>需支持在开立医嘱时提示默认的频次用法供参考；</w:t>
            </w:r>
          </w:p>
          <w:p w14:paraId="4B5E8D83">
            <w:pPr>
              <w:pStyle w:val="18"/>
              <w:rPr>
                <w:color w:val="auto"/>
              </w:rPr>
            </w:pPr>
            <w:r>
              <w:rPr>
                <w:rFonts w:hint="eastAsia"/>
                <w:color w:val="auto"/>
              </w:rPr>
              <w:t>需支持常用的医嘱项目以及功能的快捷开立方式；</w:t>
            </w:r>
          </w:p>
          <w:p w14:paraId="0567BE2C">
            <w:pPr>
              <w:pStyle w:val="18"/>
              <w:rPr>
                <w:color w:val="auto"/>
              </w:rPr>
            </w:pPr>
            <w:r>
              <w:rPr>
                <w:rFonts w:hint="eastAsia"/>
                <w:color w:val="auto"/>
              </w:rPr>
              <w:t>需支持科常用术语和全部术语的快速切换；</w:t>
            </w:r>
          </w:p>
          <w:p w14:paraId="77F760D1">
            <w:pPr>
              <w:pStyle w:val="18"/>
              <w:rPr>
                <w:color w:val="auto"/>
              </w:rPr>
            </w:pPr>
            <w:r>
              <w:rPr>
                <w:rFonts w:hint="eastAsia"/>
                <w:color w:val="auto"/>
              </w:rPr>
              <w:t>需支持开立术语的多种查询方式（精准匹配、模糊匹配、前匹配、后匹配）、或按拼音/五笔检索，并支持快速切换；</w:t>
            </w:r>
          </w:p>
          <w:p w14:paraId="684A3306">
            <w:pPr>
              <w:pStyle w:val="18"/>
              <w:rPr>
                <w:color w:val="auto"/>
              </w:rPr>
            </w:pPr>
            <w:r>
              <w:rPr>
                <w:rFonts w:hint="eastAsia"/>
                <w:color w:val="auto"/>
              </w:rPr>
              <w:t>需支持长期医嘱根据每次量和时间自动计算总量；</w:t>
            </w:r>
          </w:p>
          <w:p w14:paraId="01946C30">
            <w:pPr>
              <w:pStyle w:val="18"/>
              <w:rPr>
                <w:color w:val="auto"/>
              </w:rPr>
            </w:pPr>
            <w:r>
              <w:rPr>
                <w:rFonts w:hint="eastAsia"/>
                <w:color w:val="auto"/>
              </w:rPr>
              <w:t>需支持检验项目设置默认标本和部位；</w:t>
            </w:r>
          </w:p>
          <w:p w14:paraId="36071C58">
            <w:pPr>
              <w:pStyle w:val="18"/>
              <w:rPr>
                <w:color w:val="auto"/>
              </w:rPr>
            </w:pPr>
            <w:r>
              <w:rPr>
                <w:rFonts w:hint="eastAsia"/>
                <w:color w:val="auto"/>
              </w:rPr>
              <w:t>需支持非药品医嘱设置默认的执行科室、药品设置默认的取药药房；</w:t>
            </w:r>
          </w:p>
          <w:p w14:paraId="49D72A92">
            <w:pPr>
              <w:pStyle w:val="18"/>
              <w:rPr>
                <w:color w:val="auto"/>
              </w:rPr>
            </w:pPr>
            <w:r>
              <w:rPr>
                <w:rFonts w:hint="eastAsia"/>
                <w:color w:val="auto"/>
              </w:rPr>
              <w:t>需支持不均等给药开立模式；</w:t>
            </w:r>
          </w:p>
          <w:p w14:paraId="5E88F6BC">
            <w:pPr>
              <w:pStyle w:val="18"/>
              <w:rPr>
                <w:color w:val="auto"/>
              </w:rPr>
            </w:pPr>
            <w:r>
              <w:rPr>
                <w:rFonts w:hint="eastAsia"/>
                <w:color w:val="auto"/>
              </w:rPr>
              <w:t>需支持设置协定处方便捷开立医嘱功能；</w:t>
            </w:r>
          </w:p>
          <w:p w14:paraId="476E6004">
            <w:pPr>
              <w:pStyle w:val="18"/>
              <w:rPr>
                <w:color w:val="auto"/>
              </w:rPr>
            </w:pPr>
            <w:r>
              <w:rPr>
                <w:rFonts w:hint="eastAsia"/>
                <w:color w:val="auto"/>
              </w:rPr>
              <w:t>需支持开立首日用药量、末日用要量模式；</w:t>
            </w:r>
          </w:p>
          <w:p w14:paraId="70664B7F">
            <w:pPr>
              <w:pStyle w:val="18"/>
              <w:rPr>
                <w:color w:val="auto"/>
              </w:rPr>
            </w:pPr>
            <w:r>
              <w:rPr>
                <w:rFonts w:hint="eastAsia"/>
                <w:color w:val="auto"/>
              </w:rPr>
              <w:t>需支持在医嘱组合时对频次用法是否一致进行校验；</w:t>
            </w:r>
          </w:p>
          <w:p w14:paraId="1F6B435F">
            <w:pPr>
              <w:pStyle w:val="18"/>
              <w:rPr>
                <w:color w:val="auto"/>
              </w:rPr>
            </w:pPr>
            <w:r>
              <w:rPr>
                <w:rFonts w:hint="eastAsia"/>
                <w:color w:val="auto"/>
              </w:rPr>
              <w:t>需支持在医嘱保存时进行合理用药校验，如不合理会提示；</w:t>
            </w:r>
          </w:p>
          <w:p w14:paraId="71044D47">
            <w:pPr>
              <w:pStyle w:val="18"/>
              <w:rPr>
                <w:color w:val="auto"/>
              </w:rPr>
            </w:pPr>
            <w:r>
              <w:rPr>
                <w:rFonts w:hint="eastAsia"/>
                <w:color w:val="auto"/>
              </w:rPr>
              <w:t>需支持医嘱保存但不签名模式；</w:t>
            </w:r>
          </w:p>
          <w:p w14:paraId="4D159EB8">
            <w:pPr>
              <w:pStyle w:val="18"/>
              <w:rPr>
                <w:color w:val="auto"/>
              </w:rPr>
            </w:pPr>
            <w:r>
              <w:rPr>
                <w:rFonts w:hint="eastAsia"/>
                <w:color w:val="auto"/>
              </w:rPr>
              <w:t>需支持在医嘱开立时与患者过敏源信息进行校验，并进行冲突提示；</w:t>
            </w:r>
          </w:p>
          <w:p w14:paraId="5176D17C">
            <w:pPr>
              <w:pStyle w:val="18"/>
              <w:rPr>
                <w:color w:val="auto"/>
              </w:rPr>
            </w:pPr>
            <w:r>
              <w:rPr>
                <w:rFonts w:hint="eastAsia"/>
                <w:color w:val="auto"/>
              </w:rPr>
              <w:t>需支持在医嘱开立时与患者性别进行校验，并进行冲突提示；</w:t>
            </w:r>
          </w:p>
          <w:p w14:paraId="564F5750">
            <w:pPr>
              <w:pStyle w:val="18"/>
              <w:rPr>
                <w:color w:val="auto"/>
              </w:rPr>
            </w:pPr>
            <w:r>
              <w:rPr>
                <w:rFonts w:hint="eastAsia"/>
                <w:color w:val="auto"/>
              </w:rPr>
              <w:t>需支持在医嘱保存时校验库存，库存不足给予提示；</w:t>
            </w:r>
          </w:p>
          <w:p w14:paraId="3CD58D07">
            <w:pPr>
              <w:pStyle w:val="18"/>
              <w:rPr>
                <w:color w:val="auto"/>
              </w:rPr>
            </w:pPr>
            <w:r>
              <w:rPr>
                <w:rFonts w:hint="eastAsia"/>
                <w:color w:val="auto"/>
              </w:rPr>
              <w:t>需支持医嘱过滤，如默认医嘱、全部医嘱、有效医嘱；</w:t>
            </w:r>
          </w:p>
          <w:p w14:paraId="67900DC6">
            <w:pPr>
              <w:pStyle w:val="18"/>
              <w:rPr>
                <w:color w:val="auto"/>
              </w:rPr>
            </w:pPr>
            <w:r>
              <w:rPr>
                <w:rFonts w:hint="eastAsia"/>
                <w:color w:val="auto"/>
              </w:rPr>
              <w:t>需支持在医嘱保存时校验权限，权限不足给予提示。</w:t>
            </w:r>
          </w:p>
          <w:p w14:paraId="1C6D42AB">
            <w:pPr>
              <w:pStyle w:val="18"/>
              <w:rPr>
                <w:color w:val="auto"/>
              </w:rPr>
            </w:pPr>
            <w:r>
              <w:rPr>
                <w:rFonts w:hint="eastAsia"/>
                <w:color w:val="auto"/>
              </w:rPr>
              <w:t>2.检查申请单</w:t>
            </w:r>
          </w:p>
          <w:p w14:paraId="26A35684">
            <w:pPr>
              <w:pStyle w:val="18"/>
              <w:rPr>
                <w:color w:val="auto"/>
              </w:rPr>
            </w:pPr>
            <w:r>
              <w:rPr>
                <w:rFonts w:hint="eastAsia"/>
                <w:color w:val="auto"/>
              </w:rPr>
              <w:t>需支持两种检查申请单创建方式（开立医嘱后生成申请单/创建申请单后生成医嘱）；</w:t>
            </w:r>
          </w:p>
          <w:p w14:paraId="633AC8DD">
            <w:pPr>
              <w:pStyle w:val="18"/>
              <w:rPr>
                <w:color w:val="auto"/>
              </w:rPr>
            </w:pPr>
            <w:r>
              <w:rPr>
                <w:rFonts w:hint="eastAsia"/>
                <w:color w:val="auto"/>
              </w:rPr>
              <w:t>需支持快速切换申请单类型（如：CT、超声、X线、心电、MRI、内镜、电生理、病理）；</w:t>
            </w:r>
          </w:p>
          <w:p w14:paraId="6138A7FD">
            <w:pPr>
              <w:pStyle w:val="18"/>
              <w:rPr>
                <w:color w:val="auto"/>
              </w:rPr>
            </w:pPr>
            <w:r>
              <w:rPr>
                <w:rFonts w:hint="eastAsia"/>
                <w:color w:val="auto"/>
              </w:rPr>
              <w:t>需支持常用检查项目查询；</w:t>
            </w:r>
          </w:p>
          <w:p w14:paraId="55918FB7">
            <w:pPr>
              <w:pStyle w:val="18"/>
              <w:rPr>
                <w:color w:val="auto"/>
              </w:rPr>
            </w:pPr>
            <w:r>
              <w:rPr>
                <w:rFonts w:hint="eastAsia"/>
                <w:color w:val="auto"/>
              </w:rPr>
              <w:t>需支持常用检查项目的快速复用；</w:t>
            </w:r>
          </w:p>
          <w:p w14:paraId="4C435485">
            <w:pPr>
              <w:pStyle w:val="18"/>
              <w:rPr>
                <w:color w:val="auto"/>
              </w:rPr>
            </w:pPr>
            <w:r>
              <w:rPr>
                <w:rFonts w:hint="eastAsia"/>
                <w:color w:val="auto"/>
              </w:rPr>
              <w:t>需支持按照检查部位进行检索；</w:t>
            </w:r>
          </w:p>
          <w:p w14:paraId="4E0E4184">
            <w:pPr>
              <w:pStyle w:val="18"/>
              <w:rPr>
                <w:color w:val="auto"/>
              </w:rPr>
            </w:pPr>
            <w:r>
              <w:rPr>
                <w:rFonts w:hint="eastAsia"/>
                <w:color w:val="auto"/>
              </w:rPr>
              <w:t>需支持展示患者简要病史数据，并能后自主编辑；</w:t>
            </w:r>
          </w:p>
          <w:p w14:paraId="13F43E92">
            <w:pPr>
              <w:pStyle w:val="18"/>
              <w:rPr>
                <w:color w:val="auto"/>
              </w:rPr>
            </w:pPr>
            <w:r>
              <w:rPr>
                <w:rFonts w:hint="eastAsia"/>
                <w:color w:val="auto"/>
              </w:rPr>
              <w:t>需支持医生自定义录入检查目的信息；</w:t>
            </w:r>
          </w:p>
          <w:p w14:paraId="1C1123CF">
            <w:pPr>
              <w:pStyle w:val="18"/>
              <w:rPr>
                <w:color w:val="auto"/>
              </w:rPr>
            </w:pPr>
            <w:r>
              <w:rPr>
                <w:rFonts w:hint="eastAsia"/>
                <w:color w:val="auto"/>
              </w:rPr>
              <w:t>需支持插入、编辑图片以及描述需要特殊说明的检查部位或注意事项；</w:t>
            </w:r>
          </w:p>
          <w:p w14:paraId="58977B96">
            <w:pPr>
              <w:pStyle w:val="18"/>
              <w:rPr>
                <w:color w:val="auto"/>
              </w:rPr>
            </w:pPr>
            <w:r>
              <w:rPr>
                <w:rFonts w:hint="eastAsia"/>
                <w:color w:val="auto"/>
              </w:rPr>
              <w:t>需支持医生自定义录入检查备注信息；</w:t>
            </w:r>
          </w:p>
          <w:p w14:paraId="466D1CF5">
            <w:pPr>
              <w:pStyle w:val="18"/>
              <w:rPr>
                <w:color w:val="auto"/>
              </w:rPr>
            </w:pPr>
            <w:r>
              <w:rPr>
                <w:rFonts w:hint="eastAsia"/>
                <w:color w:val="auto"/>
              </w:rPr>
              <w:t>需支持快速查阅患者既往的检查项目；</w:t>
            </w:r>
          </w:p>
          <w:p w14:paraId="62FCB952">
            <w:pPr>
              <w:pStyle w:val="18"/>
              <w:rPr>
                <w:color w:val="auto"/>
              </w:rPr>
            </w:pPr>
            <w:r>
              <w:rPr>
                <w:rFonts w:hint="eastAsia"/>
                <w:color w:val="auto"/>
              </w:rPr>
              <w:t>需支持对已开立的检查项目及费用进行预览，能够增减数目。</w:t>
            </w:r>
          </w:p>
          <w:p w14:paraId="145E6239">
            <w:pPr>
              <w:pStyle w:val="18"/>
              <w:rPr>
                <w:color w:val="auto"/>
              </w:rPr>
            </w:pPr>
            <w:r>
              <w:rPr>
                <w:rFonts w:hint="eastAsia"/>
                <w:color w:val="auto"/>
              </w:rPr>
              <w:t>需支持医生标记特殊信息，包括绿色通道、接触隔离、单病种、是否轮椅、是否步行；</w:t>
            </w:r>
          </w:p>
          <w:p w14:paraId="03EAD99C">
            <w:pPr>
              <w:pStyle w:val="18"/>
              <w:rPr>
                <w:color w:val="auto"/>
              </w:rPr>
            </w:pPr>
            <w:r>
              <w:rPr>
                <w:rFonts w:hint="eastAsia"/>
                <w:color w:val="auto"/>
              </w:rPr>
              <w:t>需支持根据检查类型、检查方法、执行科室、大部位、小部位自动分单。</w:t>
            </w:r>
          </w:p>
          <w:p w14:paraId="63AAF249">
            <w:pPr>
              <w:pStyle w:val="18"/>
              <w:rPr>
                <w:color w:val="auto"/>
              </w:rPr>
            </w:pPr>
            <w:r>
              <w:rPr>
                <w:rFonts w:hint="eastAsia"/>
                <w:color w:val="auto"/>
              </w:rPr>
              <w:t>3.检验申请单</w:t>
            </w:r>
          </w:p>
          <w:p w14:paraId="301DD8B3">
            <w:pPr>
              <w:pStyle w:val="18"/>
              <w:rPr>
                <w:color w:val="auto"/>
              </w:rPr>
            </w:pPr>
            <w:r>
              <w:rPr>
                <w:rFonts w:hint="eastAsia"/>
                <w:color w:val="auto"/>
              </w:rPr>
              <w:t>需支持两种检验申请单创建方式（开立医嘱后生成申请单/创建申请单后生成医嘱）；</w:t>
            </w:r>
          </w:p>
          <w:p w14:paraId="040F2060">
            <w:pPr>
              <w:pStyle w:val="18"/>
              <w:rPr>
                <w:color w:val="auto"/>
              </w:rPr>
            </w:pPr>
            <w:r>
              <w:rPr>
                <w:rFonts w:hint="eastAsia"/>
                <w:color w:val="auto"/>
              </w:rPr>
              <w:t>需支持快速切换申请单类型（如：生化、基础检验、微生物、免疫学、变态反应）；</w:t>
            </w:r>
          </w:p>
          <w:p w14:paraId="5359B214">
            <w:pPr>
              <w:pStyle w:val="18"/>
              <w:rPr>
                <w:color w:val="auto"/>
              </w:rPr>
            </w:pPr>
            <w:r>
              <w:rPr>
                <w:rFonts w:hint="eastAsia"/>
                <w:color w:val="auto"/>
              </w:rPr>
              <w:t>需支持常用检验项目查询；</w:t>
            </w:r>
          </w:p>
          <w:p w14:paraId="331193BD">
            <w:pPr>
              <w:pStyle w:val="18"/>
              <w:rPr>
                <w:color w:val="auto"/>
              </w:rPr>
            </w:pPr>
            <w:r>
              <w:rPr>
                <w:rFonts w:hint="eastAsia"/>
                <w:color w:val="auto"/>
              </w:rPr>
              <w:t>需支持常用检验项目的快速复用；</w:t>
            </w:r>
          </w:p>
          <w:p w14:paraId="445D97C5">
            <w:pPr>
              <w:pStyle w:val="18"/>
              <w:rPr>
                <w:color w:val="auto"/>
              </w:rPr>
            </w:pPr>
            <w:r>
              <w:rPr>
                <w:rFonts w:hint="eastAsia"/>
                <w:color w:val="auto"/>
              </w:rPr>
              <w:t>需支持对已开立的检验项目及费用进行预览，能够增减数目；</w:t>
            </w:r>
          </w:p>
          <w:p w14:paraId="55943FCD">
            <w:pPr>
              <w:pStyle w:val="18"/>
              <w:rPr>
                <w:color w:val="auto"/>
              </w:rPr>
            </w:pPr>
            <w:r>
              <w:rPr>
                <w:rFonts w:hint="eastAsia"/>
                <w:color w:val="auto"/>
              </w:rPr>
              <w:t>需支持根据检验类型、执行科室、样本自动分单。</w:t>
            </w:r>
          </w:p>
          <w:p w14:paraId="33607025">
            <w:pPr>
              <w:pStyle w:val="18"/>
              <w:rPr>
                <w:color w:val="auto"/>
              </w:rPr>
            </w:pPr>
            <w:r>
              <w:rPr>
                <w:rFonts w:hint="eastAsia"/>
                <w:color w:val="auto"/>
              </w:rPr>
              <w:t>需支持对于相同检验项目多次检验结果，通过时序图的方式呈现变化趋势。</w:t>
            </w:r>
          </w:p>
          <w:p w14:paraId="15BAF8A9">
            <w:pPr>
              <w:pStyle w:val="18"/>
              <w:rPr>
                <w:color w:val="auto"/>
              </w:rPr>
            </w:pPr>
            <w:r>
              <w:rPr>
                <w:rFonts w:hint="eastAsia"/>
                <w:color w:val="auto"/>
              </w:rPr>
              <w:t>4.手术申请单</w:t>
            </w:r>
          </w:p>
          <w:p w14:paraId="40E22E3B">
            <w:pPr>
              <w:pStyle w:val="18"/>
              <w:rPr>
                <w:color w:val="auto"/>
              </w:rPr>
            </w:pPr>
            <w:r>
              <w:rPr>
                <w:rFonts w:hint="eastAsia"/>
                <w:color w:val="auto"/>
              </w:rPr>
              <w:t>需支持通过手术申请单开立医嘱。</w:t>
            </w:r>
          </w:p>
          <w:p w14:paraId="4014682C">
            <w:pPr>
              <w:pStyle w:val="18"/>
              <w:rPr>
                <w:color w:val="auto"/>
              </w:rPr>
            </w:pPr>
            <w:r>
              <w:rPr>
                <w:rFonts w:hint="eastAsia"/>
                <w:color w:val="auto"/>
              </w:rPr>
              <w:t>需支持对患者手术申请单的校验如传染疾病提示、术前讨论是否具备、知情同意书提示。</w:t>
            </w:r>
          </w:p>
          <w:p w14:paraId="69ED388C">
            <w:pPr>
              <w:pStyle w:val="18"/>
              <w:rPr>
                <w:color w:val="auto"/>
              </w:rPr>
            </w:pPr>
            <w:r>
              <w:rPr>
                <w:rFonts w:hint="eastAsia"/>
                <w:color w:val="auto"/>
              </w:rPr>
              <w:t>5.用血申请单</w:t>
            </w:r>
          </w:p>
          <w:p w14:paraId="4C9F4786">
            <w:pPr>
              <w:pStyle w:val="18"/>
              <w:rPr>
                <w:color w:val="auto"/>
              </w:rPr>
            </w:pPr>
            <w:r>
              <w:rPr>
                <w:rFonts w:hint="eastAsia"/>
                <w:color w:val="auto"/>
              </w:rPr>
              <w:t>需支持通过用血申请单开立医嘱。</w:t>
            </w:r>
          </w:p>
          <w:p w14:paraId="1587B267">
            <w:pPr>
              <w:pStyle w:val="18"/>
              <w:rPr>
                <w:color w:val="auto"/>
              </w:rPr>
            </w:pPr>
            <w:r>
              <w:rPr>
                <w:rFonts w:hint="eastAsia"/>
                <w:color w:val="auto"/>
              </w:rPr>
              <w:t>需支持患者输血前患者体征信息校验、知情同意书校验的警示功能。</w:t>
            </w:r>
          </w:p>
          <w:p w14:paraId="11D3E147">
            <w:pPr>
              <w:pStyle w:val="18"/>
              <w:rPr>
                <w:color w:val="auto"/>
              </w:rPr>
            </w:pPr>
            <w:r>
              <w:rPr>
                <w:rFonts w:hint="eastAsia"/>
                <w:color w:val="auto"/>
              </w:rPr>
              <w:t>6.中草药开立</w:t>
            </w:r>
          </w:p>
          <w:p w14:paraId="08761BB1">
            <w:pPr>
              <w:pStyle w:val="18"/>
              <w:rPr>
                <w:color w:val="auto"/>
              </w:rPr>
            </w:pPr>
            <w:r>
              <w:rPr>
                <w:rFonts w:hint="eastAsia"/>
                <w:color w:val="auto"/>
              </w:rPr>
              <w:t>需支持按照草药类型快速过滤（如：全部、中草药、三九方、草药颗粒、XX品牌草药）或按照草药房（草药药房、颗粒药房、制剂室）；</w:t>
            </w:r>
          </w:p>
          <w:p w14:paraId="3610FFF0">
            <w:pPr>
              <w:pStyle w:val="18"/>
              <w:rPr>
                <w:color w:val="auto"/>
              </w:rPr>
            </w:pPr>
            <w:r>
              <w:rPr>
                <w:rFonts w:hint="eastAsia"/>
                <w:color w:val="auto"/>
              </w:rPr>
              <w:t>需支持鼠标操作、全键盘操作两种不同的操作习惯；</w:t>
            </w:r>
          </w:p>
          <w:p w14:paraId="45375B3A">
            <w:pPr>
              <w:pStyle w:val="18"/>
              <w:rPr>
                <w:color w:val="auto"/>
              </w:rPr>
            </w:pPr>
            <w:r>
              <w:rPr>
                <w:rFonts w:hint="eastAsia"/>
                <w:color w:val="auto"/>
              </w:rPr>
              <w:t>需支持上次草药处方快速复用的操作；</w:t>
            </w:r>
          </w:p>
          <w:p w14:paraId="77B38D05">
            <w:pPr>
              <w:pStyle w:val="18"/>
              <w:rPr>
                <w:color w:val="auto"/>
              </w:rPr>
            </w:pPr>
            <w:r>
              <w:rPr>
                <w:rFonts w:hint="eastAsia"/>
                <w:color w:val="auto"/>
              </w:rPr>
              <w:t>需支持在两味草药之间快速插入一味药；</w:t>
            </w:r>
          </w:p>
          <w:p w14:paraId="3E35E790">
            <w:pPr>
              <w:pStyle w:val="18"/>
              <w:rPr>
                <w:color w:val="auto"/>
              </w:rPr>
            </w:pPr>
            <w:r>
              <w:rPr>
                <w:rFonts w:hint="eastAsia"/>
                <w:color w:val="auto"/>
              </w:rPr>
              <w:t>需支持按照基本剂量单位或最小单位开立草药；</w:t>
            </w:r>
          </w:p>
          <w:p w14:paraId="350144C6">
            <w:pPr>
              <w:pStyle w:val="18"/>
              <w:rPr>
                <w:color w:val="auto"/>
              </w:rPr>
            </w:pPr>
            <w:r>
              <w:rPr>
                <w:rFonts w:hint="eastAsia"/>
                <w:color w:val="auto"/>
              </w:rPr>
              <w:t>需支持草药特殊煎制法的录入；</w:t>
            </w:r>
          </w:p>
          <w:p w14:paraId="0CB82205">
            <w:pPr>
              <w:pStyle w:val="18"/>
              <w:rPr>
                <w:color w:val="auto"/>
              </w:rPr>
            </w:pPr>
            <w:r>
              <w:rPr>
                <w:rFonts w:hint="eastAsia"/>
                <w:color w:val="auto"/>
              </w:rPr>
              <w:t>需支持开立的草药医嘱部分代煎、部分自煎功能；</w:t>
            </w:r>
          </w:p>
          <w:p w14:paraId="0EFDD53D">
            <w:pPr>
              <w:pStyle w:val="18"/>
              <w:rPr>
                <w:color w:val="auto"/>
              </w:rPr>
            </w:pPr>
            <w:r>
              <w:rPr>
                <w:rFonts w:hint="eastAsia"/>
                <w:color w:val="auto"/>
              </w:rPr>
              <w:t>需支持药引的选择录入及自定义输入，治则治法的选择与自定义录入；</w:t>
            </w:r>
          </w:p>
          <w:p w14:paraId="3AEA3A36">
            <w:pPr>
              <w:pStyle w:val="18"/>
              <w:rPr>
                <w:color w:val="auto"/>
              </w:rPr>
            </w:pPr>
            <w:r>
              <w:rPr>
                <w:rFonts w:hint="eastAsia"/>
                <w:color w:val="auto"/>
              </w:rPr>
              <w:t>需对保存后的草药方提供展开查询草药详细处方的快捷操作；</w:t>
            </w:r>
          </w:p>
          <w:p w14:paraId="46C7F42C">
            <w:pPr>
              <w:pStyle w:val="18"/>
              <w:rPr>
                <w:color w:val="auto"/>
              </w:rPr>
            </w:pPr>
            <w:r>
              <w:rPr>
                <w:rFonts w:hint="eastAsia"/>
                <w:color w:val="auto"/>
              </w:rPr>
              <w:t>需支持对草药君臣佐使进行分类统计；</w:t>
            </w:r>
          </w:p>
          <w:p w14:paraId="7FEF0B8E">
            <w:pPr>
              <w:pStyle w:val="18"/>
              <w:rPr>
                <w:color w:val="auto"/>
              </w:rPr>
            </w:pPr>
            <w:r>
              <w:rPr>
                <w:rFonts w:hint="eastAsia"/>
                <w:color w:val="auto"/>
              </w:rPr>
              <w:t>需支持草药秘方打包组套；</w:t>
            </w:r>
          </w:p>
          <w:p w14:paraId="109B430C">
            <w:pPr>
              <w:pStyle w:val="18"/>
              <w:rPr>
                <w:color w:val="auto"/>
              </w:rPr>
            </w:pPr>
            <w:r>
              <w:rPr>
                <w:rFonts w:hint="eastAsia"/>
                <w:color w:val="auto"/>
              </w:rPr>
              <w:t>需支持草药多种开立跳转顺序；</w:t>
            </w:r>
          </w:p>
          <w:p w14:paraId="2F67CB99">
            <w:pPr>
              <w:pStyle w:val="18"/>
              <w:rPr>
                <w:color w:val="auto"/>
              </w:rPr>
            </w:pPr>
            <w:r>
              <w:rPr>
                <w:rFonts w:hint="eastAsia"/>
                <w:color w:val="auto"/>
              </w:rPr>
              <w:t>需支持对每行开立医嘱条目数量及字体自适应变化进行配置。</w:t>
            </w:r>
          </w:p>
          <w:p w14:paraId="3BFA74D0">
            <w:pPr>
              <w:pStyle w:val="18"/>
              <w:rPr>
                <w:color w:val="auto"/>
              </w:rPr>
            </w:pPr>
            <w:r>
              <w:rPr>
                <w:rFonts w:hint="eastAsia"/>
                <w:color w:val="auto"/>
              </w:rPr>
              <w:t>7.医嘱组合</w:t>
            </w:r>
          </w:p>
          <w:p w14:paraId="12602D4D">
            <w:pPr>
              <w:pStyle w:val="18"/>
              <w:rPr>
                <w:color w:val="auto"/>
              </w:rPr>
            </w:pPr>
            <w:r>
              <w:rPr>
                <w:rFonts w:hint="eastAsia"/>
                <w:color w:val="auto"/>
              </w:rPr>
              <w:t>需支持医嘱的组合与拆组；</w:t>
            </w:r>
          </w:p>
          <w:p w14:paraId="0EB69F5E">
            <w:pPr>
              <w:pStyle w:val="18"/>
              <w:rPr>
                <w:color w:val="auto"/>
              </w:rPr>
            </w:pPr>
            <w:r>
              <w:rPr>
                <w:rFonts w:hint="eastAsia"/>
                <w:color w:val="auto"/>
              </w:rPr>
              <w:t>需支持医嘱大输液自动成组；</w:t>
            </w:r>
          </w:p>
          <w:p w14:paraId="0F0C9C10">
            <w:pPr>
              <w:pStyle w:val="18"/>
              <w:rPr>
                <w:color w:val="auto"/>
              </w:rPr>
            </w:pPr>
            <w:r>
              <w:rPr>
                <w:rFonts w:hint="eastAsia"/>
                <w:color w:val="auto"/>
              </w:rPr>
              <w:t>需支持子医嘱自动成组。</w:t>
            </w:r>
          </w:p>
          <w:p w14:paraId="71CBCD27">
            <w:pPr>
              <w:pStyle w:val="18"/>
              <w:rPr>
                <w:color w:val="auto"/>
              </w:rPr>
            </w:pPr>
            <w:r>
              <w:rPr>
                <w:rFonts w:hint="eastAsia"/>
                <w:color w:val="auto"/>
              </w:rPr>
              <w:t>8.抗生素医嘱开立</w:t>
            </w:r>
          </w:p>
          <w:p w14:paraId="328A4BFA">
            <w:pPr>
              <w:pStyle w:val="18"/>
              <w:rPr>
                <w:color w:val="auto"/>
              </w:rPr>
            </w:pPr>
            <w:r>
              <w:rPr>
                <w:rFonts w:hint="eastAsia"/>
                <w:color w:val="auto"/>
              </w:rPr>
              <w:t>需支持非限制级、限制级、特级抗生素开立和相应权限设置；</w:t>
            </w:r>
          </w:p>
          <w:p w14:paraId="7E918491">
            <w:pPr>
              <w:pStyle w:val="18"/>
              <w:rPr>
                <w:color w:val="auto"/>
              </w:rPr>
            </w:pPr>
            <w:r>
              <w:rPr>
                <w:rFonts w:hint="eastAsia"/>
                <w:color w:val="auto"/>
              </w:rPr>
              <w:t>需支持特殊级抗生素越级开立；</w:t>
            </w:r>
          </w:p>
          <w:p w14:paraId="2F97AB35">
            <w:pPr>
              <w:pStyle w:val="18"/>
              <w:rPr>
                <w:color w:val="auto"/>
              </w:rPr>
            </w:pPr>
            <w:r>
              <w:rPr>
                <w:rFonts w:hint="eastAsia"/>
                <w:color w:val="auto"/>
              </w:rPr>
              <w:t>需支持特殊级抗生素多级审批；</w:t>
            </w:r>
          </w:p>
          <w:p w14:paraId="688FE5E5">
            <w:pPr>
              <w:pStyle w:val="18"/>
              <w:rPr>
                <w:color w:val="auto"/>
              </w:rPr>
            </w:pPr>
            <w:r>
              <w:rPr>
                <w:rFonts w:hint="eastAsia"/>
                <w:color w:val="auto"/>
              </w:rPr>
              <w:t>需支持特殊级抗生素紧急开立；</w:t>
            </w:r>
          </w:p>
          <w:p w14:paraId="737373A1">
            <w:pPr>
              <w:pStyle w:val="18"/>
              <w:rPr>
                <w:color w:val="auto"/>
              </w:rPr>
            </w:pPr>
            <w:r>
              <w:rPr>
                <w:rFonts w:hint="eastAsia"/>
                <w:color w:val="auto"/>
              </w:rPr>
              <w:t>需支持抗生素联合用药使用情况；</w:t>
            </w:r>
          </w:p>
          <w:p w14:paraId="2F27E7D8">
            <w:pPr>
              <w:pStyle w:val="18"/>
              <w:rPr>
                <w:color w:val="auto"/>
              </w:rPr>
            </w:pPr>
            <w:r>
              <w:rPr>
                <w:rFonts w:hint="eastAsia"/>
                <w:color w:val="auto"/>
              </w:rPr>
              <w:t>需支持长期医嘱执行设置警示天数；</w:t>
            </w:r>
          </w:p>
          <w:p w14:paraId="28F602CA">
            <w:pPr>
              <w:pStyle w:val="18"/>
              <w:rPr>
                <w:color w:val="auto"/>
              </w:rPr>
            </w:pPr>
            <w:r>
              <w:rPr>
                <w:rFonts w:hint="eastAsia"/>
                <w:color w:val="auto"/>
              </w:rPr>
              <w:t>9.抗肿瘤医嘱开立</w:t>
            </w:r>
          </w:p>
          <w:p w14:paraId="00D5D781">
            <w:pPr>
              <w:pStyle w:val="18"/>
              <w:rPr>
                <w:color w:val="auto"/>
              </w:rPr>
            </w:pPr>
            <w:r>
              <w:rPr>
                <w:rFonts w:hint="eastAsia"/>
                <w:color w:val="auto"/>
              </w:rPr>
              <w:t>需支持限制级、非限制级抗肿瘤药物开立和相应权限设置。</w:t>
            </w:r>
          </w:p>
          <w:p w14:paraId="26B9145B">
            <w:pPr>
              <w:pStyle w:val="18"/>
              <w:rPr>
                <w:color w:val="auto"/>
              </w:rPr>
            </w:pPr>
            <w:r>
              <w:rPr>
                <w:rFonts w:hint="eastAsia"/>
                <w:color w:val="auto"/>
              </w:rPr>
              <w:t>10.历史医嘱</w:t>
            </w:r>
          </w:p>
          <w:p w14:paraId="254EAC25">
            <w:pPr>
              <w:pStyle w:val="18"/>
              <w:rPr>
                <w:color w:val="auto"/>
              </w:rPr>
            </w:pPr>
            <w:r>
              <w:rPr>
                <w:rFonts w:hint="eastAsia"/>
                <w:color w:val="auto"/>
              </w:rPr>
              <w:t>需支持查看患者不同就诊场景（门诊/住院/急诊）下的历史医嘱；</w:t>
            </w:r>
          </w:p>
          <w:p w14:paraId="562ED88D">
            <w:pPr>
              <w:pStyle w:val="18"/>
              <w:rPr>
                <w:color w:val="auto"/>
              </w:rPr>
            </w:pPr>
            <w:r>
              <w:rPr>
                <w:rFonts w:hint="eastAsia"/>
                <w:color w:val="auto"/>
              </w:rPr>
              <w:t>需支持按照医嘱类型、类别、精确搜索信息；</w:t>
            </w:r>
          </w:p>
          <w:p w14:paraId="5E3677E5">
            <w:pPr>
              <w:pStyle w:val="18"/>
              <w:rPr>
                <w:color w:val="auto"/>
              </w:rPr>
            </w:pPr>
            <w:r>
              <w:rPr>
                <w:rFonts w:hint="eastAsia"/>
                <w:color w:val="auto"/>
              </w:rPr>
              <w:t>需支持历史医嘱存为组套；</w:t>
            </w:r>
          </w:p>
          <w:p w14:paraId="6AA2661A">
            <w:pPr>
              <w:pStyle w:val="18"/>
              <w:rPr>
                <w:color w:val="auto"/>
              </w:rPr>
            </w:pPr>
            <w:r>
              <w:rPr>
                <w:rFonts w:hint="eastAsia"/>
                <w:color w:val="auto"/>
              </w:rPr>
              <w:t>需支持历史医嘱直接复制到门诊/住院开立医嘱。</w:t>
            </w:r>
          </w:p>
          <w:p w14:paraId="7333F272">
            <w:pPr>
              <w:pStyle w:val="18"/>
              <w:rPr>
                <w:color w:val="auto"/>
              </w:rPr>
            </w:pPr>
            <w:r>
              <w:rPr>
                <w:rFonts w:hint="eastAsia"/>
                <w:color w:val="auto"/>
              </w:rPr>
              <w:t>11.住院医嘱保存</w:t>
            </w:r>
          </w:p>
          <w:p w14:paraId="2AE8FB0C">
            <w:pPr>
              <w:pStyle w:val="18"/>
              <w:rPr>
                <w:color w:val="auto"/>
              </w:rPr>
            </w:pPr>
            <w:r>
              <w:rPr>
                <w:rFonts w:hint="eastAsia"/>
                <w:color w:val="auto"/>
              </w:rPr>
              <w:t>需支持住院医嘱暂存功能；</w:t>
            </w:r>
          </w:p>
          <w:p w14:paraId="46F3CA1C">
            <w:pPr>
              <w:pStyle w:val="18"/>
              <w:rPr>
                <w:color w:val="auto"/>
              </w:rPr>
            </w:pPr>
            <w:r>
              <w:rPr>
                <w:rFonts w:hint="eastAsia"/>
                <w:color w:val="auto"/>
              </w:rPr>
              <w:t>需支持住院医嘱提交功能；</w:t>
            </w:r>
          </w:p>
          <w:p w14:paraId="119D6A58">
            <w:pPr>
              <w:pStyle w:val="18"/>
              <w:rPr>
                <w:color w:val="auto"/>
              </w:rPr>
            </w:pPr>
            <w:r>
              <w:rPr>
                <w:rFonts w:hint="eastAsia"/>
                <w:color w:val="auto"/>
              </w:rPr>
              <w:t>需支持住院医嘱保存后，自动同步特殊信息，包括合理用药、CDSS、上报平台；</w:t>
            </w:r>
          </w:p>
          <w:p w14:paraId="5F056119">
            <w:pPr>
              <w:pStyle w:val="18"/>
              <w:rPr>
                <w:color w:val="auto"/>
              </w:rPr>
            </w:pPr>
            <w:r>
              <w:rPr>
                <w:rFonts w:hint="eastAsia"/>
                <w:color w:val="auto"/>
              </w:rPr>
              <w:t>需支持对住院医嘱进行CA加密信息保存。</w:t>
            </w:r>
          </w:p>
          <w:p w14:paraId="6C6ADF96">
            <w:pPr>
              <w:pStyle w:val="18"/>
              <w:rPr>
                <w:color w:val="auto"/>
              </w:rPr>
            </w:pPr>
            <w:r>
              <w:rPr>
                <w:rFonts w:hint="eastAsia"/>
                <w:color w:val="auto"/>
              </w:rPr>
              <w:t>12.住院医嘱删除、停止及作废</w:t>
            </w:r>
          </w:p>
          <w:p w14:paraId="5B105FB9">
            <w:pPr>
              <w:pStyle w:val="18"/>
              <w:rPr>
                <w:color w:val="auto"/>
              </w:rPr>
            </w:pPr>
            <w:r>
              <w:rPr>
                <w:rFonts w:hint="eastAsia"/>
                <w:color w:val="auto"/>
              </w:rPr>
              <w:t>需支持医嘱在护士接收前，能够删除；</w:t>
            </w:r>
          </w:p>
          <w:p w14:paraId="1E351B25">
            <w:pPr>
              <w:pStyle w:val="18"/>
              <w:rPr>
                <w:color w:val="auto"/>
              </w:rPr>
            </w:pPr>
            <w:r>
              <w:rPr>
                <w:rFonts w:hint="eastAsia"/>
                <w:color w:val="auto"/>
              </w:rPr>
              <w:t>需支持长期医嘱在护士接收后，能够停止；</w:t>
            </w:r>
          </w:p>
          <w:p w14:paraId="765F133C">
            <w:pPr>
              <w:pStyle w:val="18"/>
              <w:rPr>
                <w:color w:val="auto"/>
              </w:rPr>
            </w:pPr>
            <w:r>
              <w:rPr>
                <w:rFonts w:hint="eastAsia"/>
                <w:color w:val="auto"/>
              </w:rPr>
              <w:t>需支持临时医嘱在护士接收后，能够作废；</w:t>
            </w:r>
          </w:p>
          <w:p w14:paraId="3871D8DD">
            <w:pPr>
              <w:pStyle w:val="18"/>
              <w:rPr>
                <w:color w:val="auto"/>
              </w:rPr>
            </w:pPr>
            <w:r>
              <w:rPr>
                <w:rFonts w:hint="eastAsia"/>
                <w:color w:val="auto"/>
              </w:rPr>
              <w:t>需支持撤销护士未审核的作废、停止医嘱；</w:t>
            </w:r>
          </w:p>
          <w:p w14:paraId="029957B4">
            <w:pPr>
              <w:pStyle w:val="18"/>
              <w:rPr>
                <w:color w:val="auto"/>
              </w:rPr>
            </w:pPr>
            <w:r>
              <w:rPr>
                <w:rFonts w:hint="eastAsia"/>
                <w:color w:val="auto"/>
              </w:rPr>
              <w:t>需支持术后一键新开术前停止医嘱。</w:t>
            </w:r>
          </w:p>
          <w:p w14:paraId="4FC63775">
            <w:pPr>
              <w:pStyle w:val="18"/>
              <w:rPr>
                <w:color w:val="auto"/>
              </w:rPr>
            </w:pPr>
            <w:r>
              <w:rPr>
                <w:rFonts w:hint="eastAsia"/>
                <w:color w:val="auto"/>
              </w:rPr>
              <w:t>13.医嘱状态查询</w:t>
            </w:r>
          </w:p>
          <w:p w14:paraId="024A5DA6">
            <w:pPr>
              <w:pStyle w:val="18"/>
              <w:rPr>
                <w:color w:val="auto"/>
              </w:rPr>
            </w:pPr>
            <w:r>
              <w:rPr>
                <w:rFonts w:hint="eastAsia"/>
                <w:color w:val="auto"/>
              </w:rPr>
              <w:t>需支持查看闭环流程监视以及医嘱执行状态。</w:t>
            </w:r>
          </w:p>
          <w:p w14:paraId="79F76120">
            <w:pPr>
              <w:pStyle w:val="18"/>
              <w:rPr>
                <w:color w:val="auto"/>
              </w:rPr>
            </w:pPr>
            <w:r>
              <w:rPr>
                <w:rFonts w:hint="eastAsia"/>
                <w:color w:val="auto"/>
              </w:rPr>
              <w:t>14.医嘱计算器</w:t>
            </w:r>
          </w:p>
          <w:p w14:paraId="2255EED5">
            <w:pPr>
              <w:pStyle w:val="18"/>
              <w:rPr>
                <w:color w:val="auto"/>
              </w:rPr>
            </w:pPr>
            <w:r>
              <w:rPr>
                <w:rFonts w:hint="eastAsia"/>
                <w:color w:val="auto"/>
              </w:rPr>
              <w:t>需支持患者性别、身高、体重自动带入计算器；</w:t>
            </w:r>
          </w:p>
          <w:p w14:paraId="55B822A4">
            <w:pPr>
              <w:pStyle w:val="18"/>
              <w:rPr>
                <w:color w:val="auto"/>
              </w:rPr>
            </w:pPr>
            <w:r>
              <w:rPr>
                <w:rFonts w:hint="eastAsia"/>
                <w:color w:val="auto"/>
              </w:rPr>
              <w:t>需内置多种医学公式（如：体表面积、肾小球滤过率、肌酐清除率），支持快速计算；</w:t>
            </w:r>
          </w:p>
          <w:p w14:paraId="1415CF70">
            <w:pPr>
              <w:pStyle w:val="18"/>
              <w:rPr>
                <w:color w:val="auto"/>
              </w:rPr>
            </w:pPr>
            <w:r>
              <w:rPr>
                <w:rFonts w:hint="eastAsia"/>
                <w:color w:val="auto"/>
              </w:rPr>
              <w:t>需内置胰岛素用量，胰岛素抵抗指数，高血糖钠校正的计算功能。</w:t>
            </w:r>
          </w:p>
          <w:p w14:paraId="23C3B7B5">
            <w:pPr>
              <w:pStyle w:val="18"/>
              <w:rPr>
                <w:color w:val="auto"/>
              </w:rPr>
            </w:pPr>
            <w:r>
              <w:rPr>
                <w:rFonts w:hint="eastAsia"/>
                <w:color w:val="auto"/>
              </w:rPr>
              <w:t>15.医嘱组套（医嘱套餐）管理</w:t>
            </w:r>
          </w:p>
          <w:p w14:paraId="266B6130">
            <w:pPr>
              <w:pStyle w:val="18"/>
              <w:rPr>
                <w:color w:val="auto"/>
              </w:rPr>
            </w:pPr>
            <w:r>
              <w:rPr>
                <w:rFonts w:hint="eastAsia"/>
                <w:color w:val="auto"/>
              </w:rPr>
              <w:t>需支持多种方式创建组套；</w:t>
            </w:r>
          </w:p>
          <w:p w14:paraId="007C3E64">
            <w:pPr>
              <w:pStyle w:val="18"/>
              <w:rPr>
                <w:color w:val="auto"/>
              </w:rPr>
            </w:pPr>
            <w:r>
              <w:rPr>
                <w:rFonts w:hint="eastAsia"/>
                <w:color w:val="auto"/>
              </w:rPr>
              <w:t>需支持组套重命名、修改编辑、删除操作；</w:t>
            </w:r>
          </w:p>
          <w:p w14:paraId="39722E89">
            <w:pPr>
              <w:pStyle w:val="18"/>
              <w:rPr>
                <w:color w:val="auto"/>
              </w:rPr>
            </w:pPr>
            <w:r>
              <w:rPr>
                <w:rFonts w:hint="eastAsia"/>
                <w:color w:val="auto"/>
              </w:rPr>
              <w:t>需支持多种检索方式（组套名、拼音首字母、五笔码）快速检索医嘱组套（医嘱套餐）；</w:t>
            </w:r>
          </w:p>
          <w:p w14:paraId="6C701E0D">
            <w:pPr>
              <w:pStyle w:val="18"/>
              <w:rPr>
                <w:color w:val="auto"/>
              </w:rPr>
            </w:pPr>
            <w:r>
              <w:rPr>
                <w:rFonts w:hint="eastAsia"/>
                <w:color w:val="auto"/>
              </w:rPr>
              <w:t>需支持多种组套类型并且不同权限的角色可编辑相应的组套内容；</w:t>
            </w:r>
          </w:p>
          <w:p w14:paraId="243DCDB0">
            <w:pPr>
              <w:pStyle w:val="18"/>
              <w:rPr>
                <w:color w:val="auto"/>
              </w:rPr>
            </w:pPr>
            <w:r>
              <w:rPr>
                <w:rFonts w:hint="eastAsia"/>
                <w:color w:val="auto"/>
              </w:rPr>
              <w:t>需支持新增医嘱组套（医嘱套餐），保存时自动生成检索关键字（拼音首字母/五笔码）；</w:t>
            </w:r>
          </w:p>
          <w:p w14:paraId="7208A13E">
            <w:pPr>
              <w:pStyle w:val="18"/>
              <w:rPr>
                <w:color w:val="auto"/>
              </w:rPr>
            </w:pPr>
            <w:r>
              <w:rPr>
                <w:rFonts w:hint="eastAsia"/>
                <w:color w:val="auto"/>
              </w:rPr>
              <w:t>需支持新增医嘱组套（医嘱套餐），保存时可定义组套使用方式；</w:t>
            </w:r>
          </w:p>
          <w:p w14:paraId="501EAC3A">
            <w:pPr>
              <w:pStyle w:val="18"/>
              <w:rPr>
                <w:color w:val="auto"/>
              </w:rPr>
            </w:pPr>
            <w:r>
              <w:rPr>
                <w:rFonts w:hint="eastAsia"/>
                <w:color w:val="auto"/>
              </w:rPr>
              <w:t>需支持将已开立的医嘱条目保存为医嘱组套（医嘱套餐）；</w:t>
            </w:r>
          </w:p>
          <w:p w14:paraId="43C20BB4">
            <w:pPr>
              <w:pStyle w:val="18"/>
              <w:rPr>
                <w:color w:val="auto"/>
              </w:rPr>
            </w:pPr>
            <w:r>
              <w:rPr>
                <w:rFonts w:hint="eastAsia"/>
                <w:color w:val="auto"/>
              </w:rPr>
              <w:t>需支持将不同的医嘱类型的医嘱项目存为一个组套（如：药品、检查、检验）；</w:t>
            </w:r>
          </w:p>
          <w:p w14:paraId="0647E20B">
            <w:pPr>
              <w:pStyle w:val="18"/>
              <w:rPr>
                <w:color w:val="auto"/>
              </w:rPr>
            </w:pPr>
            <w:r>
              <w:rPr>
                <w:rFonts w:hint="eastAsia"/>
                <w:color w:val="auto"/>
              </w:rPr>
              <w:t>需支持在原组套内容基础上追加内容；</w:t>
            </w:r>
          </w:p>
          <w:p w14:paraId="0EB777D2">
            <w:pPr>
              <w:pStyle w:val="18"/>
              <w:rPr>
                <w:color w:val="auto"/>
              </w:rPr>
            </w:pPr>
            <w:r>
              <w:rPr>
                <w:rFonts w:hint="eastAsia"/>
                <w:color w:val="auto"/>
              </w:rPr>
              <w:t>需支持按角色提供常用组套便捷开立方式；</w:t>
            </w:r>
          </w:p>
          <w:p w14:paraId="2F7C7321">
            <w:pPr>
              <w:pStyle w:val="18"/>
              <w:rPr>
                <w:color w:val="auto"/>
              </w:rPr>
            </w:pPr>
            <w:r>
              <w:rPr>
                <w:rFonts w:hint="eastAsia"/>
                <w:color w:val="auto"/>
              </w:rPr>
              <w:t>需支持按药理作用分类组套便捷开立方式。</w:t>
            </w:r>
          </w:p>
          <w:p w14:paraId="54598989">
            <w:pPr>
              <w:pStyle w:val="18"/>
              <w:rPr>
                <w:color w:val="auto"/>
              </w:rPr>
            </w:pPr>
            <w:r>
              <w:rPr>
                <w:rFonts w:hint="eastAsia"/>
                <w:color w:val="auto"/>
              </w:rPr>
              <w:t>16.医嘱开立设置</w:t>
            </w:r>
          </w:p>
          <w:p w14:paraId="09FE30BA">
            <w:pPr>
              <w:pStyle w:val="18"/>
              <w:rPr>
                <w:color w:val="auto"/>
              </w:rPr>
            </w:pPr>
            <w:r>
              <w:rPr>
                <w:rFonts w:hint="eastAsia"/>
                <w:color w:val="auto"/>
              </w:rPr>
              <w:t>需支持按照使用习惯设置是否默认展开医嘱组套（医嘱套餐）树；</w:t>
            </w:r>
          </w:p>
          <w:p w14:paraId="77A00EE2">
            <w:pPr>
              <w:pStyle w:val="18"/>
              <w:rPr>
                <w:color w:val="auto"/>
              </w:rPr>
            </w:pPr>
            <w:r>
              <w:rPr>
                <w:rFonts w:hint="eastAsia"/>
                <w:color w:val="auto"/>
              </w:rPr>
              <w:t>需支持医嘱跳转顺序设置；</w:t>
            </w:r>
          </w:p>
          <w:p w14:paraId="5267E099">
            <w:pPr>
              <w:pStyle w:val="18"/>
              <w:rPr>
                <w:color w:val="auto"/>
              </w:rPr>
            </w:pPr>
            <w:r>
              <w:rPr>
                <w:rFonts w:hint="eastAsia"/>
                <w:color w:val="auto"/>
              </w:rPr>
              <w:t>需支持设置每行显示的草药味数（1-5味）；</w:t>
            </w:r>
          </w:p>
          <w:p w14:paraId="76202804">
            <w:pPr>
              <w:pStyle w:val="18"/>
              <w:rPr>
                <w:color w:val="auto"/>
              </w:rPr>
            </w:pPr>
            <w:r>
              <w:rPr>
                <w:rFonts w:hint="eastAsia"/>
                <w:color w:val="auto"/>
              </w:rPr>
              <w:t>需支持草药开立跳转顺序设置，如：设置为“药品-数量-药品-数量…”或“药品-药品-药品-药品-数量-数量…”；</w:t>
            </w:r>
          </w:p>
          <w:p w14:paraId="4AAC2ADF">
            <w:pPr>
              <w:pStyle w:val="18"/>
              <w:rPr>
                <w:color w:val="auto"/>
              </w:rPr>
            </w:pPr>
            <w:r>
              <w:rPr>
                <w:rFonts w:hint="eastAsia"/>
                <w:color w:val="auto"/>
              </w:rPr>
              <w:t>需支持自定义设置功能菜单顺序。</w:t>
            </w:r>
          </w:p>
          <w:p w14:paraId="49F58BF2">
            <w:pPr>
              <w:pStyle w:val="18"/>
              <w:rPr>
                <w:bCs/>
                <w:color w:val="auto"/>
              </w:rPr>
            </w:pPr>
            <w:r>
              <w:rPr>
                <w:rFonts w:hint="eastAsia"/>
                <w:bCs/>
                <w:color w:val="auto"/>
              </w:rPr>
              <w:t>（四）住院电子病历</w:t>
            </w:r>
          </w:p>
          <w:p w14:paraId="6C06A212">
            <w:pPr>
              <w:pStyle w:val="18"/>
              <w:rPr>
                <w:color w:val="auto"/>
              </w:rPr>
            </w:pPr>
            <w:r>
              <w:rPr>
                <w:rFonts w:hint="eastAsia"/>
                <w:color w:val="auto"/>
              </w:rPr>
              <w:t>住院电子病历是住院医生站的核心功能，医嘱是治疗方案的指令发布，病历是对于治疗方案的过程记录。医生通过病历详述患者病症、检查方式、治疗方案，同时记录患者于方案执行的病症变化过程，通过病历可展示患者在院期间的医事过程。</w:t>
            </w:r>
          </w:p>
          <w:p w14:paraId="5584809A">
            <w:pPr>
              <w:pStyle w:val="18"/>
              <w:rPr>
                <w:color w:val="auto"/>
              </w:rPr>
            </w:pPr>
            <w:r>
              <w:rPr>
                <w:rFonts w:hint="eastAsia"/>
                <w:color w:val="auto"/>
              </w:rPr>
              <w:t>1.住院病历创建</w:t>
            </w:r>
          </w:p>
          <w:p w14:paraId="57467BB8">
            <w:pPr>
              <w:pStyle w:val="18"/>
              <w:rPr>
                <w:color w:val="auto"/>
              </w:rPr>
            </w:pPr>
            <w:r>
              <w:rPr>
                <w:rFonts w:hint="eastAsia"/>
                <w:color w:val="auto"/>
              </w:rPr>
              <w:t>需支持创建住院病历，如：入院记录，再入院记录，24小时入出院记录，24小时死亡记录，出院记录，诊断证明。</w:t>
            </w:r>
          </w:p>
          <w:p w14:paraId="460531A3">
            <w:pPr>
              <w:pStyle w:val="18"/>
              <w:rPr>
                <w:color w:val="auto"/>
              </w:rPr>
            </w:pPr>
            <w:r>
              <w:rPr>
                <w:rFonts w:hint="eastAsia"/>
                <w:color w:val="auto"/>
              </w:rPr>
              <w:t>2.住院病历书写</w:t>
            </w:r>
          </w:p>
          <w:p w14:paraId="504E145A">
            <w:pPr>
              <w:pStyle w:val="18"/>
              <w:rPr>
                <w:color w:val="auto"/>
              </w:rPr>
            </w:pPr>
            <w:r>
              <w:rPr>
                <w:rFonts w:hint="eastAsia"/>
                <w:color w:val="auto"/>
              </w:rPr>
              <w:t>需支持选择个人组套、科室组套快捷录入；</w:t>
            </w:r>
          </w:p>
          <w:p w14:paraId="5E6FAE3D">
            <w:pPr>
              <w:pStyle w:val="18"/>
              <w:rPr>
                <w:color w:val="auto"/>
              </w:rPr>
            </w:pPr>
            <w:r>
              <w:rPr>
                <w:rFonts w:hint="eastAsia"/>
                <w:color w:val="auto"/>
              </w:rPr>
              <w:t>需支持将复用性较高的病历存为组套，利用组套直接创建病历或替换现有病历；</w:t>
            </w:r>
          </w:p>
          <w:p w14:paraId="7D7C496D">
            <w:pPr>
              <w:pStyle w:val="18"/>
              <w:rPr>
                <w:color w:val="auto"/>
              </w:rPr>
            </w:pPr>
            <w:r>
              <w:rPr>
                <w:rFonts w:hint="eastAsia"/>
                <w:color w:val="auto"/>
              </w:rPr>
              <w:t>需支持将复用性较高的部分文字存为组套，使用时可以进行快速替换；</w:t>
            </w:r>
          </w:p>
          <w:p w14:paraId="2419D0B0">
            <w:pPr>
              <w:pStyle w:val="18"/>
              <w:rPr>
                <w:color w:val="auto"/>
              </w:rPr>
            </w:pPr>
            <w:r>
              <w:rPr>
                <w:rFonts w:hint="eastAsia"/>
                <w:color w:val="auto"/>
              </w:rPr>
              <w:t>需支持复用患者既往病历；</w:t>
            </w:r>
          </w:p>
          <w:p w14:paraId="0D67AD9B">
            <w:pPr>
              <w:pStyle w:val="18"/>
              <w:rPr>
                <w:color w:val="auto"/>
              </w:rPr>
            </w:pPr>
            <w:r>
              <w:rPr>
                <w:rFonts w:hint="eastAsia"/>
                <w:color w:val="auto"/>
              </w:rPr>
              <w:t>需支持在病历中快捷插入患者检查、检验结果，无需手动录入；</w:t>
            </w:r>
          </w:p>
          <w:p w14:paraId="5D7BD997">
            <w:pPr>
              <w:pStyle w:val="18"/>
              <w:rPr>
                <w:color w:val="auto"/>
              </w:rPr>
            </w:pPr>
            <w:r>
              <w:rPr>
                <w:rFonts w:hint="eastAsia"/>
                <w:color w:val="auto"/>
              </w:rPr>
              <w:t>需支持入院记录快捷插入节气；</w:t>
            </w:r>
          </w:p>
          <w:p w14:paraId="73575E3A">
            <w:pPr>
              <w:pStyle w:val="18"/>
              <w:rPr>
                <w:color w:val="auto"/>
              </w:rPr>
            </w:pPr>
            <w:r>
              <w:rPr>
                <w:rFonts w:hint="eastAsia"/>
                <w:color w:val="auto"/>
              </w:rPr>
              <w:t>需支持病历显示住院天数的样式；</w:t>
            </w:r>
          </w:p>
          <w:p w14:paraId="79C6D83E">
            <w:pPr>
              <w:pStyle w:val="18"/>
              <w:rPr>
                <w:color w:val="auto"/>
              </w:rPr>
            </w:pPr>
            <w:r>
              <w:rPr>
                <w:rFonts w:hint="eastAsia"/>
                <w:color w:val="auto"/>
              </w:rPr>
              <w:t>需支持病历分区域权限管理；</w:t>
            </w:r>
          </w:p>
          <w:p w14:paraId="5C62C86B">
            <w:pPr>
              <w:pStyle w:val="18"/>
              <w:rPr>
                <w:color w:val="auto"/>
              </w:rPr>
            </w:pPr>
            <w:r>
              <w:rPr>
                <w:rFonts w:hint="eastAsia"/>
                <w:color w:val="auto"/>
              </w:rPr>
              <w:t>需支持在病历中追加内容；</w:t>
            </w:r>
          </w:p>
          <w:p w14:paraId="54AFA17D">
            <w:pPr>
              <w:pStyle w:val="18"/>
              <w:rPr>
                <w:color w:val="auto"/>
              </w:rPr>
            </w:pPr>
            <w:r>
              <w:rPr>
                <w:rFonts w:hint="eastAsia"/>
                <w:color w:val="auto"/>
              </w:rPr>
              <w:t>需支持在院患者病历封存；</w:t>
            </w:r>
          </w:p>
          <w:p w14:paraId="70D31279">
            <w:pPr>
              <w:pStyle w:val="18"/>
              <w:rPr>
                <w:color w:val="auto"/>
              </w:rPr>
            </w:pPr>
            <w:r>
              <w:rPr>
                <w:rFonts w:hint="eastAsia"/>
                <w:color w:val="auto"/>
              </w:rPr>
              <w:t>需支持病历加锁后审批解锁；</w:t>
            </w:r>
          </w:p>
          <w:p w14:paraId="6C789288">
            <w:pPr>
              <w:pStyle w:val="18"/>
              <w:rPr>
                <w:color w:val="auto"/>
              </w:rPr>
            </w:pPr>
            <w:r>
              <w:rPr>
                <w:rFonts w:hint="eastAsia"/>
                <w:color w:val="auto"/>
              </w:rPr>
              <w:t>需支持通过开立抢救、病危、病重医嘱生成的病历关联医嘱；</w:t>
            </w:r>
          </w:p>
          <w:p w14:paraId="689A5EDE">
            <w:pPr>
              <w:pStyle w:val="18"/>
              <w:rPr>
                <w:color w:val="auto"/>
              </w:rPr>
            </w:pPr>
            <w:r>
              <w:rPr>
                <w:rFonts w:hint="eastAsia"/>
                <w:color w:val="auto"/>
              </w:rPr>
              <w:t>需支持显示带有院方规定的水印；</w:t>
            </w:r>
          </w:p>
          <w:p w14:paraId="05366768">
            <w:pPr>
              <w:pStyle w:val="18"/>
              <w:rPr>
                <w:color w:val="auto"/>
              </w:rPr>
            </w:pPr>
            <w:r>
              <w:rPr>
                <w:rFonts w:hint="eastAsia"/>
                <w:color w:val="auto"/>
              </w:rPr>
              <w:t>需支持病历带入公式结果(例如肌酐清除率、评分)；</w:t>
            </w:r>
          </w:p>
          <w:p w14:paraId="1329C4D2">
            <w:pPr>
              <w:pStyle w:val="18"/>
              <w:rPr>
                <w:color w:val="auto"/>
              </w:rPr>
            </w:pPr>
            <w:r>
              <w:rPr>
                <w:rFonts w:hint="eastAsia"/>
                <w:color w:val="auto"/>
              </w:rPr>
              <w:t>需支持病历带入结构化内容；</w:t>
            </w:r>
          </w:p>
          <w:p w14:paraId="44705D11">
            <w:pPr>
              <w:pStyle w:val="18"/>
              <w:rPr>
                <w:color w:val="auto"/>
              </w:rPr>
            </w:pPr>
            <w:r>
              <w:rPr>
                <w:rFonts w:hint="eastAsia"/>
                <w:color w:val="auto"/>
              </w:rPr>
              <w:t>需支持在病历中快捷插入患者医嘱，无需手动录入；</w:t>
            </w:r>
          </w:p>
          <w:p w14:paraId="25AF3888">
            <w:pPr>
              <w:pStyle w:val="18"/>
              <w:rPr>
                <w:color w:val="auto"/>
              </w:rPr>
            </w:pPr>
            <w:r>
              <w:rPr>
                <w:rFonts w:hint="eastAsia"/>
                <w:color w:val="auto"/>
              </w:rPr>
              <w:t>需支持病历中插入既往病历信息及检查检验结果，不需要主动查找；</w:t>
            </w:r>
          </w:p>
          <w:p w14:paraId="4E188DB3">
            <w:pPr>
              <w:pStyle w:val="18"/>
              <w:rPr>
                <w:color w:val="auto"/>
              </w:rPr>
            </w:pPr>
            <w:r>
              <w:rPr>
                <w:rFonts w:hint="eastAsia"/>
                <w:color w:val="auto"/>
              </w:rPr>
              <w:t>需支持特殊符号的录入；</w:t>
            </w:r>
          </w:p>
          <w:p w14:paraId="1F00F322">
            <w:pPr>
              <w:pStyle w:val="18"/>
              <w:rPr>
                <w:color w:val="auto"/>
              </w:rPr>
            </w:pPr>
            <w:r>
              <w:rPr>
                <w:rFonts w:hint="eastAsia"/>
                <w:color w:val="auto"/>
              </w:rPr>
              <w:t>需支持病历中插入医学图片；</w:t>
            </w:r>
          </w:p>
          <w:p w14:paraId="027C106F">
            <w:pPr>
              <w:pStyle w:val="18"/>
              <w:rPr>
                <w:color w:val="auto"/>
              </w:rPr>
            </w:pPr>
            <w:r>
              <w:rPr>
                <w:rFonts w:hint="eastAsia"/>
                <w:color w:val="auto"/>
              </w:rPr>
              <w:t>需支持病历中插入表格；</w:t>
            </w:r>
          </w:p>
          <w:p w14:paraId="6C8F24D3">
            <w:pPr>
              <w:pStyle w:val="18"/>
              <w:rPr>
                <w:color w:val="auto"/>
              </w:rPr>
            </w:pPr>
            <w:r>
              <w:rPr>
                <w:rFonts w:hint="eastAsia"/>
                <w:color w:val="auto"/>
              </w:rPr>
              <w:t>需支持插入分页符进行分页；</w:t>
            </w:r>
          </w:p>
          <w:p w14:paraId="4A849CD4">
            <w:pPr>
              <w:pStyle w:val="18"/>
              <w:rPr>
                <w:color w:val="auto"/>
              </w:rPr>
            </w:pPr>
            <w:r>
              <w:rPr>
                <w:rFonts w:hint="eastAsia"/>
                <w:color w:val="auto"/>
              </w:rPr>
              <w:t>需支持插入鉴别诊断；</w:t>
            </w:r>
          </w:p>
          <w:p w14:paraId="5C814A41">
            <w:pPr>
              <w:pStyle w:val="18"/>
              <w:rPr>
                <w:color w:val="auto"/>
              </w:rPr>
            </w:pPr>
            <w:r>
              <w:rPr>
                <w:rFonts w:hint="eastAsia"/>
                <w:color w:val="auto"/>
              </w:rPr>
              <w:t>需支持插入中医治则治法；</w:t>
            </w:r>
          </w:p>
          <w:p w14:paraId="670A8643">
            <w:pPr>
              <w:pStyle w:val="18"/>
              <w:rPr>
                <w:color w:val="auto"/>
              </w:rPr>
            </w:pPr>
            <w:r>
              <w:rPr>
                <w:rFonts w:hint="eastAsia"/>
                <w:color w:val="auto"/>
              </w:rPr>
              <w:t>需支持插入、修改、删除、显示、隐藏批注的操作；</w:t>
            </w:r>
          </w:p>
          <w:p w14:paraId="19CDB2B3">
            <w:pPr>
              <w:pStyle w:val="18"/>
              <w:rPr>
                <w:color w:val="auto"/>
              </w:rPr>
            </w:pPr>
            <w:r>
              <w:rPr>
                <w:rFonts w:hint="eastAsia"/>
                <w:color w:val="auto"/>
              </w:rPr>
              <w:t>需支持记录操作人、操作时间以及操作类型，比较两个时间点病历的不同，支持还原到某一时间点的病历；</w:t>
            </w:r>
          </w:p>
          <w:p w14:paraId="034D4842">
            <w:pPr>
              <w:pStyle w:val="18"/>
              <w:rPr>
                <w:color w:val="auto"/>
              </w:rPr>
            </w:pPr>
            <w:r>
              <w:rPr>
                <w:rFonts w:hint="eastAsia"/>
                <w:color w:val="auto"/>
              </w:rPr>
              <w:t>需支持病历痕迹查看；</w:t>
            </w:r>
          </w:p>
          <w:p w14:paraId="46D9CD8A">
            <w:pPr>
              <w:pStyle w:val="18"/>
              <w:rPr>
                <w:color w:val="auto"/>
              </w:rPr>
            </w:pPr>
            <w:r>
              <w:rPr>
                <w:rFonts w:hint="eastAsia"/>
                <w:color w:val="auto"/>
              </w:rPr>
              <w:t>需支持快速定位文本出现位置，支持替换文本。</w:t>
            </w:r>
          </w:p>
          <w:p w14:paraId="2CAEFE81">
            <w:pPr>
              <w:pStyle w:val="18"/>
              <w:rPr>
                <w:color w:val="auto"/>
              </w:rPr>
            </w:pPr>
            <w:r>
              <w:rPr>
                <w:rFonts w:hint="eastAsia"/>
                <w:color w:val="auto"/>
              </w:rPr>
              <w:t>3.住院病历暂存及签名</w:t>
            </w:r>
          </w:p>
          <w:p w14:paraId="50665D66">
            <w:pPr>
              <w:pStyle w:val="18"/>
              <w:rPr>
                <w:color w:val="auto"/>
              </w:rPr>
            </w:pPr>
            <w:r>
              <w:rPr>
                <w:rFonts w:hint="eastAsia"/>
                <w:color w:val="auto"/>
              </w:rPr>
              <w:t>需支持在病历书写过程中的暂存功能；</w:t>
            </w:r>
          </w:p>
          <w:p w14:paraId="0219F749">
            <w:pPr>
              <w:pStyle w:val="18"/>
              <w:rPr>
                <w:color w:val="auto"/>
              </w:rPr>
            </w:pPr>
            <w:r>
              <w:rPr>
                <w:rFonts w:hint="eastAsia"/>
                <w:color w:val="auto"/>
              </w:rPr>
              <w:t>需支持在完成病历后，能够插入医生电子签名并对病历进行保存，若需修改，可解签后修改；</w:t>
            </w:r>
          </w:p>
          <w:p w14:paraId="39306E35">
            <w:pPr>
              <w:pStyle w:val="18"/>
              <w:rPr>
                <w:color w:val="auto"/>
              </w:rPr>
            </w:pPr>
            <w:r>
              <w:rPr>
                <w:rFonts w:hint="eastAsia"/>
                <w:color w:val="auto"/>
              </w:rPr>
              <w:t>需支持病历保存时或签名时校验必填项；</w:t>
            </w:r>
          </w:p>
          <w:p w14:paraId="1200B410">
            <w:pPr>
              <w:pStyle w:val="18"/>
              <w:rPr>
                <w:color w:val="auto"/>
              </w:rPr>
            </w:pPr>
            <w:r>
              <w:rPr>
                <w:rFonts w:hint="eastAsia"/>
                <w:color w:val="auto"/>
              </w:rPr>
              <w:t>需支持病历主诉字数限制的提示；</w:t>
            </w:r>
          </w:p>
          <w:p w14:paraId="400874E6">
            <w:pPr>
              <w:pStyle w:val="18"/>
              <w:rPr>
                <w:color w:val="auto"/>
              </w:rPr>
            </w:pPr>
            <w:r>
              <w:rPr>
                <w:rFonts w:hint="eastAsia"/>
                <w:color w:val="auto"/>
              </w:rPr>
              <w:t>需支持规培医师签名；</w:t>
            </w:r>
          </w:p>
          <w:p w14:paraId="1F79600B">
            <w:pPr>
              <w:pStyle w:val="18"/>
              <w:rPr>
                <w:color w:val="auto"/>
              </w:rPr>
            </w:pPr>
            <w:r>
              <w:rPr>
                <w:rFonts w:hint="eastAsia"/>
                <w:color w:val="auto"/>
              </w:rPr>
              <w:t>需支持下级医生指定或默认指定上级医生审签病历；</w:t>
            </w:r>
          </w:p>
          <w:p w14:paraId="0E663A39">
            <w:pPr>
              <w:pStyle w:val="18"/>
              <w:rPr>
                <w:color w:val="auto"/>
              </w:rPr>
            </w:pPr>
            <w:r>
              <w:rPr>
                <w:rFonts w:hint="eastAsia"/>
                <w:color w:val="auto"/>
              </w:rPr>
              <w:t>需支持上级医师批量审签下级医生病历。</w:t>
            </w:r>
          </w:p>
          <w:p w14:paraId="02D46757">
            <w:pPr>
              <w:pStyle w:val="18"/>
              <w:rPr>
                <w:color w:val="auto"/>
              </w:rPr>
            </w:pPr>
            <w:r>
              <w:rPr>
                <w:rFonts w:hint="eastAsia"/>
                <w:color w:val="auto"/>
              </w:rPr>
              <w:t>需支持CA电子签名。</w:t>
            </w:r>
          </w:p>
          <w:p w14:paraId="298D24C9">
            <w:pPr>
              <w:pStyle w:val="18"/>
              <w:rPr>
                <w:color w:val="auto"/>
              </w:rPr>
            </w:pPr>
            <w:r>
              <w:rPr>
                <w:rFonts w:hint="eastAsia"/>
                <w:color w:val="auto"/>
              </w:rPr>
              <w:t>4.住院病历打印</w:t>
            </w:r>
          </w:p>
          <w:p w14:paraId="26C904FF">
            <w:pPr>
              <w:pStyle w:val="18"/>
              <w:rPr>
                <w:color w:val="auto"/>
              </w:rPr>
            </w:pPr>
            <w:r>
              <w:rPr>
                <w:rFonts w:hint="eastAsia"/>
                <w:color w:val="auto"/>
              </w:rPr>
              <w:t>需支持选择续打；</w:t>
            </w:r>
          </w:p>
          <w:p w14:paraId="08D16A2E">
            <w:pPr>
              <w:pStyle w:val="18"/>
              <w:rPr>
                <w:color w:val="auto"/>
              </w:rPr>
            </w:pPr>
            <w:r>
              <w:rPr>
                <w:rFonts w:hint="eastAsia"/>
                <w:color w:val="auto"/>
              </w:rPr>
              <w:t>需支持打印当前页；</w:t>
            </w:r>
          </w:p>
          <w:p w14:paraId="64E31B62">
            <w:pPr>
              <w:pStyle w:val="18"/>
              <w:rPr>
                <w:color w:val="auto"/>
              </w:rPr>
            </w:pPr>
            <w:r>
              <w:rPr>
                <w:rFonts w:hint="eastAsia"/>
                <w:color w:val="auto"/>
              </w:rPr>
              <w:t>需支持全部打印。</w:t>
            </w:r>
          </w:p>
          <w:p w14:paraId="779E7309">
            <w:pPr>
              <w:pStyle w:val="18"/>
              <w:rPr>
                <w:color w:val="auto"/>
              </w:rPr>
            </w:pPr>
            <w:r>
              <w:rPr>
                <w:rFonts w:hint="eastAsia"/>
                <w:color w:val="auto"/>
              </w:rPr>
              <w:t>需支持打印带有院方规定的水印；</w:t>
            </w:r>
          </w:p>
          <w:p w14:paraId="14B02AD1">
            <w:pPr>
              <w:pStyle w:val="18"/>
              <w:rPr>
                <w:color w:val="auto"/>
              </w:rPr>
            </w:pPr>
            <w:r>
              <w:rPr>
                <w:rFonts w:hint="eastAsia"/>
                <w:color w:val="auto"/>
              </w:rPr>
              <w:t>5.住院病历删除</w:t>
            </w:r>
          </w:p>
          <w:p w14:paraId="456741DB">
            <w:pPr>
              <w:pStyle w:val="18"/>
              <w:rPr>
                <w:color w:val="auto"/>
              </w:rPr>
            </w:pPr>
            <w:r>
              <w:rPr>
                <w:rFonts w:hint="eastAsia"/>
                <w:color w:val="auto"/>
              </w:rPr>
              <w:t>需支持对无用病历进行删除操作；</w:t>
            </w:r>
          </w:p>
          <w:p w14:paraId="255655A9">
            <w:pPr>
              <w:pStyle w:val="18"/>
              <w:rPr>
                <w:color w:val="auto"/>
              </w:rPr>
            </w:pPr>
            <w:r>
              <w:rPr>
                <w:rFonts w:hint="eastAsia"/>
                <w:color w:val="auto"/>
              </w:rPr>
              <w:t>需支持病历删除后可恢复。</w:t>
            </w:r>
          </w:p>
          <w:p w14:paraId="7C210BD5">
            <w:pPr>
              <w:pStyle w:val="18"/>
              <w:rPr>
                <w:color w:val="auto"/>
              </w:rPr>
            </w:pPr>
            <w:r>
              <w:rPr>
                <w:rFonts w:hint="eastAsia"/>
                <w:color w:val="auto"/>
              </w:rPr>
              <w:t>6.异常病历恢复</w:t>
            </w:r>
          </w:p>
          <w:p w14:paraId="1ACFE99C">
            <w:pPr>
              <w:pStyle w:val="18"/>
              <w:rPr>
                <w:color w:val="auto"/>
              </w:rPr>
            </w:pPr>
            <w:r>
              <w:rPr>
                <w:rFonts w:hint="eastAsia"/>
                <w:color w:val="auto"/>
              </w:rPr>
              <w:t>需支持在异常情况下（如突然断电），可恢复固定时间段内的病历记录。</w:t>
            </w:r>
          </w:p>
          <w:p w14:paraId="3541C9A2">
            <w:pPr>
              <w:pStyle w:val="18"/>
              <w:rPr>
                <w:color w:val="auto"/>
              </w:rPr>
            </w:pPr>
            <w:r>
              <w:rPr>
                <w:rFonts w:hint="eastAsia"/>
                <w:color w:val="auto"/>
              </w:rPr>
              <w:t>7.住院病历组套管理</w:t>
            </w:r>
          </w:p>
          <w:p w14:paraId="37E11C07">
            <w:pPr>
              <w:pStyle w:val="18"/>
              <w:rPr>
                <w:color w:val="auto"/>
              </w:rPr>
            </w:pPr>
            <w:r>
              <w:rPr>
                <w:rFonts w:hint="eastAsia"/>
                <w:color w:val="auto"/>
              </w:rPr>
              <w:t>需支持将复用性较高的部分文字存为组套，形成文字组套；</w:t>
            </w:r>
          </w:p>
          <w:p w14:paraId="51FCF9A8">
            <w:pPr>
              <w:pStyle w:val="18"/>
              <w:rPr>
                <w:color w:val="auto"/>
              </w:rPr>
            </w:pPr>
            <w:r>
              <w:rPr>
                <w:rFonts w:hint="eastAsia"/>
                <w:color w:val="auto"/>
              </w:rPr>
              <w:t>需支持将复用性较高的病历存为组套，形成病历组套；</w:t>
            </w:r>
          </w:p>
          <w:p w14:paraId="710275F3">
            <w:pPr>
              <w:pStyle w:val="18"/>
              <w:rPr>
                <w:color w:val="auto"/>
              </w:rPr>
            </w:pPr>
            <w:r>
              <w:rPr>
                <w:rFonts w:hint="eastAsia"/>
                <w:color w:val="auto"/>
              </w:rPr>
              <w:t>需支持修改存储的组套，支持添加文本、特殊符号、元素的操作；</w:t>
            </w:r>
          </w:p>
          <w:p w14:paraId="0673D5E7">
            <w:pPr>
              <w:pStyle w:val="18"/>
              <w:rPr>
                <w:color w:val="auto"/>
              </w:rPr>
            </w:pPr>
            <w:r>
              <w:rPr>
                <w:rFonts w:hint="eastAsia"/>
                <w:color w:val="auto"/>
              </w:rPr>
              <w:t>需支持指定职级医师维护所在科室的病历组套；</w:t>
            </w:r>
          </w:p>
          <w:p w14:paraId="24E1C4AE">
            <w:pPr>
              <w:pStyle w:val="18"/>
              <w:rPr>
                <w:color w:val="auto"/>
              </w:rPr>
            </w:pPr>
            <w:r>
              <w:rPr>
                <w:rFonts w:hint="eastAsia"/>
                <w:color w:val="auto"/>
              </w:rPr>
              <w:t>需支持病历组套分级为个人、科室二个级别；</w:t>
            </w:r>
          </w:p>
          <w:p w14:paraId="0442FED0">
            <w:pPr>
              <w:pStyle w:val="18"/>
              <w:rPr>
                <w:color w:val="auto"/>
              </w:rPr>
            </w:pPr>
            <w:r>
              <w:rPr>
                <w:rFonts w:hint="eastAsia"/>
                <w:color w:val="auto"/>
              </w:rPr>
              <w:t>需支持文本组套分级为个人、科室、全院三个级别；</w:t>
            </w:r>
          </w:p>
          <w:p w14:paraId="19361C80">
            <w:pPr>
              <w:pStyle w:val="18"/>
              <w:rPr>
                <w:color w:val="auto"/>
              </w:rPr>
            </w:pPr>
            <w:r>
              <w:rPr>
                <w:rFonts w:hint="eastAsia"/>
                <w:color w:val="auto"/>
              </w:rPr>
              <w:t>需支持文本组套个人文件夹名可修改，可上下移动；</w:t>
            </w:r>
          </w:p>
          <w:p w14:paraId="4BF0110C">
            <w:pPr>
              <w:pStyle w:val="18"/>
              <w:rPr>
                <w:color w:val="auto"/>
              </w:rPr>
            </w:pPr>
            <w:r>
              <w:rPr>
                <w:rFonts w:hint="eastAsia"/>
                <w:color w:val="auto"/>
              </w:rPr>
              <w:t>需支持特定类型病历可整体组套替换；</w:t>
            </w:r>
          </w:p>
          <w:p w14:paraId="53CADC30">
            <w:pPr>
              <w:pStyle w:val="18"/>
              <w:rPr>
                <w:color w:val="auto"/>
              </w:rPr>
            </w:pPr>
            <w:r>
              <w:rPr>
                <w:rFonts w:hint="eastAsia"/>
                <w:color w:val="auto"/>
              </w:rPr>
              <w:t>需支持已创建的病历组套可以复制。</w:t>
            </w:r>
          </w:p>
          <w:p w14:paraId="286E0DAF">
            <w:pPr>
              <w:pStyle w:val="18"/>
              <w:rPr>
                <w:color w:val="auto"/>
              </w:rPr>
            </w:pPr>
            <w:r>
              <w:rPr>
                <w:rFonts w:hint="eastAsia"/>
                <w:color w:val="auto"/>
              </w:rPr>
              <w:t>8.住院病程记录</w:t>
            </w:r>
          </w:p>
          <w:p w14:paraId="210FA9CC">
            <w:pPr>
              <w:pStyle w:val="18"/>
              <w:rPr>
                <w:color w:val="auto"/>
              </w:rPr>
            </w:pPr>
            <w:r>
              <w:rPr>
                <w:rFonts w:hint="eastAsia"/>
                <w:color w:val="auto"/>
              </w:rPr>
              <w:t>需支持创建病程记录相关病历，如：首次病程记录、上级医师查房记录、日常病程记录、操作记录、交接班记录、转入转出记录、术前小结、术前讨论记录、疑难病例讨论记录、死亡病历讨论记录、输血病程记录、阶段小结、抢救记录；</w:t>
            </w:r>
          </w:p>
          <w:p w14:paraId="70F1CBED">
            <w:pPr>
              <w:pStyle w:val="18"/>
              <w:rPr>
                <w:color w:val="auto"/>
              </w:rPr>
            </w:pPr>
            <w:r>
              <w:rPr>
                <w:rFonts w:hint="eastAsia"/>
                <w:color w:val="auto"/>
              </w:rPr>
              <w:t>需支持创建病程记录时修改病历记录时间；</w:t>
            </w:r>
          </w:p>
          <w:p w14:paraId="0729349E">
            <w:pPr>
              <w:pStyle w:val="18"/>
              <w:rPr>
                <w:color w:val="auto"/>
              </w:rPr>
            </w:pPr>
            <w:r>
              <w:rPr>
                <w:rFonts w:hint="eastAsia"/>
                <w:color w:val="auto"/>
              </w:rPr>
              <w:t>需支持创建病程时手动分页；</w:t>
            </w:r>
          </w:p>
          <w:p w14:paraId="52D44C11">
            <w:pPr>
              <w:pStyle w:val="18"/>
              <w:rPr>
                <w:color w:val="auto"/>
              </w:rPr>
            </w:pPr>
            <w:r>
              <w:rPr>
                <w:rFonts w:hint="eastAsia"/>
                <w:color w:val="auto"/>
              </w:rPr>
              <w:t>需支持病程记录整体显示和编辑，需支持病程大纲展示，通过病程大纲可见病程状态；</w:t>
            </w:r>
          </w:p>
          <w:p w14:paraId="35770AA2">
            <w:pPr>
              <w:pStyle w:val="18"/>
              <w:rPr>
                <w:color w:val="auto"/>
              </w:rPr>
            </w:pPr>
            <w:r>
              <w:rPr>
                <w:rFonts w:hint="eastAsia"/>
                <w:color w:val="auto"/>
              </w:rPr>
              <w:t>需支持病程记录顺序重置；</w:t>
            </w:r>
          </w:p>
          <w:p w14:paraId="32DFB641">
            <w:pPr>
              <w:pStyle w:val="18"/>
              <w:rPr>
                <w:color w:val="auto"/>
              </w:rPr>
            </w:pPr>
            <w:r>
              <w:rPr>
                <w:rFonts w:hint="eastAsia"/>
                <w:color w:val="auto"/>
              </w:rPr>
              <w:t>需支持危急值病程关联检验危急值；</w:t>
            </w:r>
          </w:p>
          <w:p w14:paraId="4B5FA771">
            <w:pPr>
              <w:pStyle w:val="18"/>
              <w:rPr>
                <w:color w:val="auto"/>
              </w:rPr>
            </w:pPr>
            <w:r>
              <w:rPr>
                <w:rFonts w:hint="eastAsia"/>
                <w:color w:val="auto"/>
              </w:rPr>
              <w:t>需支持科室级选择模板自定义排序；</w:t>
            </w:r>
          </w:p>
          <w:p w14:paraId="2FA76CFF">
            <w:pPr>
              <w:pStyle w:val="18"/>
              <w:rPr>
                <w:color w:val="auto"/>
              </w:rPr>
            </w:pPr>
            <w:r>
              <w:rPr>
                <w:rFonts w:hint="eastAsia"/>
                <w:color w:val="auto"/>
              </w:rPr>
              <w:t>需支持输血申请时，自动生成病程记录；</w:t>
            </w:r>
          </w:p>
          <w:p w14:paraId="450D4F66">
            <w:pPr>
              <w:pStyle w:val="18"/>
              <w:rPr>
                <w:color w:val="auto"/>
              </w:rPr>
            </w:pPr>
            <w:r>
              <w:rPr>
                <w:rFonts w:hint="eastAsia"/>
                <w:color w:val="auto"/>
              </w:rPr>
              <w:t>需支持上级医师批量审查上级医师查房记录。</w:t>
            </w:r>
          </w:p>
          <w:p w14:paraId="2AABD0F3">
            <w:pPr>
              <w:pStyle w:val="18"/>
              <w:rPr>
                <w:color w:val="auto"/>
              </w:rPr>
            </w:pPr>
            <w:r>
              <w:rPr>
                <w:rFonts w:hint="eastAsia"/>
                <w:color w:val="auto"/>
              </w:rPr>
              <w:t>9.住院知情同意书</w:t>
            </w:r>
          </w:p>
          <w:p w14:paraId="1C7BCC67">
            <w:pPr>
              <w:pStyle w:val="18"/>
              <w:rPr>
                <w:color w:val="auto"/>
              </w:rPr>
            </w:pPr>
            <w:r>
              <w:rPr>
                <w:rFonts w:hint="eastAsia"/>
                <w:color w:val="auto"/>
              </w:rPr>
              <w:t>需支持将常用住院知情同意书设置为组套，支持批量创建、批量操作知情同意书；</w:t>
            </w:r>
          </w:p>
          <w:p w14:paraId="545D41E4">
            <w:pPr>
              <w:pStyle w:val="18"/>
              <w:rPr>
                <w:color w:val="auto"/>
              </w:rPr>
            </w:pPr>
            <w:r>
              <w:rPr>
                <w:rFonts w:hint="eastAsia"/>
                <w:color w:val="auto"/>
              </w:rPr>
              <w:t>需支持根据住院知情同意书不同类型分类展示知情同意书列表，支持检索；</w:t>
            </w:r>
          </w:p>
          <w:p w14:paraId="18B5A3B1">
            <w:pPr>
              <w:pStyle w:val="18"/>
              <w:rPr>
                <w:color w:val="auto"/>
              </w:rPr>
            </w:pPr>
            <w:r>
              <w:rPr>
                <w:rFonts w:hint="eastAsia"/>
                <w:color w:val="auto"/>
              </w:rPr>
              <w:t>需支持已创建知情同意书的名称及状态一览。</w:t>
            </w:r>
          </w:p>
          <w:p w14:paraId="0B558B4E">
            <w:pPr>
              <w:pStyle w:val="18"/>
              <w:rPr>
                <w:bCs/>
                <w:color w:val="auto"/>
              </w:rPr>
            </w:pPr>
            <w:r>
              <w:rPr>
                <w:rFonts w:hint="eastAsia"/>
                <w:bCs/>
                <w:color w:val="auto"/>
              </w:rPr>
              <w:t>（五）住院诊断管理</w:t>
            </w:r>
          </w:p>
          <w:p w14:paraId="6BCDE62E">
            <w:pPr>
              <w:pStyle w:val="18"/>
              <w:rPr>
                <w:color w:val="auto"/>
              </w:rPr>
            </w:pPr>
            <w:r>
              <w:rPr>
                <w:rFonts w:hint="eastAsia"/>
                <w:color w:val="auto"/>
              </w:rPr>
              <w:t>住院诊断是住院医生站的核心功能，用以标识患者所患疾病，基于ICD10诊断明确患者看诊目的是患者就诊的根本。</w:t>
            </w:r>
          </w:p>
          <w:p w14:paraId="5504716A">
            <w:pPr>
              <w:pStyle w:val="18"/>
              <w:rPr>
                <w:color w:val="auto"/>
              </w:rPr>
            </w:pPr>
            <w:r>
              <w:rPr>
                <w:rFonts w:hint="eastAsia"/>
                <w:color w:val="auto"/>
              </w:rPr>
              <w:t>1.诊断开立</w:t>
            </w:r>
          </w:p>
          <w:p w14:paraId="267FCF58">
            <w:pPr>
              <w:pStyle w:val="18"/>
              <w:rPr>
                <w:color w:val="auto"/>
              </w:rPr>
            </w:pPr>
            <w:r>
              <w:rPr>
                <w:rFonts w:hint="eastAsia"/>
                <w:color w:val="auto"/>
              </w:rPr>
              <w:t>需支持全键盘操作录入诊断；</w:t>
            </w:r>
          </w:p>
          <w:p w14:paraId="104222A9">
            <w:pPr>
              <w:pStyle w:val="18"/>
              <w:rPr>
                <w:color w:val="auto"/>
              </w:rPr>
            </w:pPr>
            <w:r>
              <w:rPr>
                <w:rFonts w:hint="eastAsia"/>
                <w:color w:val="auto"/>
              </w:rPr>
              <w:t>需支持复用患者历史诊断或在院已录入（作废）的诊断；</w:t>
            </w:r>
          </w:p>
          <w:p w14:paraId="54387001">
            <w:pPr>
              <w:pStyle w:val="18"/>
              <w:rPr>
                <w:color w:val="auto"/>
              </w:rPr>
            </w:pPr>
            <w:r>
              <w:rPr>
                <w:rFonts w:hint="eastAsia"/>
                <w:color w:val="auto"/>
              </w:rPr>
              <w:t>需支持首字母检索录入中医TCD的病名和证候，中医的病名和证候支持自定义录入；</w:t>
            </w:r>
          </w:p>
          <w:p w14:paraId="142DC290">
            <w:pPr>
              <w:pStyle w:val="18"/>
              <w:rPr>
                <w:color w:val="auto"/>
              </w:rPr>
            </w:pPr>
            <w:r>
              <w:rPr>
                <w:rFonts w:hint="eastAsia"/>
                <w:color w:val="auto"/>
              </w:rPr>
              <w:t>需支持首字母检索录入西医ICD诊断，西医的诊断支持选择疾病分类进行过滤；</w:t>
            </w:r>
          </w:p>
          <w:p w14:paraId="3A8DCCE1">
            <w:pPr>
              <w:pStyle w:val="18"/>
              <w:rPr>
                <w:color w:val="auto"/>
              </w:rPr>
            </w:pPr>
            <w:r>
              <w:rPr>
                <w:rFonts w:hint="eastAsia"/>
                <w:color w:val="auto"/>
              </w:rPr>
              <w:t>需支持入院诊断、出院诊断、术前诊断、术后诊断、病理诊断、死亡诊断、临床诊断多种诊断类型进行录入；</w:t>
            </w:r>
          </w:p>
          <w:p w14:paraId="6CF9A0E9">
            <w:pPr>
              <w:pStyle w:val="18"/>
              <w:rPr>
                <w:color w:val="auto"/>
              </w:rPr>
            </w:pPr>
            <w:r>
              <w:rPr>
                <w:rFonts w:hint="eastAsia"/>
                <w:color w:val="auto"/>
              </w:rPr>
              <w:t>需支持对诊断设置是否主诊，是否疑似诊断；支持入院病情、转归和转归日期的选择；</w:t>
            </w:r>
          </w:p>
          <w:p w14:paraId="3F9F0E4B">
            <w:pPr>
              <w:pStyle w:val="18"/>
              <w:rPr>
                <w:color w:val="auto"/>
              </w:rPr>
            </w:pPr>
            <w:r>
              <w:rPr>
                <w:rFonts w:hint="eastAsia"/>
                <w:color w:val="auto"/>
              </w:rPr>
              <w:t>需支持诊断多条录入，按照顺序多条显示，支持诊断上下移操作；</w:t>
            </w:r>
          </w:p>
          <w:p w14:paraId="53F432A1">
            <w:pPr>
              <w:pStyle w:val="18"/>
              <w:rPr>
                <w:color w:val="auto"/>
              </w:rPr>
            </w:pPr>
            <w:r>
              <w:rPr>
                <w:rFonts w:hint="eastAsia"/>
                <w:color w:val="auto"/>
              </w:rPr>
              <w:t>需支持在录入过诊断之后，医嘱单、申请单、护理病历可以带入已经录入的相关诊断；</w:t>
            </w:r>
          </w:p>
          <w:p w14:paraId="5A472D18">
            <w:pPr>
              <w:pStyle w:val="18"/>
              <w:rPr>
                <w:color w:val="auto"/>
              </w:rPr>
            </w:pPr>
            <w:r>
              <w:rPr>
                <w:rFonts w:hint="eastAsia"/>
                <w:color w:val="auto"/>
              </w:rPr>
              <w:t>需支持子诊断开立。</w:t>
            </w:r>
          </w:p>
          <w:p w14:paraId="7799CD0E">
            <w:pPr>
              <w:pStyle w:val="18"/>
              <w:rPr>
                <w:color w:val="auto"/>
              </w:rPr>
            </w:pPr>
            <w:r>
              <w:rPr>
                <w:rFonts w:hint="eastAsia"/>
                <w:color w:val="auto"/>
              </w:rPr>
              <w:t>需支持根据患者性别校验诊断合理性；</w:t>
            </w:r>
          </w:p>
          <w:p w14:paraId="625C7C08">
            <w:pPr>
              <w:pStyle w:val="18"/>
              <w:rPr>
                <w:color w:val="auto"/>
              </w:rPr>
            </w:pPr>
            <w:r>
              <w:rPr>
                <w:rFonts w:hint="eastAsia"/>
                <w:color w:val="auto"/>
              </w:rPr>
              <w:t>需支持诊断医保对照；</w:t>
            </w:r>
          </w:p>
          <w:p w14:paraId="110F391E">
            <w:pPr>
              <w:pStyle w:val="18"/>
              <w:rPr>
                <w:color w:val="auto"/>
              </w:rPr>
            </w:pPr>
            <w:r>
              <w:rPr>
                <w:rFonts w:hint="eastAsia"/>
                <w:color w:val="auto"/>
              </w:rPr>
              <w:t>需支持中医诊断、西医诊断分别显示。</w:t>
            </w:r>
          </w:p>
          <w:p w14:paraId="100EF131">
            <w:pPr>
              <w:pStyle w:val="18"/>
              <w:rPr>
                <w:color w:val="auto"/>
              </w:rPr>
            </w:pPr>
            <w:r>
              <w:rPr>
                <w:rFonts w:hint="eastAsia"/>
                <w:color w:val="auto"/>
              </w:rPr>
              <w:t>2.诊断删除及作废</w:t>
            </w:r>
          </w:p>
          <w:p w14:paraId="2847AE9B">
            <w:pPr>
              <w:pStyle w:val="18"/>
              <w:rPr>
                <w:color w:val="auto"/>
              </w:rPr>
            </w:pPr>
            <w:r>
              <w:rPr>
                <w:rFonts w:hint="eastAsia"/>
                <w:color w:val="auto"/>
              </w:rPr>
              <w:t>已经录入过的诊断需支持作废处理；</w:t>
            </w:r>
          </w:p>
          <w:p w14:paraId="610246ED">
            <w:pPr>
              <w:pStyle w:val="18"/>
              <w:rPr>
                <w:color w:val="auto"/>
              </w:rPr>
            </w:pPr>
            <w:r>
              <w:rPr>
                <w:rFonts w:hint="eastAsia"/>
                <w:color w:val="auto"/>
              </w:rPr>
              <w:t>需支持查看已经作废诊断的信息，以及作废医生和作废时间。</w:t>
            </w:r>
          </w:p>
          <w:p w14:paraId="2F67CB0A">
            <w:pPr>
              <w:pStyle w:val="18"/>
              <w:rPr>
                <w:color w:val="auto"/>
              </w:rPr>
            </w:pPr>
            <w:r>
              <w:rPr>
                <w:rFonts w:hint="eastAsia"/>
                <w:color w:val="auto"/>
              </w:rPr>
              <w:t>3.诊断上报</w:t>
            </w:r>
          </w:p>
          <w:p w14:paraId="3BE50969">
            <w:pPr>
              <w:pStyle w:val="18"/>
              <w:rPr>
                <w:color w:val="auto"/>
              </w:rPr>
            </w:pPr>
            <w:r>
              <w:rPr>
                <w:rFonts w:hint="eastAsia"/>
                <w:color w:val="auto"/>
              </w:rPr>
              <w:t>需支持自动关联传染病诊断报告卡。</w:t>
            </w:r>
          </w:p>
          <w:p w14:paraId="5CA6E59F">
            <w:pPr>
              <w:pStyle w:val="18"/>
              <w:rPr>
                <w:color w:val="auto"/>
              </w:rPr>
            </w:pPr>
            <w:r>
              <w:rPr>
                <w:rFonts w:hint="eastAsia"/>
                <w:color w:val="auto"/>
              </w:rPr>
              <w:t>4.诊断组套管理</w:t>
            </w:r>
          </w:p>
          <w:p w14:paraId="09C3F4DC">
            <w:pPr>
              <w:pStyle w:val="18"/>
              <w:rPr>
                <w:color w:val="auto"/>
              </w:rPr>
            </w:pPr>
            <w:r>
              <w:rPr>
                <w:rFonts w:hint="eastAsia"/>
                <w:color w:val="auto"/>
              </w:rPr>
              <w:t>需支持自动抓取账号高频使用诊断，生成常用诊断组套；</w:t>
            </w:r>
          </w:p>
          <w:p w14:paraId="3D954535">
            <w:pPr>
              <w:pStyle w:val="18"/>
              <w:rPr>
                <w:color w:val="auto"/>
              </w:rPr>
            </w:pPr>
            <w:r>
              <w:rPr>
                <w:rFonts w:hint="eastAsia"/>
                <w:color w:val="auto"/>
              </w:rPr>
              <w:t>需支持添加全院、科室以及个人诊断组套。</w:t>
            </w:r>
          </w:p>
          <w:p w14:paraId="228CDF51">
            <w:pPr>
              <w:pStyle w:val="18"/>
              <w:rPr>
                <w:bCs/>
                <w:color w:val="auto"/>
              </w:rPr>
            </w:pPr>
            <w:r>
              <w:rPr>
                <w:rFonts w:hint="eastAsia"/>
                <w:bCs/>
                <w:color w:val="auto"/>
              </w:rPr>
              <w:t>（六）住院报告查看</w:t>
            </w:r>
          </w:p>
          <w:p w14:paraId="115FF0D5">
            <w:pPr>
              <w:pStyle w:val="18"/>
              <w:rPr>
                <w:color w:val="auto"/>
              </w:rPr>
            </w:pPr>
            <w:r>
              <w:rPr>
                <w:rFonts w:hint="eastAsia"/>
                <w:color w:val="auto"/>
              </w:rPr>
              <w:t>1.住院检查报告</w:t>
            </w:r>
          </w:p>
          <w:p w14:paraId="28A6DD05">
            <w:pPr>
              <w:pStyle w:val="18"/>
              <w:rPr>
                <w:color w:val="auto"/>
              </w:rPr>
            </w:pPr>
            <w:r>
              <w:rPr>
                <w:rFonts w:hint="eastAsia"/>
                <w:color w:val="auto"/>
              </w:rPr>
              <w:t>需支持在医生站内查看检查报告及影像，无需切换至检查系统。</w:t>
            </w:r>
          </w:p>
          <w:p w14:paraId="2479C0CA">
            <w:pPr>
              <w:pStyle w:val="18"/>
              <w:rPr>
                <w:color w:val="auto"/>
              </w:rPr>
            </w:pPr>
            <w:r>
              <w:rPr>
                <w:rFonts w:hint="eastAsia"/>
                <w:color w:val="auto"/>
              </w:rPr>
              <w:t>2.住院检验报告</w:t>
            </w:r>
          </w:p>
          <w:p w14:paraId="6DE5D328">
            <w:pPr>
              <w:pStyle w:val="18"/>
              <w:rPr>
                <w:color w:val="auto"/>
              </w:rPr>
            </w:pPr>
            <w:r>
              <w:rPr>
                <w:rFonts w:hint="eastAsia"/>
                <w:color w:val="auto"/>
              </w:rPr>
              <w:t>需支持在医生站内查看检验报告，无需切换至检验系统。</w:t>
            </w:r>
          </w:p>
          <w:p w14:paraId="24E29434">
            <w:pPr>
              <w:pStyle w:val="18"/>
              <w:rPr>
                <w:bCs/>
                <w:color w:val="auto"/>
              </w:rPr>
            </w:pPr>
            <w:r>
              <w:rPr>
                <w:rFonts w:hint="eastAsia"/>
                <w:bCs/>
                <w:color w:val="auto"/>
              </w:rPr>
              <w:t>（七）会诊</w:t>
            </w:r>
          </w:p>
          <w:p w14:paraId="235C4D4F">
            <w:pPr>
              <w:pStyle w:val="18"/>
              <w:rPr>
                <w:color w:val="auto"/>
              </w:rPr>
            </w:pPr>
            <w:r>
              <w:rPr>
                <w:rFonts w:hint="eastAsia"/>
                <w:color w:val="auto"/>
              </w:rPr>
              <w:t>1.一般会诊</w:t>
            </w:r>
          </w:p>
          <w:p w14:paraId="270E8EF1">
            <w:pPr>
              <w:pStyle w:val="18"/>
              <w:rPr>
                <w:color w:val="auto"/>
              </w:rPr>
            </w:pPr>
            <w:r>
              <w:rPr>
                <w:rFonts w:hint="eastAsia"/>
                <w:color w:val="auto"/>
              </w:rPr>
              <w:t>（1）会诊申请</w:t>
            </w:r>
          </w:p>
          <w:p w14:paraId="748E72B6">
            <w:pPr>
              <w:pStyle w:val="18"/>
              <w:rPr>
                <w:color w:val="auto"/>
              </w:rPr>
            </w:pPr>
            <w:r>
              <w:rPr>
                <w:rFonts w:hint="eastAsia"/>
                <w:color w:val="auto"/>
              </w:rPr>
              <w:t>需支持科间会诊、急会诊、院外会诊；</w:t>
            </w:r>
          </w:p>
          <w:p w14:paraId="17D3B50B">
            <w:pPr>
              <w:pStyle w:val="18"/>
              <w:rPr>
                <w:color w:val="auto"/>
              </w:rPr>
            </w:pPr>
            <w:r>
              <w:rPr>
                <w:rFonts w:hint="eastAsia"/>
                <w:color w:val="auto"/>
              </w:rPr>
              <w:t>需支持查看已申请患者会诊处理情况；</w:t>
            </w:r>
          </w:p>
          <w:p w14:paraId="2FD52377">
            <w:pPr>
              <w:pStyle w:val="18"/>
              <w:rPr>
                <w:color w:val="auto"/>
              </w:rPr>
            </w:pPr>
            <w:r>
              <w:rPr>
                <w:rFonts w:hint="eastAsia"/>
                <w:color w:val="auto"/>
              </w:rPr>
              <w:t>需支持自动生成会诊描述医嘱。</w:t>
            </w:r>
          </w:p>
          <w:p w14:paraId="1EBE561D">
            <w:pPr>
              <w:pStyle w:val="18"/>
              <w:rPr>
                <w:color w:val="auto"/>
              </w:rPr>
            </w:pPr>
            <w:r>
              <w:rPr>
                <w:rFonts w:hint="eastAsia"/>
                <w:color w:val="auto"/>
              </w:rPr>
              <w:t>（2）接收及拒绝</w:t>
            </w:r>
          </w:p>
          <w:p w14:paraId="06FA4DC3">
            <w:pPr>
              <w:pStyle w:val="18"/>
              <w:rPr>
                <w:color w:val="auto"/>
              </w:rPr>
            </w:pPr>
            <w:r>
              <w:rPr>
                <w:rFonts w:hint="eastAsia"/>
                <w:color w:val="auto"/>
              </w:rPr>
              <w:t>需支持在处理会诊患者前，查看患者治疗过程信息；</w:t>
            </w:r>
          </w:p>
          <w:p w14:paraId="4B85E04C">
            <w:pPr>
              <w:pStyle w:val="18"/>
              <w:rPr>
                <w:color w:val="auto"/>
              </w:rPr>
            </w:pPr>
            <w:r>
              <w:rPr>
                <w:rFonts w:hint="eastAsia"/>
                <w:color w:val="auto"/>
              </w:rPr>
              <w:t>需支持接收会诊，书写会诊意见；</w:t>
            </w:r>
          </w:p>
          <w:p w14:paraId="69FA8EC3">
            <w:pPr>
              <w:pStyle w:val="18"/>
              <w:rPr>
                <w:color w:val="auto"/>
              </w:rPr>
            </w:pPr>
            <w:r>
              <w:rPr>
                <w:rFonts w:hint="eastAsia"/>
                <w:color w:val="auto"/>
              </w:rPr>
              <w:t>需支持拒绝会诊，填写拒绝理由；</w:t>
            </w:r>
          </w:p>
          <w:p w14:paraId="4C43AFCC">
            <w:pPr>
              <w:pStyle w:val="18"/>
              <w:rPr>
                <w:color w:val="auto"/>
              </w:rPr>
            </w:pPr>
            <w:r>
              <w:rPr>
                <w:rFonts w:hint="eastAsia"/>
                <w:color w:val="auto"/>
              </w:rPr>
              <w:t>需支持允许会诊专家为会诊患者开立医嘱；</w:t>
            </w:r>
          </w:p>
          <w:p w14:paraId="5BBC0098">
            <w:pPr>
              <w:pStyle w:val="18"/>
              <w:rPr>
                <w:color w:val="auto"/>
              </w:rPr>
            </w:pPr>
            <w:r>
              <w:rPr>
                <w:rFonts w:hint="eastAsia"/>
                <w:color w:val="auto"/>
              </w:rPr>
              <w:t>需支持接收后自动生成会诊计费医嘱；</w:t>
            </w:r>
          </w:p>
          <w:p w14:paraId="566FBF1A">
            <w:pPr>
              <w:pStyle w:val="18"/>
              <w:rPr>
                <w:color w:val="auto"/>
              </w:rPr>
            </w:pPr>
            <w:r>
              <w:rPr>
                <w:rFonts w:hint="eastAsia"/>
                <w:color w:val="auto"/>
              </w:rPr>
              <w:t>需支持接收后可取消接收会诊，并可取消计费医嘱；</w:t>
            </w:r>
          </w:p>
          <w:p w14:paraId="18033A44">
            <w:pPr>
              <w:pStyle w:val="18"/>
              <w:rPr>
                <w:color w:val="auto"/>
              </w:rPr>
            </w:pPr>
            <w:r>
              <w:rPr>
                <w:rFonts w:hint="eastAsia"/>
                <w:color w:val="auto"/>
              </w:rPr>
              <w:t>需支持接收后自动授权医生书写患者病历、医嘱、诊断权限；</w:t>
            </w:r>
          </w:p>
          <w:p w14:paraId="4EDEF2CE">
            <w:pPr>
              <w:pStyle w:val="18"/>
              <w:rPr>
                <w:color w:val="auto"/>
              </w:rPr>
            </w:pPr>
            <w:r>
              <w:rPr>
                <w:rFonts w:hint="eastAsia"/>
                <w:color w:val="auto"/>
              </w:rPr>
              <w:t>需支持在会诊完成时，可生成HIS收费；</w:t>
            </w:r>
          </w:p>
          <w:p w14:paraId="5A15BA34">
            <w:pPr>
              <w:pStyle w:val="18"/>
              <w:rPr>
                <w:color w:val="auto"/>
              </w:rPr>
            </w:pPr>
            <w:r>
              <w:rPr>
                <w:rFonts w:hint="eastAsia"/>
                <w:color w:val="auto"/>
              </w:rPr>
              <w:t>需支持在会诊完成时，自动创建待完成的会诊病程记录。</w:t>
            </w:r>
          </w:p>
          <w:p w14:paraId="0E952FEA">
            <w:pPr>
              <w:pStyle w:val="18"/>
              <w:rPr>
                <w:color w:val="auto"/>
              </w:rPr>
            </w:pPr>
            <w:r>
              <w:rPr>
                <w:rFonts w:hint="eastAsia"/>
                <w:color w:val="auto"/>
              </w:rPr>
              <w:t>（3）会诊互评</w:t>
            </w:r>
          </w:p>
          <w:p w14:paraId="0C5BE161">
            <w:pPr>
              <w:pStyle w:val="18"/>
              <w:rPr>
                <w:color w:val="auto"/>
              </w:rPr>
            </w:pPr>
            <w:r>
              <w:rPr>
                <w:rFonts w:hint="eastAsia"/>
                <w:color w:val="auto"/>
              </w:rPr>
              <w:t>需支持会诊科室与受邀科室相互评价、具备评价查询和分析功能。</w:t>
            </w:r>
          </w:p>
          <w:p w14:paraId="3BE1F0A6">
            <w:pPr>
              <w:pStyle w:val="18"/>
              <w:rPr>
                <w:color w:val="auto"/>
              </w:rPr>
            </w:pPr>
            <w:r>
              <w:rPr>
                <w:rFonts w:hint="eastAsia"/>
                <w:color w:val="auto"/>
              </w:rPr>
              <w:t>会诊完成时，需支持会诊专家评价本次会诊，且评价内容只允许专家方可见；</w:t>
            </w:r>
          </w:p>
          <w:p w14:paraId="65D9E2CC">
            <w:pPr>
              <w:pStyle w:val="18"/>
              <w:rPr>
                <w:color w:val="auto"/>
              </w:rPr>
            </w:pPr>
            <w:r>
              <w:rPr>
                <w:rFonts w:hint="eastAsia"/>
                <w:color w:val="auto"/>
              </w:rPr>
              <w:t>会诊完成后，需支持会诊申请医师评价本次会诊，且评价内容只允许申请方可见；</w:t>
            </w:r>
          </w:p>
          <w:p w14:paraId="72DEABC9">
            <w:pPr>
              <w:pStyle w:val="18"/>
              <w:rPr>
                <w:color w:val="auto"/>
              </w:rPr>
            </w:pPr>
            <w:r>
              <w:rPr>
                <w:rFonts w:hint="eastAsia"/>
                <w:color w:val="auto"/>
              </w:rPr>
              <w:t>会诊评价内容，需支持自定义维护。</w:t>
            </w:r>
          </w:p>
          <w:p w14:paraId="63712BA3">
            <w:pPr>
              <w:pStyle w:val="18"/>
              <w:rPr>
                <w:color w:val="auto"/>
              </w:rPr>
            </w:pPr>
            <w:r>
              <w:rPr>
                <w:rFonts w:hint="eastAsia"/>
                <w:color w:val="auto"/>
              </w:rPr>
              <w:t>2.院内多科室会诊</w:t>
            </w:r>
          </w:p>
          <w:p w14:paraId="07A40288">
            <w:pPr>
              <w:pStyle w:val="18"/>
              <w:rPr>
                <w:color w:val="auto"/>
              </w:rPr>
            </w:pPr>
            <w:r>
              <w:rPr>
                <w:rFonts w:hint="eastAsia"/>
                <w:color w:val="auto"/>
              </w:rPr>
              <w:t>（1）会诊申请</w:t>
            </w:r>
          </w:p>
          <w:p w14:paraId="3A01C79D">
            <w:pPr>
              <w:pStyle w:val="18"/>
              <w:rPr>
                <w:color w:val="auto"/>
              </w:rPr>
            </w:pPr>
            <w:r>
              <w:rPr>
                <w:rFonts w:hint="eastAsia"/>
                <w:color w:val="auto"/>
              </w:rPr>
              <w:t>需支持院内多科室会诊；</w:t>
            </w:r>
          </w:p>
          <w:p w14:paraId="7153B251">
            <w:pPr>
              <w:pStyle w:val="18"/>
              <w:rPr>
                <w:color w:val="auto"/>
              </w:rPr>
            </w:pPr>
            <w:r>
              <w:rPr>
                <w:rFonts w:hint="eastAsia"/>
                <w:color w:val="auto"/>
              </w:rPr>
              <w:t>需支持查看已申请患者会诊处理情况；</w:t>
            </w:r>
          </w:p>
          <w:p w14:paraId="32ECB6ED">
            <w:pPr>
              <w:pStyle w:val="18"/>
              <w:rPr>
                <w:color w:val="auto"/>
              </w:rPr>
            </w:pPr>
            <w:r>
              <w:rPr>
                <w:rFonts w:hint="eastAsia"/>
                <w:color w:val="auto"/>
              </w:rPr>
              <w:t>需支持自动生成会诊医嘱。</w:t>
            </w:r>
          </w:p>
          <w:p w14:paraId="3E327259">
            <w:pPr>
              <w:pStyle w:val="18"/>
              <w:rPr>
                <w:color w:val="auto"/>
              </w:rPr>
            </w:pPr>
            <w:r>
              <w:rPr>
                <w:rFonts w:hint="eastAsia"/>
                <w:color w:val="auto"/>
              </w:rPr>
              <w:t>（2）会诊审批</w:t>
            </w:r>
          </w:p>
          <w:p w14:paraId="3059886A">
            <w:pPr>
              <w:pStyle w:val="18"/>
              <w:rPr>
                <w:color w:val="auto"/>
              </w:rPr>
            </w:pPr>
            <w:r>
              <w:rPr>
                <w:rFonts w:hint="eastAsia"/>
                <w:color w:val="auto"/>
              </w:rPr>
              <w:t>需支持院内多科室会诊并具备医务干预和审批流程。</w:t>
            </w:r>
          </w:p>
          <w:p w14:paraId="75D31A4E">
            <w:pPr>
              <w:pStyle w:val="18"/>
              <w:rPr>
                <w:color w:val="auto"/>
              </w:rPr>
            </w:pPr>
            <w:r>
              <w:rPr>
                <w:rFonts w:hint="eastAsia"/>
                <w:color w:val="auto"/>
              </w:rPr>
              <w:t>（3）接收及拒绝</w:t>
            </w:r>
          </w:p>
          <w:p w14:paraId="3EA50D55">
            <w:pPr>
              <w:pStyle w:val="18"/>
              <w:rPr>
                <w:color w:val="auto"/>
              </w:rPr>
            </w:pPr>
            <w:r>
              <w:rPr>
                <w:rFonts w:hint="eastAsia"/>
                <w:color w:val="auto"/>
              </w:rPr>
              <w:t>需支持在处理会诊患者前，查看患者治疗过程信息；</w:t>
            </w:r>
          </w:p>
          <w:p w14:paraId="5CFD5E67">
            <w:pPr>
              <w:pStyle w:val="18"/>
              <w:rPr>
                <w:color w:val="auto"/>
              </w:rPr>
            </w:pPr>
            <w:r>
              <w:rPr>
                <w:rFonts w:hint="eastAsia"/>
                <w:color w:val="auto"/>
              </w:rPr>
              <w:t>需支持接收会诊，书写会诊意见；</w:t>
            </w:r>
          </w:p>
          <w:p w14:paraId="7F1B7E2A">
            <w:pPr>
              <w:pStyle w:val="18"/>
              <w:rPr>
                <w:color w:val="auto"/>
              </w:rPr>
            </w:pPr>
            <w:r>
              <w:rPr>
                <w:rFonts w:hint="eastAsia"/>
                <w:color w:val="auto"/>
              </w:rPr>
              <w:t>需支持拒绝会诊，填写拒绝理由；</w:t>
            </w:r>
          </w:p>
          <w:p w14:paraId="5CC40EE9">
            <w:pPr>
              <w:pStyle w:val="18"/>
              <w:rPr>
                <w:color w:val="auto"/>
              </w:rPr>
            </w:pPr>
            <w:r>
              <w:rPr>
                <w:rFonts w:hint="eastAsia"/>
                <w:color w:val="auto"/>
              </w:rPr>
              <w:t>需支持允许会诊专家为会诊患者开立医嘱；</w:t>
            </w:r>
          </w:p>
          <w:p w14:paraId="687CF202">
            <w:pPr>
              <w:pStyle w:val="18"/>
              <w:rPr>
                <w:color w:val="auto"/>
              </w:rPr>
            </w:pPr>
            <w:r>
              <w:rPr>
                <w:rFonts w:hint="eastAsia"/>
                <w:color w:val="auto"/>
              </w:rPr>
              <w:t>需支持在会诊完成时，自动创建待完成的会诊病程记录。</w:t>
            </w:r>
          </w:p>
          <w:p w14:paraId="1C5D301D">
            <w:pPr>
              <w:pStyle w:val="18"/>
              <w:rPr>
                <w:bCs/>
                <w:color w:val="auto"/>
              </w:rPr>
            </w:pPr>
            <w:r>
              <w:rPr>
                <w:rFonts w:hint="eastAsia"/>
                <w:bCs/>
                <w:color w:val="auto"/>
              </w:rPr>
              <w:t>（八）手术</w:t>
            </w:r>
          </w:p>
          <w:p w14:paraId="3E0B85E7">
            <w:pPr>
              <w:pStyle w:val="18"/>
              <w:rPr>
                <w:color w:val="auto"/>
              </w:rPr>
            </w:pPr>
            <w:r>
              <w:rPr>
                <w:rFonts w:hint="eastAsia"/>
                <w:color w:val="auto"/>
              </w:rPr>
              <w:t>1.手术计划</w:t>
            </w:r>
          </w:p>
          <w:p w14:paraId="5B1CBFB0">
            <w:pPr>
              <w:pStyle w:val="18"/>
              <w:rPr>
                <w:color w:val="auto"/>
              </w:rPr>
            </w:pPr>
            <w:r>
              <w:rPr>
                <w:rFonts w:hint="eastAsia"/>
                <w:color w:val="auto"/>
              </w:rPr>
              <w:t>需支持建立手术计划，录入手术相关信息；</w:t>
            </w:r>
          </w:p>
          <w:p w14:paraId="78F2BBCB">
            <w:pPr>
              <w:pStyle w:val="18"/>
              <w:rPr>
                <w:color w:val="auto"/>
              </w:rPr>
            </w:pPr>
            <w:r>
              <w:rPr>
                <w:rFonts w:hint="eastAsia"/>
                <w:color w:val="auto"/>
              </w:rPr>
              <w:t>需支持修改手术计划；</w:t>
            </w:r>
          </w:p>
          <w:p w14:paraId="131B5A6D">
            <w:pPr>
              <w:pStyle w:val="18"/>
              <w:rPr>
                <w:color w:val="auto"/>
              </w:rPr>
            </w:pPr>
            <w:r>
              <w:rPr>
                <w:rFonts w:hint="eastAsia"/>
                <w:color w:val="auto"/>
              </w:rPr>
              <w:t>需支持删除手术计划；</w:t>
            </w:r>
          </w:p>
          <w:p w14:paraId="1B68CEDB">
            <w:pPr>
              <w:pStyle w:val="18"/>
              <w:rPr>
                <w:color w:val="auto"/>
              </w:rPr>
            </w:pPr>
            <w:r>
              <w:rPr>
                <w:rFonts w:hint="eastAsia"/>
                <w:color w:val="auto"/>
              </w:rPr>
              <w:t>需支持手术计划名称通过选择手术以“+”拼接生成，不可自定义；</w:t>
            </w:r>
          </w:p>
          <w:p w14:paraId="1ED4776F">
            <w:pPr>
              <w:pStyle w:val="18"/>
              <w:rPr>
                <w:color w:val="auto"/>
              </w:rPr>
            </w:pPr>
            <w:r>
              <w:rPr>
                <w:rFonts w:hint="eastAsia"/>
                <w:color w:val="auto"/>
              </w:rPr>
              <w:t>需支持拟手术名称必须通过选择手术生成，不可自定义；</w:t>
            </w:r>
          </w:p>
          <w:p w14:paraId="57F6A8ED">
            <w:pPr>
              <w:pStyle w:val="18"/>
              <w:rPr>
                <w:color w:val="auto"/>
              </w:rPr>
            </w:pPr>
            <w:r>
              <w:rPr>
                <w:rFonts w:hint="eastAsia"/>
                <w:color w:val="auto"/>
              </w:rPr>
              <w:t>需支持维护手术计划任务前、中、后的病历模板，例如；术前小结、术前讨论记录、手术相关知情同意书、手术记录、术后病程病历模板。</w:t>
            </w:r>
          </w:p>
          <w:p w14:paraId="2CBB7081">
            <w:pPr>
              <w:pStyle w:val="18"/>
              <w:rPr>
                <w:color w:val="auto"/>
              </w:rPr>
            </w:pPr>
            <w:r>
              <w:rPr>
                <w:rFonts w:hint="eastAsia"/>
                <w:color w:val="auto"/>
              </w:rPr>
              <w:t>2.手术申请</w:t>
            </w:r>
          </w:p>
          <w:p w14:paraId="2DD7C7A0">
            <w:pPr>
              <w:pStyle w:val="18"/>
              <w:rPr>
                <w:color w:val="auto"/>
              </w:rPr>
            </w:pPr>
            <w:r>
              <w:rPr>
                <w:rFonts w:hint="eastAsia"/>
                <w:color w:val="auto"/>
              </w:rPr>
              <w:t>需支持以计划形式开立手术申请及围术期事件相关病历文书；</w:t>
            </w:r>
          </w:p>
          <w:p w14:paraId="4A1218E5">
            <w:pPr>
              <w:pStyle w:val="18"/>
              <w:rPr>
                <w:color w:val="auto"/>
              </w:rPr>
            </w:pPr>
            <w:r>
              <w:rPr>
                <w:rFonts w:hint="eastAsia"/>
                <w:color w:val="auto"/>
              </w:rPr>
              <w:t>需能够保持计划内各病历文书内容相互引用，数据信息同源，保持各文书与本次手术计划的强关联性和逻辑性；</w:t>
            </w:r>
          </w:p>
          <w:p w14:paraId="3351E5E1">
            <w:pPr>
              <w:pStyle w:val="18"/>
              <w:rPr>
                <w:color w:val="auto"/>
              </w:rPr>
            </w:pPr>
            <w:r>
              <w:rPr>
                <w:rFonts w:hint="eastAsia"/>
                <w:color w:val="auto"/>
              </w:rPr>
              <w:t>3.手术相关记录</w:t>
            </w:r>
          </w:p>
          <w:p w14:paraId="67ECB6A9">
            <w:pPr>
              <w:pStyle w:val="18"/>
              <w:rPr>
                <w:color w:val="auto"/>
              </w:rPr>
            </w:pPr>
            <w:r>
              <w:rPr>
                <w:rFonts w:hint="eastAsia"/>
                <w:color w:val="auto"/>
              </w:rPr>
              <w:t>需支持在手术计划节点下创建不同类型的手术相关记录，例如术前小结、术前讨论记录、手术相关知情同意书、手术记录、术后病程；</w:t>
            </w:r>
          </w:p>
          <w:p w14:paraId="7F286DFF">
            <w:pPr>
              <w:pStyle w:val="18"/>
              <w:rPr>
                <w:color w:val="auto"/>
              </w:rPr>
            </w:pPr>
            <w:r>
              <w:rPr>
                <w:rFonts w:hint="eastAsia"/>
                <w:color w:val="auto"/>
              </w:rPr>
              <w:t>需支持在书写手术记录前，医生能够确认手术信息，可新增或通过手麻或手术申请单提取手术信息；可编辑手术信息；可上下移动手术信息设置主子手术；可刷新手术信息；</w:t>
            </w:r>
          </w:p>
          <w:p w14:paraId="4D10D276">
            <w:pPr>
              <w:pStyle w:val="18"/>
              <w:rPr>
                <w:color w:val="auto"/>
              </w:rPr>
            </w:pPr>
            <w:r>
              <w:rPr>
                <w:rFonts w:hint="eastAsia"/>
                <w:color w:val="auto"/>
              </w:rPr>
              <w:t>需支持手术确认信息自动带入手术记录中。</w:t>
            </w:r>
          </w:p>
        </w:tc>
      </w:tr>
      <w:tr w14:paraId="2987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988B19A">
            <w:pPr>
              <w:pStyle w:val="18"/>
              <w:jc w:val="center"/>
              <w:rPr>
                <w:b w:val="0"/>
                <w:color w:val="auto"/>
              </w:rPr>
            </w:pPr>
            <w:r>
              <w:rPr>
                <w:rFonts w:hint="eastAsia"/>
                <w:b w:val="0"/>
                <w:color w:val="auto"/>
              </w:rPr>
              <w:t>病历模版管理</w:t>
            </w:r>
          </w:p>
        </w:tc>
        <w:tc>
          <w:tcPr>
            <w:tcW w:w="6579" w:type="dxa"/>
            <w:vAlign w:val="center"/>
          </w:tcPr>
          <w:p w14:paraId="2C120DAE">
            <w:pPr>
              <w:pStyle w:val="18"/>
              <w:rPr>
                <w:color w:val="auto"/>
              </w:rPr>
            </w:pPr>
            <w:r>
              <w:rPr>
                <w:rFonts w:hint="eastAsia"/>
                <w:color w:val="auto"/>
              </w:rPr>
              <w:t>病历文书基于“病历模版”创建而来。电子病历的书写需要规范化，需通过病历模版构建规范的模型框架，病历模版管理需协助医院打造规范电子病历，模版需基于结构化构建，需基于“病历元素”为基本核心构建统一化、体系化、兼顾各科室个性化的结构化病历模板，支撑整个病历书写。</w:t>
            </w:r>
          </w:p>
          <w:p w14:paraId="4BA3908C">
            <w:pPr>
              <w:pStyle w:val="18"/>
              <w:rPr>
                <w:color w:val="auto"/>
              </w:rPr>
            </w:pPr>
            <w:r>
              <w:rPr>
                <w:rFonts w:hint="eastAsia"/>
                <w:color w:val="auto"/>
              </w:rPr>
              <w:t>1.元素维护</w:t>
            </w:r>
          </w:p>
          <w:p w14:paraId="5CED1782">
            <w:pPr>
              <w:pStyle w:val="18"/>
              <w:rPr>
                <w:color w:val="auto"/>
              </w:rPr>
            </w:pPr>
            <w:r>
              <w:rPr>
                <w:rFonts w:hint="eastAsia"/>
                <w:color w:val="auto"/>
              </w:rPr>
              <w:t>病历元素，即病历中的项目，系统需通过病历元素实现病历数据的结构化存储、多元化录入和一元化管理。</w:t>
            </w:r>
          </w:p>
          <w:p w14:paraId="0EABCF77">
            <w:pPr>
              <w:pStyle w:val="18"/>
              <w:rPr>
                <w:color w:val="auto"/>
              </w:rPr>
            </w:pPr>
            <w:r>
              <w:rPr>
                <w:rFonts w:hint="eastAsia"/>
                <w:color w:val="auto"/>
              </w:rPr>
              <w:t>元素类型需要包括文本框、下拉框、复选框、单选框、时间框，可实现病历的多元化录入。</w:t>
            </w:r>
          </w:p>
          <w:p w14:paraId="7042B7A8">
            <w:pPr>
              <w:pStyle w:val="18"/>
              <w:rPr>
                <w:color w:val="auto"/>
              </w:rPr>
            </w:pPr>
            <w:r>
              <w:rPr>
                <w:rFonts w:hint="eastAsia"/>
                <w:color w:val="auto"/>
              </w:rPr>
              <w:t>需提供元素的引用功能，对于一次诊疗中的同一元素，直接应用，避免医生重复录入。</w:t>
            </w:r>
          </w:p>
          <w:p w14:paraId="4A8CA769">
            <w:pPr>
              <w:pStyle w:val="18"/>
              <w:rPr>
                <w:color w:val="auto"/>
              </w:rPr>
            </w:pPr>
            <w:r>
              <w:rPr>
                <w:rFonts w:hint="eastAsia"/>
                <w:color w:val="auto"/>
              </w:rPr>
              <w:t>2.模板维护</w:t>
            </w:r>
          </w:p>
          <w:p w14:paraId="10FF38E5">
            <w:pPr>
              <w:pStyle w:val="18"/>
              <w:rPr>
                <w:color w:val="auto"/>
              </w:rPr>
            </w:pPr>
            <w:r>
              <w:rPr>
                <w:rFonts w:hint="eastAsia"/>
                <w:color w:val="auto"/>
              </w:rPr>
              <w:t>需提供自定义和可视化病历模板维护功能。模板中的单元是由元素、元素节和区域组成的，这些单元灵活运用可生成一套完整结构化的模板。</w:t>
            </w:r>
          </w:p>
          <w:p w14:paraId="2A366330">
            <w:pPr>
              <w:pStyle w:val="18"/>
              <w:rPr>
                <w:color w:val="auto"/>
              </w:rPr>
            </w:pPr>
            <w:r>
              <w:rPr>
                <w:rFonts w:hint="eastAsia"/>
                <w:color w:val="auto"/>
              </w:rPr>
              <w:t>3.模板分配</w:t>
            </w:r>
          </w:p>
          <w:p w14:paraId="0387F28C">
            <w:pPr>
              <w:pStyle w:val="18"/>
              <w:rPr>
                <w:color w:val="auto"/>
              </w:rPr>
            </w:pPr>
            <w:r>
              <w:rPr>
                <w:rFonts w:hint="eastAsia"/>
                <w:color w:val="auto"/>
              </w:rPr>
              <w:t>需提供将病历模板分配到指定科室的功能。医院可根据科室需要配置不同科室所使用的模板。</w:t>
            </w:r>
          </w:p>
          <w:p w14:paraId="11708AA0">
            <w:pPr>
              <w:pStyle w:val="18"/>
              <w:rPr>
                <w:color w:val="auto"/>
              </w:rPr>
            </w:pPr>
            <w:r>
              <w:rPr>
                <w:rFonts w:hint="eastAsia"/>
                <w:color w:val="auto"/>
              </w:rPr>
              <w:t>4.病历复用元素设置</w:t>
            </w:r>
          </w:p>
          <w:p w14:paraId="2582E495">
            <w:pPr>
              <w:pStyle w:val="18"/>
              <w:rPr>
                <w:color w:val="auto"/>
              </w:rPr>
            </w:pPr>
            <w:r>
              <w:rPr>
                <w:rFonts w:hint="eastAsia"/>
                <w:color w:val="auto"/>
              </w:rPr>
              <w:t>需提供病历模板中元素的复用功能，当患者多次就诊或复诊时，医生可按照复用规则复用该患者既往就诊的元素信息。</w:t>
            </w:r>
          </w:p>
        </w:tc>
      </w:tr>
      <w:tr w14:paraId="0469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FB8102C">
            <w:pPr>
              <w:pStyle w:val="18"/>
              <w:jc w:val="center"/>
              <w:rPr>
                <w:b w:val="0"/>
                <w:color w:val="auto"/>
              </w:rPr>
            </w:pPr>
            <w:r>
              <w:rPr>
                <w:rFonts w:hint="eastAsia"/>
                <w:b w:val="0"/>
                <w:color w:val="auto"/>
              </w:rPr>
              <w:t>临床数据应用视图</w:t>
            </w:r>
          </w:p>
        </w:tc>
        <w:tc>
          <w:tcPr>
            <w:tcW w:w="6579" w:type="dxa"/>
            <w:vAlign w:val="center"/>
          </w:tcPr>
          <w:p w14:paraId="33515262">
            <w:pPr>
              <w:pStyle w:val="18"/>
              <w:rPr>
                <w:color w:val="auto"/>
              </w:rPr>
            </w:pPr>
            <w:r>
              <w:rPr>
                <w:rFonts w:hint="eastAsia"/>
                <w:color w:val="auto"/>
              </w:rPr>
              <w:t>系统需提供患者就医记录查看功能；</w:t>
            </w:r>
          </w:p>
          <w:p w14:paraId="51D250BE">
            <w:pPr>
              <w:pStyle w:val="18"/>
              <w:rPr>
                <w:color w:val="auto"/>
              </w:rPr>
            </w:pPr>
            <w:r>
              <w:rPr>
                <w:rFonts w:hint="eastAsia"/>
                <w:color w:val="auto"/>
              </w:rPr>
              <w:t>系统需支持按照时间顺序倒序展示患者历次就诊的时间及相关就诊信息摘要功能；</w:t>
            </w:r>
          </w:p>
          <w:p w14:paraId="0C706C62">
            <w:pPr>
              <w:pStyle w:val="18"/>
              <w:rPr>
                <w:color w:val="auto"/>
              </w:rPr>
            </w:pPr>
            <w:r>
              <w:rPr>
                <w:rFonts w:hint="eastAsia"/>
                <w:color w:val="auto"/>
              </w:rPr>
              <w:t>系统需支持按照就诊场景（门诊、住院、手术、MDT会诊、放疗、化疗）展示患者历次就诊的时间以及摘要信息功能；</w:t>
            </w:r>
          </w:p>
          <w:p w14:paraId="4FFA9988">
            <w:pPr>
              <w:pStyle w:val="18"/>
              <w:rPr>
                <w:color w:val="auto"/>
              </w:rPr>
            </w:pPr>
            <w:r>
              <w:rPr>
                <w:rFonts w:hint="eastAsia"/>
                <w:color w:val="auto"/>
              </w:rPr>
              <w:t>系统需支持可查询指定的某次就医功能；</w:t>
            </w:r>
          </w:p>
          <w:p w14:paraId="5BE0DD82">
            <w:pPr>
              <w:pStyle w:val="18"/>
              <w:rPr>
                <w:color w:val="auto"/>
              </w:rPr>
            </w:pPr>
            <w:r>
              <w:rPr>
                <w:rFonts w:hint="eastAsia"/>
                <w:color w:val="auto"/>
              </w:rPr>
              <w:t>系统需支持就诊节点相关的检验报告快速查看链接；</w:t>
            </w:r>
          </w:p>
          <w:p w14:paraId="5C9E9BAB">
            <w:pPr>
              <w:pStyle w:val="18"/>
              <w:rPr>
                <w:color w:val="auto"/>
              </w:rPr>
            </w:pPr>
            <w:r>
              <w:rPr>
                <w:rFonts w:hint="eastAsia"/>
                <w:color w:val="auto"/>
              </w:rPr>
              <w:t>系统需支持就诊节点相关的检查报告快速查看链接；</w:t>
            </w:r>
          </w:p>
          <w:p w14:paraId="4BC6C7FC">
            <w:pPr>
              <w:pStyle w:val="18"/>
              <w:rPr>
                <w:color w:val="auto"/>
              </w:rPr>
            </w:pPr>
            <w:r>
              <w:rPr>
                <w:rFonts w:hint="eastAsia"/>
                <w:color w:val="auto"/>
              </w:rPr>
              <w:t>系统需支持展示患者门诊就诊相关病历；</w:t>
            </w:r>
          </w:p>
          <w:p w14:paraId="23F2F8B9">
            <w:pPr>
              <w:pStyle w:val="18"/>
              <w:rPr>
                <w:color w:val="auto"/>
              </w:rPr>
            </w:pPr>
            <w:r>
              <w:rPr>
                <w:rFonts w:hint="eastAsia"/>
                <w:color w:val="auto"/>
              </w:rPr>
              <w:t>系统需支持展示患者急诊就诊相关病历；</w:t>
            </w:r>
          </w:p>
          <w:p w14:paraId="3B3C9372">
            <w:pPr>
              <w:pStyle w:val="18"/>
              <w:rPr>
                <w:color w:val="auto"/>
              </w:rPr>
            </w:pPr>
            <w:r>
              <w:rPr>
                <w:rFonts w:hint="eastAsia"/>
                <w:color w:val="auto"/>
              </w:rPr>
              <w:t>系统需支持患者住院时所有的住院病历（入院记录，出院记录，病程记录，护理记录，手术记录）。</w:t>
            </w:r>
          </w:p>
          <w:p w14:paraId="1DF145C5">
            <w:pPr>
              <w:pStyle w:val="18"/>
              <w:rPr>
                <w:color w:val="auto"/>
              </w:rPr>
            </w:pPr>
            <w:r>
              <w:rPr>
                <w:rFonts w:hint="eastAsia"/>
                <w:color w:val="auto"/>
              </w:rPr>
              <w:t>系统需支持展示患者历史医嘱信息功能；</w:t>
            </w:r>
          </w:p>
          <w:p w14:paraId="4C0E69BD">
            <w:pPr>
              <w:pStyle w:val="18"/>
              <w:rPr>
                <w:color w:val="auto"/>
              </w:rPr>
            </w:pPr>
            <w:r>
              <w:rPr>
                <w:rFonts w:hint="eastAsia"/>
                <w:color w:val="auto"/>
              </w:rPr>
              <w:t>系统需支持复制历史医嘱到医嘱开立页面功能；</w:t>
            </w:r>
          </w:p>
          <w:p w14:paraId="5FFB42F6">
            <w:pPr>
              <w:pStyle w:val="18"/>
              <w:rPr>
                <w:color w:val="auto"/>
              </w:rPr>
            </w:pPr>
            <w:r>
              <w:rPr>
                <w:rFonts w:hint="eastAsia"/>
                <w:color w:val="auto"/>
              </w:rPr>
              <w:t>系统需支持展示相关的常规检验，细菌实验的检验结果功能；</w:t>
            </w:r>
          </w:p>
          <w:p w14:paraId="4544C643">
            <w:pPr>
              <w:pStyle w:val="18"/>
              <w:rPr>
                <w:color w:val="auto"/>
              </w:rPr>
            </w:pPr>
            <w:r>
              <w:rPr>
                <w:rFonts w:hint="eastAsia"/>
                <w:color w:val="auto"/>
              </w:rPr>
              <w:t>系统需支持查询指定的检验结果的曲线分析功能；</w:t>
            </w:r>
          </w:p>
          <w:p w14:paraId="7A76CB95">
            <w:pPr>
              <w:pStyle w:val="18"/>
              <w:rPr>
                <w:color w:val="auto"/>
              </w:rPr>
            </w:pPr>
            <w:r>
              <w:rPr>
                <w:rFonts w:hint="eastAsia"/>
                <w:color w:val="auto"/>
              </w:rPr>
              <w:t>系统需支持展示患者相关的检查报告（CT、DR、心电、病理、内窥镜检查报告）功能；</w:t>
            </w:r>
          </w:p>
          <w:p w14:paraId="3A6D0BC4">
            <w:pPr>
              <w:pStyle w:val="18"/>
              <w:rPr>
                <w:color w:val="auto"/>
              </w:rPr>
            </w:pPr>
            <w:r>
              <w:rPr>
                <w:rFonts w:hint="eastAsia"/>
                <w:color w:val="auto"/>
              </w:rPr>
              <w:t>系统需支持复制检查报告结果内容功能，方便医生填写患者病历。</w:t>
            </w:r>
          </w:p>
        </w:tc>
      </w:tr>
      <w:tr w14:paraId="1E8F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0677465">
            <w:pPr>
              <w:pStyle w:val="18"/>
              <w:jc w:val="center"/>
              <w:rPr>
                <w:b w:val="0"/>
                <w:color w:val="auto"/>
              </w:rPr>
            </w:pPr>
            <w:r>
              <w:rPr>
                <w:rFonts w:hint="eastAsia"/>
                <w:b w:val="0"/>
                <w:color w:val="auto"/>
              </w:rPr>
              <w:t>Web病历</w:t>
            </w:r>
          </w:p>
        </w:tc>
        <w:tc>
          <w:tcPr>
            <w:tcW w:w="6579" w:type="dxa"/>
            <w:vAlign w:val="center"/>
          </w:tcPr>
          <w:p w14:paraId="2BE93390">
            <w:pPr>
              <w:pStyle w:val="18"/>
              <w:rPr>
                <w:color w:val="auto"/>
              </w:rPr>
            </w:pPr>
            <w:r>
              <w:rPr>
                <w:rFonts w:hint="eastAsia"/>
                <w:color w:val="auto"/>
              </w:rPr>
              <w:t>Web病历是基于浏览器形展示病历的方法是电子病历的延展，是科室间、医生间查看患者病历文书的便捷手段，可实现医技科室及临床辅助科室等不具备病历编辑权限的科室查看患者病历信息从而协助治疗。Web病历同时也适用于三方系统之间的病历展示应用形式灵活。</w:t>
            </w:r>
          </w:p>
          <w:p w14:paraId="2C6BF23B">
            <w:pPr>
              <w:pStyle w:val="18"/>
              <w:rPr>
                <w:color w:val="auto"/>
              </w:rPr>
            </w:pPr>
            <w:r>
              <w:rPr>
                <w:rFonts w:hint="eastAsia"/>
                <w:color w:val="auto"/>
              </w:rPr>
              <w:t>1,患者列表</w:t>
            </w:r>
          </w:p>
          <w:p w14:paraId="44388FE2">
            <w:pPr>
              <w:pStyle w:val="18"/>
              <w:rPr>
                <w:color w:val="auto"/>
              </w:rPr>
            </w:pPr>
            <w:r>
              <w:rPr>
                <w:rFonts w:hint="eastAsia"/>
                <w:color w:val="auto"/>
              </w:rPr>
              <w:t>系统需支持显示住院患者列表；</w:t>
            </w:r>
          </w:p>
          <w:p w14:paraId="48F4B1C2">
            <w:pPr>
              <w:pStyle w:val="18"/>
              <w:rPr>
                <w:color w:val="auto"/>
              </w:rPr>
            </w:pPr>
            <w:r>
              <w:rPr>
                <w:rFonts w:hint="eastAsia"/>
                <w:color w:val="auto"/>
              </w:rPr>
              <w:t>系统需支持显示门诊患者列表。</w:t>
            </w:r>
          </w:p>
          <w:p w14:paraId="6E544574">
            <w:pPr>
              <w:pStyle w:val="18"/>
              <w:rPr>
                <w:color w:val="auto"/>
              </w:rPr>
            </w:pPr>
            <w:r>
              <w:rPr>
                <w:rFonts w:hint="eastAsia"/>
                <w:color w:val="auto"/>
              </w:rPr>
              <w:t>2.医生病历查看</w:t>
            </w:r>
          </w:p>
          <w:p w14:paraId="31F95526">
            <w:pPr>
              <w:pStyle w:val="18"/>
              <w:rPr>
                <w:color w:val="auto"/>
              </w:rPr>
            </w:pPr>
            <w:r>
              <w:rPr>
                <w:rFonts w:hint="eastAsia"/>
                <w:color w:val="auto"/>
              </w:rPr>
              <w:t>系统需支持查看入院记录、病程记录、手术相关记录、知情告知书、出院记录、会诊记录、病案首页。</w:t>
            </w:r>
          </w:p>
          <w:p w14:paraId="45445CC2">
            <w:pPr>
              <w:pStyle w:val="18"/>
              <w:rPr>
                <w:color w:val="auto"/>
              </w:rPr>
            </w:pPr>
            <w:r>
              <w:rPr>
                <w:rFonts w:hint="eastAsia"/>
                <w:color w:val="auto"/>
              </w:rPr>
              <w:t>3.护士病历查看</w:t>
            </w:r>
          </w:p>
          <w:p w14:paraId="6AA76307">
            <w:pPr>
              <w:pStyle w:val="18"/>
              <w:rPr>
                <w:color w:val="auto"/>
              </w:rPr>
            </w:pPr>
            <w:r>
              <w:rPr>
                <w:rFonts w:hint="eastAsia"/>
                <w:color w:val="auto"/>
              </w:rPr>
              <w:t>系统需支持查看体温单、护理记录、入院评估单。</w:t>
            </w:r>
          </w:p>
          <w:p w14:paraId="328EFA9B">
            <w:pPr>
              <w:pStyle w:val="18"/>
              <w:rPr>
                <w:color w:val="auto"/>
              </w:rPr>
            </w:pPr>
            <w:r>
              <w:rPr>
                <w:rFonts w:hint="eastAsia"/>
                <w:color w:val="auto"/>
              </w:rPr>
              <w:t>4.检验查看</w:t>
            </w:r>
          </w:p>
          <w:p w14:paraId="3230D7D6">
            <w:pPr>
              <w:pStyle w:val="18"/>
              <w:rPr>
                <w:color w:val="auto"/>
              </w:rPr>
            </w:pPr>
            <w:r>
              <w:rPr>
                <w:rFonts w:hint="eastAsia"/>
                <w:color w:val="auto"/>
              </w:rPr>
              <w:t>系统需支持查看检验信息。</w:t>
            </w:r>
          </w:p>
          <w:p w14:paraId="16D50A2E">
            <w:pPr>
              <w:pStyle w:val="18"/>
              <w:rPr>
                <w:color w:val="auto"/>
              </w:rPr>
            </w:pPr>
            <w:r>
              <w:rPr>
                <w:rFonts w:hint="eastAsia"/>
                <w:color w:val="auto"/>
              </w:rPr>
              <w:t>5.检查查看</w:t>
            </w:r>
          </w:p>
          <w:p w14:paraId="05F44D99">
            <w:pPr>
              <w:pStyle w:val="18"/>
              <w:rPr>
                <w:color w:val="auto"/>
              </w:rPr>
            </w:pPr>
            <w:r>
              <w:rPr>
                <w:rFonts w:hint="eastAsia"/>
                <w:color w:val="auto"/>
              </w:rPr>
              <w:t>系统需支持查看检查信息。</w:t>
            </w:r>
          </w:p>
          <w:p w14:paraId="0851939E">
            <w:pPr>
              <w:pStyle w:val="18"/>
              <w:rPr>
                <w:color w:val="auto"/>
              </w:rPr>
            </w:pPr>
            <w:r>
              <w:rPr>
                <w:rFonts w:hint="eastAsia"/>
                <w:color w:val="auto"/>
              </w:rPr>
              <w:t>6.医嘱查看</w:t>
            </w:r>
          </w:p>
          <w:p w14:paraId="3C98CE3E">
            <w:pPr>
              <w:pStyle w:val="18"/>
              <w:rPr>
                <w:color w:val="auto"/>
              </w:rPr>
            </w:pPr>
            <w:r>
              <w:rPr>
                <w:rFonts w:hint="eastAsia"/>
                <w:color w:val="auto"/>
              </w:rPr>
              <w:t>系统需支持查看长期医嘱、临时医嘱。</w:t>
            </w:r>
          </w:p>
          <w:p w14:paraId="4D2D030E">
            <w:pPr>
              <w:pStyle w:val="18"/>
              <w:rPr>
                <w:color w:val="auto"/>
              </w:rPr>
            </w:pPr>
            <w:r>
              <w:rPr>
                <w:rFonts w:hint="eastAsia"/>
                <w:color w:val="auto"/>
              </w:rPr>
              <w:t>7.既往病历查看</w:t>
            </w:r>
          </w:p>
          <w:p w14:paraId="52DB0474">
            <w:pPr>
              <w:pStyle w:val="18"/>
              <w:rPr>
                <w:color w:val="auto"/>
              </w:rPr>
            </w:pPr>
            <w:r>
              <w:rPr>
                <w:rFonts w:hint="eastAsia"/>
                <w:color w:val="auto"/>
              </w:rPr>
              <w:t>系统需支持查看既往病历。</w:t>
            </w:r>
          </w:p>
          <w:p w14:paraId="3746C436">
            <w:pPr>
              <w:pStyle w:val="18"/>
              <w:rPr>
                <w:color w:val="auto"/>
              </w:rPr>
            </w:pPr>
            <w:r>
              <w:rPr>
                <w:rFonts w:hint="eastAsia"/>
                <w:color w:val="auto"/>
              </w:rPr>
              <w:t>8.申请单查看</w:t>
            </w:r>
          </w:p>
          <w:p w14:paraId="30E21EF0">
            <w:pPr>
              <w:pStyle w:val="18"/>
              <w:rPr>
                <w:color w:val="auto"/>
              </w:rPr>
            </w:pPr>
            <w:r>
              <w:rPr>
                <w:rFonts w:hint="eastAsia"/>
                <w:color w:val="auto"/>
              </w:rPr>
              <w:t>系统需支持查看申请单信息。</w:t>
            </w:r>
          </w:p>
          <w:p w14:paraId="6DC9B66D">
            <w:pPr>
              <w:pStyle w:val="18"/>
              <w:rPr>
                <w:color w:val="auto"/>
              </w:rPr>
            </w:pPr>
            <w:r>
              <w:rPr>
                <w:rFonts w:hint="eastAsia"/>
                <w:color w:val="auto"/>
              </w:rPr>
              <w:t>9.发药信息查看</w:t>
            </w:r>
          </w:p>
          <w:p w14:paraId="6E685A3F">
            <w:pPr>
              <w:pStyle w:val="18"/>
              <w:rPr>
                <w:color w:val="auto"/>
              </w:rPr>
            </w:pPr>
            <w:r>
              <w:rPr>
                <w:rFonts w:hint="eastAsia"/>
                <w:color w:val="auto"/>
              </w:rPr>
              <w:t>系统需支持查看发药信息。</w:t>
            </w:r>
          </w:p>
          <w:p w14:paraId="345B1D65">
            <w:pPr>
              <w:pStyle w:val="18"/>
              <w:rPr>
                <w:color w:val="auto"/>
              </w:rPr>
            </w:pPr>
            <w:r>
              <w:rPr>
                <w:rFonts w:hint="eastAsia"/>
                <w:color w:val="auto"/>
              </w:rPr>
              <w:t>10.医嘱执行记录查看</w:t>
            </w:r>
          </w:p>
          <w:p w14:paraId="268384EF">
            <w:pPr>
              <w:pStyle w:val="18"/>
              <w:rPr>
                <w:color w:val="auto"/>
              </w:rPr>
            </w:pPr>
            <w:r>
              <w:rPr>
                <w:rFonts w:hint="eastAsia"/>
                <w:color w:val="auto"/>
              </w:rPr>
              <w:t>系统需支持查看医嘱执行记录信息。</w:t>
            </w:r>
          </w:p>
        </w:tc>
      </w:tr>
      <w:tr w14:paraId="0358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2F27D89">
            <w:pPr>
              <w:pStyle w:val="18"/>
              <w:jc w:val="center"/>
              <w:rPr>
                <w:b w:val="0"/>
                <w:color w:val="auto"/>
              </w:rPr>
            </w:pPr>
            <w:r>
              <w:rPr>
                <w:rFonts w:hint="eastAsia"/>
                <w:b w:val="0"/>
                <w:color w:val="auto"/>
              </w:rPr>
              <w:t>病历质控</w:t>
            </w:r>
          </w:p>
        </w:tc>
        <w:tc>
          <w:tcPr>
            <w:tcW w:w="6579" w:type="dxa"/>
            <w:vAlign w:val="center"/>
          </w:tcPr>
          <w:p w14:paraId="2BC695A3">
            <w:pPr>
              <w:pStyle w:val="18"/>
              <w:rPr>
                <w:bCs/>
                <w:color w:val="auto"/>
              </w:rPr>
            </w:pPr>
            <w:r>
              <w:rPr>
                <w:rFonts w:hint="eastAsia"/>
                <w:bCs/>
                <w:color w:val="auto"/>
              </w:rPr>
              <w:t>（一）终末闭环质控</w:t>
            </w:r>
          </w:p>
          <w:p w14:paraId="7C674FC7">
            <w:pPr>
              <w:pStyle w:val="18"/>
              <w:rPr>
                <w:color w:val="auto"/>
              </w:rPr>
            </w:pPr>
            <w:r>
              <w:rPr>
                <w:rFonts w:hint="eastAsia"/>
                <w:color w:val="auto"/>
              </w:rPr>
              <w:t>1.终末质控人员维护</w:t>
            </w:r>
          </w:p>
          <w:p w14:paraId="226C73AA">
            <w:pPr>
              <w:pStyle w:val="18"/>
              <w:rPr>
                <w:color w:val="auto"/>
              </w:rPr>
            </w:pPr>
            <w:r>
              <w:rPr>
                <w:rFonts w:hint="eastAsia"/>
                <w:color w:val="auto"/>
              </w:rPr>
              <w:t>需支持设置当前阶段终末质控员；</w:t>
            </w:r>
          </w:p>
          <w:p w14:paraId="359E09AA">
            <w:pPr>
              <w:pStyle w:val="18"/>
              <w:rPr>
                <w:color w:val="auto"/>
              </w:rPr>
            </w:pPr>
            <w:r>
              <w:rPr>
                <w:rFonts w:hint="eastAsia"/>
                <w:color w:val="auto"/>
              </w:rPr>
              <w:t>需支持为质控人员指定固定科室群，可维护质控员质控权限范围；</w:t>
            </w:r>
          </w:p>
          <w:p w14:paraId="0AE58E7C">
            <w:pPr>
              <w:pStyle w:val="18"/>
              <w:rPr>
                <w:color w:val="auto"/>
              </w:rPr>
            </w:pPr>
            <w:r>
              <w:rPr>
                <w:rFonts w:hint="eastAsia"/>
                <w:color w:val="auto"/>
              </w:rPr>
              <w:t>需支持阶段内对质控人员的增加，修改和删除功能。</w:t>
            </w:r>
          </w:p>
          <w:p w14:paraId="2397E8B7">
            <w:pPr>
              <w:pStyle w:val="18"/>
              <w:rPr>
                <w:color w:val="auto"/>
              </w:rPr>
            </w:pPr>
            <w:r>
              <w:rPr>
                <w:rFonts w:hint="eastAsia"/>
                <w:color w:val="auto"/>
              </w:rPr>
              <w:t>2.质控评分任务分配</w:t>
            </w:r>
          </w:p>
          <w:p w14:paraId="15C77AC4">
            <w:pPr>
              <w:pStyle w:val="18"/>
              <w:rPr>
                <w:color w:val="auto"/>
              </w:rPr>
            </w:pPr>
            <w:r>
              <w:rPr>
                <w:rFonts w:hint="eastAsia"/>
                <w:color w:val="auto"/>
              </w:rPr>
              <w:t>需支持将需要质控的病案分配给质控人员，需支持按照任务数量随机分配，需支持针对不同评分标准的评分分配；</w:t>
            </w:r>
          </w:p>
          <w:p w14:paraId="20BD7338">
            <w:pPr>
              <w:pStyle w:val="18"/>
              <w:rPr>
                <w:color w:val="auto"/>
              </w:rPr>
            </w:pPr>
            <w:r>
              <w:rPr>
                <w:rFonts w:hint="eastAsia"/>
                <w:color w:val="auto"/>
              </w:rPr>
              <w:t>需支持系统以科室为单位按比率自动平均分配。</w:t>
            </w:r>
          </w:p>
          <w:p w14:paraId="1EF9DFCC">
            <w:pPr>
              <w:pStyle w:val="18"/>
              <w:rPr>
                <w:color w:val="auto"/>
              </w:rPr>
            </w:pPr>
            <w:r>
              <w:rPr>
                <w:rFonts w:hint="eastAsia"/>
                <w:color w:val="auto"/>
              </w:rPr>
              <w:t>3.质控任务分配追踪</w:t>
            </w:r>
          </w:p>
          <w:p w14:paraId="730B4E47">
            <w:pPr>
              <w:pStyle w:val="18"/>
              <w:rPr>
                <w:color w:val="auto"/>
              </w:rPr>
            </w:pPr>
            <w:r>
              <w:rPr>
                <w:rFonts w:hint="eastAsia"/>
                <w:color w:val="auto"/>
              </w:rPr>
              <w:t>需支持将已经人工分配或者系统自动分配的病案进行跟踪查阅，需可按已评分、未评分进行过滤筛选。</w:t>
            </w:r>
          </w:p>
          <w:p w14:paraId="13C6EA57">
            <w:pPr>
              <w:pStyle w:val="18"/>
              <w:rPr>
                <w:color w:val="auto"/>
              </w:rPr>
            </w:pPr>
            <w:r>
              <w:rPr>
                <w:rFonts w:hint="eastAsia"/>
                <w:color w:val="auto"/>
              </w:rPr>
              <w:t>4.质控患者条件检索</w:t>
            </w:r>
          </w:p>
          <w:p w14:paraId="5118B87D">
            <w:pPr>
              <w:pStyle w:val="18"/>
              <w:rPr>
                <w:color w:val="auto"/>
              </w:rPr>
            </w:pPr>
            <w:r>
              <w:rPr>
                <w:rFonts w:hint="eastAsia"/>
                <w:color w:val="auto"/>
              </w:rPr>
              <w:t>需支持根据患者科室、诊断、在院天数进行检索，也需支持检索不同类型的患者，比如：病危、病重、手术、会诊、转科、抢救、输血、死亡。</w:t>
            </w:r>
          </w:p>
          <w:p w14:paraId="3C6A65AF">
            <w:pPr>
              <w:pStyle w:val="18"/>
              <w:rPr>
                <w:color w:val="auto"/>
              </w:rPr>
            </w:pPr>
            <w:r>
              <w:rPr>
                <w:rFonts w:hint="eastAsia"/>
                <w:color w:val="auto"/>
              </w:rPr>
              <w:t>需支持针对已分配的病案进行重新分配；</w:t>
            </w:r>
          </w:p>
          <w:p w14:paraId="58CBAEFC">
            <w:pPr>
              <w:pStyle w:val="18"/>
              <w:rPr>
                <w:color w:val="auto"/>
              </w:rPr>
            </w:pPr>
            <w:r>
              <w:rPr>
                <w:rFonts w:hint="eastAsia"/>
                <w:color w:val="auto"/>
              </w:rPr>
              <w:t>需支持对于查询的所有患者按照数量随机抽取。</w:t>
            </w:r>
          </w:p>
          <w:p w14:paraId="1904CD2B">
            <w:pPr>
              <w:pStyle w:val="18"/>
              <w:rPr>
                <w:color w:val="auto"/>
              </w:rPr>
            </w:pPr>
            <w:r>
              <w:rPr>
                <w:rFonts w:hint="eastAsia"/>
                <w:color w:val="auto"/>
              </w:rPr>
              <w:t>5.终末评分</w:t>
            </w:r>
          </w:p>
          <w:p w14:paraId="683FB95E">
            <w:pPr>
              <w:pStyle w:val="18"/>
              <w:rPr>
                <w:color w:val="auto"/>
              </w:rPr>
            </w:pPr>
            <w:r>
              <w:rPr>
                <w:rFonts w:hint="eastAsia"/>
                <w:color w:val="auto"/>
              </w:rPr>
              <w:t>需支持质控员参照评分标准和病历内容进行核对评分。</w:t>
            </w:r>
          </w:p>
          <w:p w14:paraId="6FB747AD">
            <w:pPr>
              <w:pStyle w:val="18"/>
              <w:rPr>
                <w:color w:val="auto"/>
              </w:rPr>
            </w:pPr>
            <w:r>
              <w:rPr>
                <w:rFonts w:hint="eastAsia"/>
                <w:color w:val="auto"/>
              </w:rPr>
              <w:t>需支持质控员可针对病历存在的缺陷手工录入缺陷内容以及扣分原因；</w:t>
            </w:r>
          </w:p>
          <w:p w14:paraId="6545B3B4">
            <w:pPr>
              <w:pStyle w:val="18"/>
              <w:rPr>
                <w:color w:val="auto"/>
              </w:rPr>
            </w:pPr>
            <w:r>
              <w:rPr>
                <w:rFonts w:hint="eastAsia"/>
                <w:color w:val="auto"/>
              </w:rPr>
              <w:t>需支持质控员可根据评分标准进行单项扣分、多项扣分以及单项否决评分。</w:t>
            </w:r>
          </w:p>
          <w:p w14:paraId="3E0BE3F9">
            <w:pPr>
              <w:pStyle w:val="18"/>
              <w:rPr>
                <w:color w:val="auto"/>
              </w:rPr>
            </w:pPr>
            <w:r>
              <w:rPr>
                <w:rFonts w:hint="eastAsia"/>
                <w:color w:val="auto"/>
              </w:rPr>
              <w:t>需支持根据评分标准中自动项目对当前病案进行自动扣分。</w:t>
            </w:r>
          </w:p>
          <w:p w14:paraId="69358A4A">
            <w:pPr>
              <w:pStyle w:val="18"/>
              <w:rPr>
                <w:color w:val="auto"/>
              </w:rPr>
            </w:pPr>
            <w:r>
              <w:rPr>
                <w:rFonts w:hint="eastAsia"/>
                <w:color w:val="auto"/>
              </w:rPr>
              <w:t>6.病历驳回</w:t>
            </w:r>
          </w:p>
          <w:p w14:paraId="460739FC">
            <w:pPr>
              <w:pStyle w:val="18"/>
              <w:rPr>
                <w:color w:val="auto"/>
              </w:rPr>
            </w:pPr>
            <w:r>
              <w:rPr>
                <w:rFonts w:hint="eastAsia"/>
                <w:color w:val="auto"/>
              </w:rPr>
              <w:t>病案需要返修时，系统需支持质控员可驳回病案，并将病案评分置为驳回状态。</w:t>
            </w:r>
          </w:p>
          <w:p w14:paraId="1E48511D">
            <w:pPr>
              <w:pStyle w:val="18"/>
              <w:rPr>
                <w:color w:val="auto"/>
              </w:rPr>
            </w:pPr>
            <w:r>
              <w:rPr>
                <w:rFonts w:hint="eastAsia"/>
                <w:color w:val="auto"/>
              </w:rPr>
              <w:t>7.质控消息列表</w:t>
            </w:r>
          </w:p>
          <w:p w14:paraId="575C93D6">
            <w:pPr>
              <w:pStyle w:val="18"/>
              <w:rPr>
                <w:color w:val="auto"/>
              </w:rPr>
            </w:pPr>
            <w:r>
              <w:rPr>
                <w:rFonts w:hint="eastAsia"/>
                <w:color w:val="auto"/>
              </w:rPr>
              <w:t>需支持质控员发送的质控返修消息在患者列表中闪烁提醒；</w:t>
            </w:r>
          </w:p>
          <w:p w14:paraId="15A04B77">
            <w:pPr>
              <w:pStyle w:val="18"/>
              <w:rPr>
                <w:color w:val="auto"/>
              </w:rPr>
            </w:pPr>
            <w:r>
              <w:rPr>
                <w:rFonts w:hint="eastAsia"/>
                <w:color w:val="auto"/>
              </w:rPr>
              <w:t>需支持进入列表查看所有返修消息并逐一修改，也可直接进入医生站查看修改所有病历。</w:t>
            </w:r>
          </w:p>
          <w:p w14:paraId="417BDC16">
            <w:pPr>
              <w:pStyle w:val="18"/>
              <w:rPr>
                <w:color w:val="auto"/>
              </w:rPr>
            </w:pPr>
            <w:r>
              <w:rPr>
                <w:rFonts w:hint="eastAsia"/>
                <w:color w:val="auto"/>
              </w:rPr>
              <w:t>8.病历修改</w:t>
            </w:r>
          </w:p>
          <w:p w14:paraId="47B71940">
            <w:pPr>
              <w:pStyle w:val="18"/>
              <w:rPr>
                <w:color w:val="auto"/>
              </w:rPr>
            </w:pPr>
            <w:r>
              <w:rPr>
                <w:rFonts w:hint="eastAsia"/>
                <w:color w:val="auto"/>
              </w:rPr>
              <w:t>需支持对于返修病历时间、状态以及完成情况的跟踪查询；</w:t>
            </w:r>
          </w:p>
          <w:p w14:paraId="56507D3F">
            <w:pPr>
              <w:pStyle w:val="18"/>
              <w:rPr>
                <w:color w:val="auto"/>
              </w:rPr>
            </w:pPr>
            <w:r>
              <w:rPr>
                <w:rFonts w:hint="eastAsia"/>
                <w:color w:val="auto"/>
              </w:rPr>
              <w:t>需支持对于完成修改的问题病案的最终提交。</w:t>
            </w:r>
          </w:p>
          <w:p w14:paraId="68E1C149">
            <w:pPr>
              <w:pStyle w:val="18"/>
              <w:rPr>
                <w:color w:val="auto"/>
              </w:rPr>
            </w:pPr>
            <w:r>
              <w:rPr>
                <w:rFonts w:hint="eastAsia"/>
                <w:color w:val="auto"/>
              </w:rPr>
              <w:t>9.质控结果查看</w:t>
            </w:r>
          </w:p>
          <w:p w14:paraId="37C100D6">
            <w:pPr>
              <w:pStyle w:val="18"/>
              <w:rPr>
                <w:color w:val="auto"/>
              </w:rPr>
            </w:pPr>
            <w:r>
              <w:rPr>
                <w:rFonts w:hint="eastAsia"/>
                <w:color w:val="auto"/>
              </w:rPr>
              <w:t>需支持查看已经质控过的病案。</w:t>
            </w:r>
          </w:p>
          <w:p w14:paraId="0249DA21">
            <w:pPr>
              <w:pStyle w:val="18"/>
              <w:rPr>
                <w:bCs/>
                <w:color w:val="auto"/>
              </w:rPr>
            </w:pPr>
            <w:r>
              <w:rPr>
                <w:rFonts w:hint="eastAsia"/>
                <w:bCs/>
                <w:color w:val="auto"/>
              </w:rPr>
              <w:t>（二）运行病历环节质控</w:t>
            </w:r>
          </w:p>
          <w:p w14:paraId="6641C2EF">
            <w:pPr>
              <w:pStyle w:val="18"/>
              <w:rPr>
                <w:color w:val="auto"/>
              </w:rPr>
            </w:pPr>
            <w:r>
              <w:rPr>
                <w:rFonts w:hint="eastAsia"/>
                <w:color w:val="auto"/>
              </w:rPr>
              <w:t>1.环节质控患者条件检索</w:t>
            </w:r>
          </w:p>
          <w:p w14:paraId="03E02558">
            <w:pPr>
              <w:pStyle w:val="18"/>
              <w:rPr>
                <w:color w:val="auto"/>
              </w:rPr>
            </w:pPr>
            <w:r>
              <w:rPr>
                <w:rFonts w:hint="eastAsia"/>
                <w:color w:val="auto"/>
              </w:rPr>
              <w:t>系统需支持根据科室、诊断多种查询条件设置抽取需要质控的运行病历。</w:t>
            </w:r>
          </w:p>
          <w:p w14:paraId="49055545">
            <w:pPr>
              <w:pStyle w:val="18"/>
              <w:rPr>
                <w:color w:val="auto"/>
              </w:rPr>
            </w:pPr>
            <w:r>
              <w:rPr>
                <w:rFonts w:hint="eastAsia"/>
                <w:color w:val="auto"/>
              </w:rPr>
              <w:t>2.环节质控评分</w:t>
            </w:r>
          </w:p>
          <w:p w14:paraId="6CA509A9">
            <w:pPr>
              <w:pStyle w:val="18"/>
              <w:rPr>
                <w:color w:val="auto"/>
              </w:rPr>
            </w:pPr>
            <w:r>
              <w:rPr>
                <w:rFonts w:hint="eastAsia"/>
                <w:color w:val="auto"/>
              </w:rPr>
              <w:t>系统需支持质控员参照评分标准和病历内容进行核对评分；</w:t>
            </w:r>
          </w:p>
          <w:p w14:paraId="1270912F">
            <w:pPr>
              <w:pStyle w:val="18"/>
              <w:rPr>
                <w:color w:val="auto"/>
              </w:rPr>
            </w:pPr>
            <w:r>
              <w:rPr>
                <w:rFonts w:hint="eastAsia"/>
                <w:color w:val="auto"/>
              </w:rPr>
              <w:t>系统需支持质控员可针对病历存在的缺陷手工录入缺陷内容以及扣分原因；</w:t>
            </w:r>
          </w:p>
          <w:p w14:paraId="037E6410">
            <w:pPr>
              <w:pStyle w:val="18"/>
              <w:rPr>
                <w:color w:val="auto"/>
              </w:rPr>
            </w:pPr>
            <w:r>
              <w:rPr>
                <w:rFonts w:hint="eastAsia"/>
                <w:color w:val="auto"/>
              </w:rPr>
              <w:t>系统需支持将质控内容反馈给医生。</w:t>
            </w:r>
          </w:p>
          <w:p w14:paraId="22D15ED4">
            <w:pPr>
              <w:pStyle w:val="18"/>
              <w:rPr>
                <w:color w:val="auto"/>
              </w:rPr>
            </w:pPr>
            <w:r>
              <w:rPr>
                <w:rFonts w:hint="eastAsia"/>
                <w:color w:val="auto"/>
              </w:rPr>
              <w:t>3.质控消息列表</w:t>
            </w:r>
          </w:p>
          <w:p w14:paraId="552FBA83">
            <w:pPr>
              <w:pStyle w:val="18"/>
              <w:rPr>
                <w:color w:val="auto"/>
              </w:rPr>
            </w:pPr>
            <w:r>
              <w:rPr>
                <w:rFonts w:hint="eastAsia"/>
                <w:color w:val="auto"/>
              </w:rPr>
              <w:t>系统需支持质控员发送的质控返修消息在患者列表中闪烁提醒；</w:t>
            </w:r>
          </w:p>
          <w:p w14:paraId="23132914">
            <w:pPr>
              <w:pStyle w:val="18"/>
              <w:rPr>
                <w:color w:val="auto"/>
              </w:rPr>
            </w:pPr>
            <w:r>
              <w:rPr>
                <w:rFonts w:hint="eastAsia"/>
                <w:color w:val="auto"/>
              </w:rPr>
              <w:t>系统需支持进入列表查看所有返修消息并逐一修改，也可直接进入医生站查看修改所有病历。</w:t>
            </w:r>
          </w:p>
          <w:p w14:paraId="311BB6EA">
            <w:pPr>
              <w:pStyle w:val="18"/>
              <w:rPr>
                <w:color w:val="auto"/>
              </w:rPr>
            </w:pPr>
            <w:r>
              <w:rPr>
                <w:rFonts w:hint="eastAsia"/>
                <w:color w:val="auto"/>
              </w:rPr>
              <w:t>4.返修病历跟踪</w:t>
            </w:r>
          </w:p>
          <w:p w14:paraId="0F44EFE6">
            <w:pPr>
              <w:pStyle w:val="18"/>
              <w:rPr>
                <w:color w:val="auto"/>
              </w:rPr>
            </w:pPr>
            <w:r>
              <w:rPr>
                <w:rFonts w:hint="eastAsia"/>
                <w:color w:val="auto"/>
              </w:rPr>
              <w:t>系统需支持对于返修病历时间、状态以及完成情况的跟踪查询；</w:t>
            </w:r>
          </w:p>
          <w:p w14:paraId="62B40991">
            <w:pPr>
              <w:pStyle w:val="18"/>
              <w:rPr>
                <w:color w:val="auto"/>
              </w:rPr>
            </w:pPr>
            <w:r>
              <w:rPr>
                <w:rFonts w:hint="eastAsia"/>
                <w:color w:val="auto"/>
              </w:rPr>
              <w:t>系统需支持对于完成修改的问题病案的最终提交。</w:t>
            </w:r>
          </w:p>
          <w:p w14:paraId="2FDFF6AA">
            <w:pPr>
              <w:pStyle w:val="18"/>
              <w:rPr>
                <w:color w:val="auto"/>
              </w:rPr>
            </w:pPr>
            <w:r>
              <w:rPr>
                <w:rFonts w:hint="eastAsia"/>
                <w:color w:val="auto"/>
              </w:rPr>
              <w:t>5.环节质控常用自动项管理</w:t>
            </w:r>
          </w:p>
          <w:p w14:paraId="3E069C51">
            <w:pPr>
              <w:pStyle w:val="18"/>
              <w:rPr>
                <w:color w:val="auto"/>
              </w:rPr>
            </w:pPr>
            <w:r>
              <w:rPr>
                <w:rFonts w:hint="eastAsia"/>
                <w:color w:val="auto"/>
              </w:rPr>
              <w:t>系统需支持对于常用筛查项目的增加、修改和删除。</w:t>
            </w:r>
          </w:p>
          <w:p w14:paraId="1EA7B0FC">
            <w:pPr>
              <w:pStyle w:val="18"/>
              <w:rPr>
                <w:color w:val="auto"/>
              </w:rPr>
            </w:pPr>
            <w:r>
              <w:rPr>
                <w:rFonts w:hint="eastAsia"/>
                <w:color w:val="auto"/>
              </w:rPr>
              <w:t>6.质控结果查看</w:t>
            </w:r>
          </w:p>
          <w:p w14:paraId="223D7A0E">
            <w:pPr>
              <w:pStyle w:val="18"/>
              <w:rPr>
                <w:color w:val="auto"/>
              </w:rPr>
            </w:pPr>
            <w:r>
              <w:rPr>
                <w:rFonts w:hint="eastAsia"/>
                <w:color w:val="auto"/>
              </w:rPr>
              <w:t>系统需支持查看已评分的患者病案及评分结果。</w:t>
            </w:r>
          </w:p>
          <w:p w14:paraId="2B804201">
            <w:pPr>
              <w:pStyle w:val="18"/>
              <w:rPr>
                <w:bCs/>
                <w:color w:val="auto"/>
              </w:rPr>
            </w:pPr>
            <w:r>
              <w:rPr>
                <w:rFonts w:hint="eastAsia"/>
                <w:bCs/>
                <w:color w:val="auto"/>
              </w:rPr>
              <w:t>（三）质控统计分析</w:t>
            </w:r>
          </w:p>
          <w:p w14:paraId="7270EECF">
            <w:pPr>
              <w:pStyle w:val="18"/>
              <w:rPr>
                <w:color w:val="auto"/>
              </w:rPr>
            </w:pPr>
            <w:r>
              <w:rPr>
                <w:rFonts w:hint="eastAsia"/>
                <w:color w:val="auto"/>
              </w:rPr>
              <w:t>1.质控缺陷统计分析</w:t>
            </w:r>
          </w:p>
          <w:p w14:paraId="71868238">
            <w:pPr>
              <w:pStyle w:val="18"/>
              <w:rPr>
                <w:color w:val="auto"/>
              </w:rPr>
            </w:pPr>
            <w:r>
              <w:rPr>
                <w:rFonts w:hint="eastAsia"/>
                <w:color w:val="auto"/>
              </w:rPr>
              <w:t>系统需支持根据评分结果对病历存在问题进行分析，如：各个问题缺陷所占的比例，分析结果通过多种图表样式展现，帮助分析问题的主要和次要原因，确定后续质量改善的目标。分析展现方式包括：表格、饼状图、柏拉图。</w:t>
            </w:r>
          </w:p>
          <w:p w14:paraId="503E8478">
            <w:pPr>
              <w:pStyle w:val="18"/>
              <w:rPr>
                <w:color w:val="auto"/>
              </w:rPr>
            </w:pPr>
            <w:r>
              <w:rPr>
                <w:rFonts w:hint="eastAsia"/>
                <w:color w:val="auto"/>
              </w:rPr>
              <w:t>2.病案率统计</w:t>
            </w:r>
          </w:p>
          <w:p w14:paraId="096CDF9D">
            <w:pPr>
              <w:pStyle w:val="18"/>
              <w:rPr>
                <w:color w:val="auto"/>
              </w:rPr>
            </w:pPr>
            <w:r>
              <w:rPr>
                <w:rFonts w:hint="eastAsia"/>
                <w:color w:val="auto"/>
              </w:rPr>
              <w:t>系统需支持查询全院或科室的病案合格率，需支持对合格率的标准进行设置，数据来源于终末质控评分结果。</w:t>
            </w:r>
          </w:p>
          <w:p w14:paraId="30CB52B8">
            <w:pPr>
              <w:pStyle w:val="18"/>
              <w:rPr>
                <w:color w:val="auto"/>
              </w:rPr>
            </w:pPr>
            <w:r>
              <w:rPr>
                <w:rFonts w:hint="eastAsia"/>
                <w:color w:val="auto"/>
              </w:rPr>
              <w:t>3.质控提醒信息查询</w:t>
            </w:r>
          </w:p>
          <w:p w14:paraId="033117AB">
            <w:pPr>
              <w:pStyle w:val="18"/>
              <w:rPr>
                <w:color w:val="auto"/>
              </w:rPr>
            </w:pPr>
            <w:r>
              <w:rPr>
                <w:rFonts w:hint="eastAsia"/>
                <w:color w:val="auto"/>
              </w:rPr>
              <w:t>系统需支持查询环节自动质控任务所记录的患者质控缺陷，且需时效性事前提醒和事后缺陷提示功能。</w:t>
            </w:r>
          </w:p>
          <w:p w14:paraId="0D659ECA">
            <w:pPr>
              <w:pStyle w:val="18"/>
              <w:rPr>
                <w:bCs/>
                <w:color w:val="auto"/>
              </w:rPr>
            </w:pPr>
            <w:r>
              <w:rPr>
                <w:rFonts w:hint="eastAsia"/>
                <w:bCs/>
                <w:color w:val="auto"/>
              </w:rPr>
              <w:t>（四）自动评分质控引擎</w:t>
            </w:r>
          </w:p>
          <w:p w14:paraId="0E89708C">
            <w:pPr>
              <w:pStyle w:val="18"/>
              <w:rPr>
                <w:color w:val="auto"/>
              </w:rPr>
            </w:pPr>
            <w:r>
              <w:rPr>
                <w:rFonts w:hint="eastAsia"/>
                <w:color w:val="auto"/>
              </w:rPr>
              <w:t>1.病历时效性自动判断</w:t>
            </w:r>
          </w:p>
          <w:p w14:paraId="49AF6813">
            <w:pPr>
              <w:pStyle w:val="18"/>
              <w:rPr>
                <w:color w:val="auto"/>
              </w:rPr>
            </w:pPr>
            <w:r>
              <w:rPr>
                <w:rFonts w:hint="eastAsia"/>
                <w:color w:val="auto"/>
              </w:rPr>
              <w:t>需支持自动病历书写时效性校验，校验方式包括单次校验，循环校验。</w:t>
            </w:r>
          </w:p>
          <w:p w14:paraId="69388A19">
            <w:pPr>
              <w:pStyle w:val="18"/>
              <w:rPr>
                <w:color w:val="auto"/>
              </w:rPr>
            </w:pPr>
            <w:r>
              <w:rPr>
                <w:rFonts w:hint="eastAsia"/>
                <w:color w:val="auto"/>
              </w:rPr>
              <w:t>2.病历缺失性自动判断</w:t>
            </w:r>
          </w:p>
          <w:p w14:paraId="3916E22F">
            <w:pPr>
              <w:pStyle w:val="18"/>
              <w:rPr>
                <w:color w:val="auto"/>
              </w:rPr>
            </w:pPr>
            <w:r>
              <w:rPr>
                <w:rFonts w:hint="eastAsia"/>
                <w:color w:val="auto"/>
              </w:rPr>
              <w:t>需支持根据特定条件判断是否缺失病历。</w:t>
            </w:r>
          </w:p>
          <w:p w14:paraId="3DEFFDA4">
            <w:pPr>
              <w:pStyle w:val="18"/>
              <w:rPr>
                <w:color w:val="auto"/>
              </w:rPr>
            </w:pPr>
            <w:r>
              <w:rPr>
                <w:rFonts w:hint="eastAsia"/>
                <w:color w:val="auto"/>
              </w:rPr>
              <w:t>3.病历内容缺失性自动判断</w:t>
            </w:r>
          </w:p>
          <w:p w14:paraId="3AE24AE1">
            <w:pPr>
              <w:pStyle w:val="18"/>
              <w:rPr>
                <w:color w:val="auto"/>
              </w:rPr>
            </w:pPr>
            <w:r>
              <w:rPr>
                <w:rFonts w:hint="eastAsia"/>
                <w:color w:val="auto"/>
              </w:rPr>
              <w:t>需支持根据特定条件判断病历内容是否缺失。</w:t>
            </w:r>
          </w:p>
          <w:p w14:paraId="165F6C76">
            <w:pPr>
              <w:pStyle w:val="18"/>
              <w:rPr>
                <w:color w:val="auto"/>
              </w:rPr>
            </w:pPr>
            <w:r>
              <w:rPr>
                <w:rFonts w:hint="eastAsia"/>
                <w:color w:val="auto"/>
              </w:rPr>
              <w:t>4.病历完成度自动判断</w:t>
            </w:r>
          </w:p>
          <w:p w14:paraId="65D0B2B9">
            <w:pPr>
              <w:pStyle w:val="18"/>
              <w:rPr>
                <w:color w:val="auto"/>
              </w:rPr>
            </w:pPr>
            <w:r>
              <w:rPr>
                <w:rFonts w:hint="eastAsia"/>
                <w:color w:val="auto"/>
              </w:rPr>
              <w:t>需支持根据特定条件判断病历完成状态。</w:t>
            </w:r>
          </w:p>
          <w:p w14:paraId="12654478">
            <w:pPr>
              <w:pStyle w:val="18"/>
              <w:rPr>
                <w:color w:val="auto"/>
              </w:rPr>
            </w:pPr>
            <w:r>
              <w:rPr>
                <w:rFonts w:hint="eastAsia"/>
                <w:color w:val="auto"/>
              </w:rPr>
              <w:t>5.诊断相关质量规则判断</w:t>
            </w:r>
          </w:p>
          <w:p w14:paraId="52005A3A">
            <w:pPr>
              <w:pStyle w:val="18"/>
              <w:rPr>
                <w:color w:val="auto"/>
              </w:rPr>
            </w:pPr>
            <w:r>
              <w:rPr>
                <w:rFonts w:hint="eastAsia"/>
                <w:color w:val="auto"/>
              </w:rPr>
              <w:t>需支持以诊断作为质控条件的规则判断。</w:t>
            </w:r>
          </w:p>
          <w:p w14:paraId="72924A78">
            <w:pPr>
              <w:pStyle w:val="18"/>
              <w:rPr>
                <w:color w:val="auto"/>
              </w:rPr>
            </w:pPr>
            <w:r>
              <w:rPr>
                <w:rFonts w:hint="eastAsia"/>
                <w:color w:val="auto"/>
              </w:rPr>
              <w:t>6.环节质控自动任务</w:t>
            </w:r>
          </w:p>
          <w:p w14:paraId="713FD0E8">
            <w:pPr>
              <w:pStyle w:val="18"/>
              <w:rPr>
                <w:color w:val="auto"/>
              </w:rPr>
            </w:pPr>
            <w:r>
              <w:rPr>
                <w:rFonts w:hint="eastAsia"/>
                <w:color w:val="auto"/>
              </w:rPr>
              <w:t>需提供自动运行任务，用于检查运行病历中存在的自动项目缺陷，并反馈给医生。</w:t>
            </w:r>
          </w:p>
          <w:p w14:paraId="383E431A">
            <w:pPr>
              <w:pStyle w:val="18"/>
              <w:rPr>
                <w:bCs/>
                <w:color w:val="auto"/>
              </w:rPr>
            </w:pPr>
            <w:r>
              <w:rPr>
                <w:rFonts w:hint="eastAsia"/>
                <w:bCs/>
                <w:color w:val="auto"/>
              </w:rPr>
              <w:t>（五）质控规则维护</w:t>
            </w:r>
          </w:p>
          <w:p w14:paraId="47A108CC">
            <w:pPr>
              <w:pStyle w:val="18"/>
              <w:rPr>
                <w:color w:val="auto"/>
              </w:rPr>
            </w:pPr>
            <w:r>
              <w:rPr>
                <w:rFonts w:hint="eastAsia"/>
                <w:color w:val="auto"/>
              </w:rPr>
              <w:t>1.质控标准维护</w:t>
            </w:r>
          </w:p>
          <w:p w14:paraId="07DB5779">
            <w:pPr>
              <w:pStyle w:val="18"/>
              <w:rPr>
                <w:color w:val="auto"/>
              </w:rPr>
            </w:pPr>
            <w:r>
              <w:rPr>
                <w:rFonts w:hint="eastAsia"/>
                <w:color w:val="auto"/>
              </w:rPr>
              <w:t>需支持维护医院评分标准、评分项目、扣分标准、扣分方式；</w:t>
            </w:r>
          </w:p>
          <w:p w14:paraId="04B77CE0">
            <w:pPr>
              <w:pStyle w:val="18"/>
              <w:rPr>
                <w:color w:val="auto"/>
              </w:rPr>
            </w:pPr>
            <w:r>
              <w:rPr>
                <w:rFonts w:hint="eastAsia"/>
                <w:color w:val="auto"/>
              </w:rPr>
              <w:t>需支持维护扣分项目与病案章节（病历类型）关联关系。</w:t>
            </w:r>
          </w:p>
          <w:p w14:paraId="0E3E4E88">
            <w:pPr>
              <w:pStyle w:val="18"/>
              <w:rPr>
                <w:color w:val="auto"/>
              </w:rPr>
            </w:pPr>
            <w:r>
              <w:rPr>
                <w:rFonts w:hint="eastAsia"/>
                <w:color w:val="auto"/>
              </w:rPr>
              <w:t>2.质控评分手工项目维护</w:t>
            </w:r>
          </w:p>
          <w:p w14:paraId="075770E1">
            <w:pPr>
              <w:pStyle w:val="18"/>
              <w:rPr>
                <w:color w:val="auto"/>
              </w:rPr>
            </w:pPr>
            <w:r>
              <w:rPr>
                <w:rFonts w:hint="eastAsia"/>
                <w:color w:val="auto"/>
              </w:rPr>
              <w:t>需支持针对手工扣分项目的维护功能。</w:t>
            </w:r>
          </w:p>
          <w:p w14:paraId="4092276D">
            <w:pPr>
              <w:pStyle w:val="18"/>
              <w:rPr>
                <w:color w:val="auto"/>
              </w:rPr>
            </w:pPr>
            <w:r>
              <w:rPr>
                <w:rFonts w:hint="eastAsia"/>
                <w:color w:val="auto"/>
              </w:rPr>
              <w:t>3.质控评分自动项目维护</w:t>
            </w:r>
          </w:p>
          <w:p w14:paraId="41FF6993">
            <w:pPr>
              <w:pStyle w:val="18"/>
              <w:rPr>
                <w:color w:val="auto"/>
              </w:rPr>
            </w:pPr>
            <w:r>
              <w:rPr>
                <w:rFonts w:hint="eastAsia"/>
                <w:color w:val="auto"/>
              </w:rPr>
              <w:t>需支持针对自动扣分项目的维护功能。</w:t>
            </w:r>
          </w:p>
          <w:p w14:paraId="7E81F23B">
            <w:pPr>
              <w:pStyle w:val="18"/>
              <w:rPr>
                <w:bCs/>
                <w:color w:val="auto"/>
              </w:rPr>
            </w:pPr>
            <w:r>
              <w:rPr>
                <w:rFonts w:hint="eastAsia"/>
                <w:bCs/>
                <w:color w:val="auto"/>
              </w:rPr>
              <w:t>（六）自动质控评分工具</w:t>
            </w:r>
          </w:p>
          <w:p w14:paraId="5A36CCB9">
            <w:pPr>
              <w:pStyle w:val="18"/>
              <w:rPr>
                <w:color w:val="auto"/>
              </w:rPr>
            </w:pPr>
            <w:r>
              <w:rPr>
                <w:rFonts w:hint="eastAsia"/>
                <w:color w:val="auto"/>
              </w:rPr>
              <w:t>系统需支持自动任务关联到指定的评分标准，根据评分标准中的自动计算项目进行计算。</w:t>
            </w:r>
          </w:p>
        </w:tc>
      </w:tr>
      <w:tr w14:paraId="5CA9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01D048C">
            <w:pPr>
              <w:pStyle w:val="18"/>
              <w:jc w:val="center"/>
              <w:rPr>
                <w:b w:val="0"/>
                <w:color w:val="auto"/>
              </w:rPr>
            </w:pPr>
            <w:r>
              <w:rPr>
                <w:rFonts w:hint="eastAsia"/>
                <w:b w:val="0"/>
                <w:color w:val="auto"/>
              </w:rPr>
              <w:t>病历管理</w:t>
            </w:r>
          </w:p>
        </w:tc>
        <w:tc>
          <w:tcPr>
            <w:tcW w:w="6579" w:type="dxa"/>
            <w:vAlign w:val="center"/>
          </w:tcPr>
          <w:p w14:paraId="744423AE">
            <w:pPr>
              <w:pStyle w:val="18"/>
              <w:rPr>
                <w:color w:val="auto"/>
              </w:rPr>
            </w:pPr>
            <w:r>
              <w:rPr>
                <w:rFonts w:hint="eastAsia"/>
                <w:color w:val="auto"/>
              </w:rPr>
              <w:t>1.住院病历结构化检索</w:t>
            </w:r>
          </w:p>
          <w:p w14:paraId="7519CC96">
            <w:pPr>
              <w:pStyle w:val="18"/>
              <w:rPr>
                <w:color w:val="auto"/>
              </w:rPr>
            </w:pPr>
            <w:r>
              <w:rPr>
                <w:rFonts w:hint="eastAsia"/>
                <w:color w:val="auto"/>
              </w:rPr>
              <w:t>需支持为病历结构化检索功能以维护科研角色权限；</w:t>
            </w:r>
          </w:p>
          <w:p w14:paraId="79CA80D0">
            <w:pPr>
              <w:pStyle w:val="18"/>
              <w:rPr>
                <w:color w:val="auto"/>
              </w:rPr>
            </w:pPr>
            <w:r>
              <w:rPr>
                <w:rFonts w:hint="eastAsia"/>
                <w:color w:val="auto"/>
              </w:rPr>
              <w:t>需支持住院医生（科研角色）按结构化项目进行病历检索，并可查看检索到的病历内容；</w:t>
            </w:r>
          </w:p>
          <w:p w14:paraId="68BCA22C">
            <w:pPr>
              <w:pStyle w:val="18"/>
              <w:rPr>
                <w:color w:val="auto"/>
              </w:rPr>
            </w:pPr>
            <w:r>
              <w:rPr>
                <w:rFonts w:hint="eastAsia"/>
                <w:color w:val="auto"/>
              </w:rPr>
              <w:t>需提供病历检索功能，支持对病历内容、体征信息、诊断/手术信息进行结构化内容检索；</w:t>
            </w:r>
          </w:p>
          <w:p w14:paraId="27A66081">
            <w:pPr>
              <w:pStyle w:val="18"/>
              <w:rPr>
                <w:color w:val="auto"/>
              </w:rPr>
            </w:pPr>
            <w:r>
              <w:rPr>
                <w:rFonts w:hint="eastAsia"/>
                <w:color w:val="auto"/>
              </w:rPr>
              <w:t>需支持管理部门对病历检索操作进行跟踪管理（如管理者可以查看到科研病历查询的使用人员信息、登录终端信息、使用时间信息、查询条件记录）。</w:t>
            </w:r>
          </w:p>
          <w:p w14:paraId="34D10BA2">
            <w:pPr>
              <w:pStyle w:val="18"/>
              <w:rPr>
                <w:color w:val="auto"/>
              </w:rPr>
            </w:pPr>
            <w:r>
              <w:rPr>
                <w:rFonts w:hint="eastAsia"/>
                <w:color w:val="auto"/>
              </w:rPr>
              <w:t>2.门诊病历结构化检索</w:t>
            </w:r>
          </w:p>
          <w:p w14:paraId="52B8065D">
            <w:pPr>
              <w:pStyle w:val="18"/>
              <w:rPr>
                <w:color w:val="auto"/>
              </w:rPr>
            </w:pPr>
            <w:r>
              <w:rPr>
                <w:rFonts w:hint="eastAsia"/>
                <w:color w:val="auto"/>
              </w:rPr>
              <w:t>需支持门诊医生（科研角色）按结构化项目进行病历检索，并可查看检索到的病历内容；</w:t>
            </w:r>
          </w:p>
          <w:p w14:paraId="78D906AE">
            <w:pPr>
              <w:pStyle w:val="18"/>
              <w:rPr>
                <w:color w:val="auto"/>
              </w:rPr>
            </w:pPr>
            <w:r>
              <w:rPr>
                <w:rFonts w:hint="eastAsia"/>
                <w:color w:val="auto"/>
              </w:rPr>
              <w:t>需提供病历检索功能，支持对病历内容、体征信息、过敏、诊断信息进行标准化内容检索；</w:t>
            </w:r>
          </w:p>
          <w:p w14:paraId="38E24CCE">
            <w:pPr>
              <w:pStyle w:val="18"/>
              <w:rPr>
                <w:color w:val="auto"/>
              </w:rPr>
            </w:pPr>
            <w:r>
              <w:rPr>
                <w:rFonts w:hint="eastAsia"/>
                <w:color w:val="auto"/>
              </w:rPr>
              <w:t>需支持管理部门对病历检索操作进行跟踪管理（如管理者可以查看到科研病历查询的使用人员信息、登录终端信息、使用时间信息、查询条件记录）。</w:t>
            </w:r>
          </w:p>
        </w:tc>
      </w:tr>
      <w:tr w14:paraId="1240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3ACEA5A">
            <w:pPr>
              <w:pStyle w:val="18"/>
              <w:jc w:val="center"/>
              <w:rPr>
                <w:b w:val="0"/>
                <w:color w:val="auto"/>
              </w:rPr>
            </w:pPr>
            <w:r>
              <w:rPr>
                <w:rFonts w:hint="eastAsia"/>
                <w:b w:val="0"/>
                <w:color w:val="auto"/>
              </w:rPr>
              <w:t>病历编辑器</w:t>
            </w:r>
          </w:p>
        </w:tc>
        <w:tc>
          <w:tcPr>
            <w:tcW w:w="6579" w:type="dxa"/>
            <w:vAlign w:val="center"/>
          </w:tcPr>
          <w:p w14:paraId="7BA75B61">
            <w:pPr>
              <w:pStyle w:val="18"/>
              <w:rPr>
                <w:color w:val="auto"/>
              </w:rPr>
            </w:pPr>
            <w:r>
              <w:rPr>
                <w:rFonts w:hint="eastAsia"/>
                <w:color w:val="auto"/>
              </w:rPr>
              <w:t>病历编辑需要提供病历编辑器。</w:t>
            </w:r>
          </w:p>
          <w:p w14:paraId="5E698C87">
            <w:pPr>
              <w:pStyle w:val="18"/>
              <w:rPr>
                <w:color w:val="auto"/>
              </w:rPr>
            </w:pPr>
            <w:r>
              <w:rPr>
                <w:rFonts w:hint="eastAsia"/>
                <w:color w:val="auto"/>
              </w:rPr>
              <w:t>需提供病历编辑器，用于支持电子病历文书的书写工作。</w:t>
            </w:r>
          </w:p>
        </w:tc>
      </w:tr>
      <w:tr w14:paraId="7199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FDBE5FB">
            <w:pPr>
              <w:pStyle w:val="18"/>
              <w:jc w:val="center"/>
              <w:rPr>
                <w:b w:val="0"/>
                <w:color w:val="auto"/>
              </w:rPr>
            </w:pPr>
            <w:r>
              <w:rPr>
                <w:rFonts w:hint="eastAsia"/>
                <w:b w:val="0"/>
                <w:color w:val="auto"/>
              </w:rPr>
              <w:t>知识库</w:t>
            </w:r>
          </w:p>
        </w:tc>
        <w:tc>
          <w:tcPr>
            <w:tcW w:w="6579" w:type="dxa"/>
            <w:vAlign w:val="center"/>
          </w:tcPr>
          <w:p w14:paraId="1212AD92">
            <w:pPr>
              <w:pStyle w:val="18"/>
              <w:rPr>
                <w:color w:val="auto"/>
              </w:rPr>
            </w:pPr>
            <w:r>
              <w:rPr>
                <w:rFonts w:hint="eastAsia"/>
                <w:color w:val="auto"/>
              </w:rPr>
              <w:t>需包含病历模板（专科模板、省市县医院整理模板）</w:t>
            </w:r>
          </w:p>
        </w:tc>
      </w:tr>
      <w:tr w14:paraId="616B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75B837F">
            <w:pPr>
              <w:pStyle w:val="18"/>
              <w:jc w:val="center"/>
              <w:rPr>
                <w:b w:val="0"/>
                <w:color w:val="auto"/>
              </w:rPr>
            </w:pPr>
            <w:r>
              <w:rPr>
                <w:rFonts w:hint="eastAsia"/>
                <w:b w:val="0"/>
                <w:color w:val="auto"/>
              </w:rPr>
              <w:t>历史纸质病历翻拍</w:t>
            </w:r>
          </w:p>
        </w:tc>
        <w:tc>
          <w:tcPr>
            <w:tcW w:w="6579" w:type="dxa"/>
            <w:vAlign w:val="center"/>
          </w:tcPr>
          <w:p w14:paraId="307E154F">
            <w:pPr>
              <w:pStyle w:val="18"/>
              <w:rPr>
                <w:color w:val="auto"/>
              </w:rPr>
            </w:pPr>
            <w:r>
              <w:rPr>
                <w:rFonts w:hint="eastAsia"/>
                <w:color w:val="auto"/>
              </w:rPr>
              <w:t>需提供历史纸质病历翻拍功能，历史病历翻拍功能可单独开放给病案室使用，实现历史纸质病历电子化，且医生工作站可调阅同一患者的历史纸质病历的翻拍信息。</w:t>
            </w:r>
          </w:p>
          <w:p w14:paraId="4203F208">
            <w:pPr>
              <w:pStyle w:val="18"/>
              <w:rPr>
                <w:color w:val="auto"/>
              </w:rPr>
            </w:pPr>
            <w:r>
              <w:rPr>
                <w:rFonts w:hint="eastAsia"/>
                <w:color w:val="auto"/>
              </w:rPr>
              <w:t>（一）软件功能要求</w:t>
            </w:r>
          </w:p>
          <w:p w14:paraId="2C68E331">
            <w:pPr>
              <w:pStyle w:val="18"/>
              <w:rPr>
                <w:color w:val="auto"/>
              </w:rPr>
            </w:pPr>
            <w:r>
              <w:rPr>
                <w:rFonts w:hint="eastAsia"/>
                <w:color w:val="auto"/>
              </w:rPr>
              <w:t>1.系统符合国家、卫健委等各种标准和规范，符合医院实际需求。</w:t>
            </w:r>
          </w:p>
          <w:p w14:paraId="4EE090D0">
            <w:pPr>
              <w:pStyle w:val="18"/>
              <w:rPr>
                <w:color w:val="auto"/>
              </w:rPr>
            </w:pPr>
            <w:r>
              <w:rPr>
                <w:rFonts w:hint="eastAsia"/>
                <w:color w:val="auto"/>
              </w:rPr>
              <w:t>2.系统采用开放性设计，能根据医院实际需求进行应用系统的功能重组、二次开发。</w:t>
            </w:r>
          </w:p>
          <w:p w14:paraId="18205661">
            <w:pPr>
              <w:pStyle w:val="18"/>
              <w:rPr>
                <w:color w:val="auto"/>
              </w:rPr>
            </w:pPr>
            <w:r>
              <w:rPr>
                <w:rFonts w:hint="eastAsia"/>
                <w:color w:val="auto"/>
              </w:rPr>
              <w:t>3.系统检索有单一和组合模式，按使用者需求检索所需病案。</w:t>
            </w:r>
          </w:p>
          <w:p w14:paraId="2B9E8069">
            <w:pPr>
              <w:pStyle w:val="18"/>
              <w:rPr>
                <w:color w:val="auto"/>
              </w:rPr>
            </w:pPr>
            <w:r>
              <w:rPr>
                <w:rFonts w:hint="eastAsia"/>
                <w:color w:val="auto"/>
              </w:rPr>
              <w:t>4.系统全程使用条形码管理技术，包括但不限于库房、库位、箱号、每份病案首页条形码。可实现数字化病案模块病案原件打包装箱上架以后，根据病案号、病人姓名等信息快速定位某份病案的存放位置。</w:t>
            </w:r>
          </w:p>
          <w:p w14:paraId="7AB10652">
            <w:pPr>
              <w:pStyle w:val="18"/>
              <w:rPr>
                <w:color w:val="auto"/>
              </w:rPr>
            </w:pPr>
            <w:r>
              <w:rPr>
                <w:rFonts w:hint="eastAsia"/>
                <w:color w:val="auto"/>
              </w:rPr>
              <w:t>5.系统符合医院权限管理标准，其每个功能均设有独立权限开关，包括但不限于角色管理权限、用户列表权限、数据库配置权限、打印权限、浏览权限、借阅权限、审核权限、导出权限等。</w:t>
            </w:r>
          </w:p>
          <w:p w14:paraId="744C713F">
            <w:pPr>
              <w:pStyle w:val="18"/>
              <w:rPr>
                <w:color w:val="auto"/>
              </w:rPr>
            </w:pPr>
            <w:r>
              <w:rPr>
                <w:rFonts w:hint="eastAsia"/>
                <w:color w:val="auto"/>
              </w:rPr>
              <w:t>6.系统根据医院的需要进行定制存储，可以同时保存彩色及黑白图像，线上浏览显示图像应有防盗拍水印。</w:t>
            </w:r>
          </w:p>
          <w:p w14:paraId="33A168A9">
            <w:pPr>
              <w:pStyle w:val="18"/>
              <w:rPr>
                <w:color w:val="auto"/>
              </w:rPr>
            </w:pPr>
            <w:r>
              <w:rPr>
                <w:rFonts w:hint="eastAsia"/>
                <w:color w:val="auto"/>
              </w:rPr>
              <w:t>7.系统支持扫描仪进行高速扫描，支持漏页超声检测、双面彩色扫描、自动去污、自动填补修正、自动分类。</w:t>
            </w:r>
          </w:p>
          <w:p w14:paraId="5238EF17">
            <w:pPr>
              <w:pStyle w:val="18"/>
              <w:rPr>
                <w:color w:val="auto"/>
              </w:rPr>
            </w:pPr>
            <w:r>
              <w:rPr>
                <w:rFonts w:hint="eastAsia"/>
                <w:color w:val="auto"/>
              </w:rPr>
              <w:t>8.系统加工完成的图像清晰、无歪斜、打印清晰，每幅图像均有属性标注，病历索引。</w:t>
            </w:r>
          </w:p>
          <w:p w14:paraId="6D391B12">
            <w:pPr>
              <w:pStyle w:val="18"/>
              <w:rPr>
                <w:color w:val="auto"/>
              </w:rPr>
            </w:pPr>
            <w:r>
              <w:rPr>
                <w:rFonts w:hint="eastAsia"/>
                <w:color w:val="auto"/>
              </w:rPr>
              <w:t>9.数字化病案模块关联电子病历通过纸质病案首页的条形码自动识别病历内容，并记录扫描起止时间和工作人员，以及扫描工作量。</w:t>
            </w:r>
          </w:p>
          <w:p w14:paraId="42D079F3">
            <w:pPr>
              <w:pStyle w:val="18"/>
              <w:rPr>
                <w:color w:val="auto"/>
              </w:rPr>
            </w:pPr>
            <w:r>
              <w:rPr>
                <w:rFonts w:hint="eastAsia"/>
                <w:color w:val="auto"/>
              </w:rPr>
              <w:t>10.系统能自动记录用户在系统内所有操作的详细日志，并可形成报表，便于回溯追踪。</w:t>
            </w:r>
          </w:p>
          <w:p w14:paraId="52E33538">
            <w:pPr>
              <w:pStyle w:val="18"/>
              <w:rPr>
                <w:color w:val="auto"/>
              </w:rPr>
            </w:pPr>
            <w:r>
              <w:rPr>
                <w:rFonts w:hint="eastAsia"/>
                <w:color w:val="auto"/>
              </w:rPr>
              <w:t>11.阅读显示病案图像具有水印，能防范偷拍。屏蔽非法拷贝，具有彩色和黑白阅读打印功能。</w:t>
            </w:r>
          </w:p>
          <w:p w14:paraId="717D8C4B">
            <w:pPr>
              <w:pStyle w:val="18"/>
              <w:rPr>
                <w:color w:val="auto"/>
              </w:rPr>
            </w:pPr>
            <w:r>
              <w:rPr>
                <w:rFonts w:hint="eastAsia"/>
                <w:color w:val="auto"/>
              </w:rPr>
              <w:t>12.设有使用权限病案数字化功能。</w:t>
            </w:r>
          </w:p>
          <w:p w14:paraId="787C091C">
            <w:pPr>
              <w:pStyle w:val="18"/>
              <w:rPr>
                <w:color w:val="auto"/>
              </w:rPr>
            </w:pPr>
            <w:r>
              <w:rPr>
                <w:rFonts w:hint="eastAsia"/>
                <w:color w:val="auto"/>
              </w:rPr>
              <w:t>13.设有网络申请和审批使用病案数字化功能。</w:t>
            </w:r>
          </w:p>
          <w:p w14:paraId="49767EB8">
            <w:pPr>
              <w:pStyle w:val="18"/>
              <w:rPr>
                <w:color w:val="auto"/>
              </w:rPr>
            </w:pPr>
            <w:r>
              <w:rPr>
                <w:rFonts w:hint="eastAsia"/>
                <w:color w:val="auto"/>
              </w:rPr>
              <w:t>14.设有授权的时段内（永久、年、月、日、小时）功能（超出时间范围自动屏蔽）。</w:t>
            </w:r>
          </w:p>
          <w:p w14:paraId="61E822F2">
            <w:pPr>
              <w:pStyle w:val="18"/>
              <w:rPr>
                <w:color w:val="auto"/>
              </w:rPr>
            </w:pPr>
            <w:r>
              <w:rPr>
                <w:rFonts w:hint="eastAsia"/>
                <w:color w:val="auto"/>
              </w:rPr>
              <w:t>15.医保、商业保险公司以及公检法等外部用户可以按系统临时授予的权限查看病案。</w:t>
            </w:r>
          </w:p>
          <w:p w14:paraId="21919068">
            <w:pPr>
              <w:pStyle w:val="18"/>
              <w:rPr>
                <w:color w:val="auto"/>
              </w:rPr>
            </w:pPr>
            <w:r>
              <w:rPr>
                <w:rFonts w:hint="eastAsia"/>
                <w:color w:val="auto"/>
              </w:rPr>
              <w:t>16.病案访问权限分为阅读、打印和导出。</w:t>
            </w:r>
          </w:p>
          <w:p w14:paraId="685DAE3C">
            <w:pPr>
              <w:pStyle w:val="18"/>
              <w:rPr>
                <w:color w:val="auto"/>
              </w:rPr>
            </w:pPr>
            <w:r>
              <w:rPr>
                <w:rFonts w:hint="eastAsia"/>
                <w:color w:val="auto"/>
              </w:rPr>
              <w:t>17.系统自动记录用户在系统内所有操作的详细日志，并可形成报表，便于回溯追踪。</w:t>
            </w:r>
          </w:p>
          <w:p w14:paraId="6CF2266F">
            <w:pPr>
              <w:pStyle w:val="18"/>
              <w:rPr>
                <w:color w:val="auto"/>
              </w:rPr>
            </w:pPr>
            <w:r>
              <w:rPr>
                <w:rFonts w:hint="eastAsia"/>
                <w:color w:val="auto"/>
              </w:rPr>
              <w:t>18.系统支持灵活翻页功能,在桌面端及网页端浏览时,可通过键盘左键及右键进行翻页;</w:t>
            </w:r>
          </w:p>
          <w:p w14:paraId="20B96D15">
            <w:pPr>
              <w:pStyle w:val="18"/>
              <w:rPr>
                <w:color w:val="auto"/>
              </w:rPr>
            </w:pPr>
            <w:r>
              <w:rPr>
                <w:rFonts w:hint="eastAsia"/>
                <w:color w:val="auto"/>
              </w:rPr>
              <w:t>19.图像清晰、无歪斜、打印清晰，每幅图像均有属性标注，病历索引数据与图像对应完全正确。</w:t>
            </w:r>
          </w:p>
          <w:p w14:paraId="049A82BE">
            <w:pPr>
              <w:pStyle w:val="18"/>
              <w:rPr>
                <w:color w:val="auto"/>
              </w:rPr>
            </w:pPr>
            <w:r>
              <w:rPr>
                <w:rFonts w:hint="eastAsia"/>
                <w:color w:val="auto"/>
              </w:rPr>
              <w:t>（二）软件模块要求</w:t>
            </w:r>
          </w:p>
          <w:p w14:paraId="36966AC5">
            <w:pPr>
              <w:pStyle w:val="18"/>
              <w:rPr>
                <w:color w:val="auto"/>
              </w:rPr>
            </w:pPr>
            <w:r>
              <w:rPr>
                <w:rFonts w:hint="eastAsia"/>
                <w:color w:val="auto"/>
              </w:rPr>
              <w:t>1.用户管理：管理内部及外部用户的信息，可以对系统登录用户的信息进行查询/添加/修改/删除</w:t>
            </w:r>
          </w:p>
          <w:p w14:paraId="438AE6CD">
            <w:pPr>
              <w:pStyle w:val="18"/>
              <w:rPr>
                <w:color w:val="auto"/>
              </w:rPr>
            </w:pPr>
            <w:r>
              <w:rPr>
                <w:rFonts w:hint="eastAsia"/>
                <w:color w:val="auto"/>
              </w:rPr>
              <w:t>2.用户组管理：查询/添加/修改/删除用户组，并可设置人员所属的用户组</w:t>
            </w:r>
          </w:p>
          <w:p w14:paraId="42C51B24">
            <w:pPr>
              <w:pStyle w:val="18"/>
              <w:rPr>
                <w:color w:val="auto"/>
              </w:rPr>
            </w:pPr>
            <w:r>
              <w:rPr>
                <w:rFonts w:hint="eastAsia"/>
                <w:color w:val="auto"/>
              </w:rPr>
              <w:t>3.用户组权限：设置用户组所拥有的系统功能的权限</w:t>
            </w:r>
          </w:p>
          <w:p w14:paraId="1EAF17A9">
            <w:pPr>
              <w:pStyle w:val="18"/>
              <w:rPr>
                <w:color w:val="auto"/>
              </w:rPr>
            </w:pPr>
            <w:r>
              <w:rPr>
                <w:rFonts w:hint="eastAsia"/>
                <w:color w:val="auto"/>
              </w:rPr>
              <w:t>4.科室管理：查询/添加/修改/删除科室信息，并可维护科室下包含的人员</w:t>
            </w:r>
          </w:p>
          <w:p w14:paraId="3E2B713B">
            <w:pPr>
              <w:pStyle w:val="18"/>
              <w:rPr>
                <w:color w:val="auto"/>
              </w:rPr>
            </w:pPr>
            <w:r>
              <w:rPr>
                <w:rFonts w:hint="eastAsia"/>
                <w:color w:val="auto"/>
              </w:rPr>
              <w:t>5.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14:paraId="23A3BF2C">
            <w:pPr>
              <w:pStyle w:val="18"/>
              <w:rPr>
                <w:color w:val="auto"/>
              </w:rPr>
            </w:pPr>
            <w:r>
              <w:rPr>
                <w:rFonts w:hint="eastAsia"/>
                <w:color w:val="auto"/>
              </w:rPr>
              <w:t>6.访问权限控制：可以设置禁止访问的机器的IP，被禁止访问的IP对应的机器就无法使用本系统</w:t>
            </w:r>
          </w:p>
          <w:p w14:paraId="5BE9D38C">
            <w:pPr>
              <w:pStyle w:val="18"/>
              <w:rPr>
                <w:color w:val="auto"/>
              </w:rPr>
            </w:pPr>
            <w:r>
              <w:rPr>
                <w:rFonts w:hint="eastAsia"/>
                <w:color w:val="auto"/>
              </w:rPr>
              <w:t>7.水印设置：可以制作在打印时叠加上去的水印，并且在打印病案的时候可以将其叠加到病案图片上</w:t>
            </w:r>
          </w:p>
          <w:p w14:paraId="34659686">
            <w:pPr>
              <w:pStyle w:val="18"/>
              <w:rPr>
                <w:color w:val="auto"/>
              </w:rPr>
            </w:pPr>
            <w:r>
              <w:rPr>
                <w:rFonts w:hint="eastAsia"/>
                <w:color w:val="auto"/>
              </w:rPr>
              <w:t>8.病案锁定：可以将一些特殊的病案进行锁定，被锁定的病案将无法在浏览器中被查询到，且无法打印。</w:t>
            </w:r>
          </w:p>
          <w:p w14:paraId="384C6567">
            <w:pPr>
              <w:pStyle w:val="18"/>
              <w:rPr>
                <w:color w:val="auto"/>
              </w:rPr>
            </w:pPr>
            <w:r>
              <w:rPr>
                <w:rFonts w:hint="eastAsia"/>
                <w:color w:val="auto"/>
              </w:rPr>
              <w:t>9.病案申请审批：对浏览器中提交过来的病案阅读申请进行审批，可以为申请的病案设定阅读的时限等</w:t>
            </w:r>
          </w:p>
          <w:p w14:paraId="65DAE846">
            <w:pPr>
              <w:pStyle w:val="18"/>
              <w:rPr>
                <w:color w:val="auto"/>
              </w:rPr>
            </w:pPr>
            <w:r>
              <w:rPr>
                <w:rFonts w:hint="eastAsia"/>
                <w:color w:val="auto"/>
              </w:rPr>
              <w:t>10.病案定位：查询病案在库房中的位置，可按病人姓名，病案号，出院日期，条码号，打包号，库房号或库位名查询，并生成统计报表</w:t>
            </w:r>
          </w:p>
          <w:p w14:paraId="1A0DA6B0">
            <w:pPr>
              <w:pStyle w:val="18"/>
              <w:rPr>
                <w:color w:val="auto"/>
              </w:rPr>
            </w:pPr>
            <w:r>
              <w:rPr>
                <w:rFonts w:hint="eastAsia"/>
                <w:color w:val="auto"/>
              </w:rPr>
              <w:t>11.病案浏览统计：可查询用户、科室在某一时间段内数字化病案使用情况，并生成统计报表</w:t>
            </w:r>
          </w:p>
          <w:p w14:paraId="18C07EF0">
            <w:pPr>
              <w:pStyle w:val="18"/>
              <w:rPr>
                <w:color w:val="auto"/>
              </w:rPr>
            </w:pPr>
            <w:r>
              <w:rPr>
                <w:rFonts w:hint="eastAsia"/>
                <w:color w:val="auto"/>
              </w:rPr>
              <w:t>12.可以选择搜索分类（病案号/疾病/手术/科室/病人姓名/医生），多关键词搜索（可以填写多个搜索关键词及指定关键词之间的关系），精确与模糊的搜索方式</w:t>
            </w:r>
          </w:p>
          <w:p w14:paraId="2BD27E3A">
            <w:pPr>
              <w:pStyle w:val="18"/>
              <w:rPr>
                <w:color w:val="auto"/>
              </w:rPr>
            </w:pPr>
            <w:r>
              <w:rPr>
                <w:rFonts w:hint="eastAsia"/>
                <w:color w:val="auto"/>
              </w:rPr>
              <w:t>13.高级搜索：可以按照列出的各种查询条件对病案进行查询，这种检索方式常用于检索条件比较多的情况下</w:t>
            </w:r>
          </w:p>
          <w:p w14:paraId="45414406">
            <w:pPr>
              <w:pStyle w:val="18"/>
              <w:rPr>
                <w:color w:val="auto"/>
              </w:rPr>
            </w:pPr>
            <w:r>
              <w:rPr>
                <w:rFonts w:hint="eastAsia"/>
                <w:color w:val="auto"/>
              </w:rPr>
              <w:t>14.自定义搜索：可以自定义组织查询条件的组合进行搜索。这种检索方式常用于需检索的条件比较复杂的情况下</w:t>
            </w:r>
          </w:p>
          <w:p w14:paraId="73DB628F">
            <w:pPr>
              <w:pStyle w:val="18"/>
              <w:rPr>
                <w:color w:val="auto"/>
              </w:rPr>
            </w:pPr>
            <w:r>
              <w:rPr>
                <w:rFonts w:hint="eastAsia"/>
                <w:color w:val="auto"/>
              </w:rPr>
              <w:t>15.病案图片浏览：对病案图片的浏览进行了严格的权限控制（阅读/打印/导出）。可以设置需要过滤的图片分类（例如只显示病案首页或病程录等），查看病案图片的同时可利用提供的‘浏览工具箱’对图片进行一系列的处理（如放大/缩小/全屏/黑白彩色切换/裁剪/打印等等）。浏览期间可对感兴趣的病案收藏到收藏夹并且可以填写笔记。显示病案图片时可以设置阅读水印，用于病案的保护</w:t>
            </w:r>
          </w:p>
          <w:p w14:paraId="4260F39F">
            <w:pPr>
              <w:pStyle w:val="18"/>
              <w:rPr>
                <w:color w:val="auto"/>
              </w:rPr>
            </w:pPr>
            <w:r>
              <w:rPr>
                <w:rFonts w:hint="eastAsia"/>
                <w:color w:val="auto"/>
              </w:rPr>
              <w:t>16.病案收藏夹：用于显示及搜索在浏览病案时收藏的病案，类似IE浏览器的网页收藏夹</w:t>
            </w:r>
          </w:p>
          <w:p w14:paraId="1C6EF55A">
            <w:pPr>
              <w:pStyle w:val="18"/>
              <w:rPr>
                <w:color w:val="auto"/>
              </w:rPr>
            </w:pPr>
            <w:r>
              <w:rPr>
                <w:rFonts w:hint="eastAsia"/>
                <w:color w:val="auto"/>
              </w:rPr>
              <w:t>17.申请查看：可以浏览并查询用户曾经申请过的需要查阅的病案的记录，及时了解审批情况</w:t>
            </w:r>
          </w:p>
          <w:p w14:paraId="67C74852">
            <w:pPr>
              <w:pStyle w:val="18"/>
              <w:rPr>
                <w:color w:val="auto"/>
              </w:rPr>
            </w:pPr>
            <w:r>
              <w:rPr>
                <w:rFonts w:hint="eastAsia"/>
                <w:color w:val="auto"/>
              </w:rPr>
              <w:t>18.打印申请：维护申请打印人员的信息及申请分类（打印或复印），可拍摄证件并归档保存，查询并选择需打印的病案，同时统计所需费用，并可自己调整实际收费</w:t>
            </w:r>
          </w:p>
          <w:p w14:paraId="632E6EB1">
            <w:pPr>
              <w:pStyle w:val="18"/>
              <w:rPr>
                <w:color w:val="auto"/>
              </w:rPr>
            </w:pPr>
            <w:r>
              <w:rPr>
                <w:rFonts w:hint="eastAsia"/>
                <w:color w:val="auto"/>
              </w:rPr>
              <w:t>19.快速打印：仅登记简单的打印申请信息，选择病案直接打印</w:t>
            </w:r>
          </w:p>
          <w:p w14:paraId="075974A4">
            <w:pPr>
              <w:pStyle w:val="18"/>
              <w:rPr>
                <w:color w:val="auto"/>
              </w:rPr>
            </w:pPr>
            <w:r>
              <w:rPr>
                <w:rFonts w:hint="eastAsia"/>
                <w:color w:val="auto"/>
              </w:rPr>
              <w:t>20.集中复印：对未复印的病案进行集中统一处理</w:t>
            </w:r>
          </w:p>
          <w:p w14:paraId="0DDC601E">
            <w:pPr>
              <w:pStyle w:val="18"/>
              <w:rPr>
                <w:color w:val="auto"/>
              </w:rPr>
            </w:pPr>
            <w:r>
              <w:rPr>
                <w:rFonts w:hint="eastAsia"/>
                <w:color w:val="auto"/>
              </w:rPr>
              <w:t>21.申请查询：查询申请过打印或复印的申请人信息，并可查看申请人相应的申请信息，证件照，打印的病案记录，费用等</w:t>
            </w:r>
          </w:p>
          <w:p w14:paraId="5A601CA3">
            <w:pPr>
              <w:pStyle w:val="18"/>
              <w:rPr>
                <w:color w:val="auto"/>
              </w:rPr>
            </w:pPr>
            <w:r>
              <w:rPr>
                <w:rFonts w:hint="eastAsia"/>
                <w:color w:val="auto"/>
              </w:rPr>
              <w:t>22.打印参数：设置默认的打印参数（纸张大小/图片色彩/打印份数/打印分类及顺序/收费模式）</w:t>
            </w:r>
          </w:p>
          <w:p w14:paraId="34378CD5">
            <w:pPr>
              <w:pStyle w:val="18"/>
              <w:rPr>
                <w:color w:val="auto"/>
              </w:rPr>
            </w:pPr>
            <w:r>
              <w:rPr>
                <w:rFonts w:hint="eastAsia"/>
                <w:color w:val="auto"/>
              </w:rPr>
              <w:t>23.打印明细：按时间段及申请人统计申请人打印的病案的明细记录</w:t>
            </w:r>
          </w:p>
          <w:p w14:paraId="52228545">
            <w:pPr>
              <w:pStyle w:val="18"/>
              <w:rPr>
                <w:color w:val="auto"/>
              </w:rPr>
            </w:pPr>
            <w:r>
              <w:rPr>
                <w:rFonts w:hint="eastAsia"/>
                <w:color w:val="auto"/>
              </w:rPr>
              <w:t>24.复印明细：按时间段及申请人统计申请人复印的病案的明细记录</w:t>
            </w:r>
          </w:p>
          <w:p w14:paraId="115F8342">
            <w:pPr>
              <w:pStyle w:val="18"/>
              <w:rPr>
                <w:color w:val="auto"/>
              </w:rPr>
            </w:pPr>
            <w:r>
              <w:rPr>
                <w:rFonts w:hint="eastAsia"/>
                <w:color w:val="auto"/>
              </w:rPr>
              <w:t>25.邮寄明细：按时间段、申请人及邮寄状态统计病案邮寄的明细记录</w:t>
            </w:r>
          </w:p>
          <w:p w14:paraId="183B30A1">
            <w:pPr>
              <w:pStyle w:val="18"/>
              <w:rPr>
                <w:color w:val="auto"/>
              </w:rPr>
            </w:pPr>
            <w:r>
              <w:rPr>
                <w:rFonts w:hint="eastAsia"/>
                <w:color w:val="auto"/>
              </w:rPr>
              <w:t>26.病案首页系统接口：可导入已有的病案首页信息</w:t>
            </w:r>
          </w:p>
          <w:p w14:paraId="7CD062CB">
            <w:pPr>
              <w:pStyle w:val="18"/>
              <w:rPr>
                <w:color w:val="auto"/>
              </w:rPr>
            </w:pPr>
            <w:r>
              <w:rPr>
                <w:rFonts w:hint="eastAsia"/>
                <w:color w:val="auto"/>
              </w:rPr>
              <w:t>27.数字化病案调用接口：提供相关的调用接口，方便其他系统调用</w:t>
            </w:r>
          </w:p>
        </w:tc>
      </w:tr>
    </w:tbl>
    <w:p w14:paraId="61EFABAD">
      <w:pPr>
        <w:pStyle w:val="4"/>
        <w:numPr>
          <w:ilvl w:val="1"/>
          <w:numId w:val="0"/>
        </w:numPr>
        <w:ind w:left="576" w:leftChars="0" w:hanging="576" w:firstLineChars="0"/>
        <w:rPr>
          <w:color w:val="auto"/>
        </w:rPr>
      </w:pPr>
      <w:bookmarkStart w:id="133" w:name="_Toc208646525"/>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.3</w:t>
      </w:r>
      <w:r>
        <w:rPr>
          <w:rFonts w:hint="eastAsia"/>
          <w:color w:val="auto"/>
        </w:rPr>
        <w:t>护理病历系统</w:t>
      </w:r>
      <w:bookmarkEnd w:id="133"/>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077A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shd w:val="clear" w:color="auto" w:fill="BEBEBE" w:themeFill="background1" w:themeFillShade="BF"/>
            <w:vAlign w:val="center"/>
          </w:tcPr>
          <w:p w14:paraId="4299EC35">
            <w:pPr>
              <w:pStyle w:val="18"/>
              <w:jc w:val="center"/>
              <w:rPr>
                <w:b w:val="0"/>
                <w:color w:val="auto"/>
              </w:rPr>
            </w:pPr>
            <w:r>
              <w:rPr>
                <w:rFonts w:hint="eastAsia"/>
                <w:b/>
                <w:color w:val="auto"/>
              </w:rPr>
              <w:t>系统名称</w:t>
            </w:r>
          </w:p>
        </w:tc>
        <w:tc>
          <w:tcPr>
            <w:tcW w:w="6578" w:type="dxa"/>
            <w:shd w:val="clear" w:color="auto" w:fill="BEBEBE" w:themeFill="background1" w:themeFillShade="BF"/>
            <w:vAlign w:val="center"/>
          </w:tcPr>
          <w:p w14:paraId="2607775C">
            <w:pPr>
              <w:pStyle w:val="18"/>
              <w:rPr>
                <w:b/>
                <w:color w:val="auto"/>
              </w:rPr>
            </w:pPr>
            <w:r>
              <w:rPr>
                <w:rFonts w:hint="eastAsia"/>
                <w:b/>
                <w:color w:val="auto"/>
              </w:rPr>
              <w:t>护理病历系统</w:t>
            </w:r>
          </w:p>
        </w:tc>
      </w:tr>
      <w:tr w14:paraId="1FF6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D9F79AF">
            <w:pPr>
              <w:pStyle w:val="18"/>
              <w:jc w:val="center"/>
              <w:rPr>
                <w:b/>
                <w:bCs/>
                <w:color w:val="auto"/>
              </w:rPr>
            </w:pPr>
            <w:r>
              <w:rPr>
                <w:rFonts w:hint="eastAsia"/>
                <w:b/>
                <w:bCs/>
                <w:color w:val="auto"/>
              </w:rPr>
              <w:t>系统概述</w:t>
            </w:r>
          </w:p>
        </w:tc>
        <w:tc>
          <w:tcPr>
            <w:tcW w:w="6578" w:type="dxa"/>
            <w:vAlign w:val="center"/>
          </w:tcPr>
          <w:p w14:paraId="3A0BD47D">
            <w:pPr>
              <w:pStyle w:val="18"/>
              <w:rPr>
                <w:color w:val="auto"/>
              </w:rPr>
            </w:pPr>
            <w:r>
              <w:rPr>
                <w:rFonts w:hint="eastAsia"/>
                <w:color w:val="auto"/>
              </w:rPr>
              <w:t>护理病历系统需对标电子病历（智慧医疗）4级标准进行升级，并实现与相关业务系统的对接，升级需保障医院历史数据的集成及业务的稳定衔接，需满足医院临床科室对信息化功能的应用需求。</w:t>
            </w:r>
          </w:p>
          <w:p w14:paraId="72E395CD">
            <w:pPr>
              <w:pStyle w:val="18"/>
              <w:rPr>
                <w:color w:val="auto"/>
              </w:rPr>
            </w:pPr>
            <w:r>
              <w:rPr>
                <w:rFonts w:hint="eastAsia"/>
                <w:color w:val="auto"/>
              </w:rPr>
              <w:t>护理病历系统主要帮助医院实现护理病历信息化应用，支持对患者数据进行结构化、一元化管理，支持智能评估管理，支持评估风险预警，提高护士工作效率，保障患者安全。系统功能需包括模板配置、权限配置、患者信息一览、一元化护理病历、护理评估、护理计划等。</w:t>
            </w:r>
          </w:p>
        </w:tc>
      </w:tr>
      <w:tr w14:paraId="15E6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8C51927">
            <w:pPr>
              <w:pStyle w:val="18"/>
              <w:jc w:val="center"/>
              <w:rPr>
                <w:b/>
                <w:bCs/>
                <w:color w:val="auto"/>
              </w:rPr>
            </w:pPr>
            <w:r>
              <w:rPr>
                <w:rFonts w:hint="eastAsia"/>
                <w:b/>
                <w:bCs/>
                <w:color w:val="auto"/>
              </w:rPr>
              <w:t>子项名称</w:t>
            </w:r>
          </w:p>
        </w:tc>
        <w:tc>
          <w:tcPr>
            <w:tcW w:w="6578" w:type="dxa"/>
            <w:vAlign w:val="center"/>
          </w:tcPr>
          <w:p w14:paraId="1C62D086">
            <w:pPr>
              <w:pStyle w:val="18"/>
              <w:jc w:val="center"/>
              <w:rPr>
                <w:b/>
                <w:bCs/>
                <w:color w:val="auto"/>
              </w:rPr>
            </w:pPr>
            <w:r>
              <w:rPr>
                <w:rFonts w:hint="eastAsia"/>
                <w:b/>
                <w:bCs/>
                <w:color w:val="auto"/>
              </w:rPr>
              <w:t>技术和功能配置要求</w:t>
            </w:r>
          </w:p>
        </w:tc>
      </w:tr>
      <w:tr w14:paraId="4DB6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5BBCF8F">
            <w:pPr>
              <w:pStyle w:val="18"/>
              <w:jc w:val="center"/>
              <w:rPr>
                <w:b w:val="0"/>
                <w:color w:val="auto"/>
              </w:rPr>
            </w:pPr>
            <w:r>
              <w:rPr>
                <w:rFonts w:hint="eastAsia"/>
                <w:b w:val="0"/>
                <w:color w:val="auto"/>
              </w:rPr>
              <w:t>模板配置</w:t>
            </w:r>
          </w:p>
        </w:tc>
        <w:tc>
          <w:tcPr>
            <w:tcW w:w="6578" w:type="dxa"/>
            <w:vAlign w:val="center"/>
          </w:tcPr>
          <w:p w14:paraId="51167864">
            <w:pPr>
              <w:pStyle w:val="18"/>
              <w:rPr>
                <w:color w:val="auto"/>
              </w:rPr>
            </w:pPr>
            <w:r>
              <w:rPr>
                <w:rFonts w:hint="eastAsia"/>
                <w:color w:val="auto"/>
              </w:rPr>
              <w:t>模板配置主要用于配置人员对护理病历填写模板进行配置管理，需支持进行模板元素和样式的配置，支持按照科室进行模板的分配，帮助医院进行护理病历的科室定制化管理。</w:t>
            </w:r>
          </w:p>
          <w:p w14:paraId="66156D31">
            <w:pPr>
              <w:pStyle w:val="18"/>
              <w:rPr>
                <w:color w:val="auto"/>
              </w:rPr>
            </w:pPr>
            <w:r>
              <w:rPr>
                <w:rFonts w:hint="eastAsia"/>
                <w:color w:val="auto"/>
              </w:rPr>
              <w:t>1.元素维护</w:t>
            </w:r>
          </w:p>
          <w:p w14:paraId="5F0ADAF9">
            <w:pPr>
              <w:pStyle w:val="18"/>
              <w:rPr>
                <w:color w:val="auto"/>
              </w:rPr>
            </w:pPr>
            <w:r>
              <w:rPr>
                <w:rFonts w:hint="eastAsia"/>
                <w:color w:val="auto"/>
              </w:rPr>
              <w:t>系统需支持通过病历元素实现病历数据的结构化存储、多元化录入和一元化管理。</w:t>
            </w:r>
          </w:p>
          <w:p w14:paraId="3E7F6B0F">
            <w:pPr>
              <w:pStyle w:val="18"/>
              <w:rPr>
                <w:color w:val="auto"/>
              </w:rPr>
            </w:pPr>
            <w:r>
              <w:rPr>
                <w:rFonts w:hint="eastAsia"/>
                <w:color w:val="auto"/>
              </w:rPr>
              <w:t>2.模板维护</w:t>
            </w:r>
          </w:p>
          <w:p w14:paraId="393AE7CE">
            <w:pPr>
              <w:pStyle w:val="18"/>
              <w:rPr>
                <w:color w:val="auto"/>
              </w:rPr>
            </w:pPr>
            <w:r>
              <w:rPr>
                <w:rFonts w:hint="eastAsia"/>
                <w:color w:val="auto"/>
              </w:rPr>
              <w:t>系统需支持按照纸质病历的样式，进行病历模板的自定义和可视化维护。支持模板中设置元素、元素组以及元素区域。</w:t>
            </w:r>
          </w:p>
          <w:p w14:paraId="23DB9D02">
            <w:pPr>
              <w:pStyle w:val="18"/>
              <w:rPr>
                <w:color w:val="auto"/>
              </w:rPr>
            </w:pPr>
            <w:r>
              <w:rPr>
                <w:rFonts w:hint="eastAsia"/>
                <w:color w:val="auto"/>
              </w:rPr>
              <w:t>3.模板分配</w:t>
            </w:r>
          </w:p>
          <w:p w14:paraId="3B232108">
            <w:pPr>
              <w:pStyle w:val="18"/>
              <w:rPr>
                <w:color w:val="auto"/>
              </w:rPr>
            </w:pPr>
            <w:r>
              <w:rPr>
                <w:rFonts w:hint="eastAsia"/>
                <w:color w:val="auto"/>
              </w:rPr>
              <w:t>系统需支持将病历模板分配到指定的科室，该科室下的护理人员就能够使用该模板进行病历的书写。</w:t>
            </w:r>
          </w:p>
        </w:tc>
      </w:tr>
      <w:tr w14:paraId="72F6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F65B3EE">
            <w:pPr>
              <w:pStyle w:val="18"/>
              <w:jc w:val="center"/>
              <w:rPr>
                <w:b w:val="0"/>
                <w:color w:val="auto"/>
              </w:rPr>
            </w:pPr>
            <w:r>
              <w:rPr>
                <w:rFonts w:hint="eastAsia"/>
                <w:b w:val="0"/>
                <w:color w:val="auto"/>
              </w:rPr>
              <w:t>权限配置</w:t>
            </w:r>
          </w:p>
        </w:tc>
        <w:tc>
          <w:tcPr>
            <w:tcW w:w="6578" w:type="dxa"/>
            <w:vAlign w:val="center"/>
          </w:tcPr>
          <w:p w14:paraId="7BB4AA18">
            <w:pPr>
              <w:pStyle w:val="18"/>
              <w:rPr>
                <w:color w:val="auto"/>
              </w:rPr>
            </w:pPr>
            <w:r>
              <w:rPr>
                <w:rFonts w:hint="eastAsia"/>
                <w:color w:val="auto"/>
              </w:rPr>
              <w:t>权限配置主要用于配置人员对护理病历的操作权限进行配置管理，需支持按照角色对人员操作护理病历的权限进行指定，支持对护士电子签名进行维护。</w:t>
            </w:r>
          </w:p>
          <w:p w14:paraId="5CEE45A4">
            <w:pPr>
              <w:pStyle w:val="18"/>
              <w:rPr>
                <w:color w:val="auto"/>
              </w:rPr>
            </w:pPr>
            <w:r>
              <w:rPr>
                <w:rFonts w:hint="eastAsia"/>
                <w:color w:val="auto"/>
              </w:rPr>
              <w:t>1.角色维护</w:t>
            </w:r>
          </w:p>
          <w:p w14:paraId="3BF28636">
            <w:pPr>
              <w:pStyle w:val="18"/>
              <w:rPr>
                <w:color w:val="auto"/>
              </w:rPr>
            </w:pPr>
            <w:r>
              <w:rPr>
                <w:rFonts w:hint="eastAsia"/>
                <w:color w:val="auto"/>
              </w:rPr>
              <w:t>系统需支持将人员设定角色，人员就拥有了该角色对应的权限。</w:t>
            </w:r>
          </w:p>
          <w:p w14:paraId="62139317">
            <w:pPr>
              <w:pStyle w:val="18"/>
              <w:rPr>
                <w:color w:val="auto"/>
              </w:rPr>
            </w:pPr>
            <w:r>
              <w:rPr>
                <w:rFonts w:hint="eastAsia"/>
                <w:color w:val="auto"/>
              </w:rPr>
              <w:t>2.权限维护</w:t>
            </w:r>
          </w:p>
          <w:p w14:paraId="23FED284">
            <w:pPr>
              <w:pStyle w:val="18"/>
              <w:rPr>
                <w:color w:val="auto"/>
              </w:rPr>
            </w:pPr>
            <w:r>
              <w:rPr>
                <w:rFonts w:hint="eastAsia"/>
                <w:color w:val="auto"/>
              </w:rPr>
              <w:t>系统需支持维护角色，可按照实际业务需要，维护该角色所包含的各类权限，支持精细化的权限管理。</w:t>
            </w:r>
          </w:p>
          <w:p w14:paraId="01DEE0C8">
            <w:pPr>
              <w:pStyle w:val="18"/>
              <w:rPr>
                <w:color w:val="auto"/>
              </w:rPr>
            </w:pPr>
            <w:r>
              <w:rPr>
                <w:rFonts w:hint="eastAsia"/>
                <w:color w:val="auto"/>
              </w:rPr>
              <w:t>3.图章签名维护</w:t>
            </w:r>
          </w:p>
          <w:p w14:paraId="5E620F6D">
            <w:pPr>
              <w:pStyle w:val="18"/>
              <w:rPr>
                <w:color w:val="auto"/>
              </w:rPr>
            </w:pPr>
            <w:r>
              <w:rPr>
                <w:rFonts w:hint="eastAsia"/>
                <w:color w:val="auto"/>
              </w:rPr>
              <w:t>系统需支持对接CA系统，实现护理人员手写体签名的权限验证。</w:t>
            </w:r>
          </w:p>
        </w:tc>
      </w:tr>
      <w:tr w14:paraId="3ADB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F3D77C2">
            <w:pPr>
              <w:pStyle w:val="18"/>
              <w:jc w:val="center"/>
              <w:rPr>
                <w:b w:val="0"/>
                <w:color w:val="auto"/>
              </w:rPr>
            </w:pPr>
            <w:r>
              <w:rPr>
                <w:rFonts w:hint="eastAsia"/>
                <w:b w:val="0"/>
                <w:color w:val="auto"/>
              </w:rPr>
              <w:t>临床护理门户</w:t>
            </w:r>
          </w:p>
        </w:tc>
        <w:tc>
          <w:tcPr>
            <w:tcW w:w="6578" w:type="dxa"/>
            <w:vAlign w:val="center"/>
          </w:tcPr>
          <w:p w14:paraId="7428497B">
            <w:pPr>
              <w:pStyle w:val="18"/>
              <w:rPr>
                <w:color w:val="auto"/>
              </w:rPr>
            </w:pPr>
            <w:r>
              <w:rPr>
                <w:rFonts w:hint="eastAsia"/>
                <w:color w:val="auto"/>
              </w:rPr>
              <w:t>临床护理门户需支持管理病区每个患者的实时病情状态，可对患者最新重要信息进行采集，完成病区患者的整体监控和管理。且需支持快速病历书写模式，提升临床工作效率。应包括患者信息一览、在院患者一览、出院患者一览、转出患者一览、授权患者一览、病历快速录入模式。详细要求如下：</w:t>
            </w:r>
          </w:p>
          <w:p w14:paraId="4897E533">
            <w:pPr>
              <w:pStyle w:val="18"/>
              <w:rPr>
                <w:color w:val="auto"/>
              </w:rPr>
            </w:pPr>
            <w:r>
              <w:rPr>
                <w:rFonts w:hint="eastAsia"/>
                <w:color w:val="auto"/>
              </w:rPr>
              <w:t>1.患者信息一览</w:t>
            </w:r>
          </w:p>
          <w:p w14:paraId="0640B690">
            <w:pPr>
              <w:pStyle w:val="18"/>
              <w:rPr>
                <w:color w:val="auto"/>
              </w:rPr>
            </w:pPr>
            <w:r>
              <w:rPr>
                <w:rFonts w:hint="eastAsia"/>
                <w:color w:val="auto"/>
              </w:rPr>
              <w:t>系统需提供在院患者一览，近期出院患者一览、近期转出患者一览及授权患者一览，实现对病区患者的分类管理。</w:t>
            </w:r>
          </w:p>
          <w:p w14:paraId="7BA86E67">
            <w:pPr>
              <w:pStyle w:val="18"/>
              <w:rPr>
                <w:color w:val="auto"/>
              </w:rPr>
            </w:pPr>
            <w:r>
              <w:rPr>
                <w:rFonts w:hint="eastAsia"/>
                <w:color w:val="auto"/>
              </w:rPr>
              <w:t>2.在院患者一览</w:t>
            </w:r>
          </w:p>
          <w:p w14:paraId="07A05930">
            <w:pPr>
              <w:pStyle w:val="18"/>
              <w:rPr>
                <w:color w:val="auto"/>
              </w:rPr>
            </w:pPr>
            <w:r>
              <w:rPr>
                <w:rFonts w:hint="eastAsia"/>
                <w:color w:val="auto"/>
              </w:rPr>
              <w:t>系统需提供以全卡、简卡和列表三种展现方式显示病区全部在院患者，以满足不同临床人员的使用习惯；需支持产科的母子卡片粘合式展示，方便护士定位，减少找错患者的情况。需提供全卡模式，将患者评估风险都平铺显示，使护士直观看到患者风险情况。</w:t>
            </w:r>
          </w:p>
          <w:p w14:paraId="2D8A2BFA">
            <w:pPr>
              <w:pStyle w:val="18"/>
              <w:rPr>
                <w:color w:val="auto"/>
              </w:rPr>
            </w:pPr>
            <w:r>
              <w:rPr>
                <w:rFonts w:hint="eastAsia"/>
                <w:color w:val="auto"/>
              </w:rPr>
              <w:t>需提供对患者进行关注的设定并做特殊标识展示，可实现我的关注患者筛选；需支持按照特级护理、一级护理、二级护理、三级护理、病危、病重、新入、高温、手术、过敏、风险（疼痛、压疮、血栓、跌倒、非计划性拔管等）显示患者数量、显示相应的特殊标识，并支持进行条件的筛选；其中，需支持风险标识可根据评估结果智能推导，自动显示在患者卡片或列表中；需支持对患者过敏信息的展示；需支持对欠费患者做特殊标识展示；需支持责任组筛选患者及患者精确查找（住院号、床号、姓名）；需支持患者卡片或列表中显示患者重点信息，比如：病历号、姓名、年龄、诊断、费用、入院时间、护理等级等，同时也需支持手动展开患者更详细信息，比如患者联系电话、住院医生、责任护士等。</w:t>
            </w:r>
          </w:p>
          <w:p w14:paraId="28C5EFBC">
            <w:pPr>
              <w:pStyle w:val="18"/>
              <w:rPr>
                <w:color w:val="auto"/>
              </w:rPr>
            </w:pPr>
            <w:r>
              <w:rPr>
                <w:rFonts w:hint="eastAsia"/>
                <w:color w:val="auto"/>
              </w:rPr>
              <w:t>3.出院患者一览</w:t>
            </w:r>
          </w:p>
          <w:p w14:paraId="4C8AD7F0">
            <w:pPr>
              <w:pStyle w:val="18"/>
              <w:rPr>
                <w:color w:val="auto"/>
              </w:rPr>
            </w:pPr>
            <w:r>
              <w:rPr>
                <w:rFonts w:hint="eastAsia"/>
                <w:color w:val="auto"/>
              </w:rPr>
              <w:t>需支持以列表形式显示出院患者，且可以按照出院日期、病历归档状态、住院医生、责任护士进行筛选以及精准定位患者（住院号、床号、姓名）；需支持患者列表显示患者住院号、姓名、性别、年龄、诊断、出院时间、住院医生、责任护士、病案归档状态等重要信息。需支持对护理病历提交、撤销提交的操作。</w:t>
            </w:r>
          </w:p>
          <w:p w14:paraId="058AE776">
            <w:pPr>
              <w:pStyle w:val="18"/>
              <w:rPr>
                <w:color w:val="auto"/>
              </w:rPr>
            </w:pPr>
            <w:r>
              <w:rPr>
                <w:rFonts w:hint="eastAsia"/>
                <w:color w:val="auto"/>
              </w:rPr>
              <w:t>4.转出患者一览</w:t>
            </w:r>
          </w:p>
          <w:p w14:paraId="3CDE421B">
            <w:pPr>
              <w:pStyle w:val="18"/>
              <w:rPr>
                <w:color w:val="auto"/>
              </w:rPr>
            </w:pPr>
            <w:r>
              <w:rPr>
                <w:rFonts w:hint="eastAsia"/>
                <w:color w:val="auto"/>
              </w:rPr>
              <w:t>需支持以列表形式显示转出患者，且可以按照转科日期、病历归档状态、住院医生、责任护士进行筛选以及精准定位患者（住院号、床号、姓名）；需支持患者列表显示患者住院号、姓名、性别、年龄、诊断、转科时间、住院医生、责任护士等信息。</w:t>
            </w:r>
          </w:p>
          <w:p w14:paraId="359ACE0A">
            <w:pPr>
              <w:pStyle w:val="18"/>
              <w:rPr>
                <w:color w:val="auto"/>
              </w:rPr>
            </w:pPr>
            <w:r>
              <w:rPr>
                <w:rFonts w:hint="eastAsia"/>
                <w:color w:val="auto"/>
              </w:rPr>
              <w:t>5.授权患者一览</w:t>
            </w:r>
          </w:p>
          <w:p w14:paraId="0EDF335F">
            <w:pPr>
              <w:pStyle w:val="18"/>
              <w:rPr>
                <w:color w:val="auto"/>
              </w:rPr>
            </w:pPr>
            <w:r>
              <w:rPr>
                <w:rFonts w:hint="eastAsia"/>
                <w:color w:val="auto"/>
              </w:rPr>
              <w:t>需支持以列表形式显示授权给当前病区的患者，且可以按照病历归档状态进行筛选以及精准定位患者（住院号、床号、姓名）。需支持患者列表显示患者住院号、姓名、性别、年龄、诊断、入院时间、所属病区、科室、住院医生、责任护士等信息。</w:t>
            </w:r>
          </w:p>
          <w:p w14:paraId="23C27FE8">
            <w:pPr>
              <w:pStyle w:val="18"/>
              <w:rPr>
                <w:color w:val="auto"/>
              </w:rPr>
            </w:pPr>
            <w:r>
              <w:rPr>
                <w:rFonts w:hint="eastAsia"/>
                <w:color w:val="auto"/>
              </w:rPr>
              <w:t>6.病历快速录入模式</w:t>
            </w:r>
          </w:p>
          <w:p w14:paraId="77B1AA30">
            <w:pPr>
              <w:pStyle w:val="18"/>
              <w:rPr>
                <w:color w:val="auto"/>
              </w:rPr>
            </w:pPr>
            <w:r>
              <w:rPr>
                <w:rFonts w:hint="eastAsia"/>
                <w:color w:val="auto"/>
              </w:rPr>
              <w:t>需支持多患者生命体征录入、多患者体温单录入、单患者体温单快速录入、单患者护理记录快速录入；需支持可从护理门户快速进入以上录入功能，方便临床工作。</w:t>
            </w:r>
          </w:p>
          <w:p w14:paraId="75DAFB81">
            <w:pPr>
              <w:pStyle w:val="18"/>
              <w:rPr>
                <w:color w:val="auto"/>
              </w:rPr>
            </w:pPr>
            <w:r>
              <w:rPr>
                <w:rFonts w:hint="eastAsia"/>
                <w:color w:val="auto"/>
              </w:rPr>
              <w:t>7.生命体征管理</w:t>
            </w:r>
          </w:p>
          <w:p w14:paraId="6CEF7EAB">
            <w:pPr>
              <w:pStyle w:val="18"/>
              <w:rPr>
                <w:color w:val="auto"/>
              </w:rPr>
            </w:pPr>
            <w:r>
              <w:rPr>
                <w:rFonts w:hint="eastAsia"/>
                <w:color w:val="auto"/>
              </w:rPr>
              <w:t>系统需提供多患者生命体征录入、多患者体温单录入功能；需提供体温待测提醒功能。需支持预置体温待测规则，并支持本地化配置。根据预设规则，应提醒护士每个测量时间段需要测量体征的患者，且可直接进行待测患者体征录入；需支持向移动护理系统提供待测患者列表。需支持体征规则管理，支持对体温，血压，脉搏，呼吸等体征值，上下限阈值维护。</w:t>
            </w:r>
          </w:p>
        </w:tc>
      </w:tr>
      <w:tr w14:paraId="5FF4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C47E30B">
            <w:pPr>
              <w:pStyle w:val="18"/>
              <w:jc w:val="center"/>
              <w:rPr>
                <w:b w:val="0"/>
                <w:color w:val="auto"/>
              </w:rPr>
            </w:pPr>
            <w:r>
              <w:rPr>
                <w:rFonts w:hint="eastAsia"/>
                <w:b w:val="0"/>
                <w:color w:val="auto"/>
              </w:rPr>
              <w:t>一元化护理病历</w:t>
            </w:r>
          </w:p>
        </w:tc>
        <w:tc>
          <w:tcPr>
            <w:tcW w:w="6578" w:type="dxa"/>
            <w:vAlign w:val="center"/>
          </w:tcPr>
          <w:p w14:paraId="3CDDD318">
            <w:pPr>
              <w:pStyle w:val="18"/>
              <w:rPr>
                <w:color w:val="auto"/>
              </w:rPr>
            </w:pPr>
            <w:r>
              <w:rPr>
                <w:rFonts w:hint="eastAsia"/>
                <w:color w:val="auto"/>
              </w:rPr>
              <w:t>一元化护理病历需支持护理病历内容结构化标准化管理，支持结构化选择与自由文本相结合的录入方式，应根据医院要求适配定制不同专科特色的护理病历模板。系统应以患者为中心，实现一体化工作平台，对患者的各项临床事务进行处理，实现场景化操作要求，减少不必要的操作，提升护士工作效率。依托护理标准化术语，可辅助生成护理病历，减少书写重复工作，提升文书书写效率，降低差错率。应包含集成式护理病历工作台、体温单管理、婴儿体温单、护理记录单管理、护理记录智能化引擎、入院评估单、血糖单、产程图、告知书、其他护理文书、医生病历查看、检验检查结果查看、病历授权、病历提交。详细要求如下：</w:t>
            </w:r>
          </w:p>
          <w:p w14:paraId="24F81F1B">
            <w:pPr>
              <w:pStyle w:val="18"/>
              <w:rPr>
                <w:color w:val="auto"/>
              </w:rPr>
            </w:pPr>
            <w:r>
              <w:rPr>
                <w:rFonts w:hint="eastAsia"/>
                <w:color w:val="auto"/>
              </w:rPr>
              <w:t>1.集成式护理病历工作台（患者首页）</w:t>
            </w:r>
          </w:p>
          <w:p w14:paraId="5DCE0B0D">
            <w:pPr>
              <w:pStyle w:val="18"/>
              <w:rPr>
                <w:color w:val="auto"/>
              </w:rPr>
            </w:pPr>
            <w:r>
              <w:rPr>
                <w:rFonts w:hint="eastAsia"/>
                <w:color w:val="auto"/>
              </w:rPr>
              <w:t>系统需支持展开某患者的详细信息，包括患者的基本信息、费用信息、最新的身高、体重、BMI信息、各类风险标识等重点信息；需支持对过敏信息的录入和展示。应形成过敏史统一管理，使过敏史信息医护技共享。需支持对患者的快速切换，提升工作效率；需支持通过树形列表直观展示患者当次住院的所有病历信息，支持基于护士的常用病历及使用习惯配置病历展现形式。</w:t>
            </w:r>
          </w:p>
          <w:p w14:paraId="448ACD0F">
            <w:pPr>
              <w:pStyle w:val="18"/>
              <w:rPr>
                <w:color w:val="auto"/>
              </w:rPr>
            </w:pPr>
            <w:r>
              <w:rPr>
                <w:rFonts w:hint="eastAsia"/>
                <w:color w:val="auto"/>
              </w:rPr>
              <w:t>2.体温单管理</w:t>
            </w:r>
          </w:p>
          <w:p w14:paraId="1BE9A266">
            <w:pPr>
              <w:pStyle w:val="18"/>
              <w:rPr>
                <w:color w:val="auto"/>
              </w:rPr>
            </w:pPr>
            <w:r>
              <w:rPr>
                <w:rFonts w:hint="eastAsia"/>
                <w:color w:val="auto"/>
              </w:rPr>
              <w:t>需支持体温单样式维护，护理元素设置，疼痛功能设置，自定义出入量项目，实现自定义体温单样式；需支持依据医院文书要求，定制体温单提取规则，自动提取数据到体温单；需支持提供体温单录入节点，实现录入生命体征信息和特殊项目信息。录入后应自动绘制体征曲线；需支持多种显示模式，包括常规模式，高度匹配，宽度匹配，拉伸模式；需支持诊断的引用和保存，保证体温单的正确性。需支持体温单单页打印、全部打印功能；需提供体温单数据录入接口，供外部系统（如移动护理、重症）将患者体征数据写入体温单；需提供患者体征数据查询接口，供其他业务系统获取患者体征数据。</w:t>
            </w:r>
          </w:p>
          <w:p w14:paraId="6D07F6BF">
            <w:pPr>
              <w:pStyle w:val="18"/>
              <w:rPr>
                <w:color w:val="auto"/>
              </w:rPr>
            </w:pPr>
            <w:r>
              <w:rPr>
                <w:rFonts w:hint="eastAsia"/>
                <w:color w:val="auto"/>
              </w:rPr>
              <w:t>3.婴儿体温单</w:t>
            </w:r>
          </w:p>
          <w:p w14:paraId="6591F977">
            <w:pPr>
              <w:pStyle w:val="18"/>
              <w:rPr>
                <w:color w:val="auto"/>
              </w:rPr>
            </w:pPr>
            <w:r>
              <w:rPr>
                <w:rFonts w:hint="eastAsia"/>
                <w:color w:val="auto"/>
              </w:rPr>
              <w:t>系统需支持婴儿体温单模板维护、体温单书写等相关功能。</w:t>
            </w:r>
          </w:p>
          <w:p w14:paraId="2C1C42A4">
            <w:pPr>
              <w:pStyle w:val="18"/>
              <w:rPr>
                <w:color w:val="auto"/>
              </w:rPr>
            </w:pPr>
            <w:r>
              <w:rPr>
                <w:rFonts w:hint="eastAsia"/>
                <w:color w:val="auto"/>
              </w:rPr>
              <w:t>4.护理记录单管理</w:t>
            </w:r>
          </w:p>
          <w:p w14:paraId="53356372">
            <w:pPr>
              <w:pStyle w:val="18"/>
              <w:rPr>
                <w:color w:val="auto"/>
              </w:rPr>
            </w:pPr>
            <w:r>
              <w:rPr>
                <w:rFonts w:hint="eastAsia"/>
                <w:color w:val="auto"/>
              </w:rPr>
              <w:t>系统需支持护理记录单样式维护，护理项目设置，特殊符号，护理记录备注项等功能，实现护理记录样式自定义维护；</w:t>
            </w:r>
          </w:p>
          <w:p w14:paraId="4234EC66">
            <w:pPr>
              <w:pStyle w:val="18"/>
              <w:rPr>
                <w:color w:val="auto"/>
              </w:rPr>
            </w:pPr>
            <w:r>
              <w:rPr>
                <w:rFonts w:hint="eastAsia"/>
                <w:color w:val="auto"/>
              </w:rPr>
              <w:t>需支持护理记录单结构化录入，可自定义列头，可插入评估、插入护理常用组套、插入护理措施、插入医嘱、插入检查检验结果、插入特殊符号、插入危急值等，便于护士书写护理记录；</w:t>
            </w:r>
          </w:p>
          <w:p w14:paraId="035DD2AF">
            <w:pPr>
              <w:pStyle w:val="18"/>
              <w:rPr>
                <w:color w:val="auto"/>
              </w:rPr>
            </w:pPr>
            <w:r>
              <w:rPr>
                <w:rFonts w:hint="eastAsia"/>
                <w:color w:val="auto"/>
              </w:rPr>
              <w:t>需支持对已签名的护理记录单历史查看的功能，便于护士追溯历史更改信息；</w:t>
            </w:r>
          </w:p>
          <w:p w14:paraId="41683DF2">
            <w:pPr>
              <w:pStyle w:val="18"/>
              <w:rPr>
                <w:color w:val="auto"/>
              </w:rPr>
            </w:pPr>
            <w:r>
              <w:rPr>
                <w:rFonts w:hint="eastAsia"/>
                <w:color w:val="auto"/>
              </w:rPr>
              <w:t>需支持将护理记录信息同步至体温单，也支持将护理记录总结的入出量数据自动同步至体温单，形成护理数据一元化管理；</w:t>
            </w:r>
          </w:p>
          <w:p w14:paraId="571D337F">
            <w:pPr>
              <w:pStyle w:val="18"/>
              <w:rPr>
                <w:color w:val="auto"/>
              </w:rPr>
            </w:pPr>
            <w:r>
              <w:rPr>
                <w:rFonts w:hint="eastAsia"/>
                <w:color w:val="auto"/>
              </w:rPr>
              <w:t>需支持出入量总结跨表单进行，使用更加灵活。需支持护士书写病历后，可以将本次书写的病历做成组套，之后还可以进行修改、删除；</w:t>
            </w:r>
          </w:p>
          <w:p w14:paraId="164D6D06">
            <w:pPr>
              <w:pStyle w:val="18"/>
              <w:rPr>
                <w:color w:val="auto"/>
              </w:rPr>
            </w:pPr>
            <w:r>
              <w:rPr>
                <w:rFonts w:hint="eastAsia"/>
                <w:color w:val="auto"/>
              </w:rPr>
              <w:t>需支持多种形式的护理记录单打印，支持当前页打印、全部打印、续打等功能；需支持护理记录CA签名；</w:t>
            </w:r>
          </w:p>
          <w:p w14:paraId="335C4982">
            <w:pPr>
              <w:pStyle w:val="18"/>
              <w:rPr>
                <w:color w:val="auto"/>
              </w:rPr>
            </w:pPr>
            <w:r>
              <w:rPr>
                <w:rFonts w:hint="eastAsia"/>
                <w:color w:val="auto"/>
              </w:rPr>
              <w:t>需支持护士长对护理记录进行审核签名；</w:t>
            </w:r>
          </w:p>
          <w:p w14:paraId="767CE141">
            <w:pPr>
              <w:pStyle w:val="18"/>
              <w:rPr>
                <w:color w:val="auto"/>
              </w:rPr>
            </w:pPr>
            <w:r>
              <w:rPr>
                <w:rFonts w:hint="eastAsia"/>
                <w:color w:val="auto"/>
              </w:rPr>
              <w:t>需提供护理记录录入接口，供其他系统（如移动护理）写入护理记录数据；</w:t>
            </w:r>
          </w:p>
          <w:p w14:paraId="2FDA836F">
            <w:pPr>
              <w:pStyle w:val="18"/>
              <w:rPr>
                <w:color w:val="auto"/>
              </w:rPr>
            </w:pPr>
            <w:r>
              <w:rPr>
                <w:rFonts w:hint="eastAsia"/>
                <w:color w:val="auto"/>
              </w:rPr>
              <w:t>需提供护理记录数据查询接口，供外部系统获取护理记录数据。</w:t>
            </w:r>
          </w:p>
          <w:p w14:paraId="6CF106DF">
            <w:pPr>
              <w:pStyle w:val="18"/>
              <w:rPr>
                <w:color w:val="auto"/>
              </w:rPr>
            </w:pPr>
            <w:r>
              <w:rPr>
                <w:rFonts w:hint="eastAsia"/>
                <w:color w:val="auto"/>
              </w:rPr>
              <w:t>5.护理文书智能化引擎</w:t>
            </w:r>
          </w:p>
          <w:p w14:paraId="75A19923">
            <w:pPr>
              <w:pStyle w:val="18"/>
              <w:rPr>
                <w:color w:val="auto"/>
              </w:rPr>
            </w:pPr>
            <w:r>
              <w:rPr>
                <w:rFonts w:hint="eastAsia"/>
                <w:color w:val="auto"/>
              </w:rPr>
              <w:t>系统需提供护理文书数据一元化管理，支持文书间相同数据共享；需支持护理记录引用内容可自动生成，护理评估结论可自动生成，医嘱执行可自动生成。</w:t>
            </w:r>
          </w:p>
          <w:p w14:paraId="537CC4EE">
            <w:pPr>
              <w:pStyle w:val="18"/>
              <w:rPr>
                <w:color w:val="auto"/>
              </w:rPr>
            </w:pPr>
            <w:r>
              <w:rPr>
                <w:rFonts w:hint="eastAsia"/>
                <w:color w:val="auto"/>
              </w:rPr>
              <w:t>6.入院评估单</w:t>
            </w:r>
          </w:p>
          <w:p w14:paraId="749BC9FB">
            <w:pPr>
              <w:pStyle w:val="18"/>
              <w:rPr>
                <w:color w:val="auto"/>
              </w:rPr>
            </w:pPr>
            <w:r>
              <w:rPr>
                <w:rFonts w:hint="eastAsia"/>
                <w:color w:val="auto"/>
              </w:rPr>
              <w:t>系统需提供患者入院首次护理评估单的显示和打印功能。</w:t>
            </w:r>
          </w:p>
          <w:p w14:paraId="17A09520">
            <w:pPr>
              <w:pStyle w:val="18"/>
              <w:rPr>
                <w:color w:val="auto"/>
              </w:rPr>
            </w:pPr>
            <w:r>
              <w:rPr>
                <w:rFonts w:hint="eastAsia"/>
                <w:color w:val="auto"/>
              </w:rPr>
              <w:t>7.血糖单</w:t>
            </w:r>
          </w:p>
          <w:p w14:paraId="0685B8AE">
            <w:pPr>
              <w:pStyle w:val="18"/>
              <w:rPr>
                <w:color w:val="auto"/>
              </w:rPr>
            </w:pPr>
            <w:r>
              <w:rPr>
                <w:rFonts w:hint="eastAsia"/>
                <w:color w:val="auto"/>
              </w:rPr>
              <w:t>系统需提供患者的血糖单整体显示、录入和打印功能。</w:t>
            </w:r>
          </w:p>
          <w:p w14:paraId="530AACB3">
            <w:pPr>
              <w:pStyle w:val="18"/>
              <w:rPr>
                <w:color w:val="auto"/>
              </w:rPr>
            </w:pPr>
            <w:r>
              <w:rPr>
                <w:rFonts w:hint="eastAsia"/>
                <w:color w:val="auto"/>
              </w:rPr>
              <w:t>8.产程图</w:t>
            </w:r>
          </w:p>
          <w:p w14:paraId="5B901F6D">
            <w:pPr>
              <w:pStyle w:val="18"/>
              <w:rPr>
                <w:color w:val="auto"/>
              </w:rPr>
            </w:pPr>
            <w:r>
              <w:rPr>
                <w:rFonts w:hint="eastAsia"/>
                <w:color w:val="auto"/>
              </w:rPr>
              <w:t>系统需提供患者的产程图信息显示、录入和打印功能。</w:t>
            </w:r>
          </w:p>
          <w:p w14:paraId="43126E9E">
            <w:pPr>
              <w:pStyle w:val="18"/>
              <w:rPr>
                <w:color w:val="auto"/>
              </w:rPr>
            </w:pPr>
            <w:r>
              <w:rPr>
                <w:rFonts w:hint="eastAsia"/>
                <w:color w:val="auto"/>
              </w:rPr>
              <w:t>9.告知书</w:t>
            </w:r>
          </w:p>
          <w:p w14:paraId="352A6AF5">
            <w:pPr>
              <w:pStyle w:val="18"/>
              <w:rPr>
                <w:color w:val="auto"/>
              </w:rPr>
            </w:pPr>
            <w:r>
              <w:rPr>
                <w:rFonts w:hint="eastAsia"/>
                <w:color w:val="auto"/>
              </w:rPr>
              <w:t>系统需提供护理相关告知书显示、签名及打印功能。支持插入过敏史，使信息更加准确，书写更加方便。</w:t>
            </w:r>
          </w:p>
          <w:p w14:paraId="3755FE63">
            <w:pPr>
              <w:pStyle w:val="18"/>
              <w:rPr>
                <w:color w:val="auto"/>
              </w:rPr>
            </w:pPr>
            <w:r>
              <w:rPr>
                <w:rFonts w:hint="eastAsia"/>
                <w:color w:val="auto"/>
              </w:rPr>
              <w:t>10.其他护理文书</w:t>
            </w:r>
          </w:p>
          <w:p w14:paraId="790CFD72">
            <w:pPr>
              <w:pStyle w:val="18"/>
              <w:rPr>
                <w:color w:val="auto"/>
              </w:rPr>
            </w:pPr>
            <w:r>
              <w:rPr>
                <w:rFonts w:hint="eastAsia"/>
                <w:color w:val="auto"/>
              </w:rPr>
              <w:t>系统需提供产时、产后记录等其它护理病历的维护、录入、签名及打印功能。</w:t>
            </w:r>
          </w:p>
          <w:p w14:paraId="0263E452">
            <w:pPr>
              <w:pStyle w:val="18"/>
              <w:rPr>
                <w:color w:val="auto"/>
              </w:rPr>
            </w:pPr>
            <w:r>
              <w:rPr>
                <w:rFonts w:hint="eastAsia"/>
                <w:color w:val="auto"/>
              </w:rPr>
              <w:t>11.医生病历查看</w:t>
            </w:r>
          </w:p>
          <w:p w14:paraId="4D3AD277">
            <w:pPr>
              <w:pStyle w:val="18"/>
              <w:rPr>
                <w:color w:val="auto"/>
              </w:rPr>
            </w:pPr>
            <w:r>
              <w:rPr>
                <w:rFonts w:hint="eastAsia"/>
                <w:color w:val="auto"/>
              </w:rPr>
              <w:t>系统需提供在系统内查看医生病历，包括入院大病历、病程记录、手术记录、出院小结等，实现医护病历一体化整合。</w:t>
            </w:r>
          </w:p>
          <w:p w14:paraId="64A8ED4E">
            <w:pPr>
              <w:pStyle w:val="18"/>
              <w:rPr>
                <w:color w:val="auto"/>
              </w:rPr>
            </w:pPr>
            <w:r>
              <w:rPr>
                <w:rFonts w:hint="eastAsia"/>
                <w:color w:val="auto"/>
              </w:rPr>
              <w:t>12.检验检查结果查看</w:t>
            </w:r>
          </w:p>
          <w:p w14:paraId="3FA4C485">
            <w:pPr>
              <w:pStyle w:val="18"/>
              <w:rPr>
                <w:color w:val="auto"/>
              </w:rPr>
            </w:pPr>
            <w:r>
              <w:rPr>
                <w:rFonts w:hint="eastAsia"/>
                <w:color w:val="auto"/>
              </w:rPr>
              <w:t>系统需支持查看患者的检验检查结果报告。其中，检查结果查看支持影像报告的查看。</w:t>
            </w:r>
          </w:p>
          <w:p w14:paraId="2F13ED79">
            <w:pPr>
              <w:pStyle w:val="18"/>
              <w:rPr>
                <w:color w:val="auto"/>
              </w:rPr>
            </w:pPr>
            <w:r>
              <w:rPr>
                <w:rFonts w:hint="eastAsia"/>
                <w:color w:val="auto"/>
              </w:rPr>
              <w:t>13.病历授权</w:t>
            </w:r>
          </w:p>
          <w:p w14:paraId="2A89F58D">
            <w:pPr>
              <w:pStyle w:val="18"/>
              <w:rPr>
                <w:color w:val="auto"/>
              </w:rPr>
            </w:pPr>
            <w:r>
              <w:rPr>
                <w:rFonts w:hint="eastAsia"/>
                <w:color w:val="auto"/>
              </w:rPr>
              <w:t>系统需支持对病案进行授权，使治疗科室护士也可以方便的书写患者病历。</w:t>
            </w:r>
          </w:p>
          <w:p w14:paraId="099DFDB7">
            <w:pPr>
              <w:pStyle w:val="18"/>
              <w:rPr>
                <w:color w:val="auto"/>
              </w:rPr>
            </w:pPr>
            <w:r>
              <w:rPr>
                <w:rFonts w:hint="eastAsia"/>
                <w:color w:val="auto"/>
              </w:rPr>
              <w:t>14.病案提交</w:t>
            </w:r>
          </w:p>
          <w:p w14:paraId="0D1B00A5">
            <w:pPr>
              <w:pStyle w:val="18"/>
              <w:rPr>
                <w:color w:val="auto"/>
              </w:rPr>
            </w:pPr>
            <w:r>
              <w:rPr>
                <w:rFonts w:hint="eastAsia"/>
                <w:color w:val="auto"/>
              </w:rPr>
              <w:t>系统需支持对患者的护理病历进行提交，且提交后病历不可修改。</w:t>
            </w:r>
          </w:p>
        </w:tc>
      </w:tr>
      <w:tr w14:paraId="730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CEE8C60">
            <w:pPr>
              <w:pStyle w:val="18"/>
              <w:jc w:val="center"/>
              <w:rPr>
                <w:b w:val="0"/>
                <w:color w:val="auto"/>
              </w:rPr>
            </w:pPr>
            <w:r>
              <w:rPr>
                <w:rFonts w:hint="eastAsia"/>
                <w:b w:val="0"/>
                <w:color w:val="auto"/>
              </w:rPr>
              <w:t>护理评估管理</w:t>
            </w:r>
          </w:p>
        </w:tc>
        <w:tc>
          <w:tcPr>
            <w:tcW w:w="6578" w:type="dxa"/>
            <w:vAlign w:val="center"/>
          </w:tcPr>
          <w:p w14:paraId="268C09E1">
            <w:pPr>
              <w:pStyle w:val="18"/>
              <w:rPr>
                <w:color w:val="auto"/>
              </w:rPr>
            </w:pPr>
            <w:r>
              <w:rPr>
                <w:rFonts w:hint="eastAsia"/>
                <w:color w:val="auto"/>
              </w:rPr>
              <w:t>护理评估管理需支持场景化评估工作，可针对患者病情状况实时监控及风险预警。需支持按照患者年龄自动推送适合的评估工具，应包含患者评估管理、患者评估量表分析、护理评估知识库。详细要求如下：</w:t>
            </w:r>
          </w:p>
          <w:p w14:paraId="6563CFC2">
            <w:pPr>
              <w:pStyle w:val="18"/>
              <w:rPr>
                <w:color w:val="auto"/>
              </w:rPr>
            </w:pPr>
            <w:r>
              <w:rPr>
                <w:rFonts w:hint="eastAsia"/>
                <w:color w:val="auto"/>
              </w:rPr>
              <w:t>1.患者评估管理</w:t>
            </w:r>
          </w:p>
          <w:p w14:paraId="41262935">
            <w:pPr>
              <w:pStyle w:val="18"/>
              <w:rPr>
                <w:color w:val="auto"/>
              </w:rPr>
            </w:pPr>
            <w:r>
              <w:rPr>
                <w:rFonts w:hint="eastAsia"/>
                <w:color w:val="auto"/>
              </w:rPr>
              <w:t>系统需支持使用评估模型方法对患者进行评估，包括入院评估、日常评估和出院评估；</w:t>
            </w:r>
          </w:p>
          <w:p w14:paraId="7007A706">
            <w:pPr>
              <w:pStyle w:val="18"/>
              <w:rPr>
                <w:color w:val="auto"/>
              </w:rPr>
            </w:pPr>
            <w:r>
              <w:rPr>
                <w:rFonts w:hint="eastAsia"/>
                <w:color w:val="auto"/>
              </w:rPr>
              <w:t>需支持根据患者年龄自动分配符合患者使用的评估量表；</w:t>
            </w:r>
          </w:p>
          <w:p w14:paraId="709F8A09">
            <w:pPr>
              <w:pStyle w:val="18"/>
              <w:rPr>
                <w:color w:val="auto"/>
              </w:rPr>
            </w:pPr>
            <w:r>
              <w:rPr>
                <w:rFonts w:hint="eastAsia"/>
                <w:color w:val="auto"/>
              </w:rPr>
              <w:t>需支持护理评估模型套餐管理，根据实际需要选择对应套餐对患者进行评估，以实现同质化管理。比如入院评估、术前评估、术后评估、一级护理评估、二级护理评估、新生儿评估、危重患者评估等；</w:t>
            </w:r>
          </w:p>
          <w:p w14:paraId="337F7B06">
            <w:pPr>
              <w:pStyle w:val="18"/>
              <w:rPr>
                <w:color w:val="auto"/>
              </w:rPr>
            </w:pPr>
            <w:r>
              <w:rPr>
                <w:rFonts w:hint="eastAsia"/>
                <w:color w:val="auto"/>
              </w:rPr>
              <w:t>需支持评估初筛功能；</w:t>
            </w:r>
          </w:p>
          <w:p w14:paraId="3C9F637B">
            <w:pPr>
              <w:pStyle w:val="18"/>
              <w:rPr>
                <w:color w:val="auto"/>
              </w:rPr>
            </w:pPr>
            <w:r>
              <w:rPr>
                <w:rFonts w:hint="eastAsia"/>
                <w:color w:val="auto"/>
              </w:rPr>
              <w:t>需支持通过内置护理评估规则算法，以患者为单位，对患者多个系统情况是否正常进行统一评估和记录。摒弃原有一个一个评估表单分散式填写的工作模式。</w:t>
            </w:r>
          </w:p>
          <w:p w14:paraId="49B83867">
            <w:pPr>
              <w:pStyle w:val="18"/>
              <w:rPr>
                <w:color w:val="auto"/>
              </w:rPr>
            </w:pPr>
            <w:r>
              <w:rPr>
                <w:rFonts w:hint="eastAsia"/>
                <w:color w:val="auto"/>
              </w:rPr>
              <w:t>系统应符合评估是围绕患者的一次全面性评估，不是割裂的一个一个专项评估记录；</w:t>
            </w:r>
          </w:p>
          <w:p w14:paraId="3B58B5A3">
            <w:pPr>
              <w:pStyle w:val="18"/>
              <w:rPr>
                <w:color w:val="auto"/>
              </w:rPr>
            </w:pPr>
            <w:r>
              <w:rPr>
                <w:rFonts w:hint="eastAsia"/>
                <w:color w:val="auto"/>
              </w:rPr>
              <w:t>需支持评估结果可自动生成患者风险标识；</w:t>
            </w:r>
          </w:p>
          <w:p w14:paraId="553D0F79">
            <w:pPr>
              <w:pStyle w:val="18"/>
              <w:rPr>
                <w:color w:val="auto"/>
              </w:rPr>
            </w:pPr>
            <w:r>
              <w:rPr>
                <w:rFonts w:hint="eastAsia"/>
                <w:color w:val="auto"/>
              </w:rPr>
              <w:t>需支持护理评估可追溯，可按照评估时间查看患者的历史评估内容，包括评估项目、评估结果、推送护理记录的内容；</w:t>
            </w:r>
          </w:p>
          <w:p w14:paraId="228765F5">
            <w:pPr>
              <w:pStyle w:val="18"/>
              <w:rPr>
                <w:color w:val="auto"/>
              </w:rPr>
            </w:pPr>
            <w:r>
              <w:rPr>
                <w:rFonts w:hint="eastAsia"/>
                <w:color w:val="auto"/>
              </w:rPr>
              <w:t>需支持评估未完成自动提醒，针对填写了评估记录但未提交的评估可以通过历史追溯列表进行查看、提交、继续评估等处理；</w:t>
            </w:r>
          </w:p>
          <w:p w14:paraId="3F5F290B">
            <w:pPr>
              <w:pStyle w:val="18"/>
              <w:rPr>
                <w:color w:val="auto"/>
              </w:rPr>
            </w:pPr>
            <w:r>
              <w:rPr>
                <w:rFonts w:hint="eastAsia"/>
                <w:color w:val="auto"/>
              </w:rPr>
              <w:t>需提供评估录入接口，供外部系统将护理评估信息写入患者护理评估系统；</w:t>
            </w:r>
          </w:p>
          <w:p w14:paraId="40B657F3">
            <w:pPr>
              <w:pStyle w:val="18"/>
              <w:rPr>
                <w:color w:val="auto"/>
              </w:rPr>
            </w:pPr>
            <w:r>
              <w:rPr>
                <w:rFonts w:hint="eastAsia"/>
                <w:color w:val="auto"/>
              </w:rPr>
              <w:t>需提供评估结果查询接口，供外部系统调用以获取患者评估结果；</w:t>
            </w:r>
          </w:p>
          <w:p w14:paraId="2E58CDA9">
            <w:pPr>
              <w:pStyle w:val="18"/>
              <w:rPr>
                <w:color w:val="auto"/>
              </w:rPr>
            </w:pPr>
            <w:r>
              <w:rPr>
                <w:rFonts w:hint="eastAsia"/>
                <w:color w:val="auto"/>
              </w:rPr>
              <w:t>需提供评估风险信息，供外部系统调用以获取患者各类风险等级。</w:t>
            </w:r>
          </w:p>
          <w:p w14:paraId="1FD691B5">
            <w:pPr>
              <w:pStyle w:val="18"/>
              <w:rPr>
                <w:color w:val="auto"/>
              </w:rPr>
            </w:pPr>
            <w:r>
              <w:rPr>
                <w:rFonts w:hint="eastAsia"/>
                <w:color w:val="auto"/>
              </w:rPr>
              <w:t>2.患者评估量表分析</w:t>
            </w:r>
          </w:p>
          <w:p w14:paraId="05A080E8">
            <w:pPr>
              <w:pStyle w:val="18"/>
              <w:rPr>
                <w:color w:val="auto"/>
              </w:rPr>
            </w:pPr>
            <w:r>
              <w:rPr>
                <w:rFonts w:hint="eastAsia"/>
                <w:color w:val="auto"/>
              </w:rPr>
              <w:t>系统需支持以表格的形式展示患者的评估量表数据，包括行为学评估量表分析、PAINAD疼痛评估工具（老年痴呆）量表分析、重症监护患者疼痛评估量表分析、日常生活自理能力（Barthel指数）评估量表分析、Morse跌倒坠床风险评估量表分析、Braden评估量表分析、Autar风险评估量表分析、非计划拔管评估量表分析、Caprini风险评估量表分析；</w:t>
            </w:r>
          </w:p>
          <w:p w14:paraId="797E07F0">
            <w:pPr>
              <w:pStyle w:val="18"/>
              <w:rPr>
                <w:color w:val="auto"/>
              </w:rPr>
            </w:pPr>
            <w:r>
              <w:rPr>
                <w:rFonts w:hint="eastAsia"/>
                <w:color w:val="auto"/>
              </w:rPr>
              <w:t>需支持以表格的形式展示患者的儿科评估量表，包括Humpty Dumpty儿童跌倒评估量表分析、FLACC工具（2个月-7岁）量表分析、Braden-Q儿童压疮风险评估量表分析、CRIES疼痛评估量表（0-2月）分析；需支持对患者的护理评估量表进行定制打印。</w:t>
            </w:r>
          </w:p>
        </w:tc>
      </w:tr>
      <w:tr w14:paraId="695C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8CDA6BA">
            <w:pPr>
              <w:pStyle w:val="18"/>
              <w:jc w:val="center"/>
              <w:rPr>
                <w:b w:val="0"/>
                <w:color w:val="auto"/>
              </w:rPr>
            </w:pPr>
            <w:r>
              <w:rPr>
                <w:rFonts w:hint="eastAsia"/>
                <w:b w:val="0"/>
                <w:color w:val="auto"/>
              </w:rPr>
              <w:t>护理计划管理</w:t>
            </w:r>
          </w:p>
        </w:tc>
        <w:tc>
          <w:tcPr>
            <w:tcW w:w="6578" w:type="dxa"/>
            <w:vAlign w:val="center"/>
          </w:tcPr>
          <w:p w14:paraId="34820E01">
            <w:pPr>
              <w:pStyle w:val="18"/>
              <w:rPr>
                <w:color w:val="auto"/>
              </w:rPr>
            </w:pPr>
            <w:r>
              <w:rPr>
                <w:rFonts w:hint="eastAsia"/>
                <w:color w:val="auto"/>
              </w:rPr>
              <w:t>系统需支持护理循证思维和医院临床业务知识积累，基于患者护理评估结果，自动产生护理诊断，推导护理计划，监督护理执行，实现目标评价，完成对护理计划全闭环管理。需包含护理计划知识库、患者护理诊断管理、患者护理计划管理、患者护理措施管理、患者目标评价管理、无纸化支持、EMR系统智能支持。</w:t>
            </w:r>
          </w:p>
          <w:p w14:paraId="7C600D6F">
            <w:pPr>
              <w:pStyle w:val="18"/>
              <w:rPr>
                <w:color w:val="auto"/>
              </w:rPr>
            </w:pPr>
            <w:r>
              <w:rPr>
                <w:rFonts w:hint="eastAsia"/>
                <w:color w:val="auto"/>
              </w:rPr>
              <w:t>1.护理计划知识库</w:t>
            </w:r>
          </w:p>
          <w:p w14:paraId="0BF049B2">
            <w:pPr>
              <w:pStyle w:val="18"/>
              <w:rPr>
                <w:color w:val="auto"/>
              </w:rPr>
            </w:pPr>
            <w:r>
              <w:rPr>
                <w:rFonts w:hint="eastAsia"/>
                <w:color w:val="auto"/>
              </w:rPr>
              <w:t>护理计划知识库需提供护理计划的数据支持，应支持在制定护理计划过程中，通过知识库数据能够自动匹配适合的护理诊断。需支持根据用户的实际需要进行维护和完善功能。护士可以通过知识库进行护理计划内容的学习。</w:t>
            </w:r>
          </w:p>
          <w:p w14:paraId="1C47FA92">
            <w:pPr>
              <w:pStyle w:val="18"/>
              <w:rPr>
                <w:color w:val="auto"/>
              </w:rPr>
            </w:pPr>
            <w:r>
              <w:rPr>
                <w:rFonts w:hint="eastAsia"/>
                <w:color w:val="auto"/>
              </w:rPr>
              <w:t>（1）护理诊断知识库</w:t>
            </w:r>
          </w:p>
          <w:p w14:paraId="106482C4">
            <w:pPr>
              <w:pStyle w:val="18"/>
              <w:rPr>
                <w:color w:val="auto"/>
              </w:rPr>
            </w:pPr>
            <w:r>
              <w:rPr>
                <w:rFonts w:hint="eastAsia"/>
                <w:color w:val="auto"/>
              </w:rPr>
              <w:t>系统需提供护理评估与诊断映射关系的维护功能、诊断术语维护功能、标准诊断库功能、护理诊断分组维护功能、诊断与相关因素关系维护功能、诊断与护理措施关系维护功能、诊断与预期目标关系维护功能。</w:t>
            </w:r>
          </w:p>
          <w:p w14:paraId="7AF956DE">
            <w:pPr>
              <w:pStyle w:val="18"/>
              <w:rPr>
                <w:color w:val="auto"/>
              </w:rPr>
            </w:pPr>
            <w:r>
              <w:rPr>
                <w:rFonts w:hint="eastAsia"/>
                <w:color w:val="auto"/>
              </w:rPr>
              <w:t>（2）相关因素术语库</w:t>
            </w:r>
          </w:p>
          <w:p w14:paraId="4A866F4B">
            <w:pPr>
              <w:pStyle w:val="18"/>
              <w:rPr>
                <w:color w:val="auto"/>
              </w:rPr>
            </w:pPr>
            <w:r>
              <w:rPr>
                <w:rFonts w:hint="eastAsia"/>
                <w:color w:val="auto"/>
              </w:rPr>
              <w:t>系统需提供护理相关因素标准化结构及相关术语的定义。</w:t>
            </w:r>
          </w:p>
          <w:p w14:paraId="226878C6">
            <w:pPr>
              <w:pStyle w:val="18"/>
              <w:rPr>
                <w:color w:val="auto"/>
              </w:rPr>
            </w:pPr>
            <w:r>
              <w:rPr>
                <w:rFonts w:hint="eastAsia"/>
                <w:color w:val="auto"/>
              </w:rPr>
              <w:t>（3）护理措施术语库</w:t>
            </w:r>
          </w:p>
          <w:p w14:paraId="1CEE0652">
            <w:pPr>
              <w:pStyle w:val="18"/>
              <w:rPr>
                <w:color w:val="auto"/>
              </w:rPr>
            </w:pPr>
            <w:r>
              <w:rPr>
                <w:rFonts w:hint="eastAsia"/>
                <w:color w:val="auto"/>
              </w:rPr>
              <w:t>系统需提供护理措施标准化结构及相关术语的定义。</w:t>
            </w:r>
          </w:p>
          <w:p w14:paraId="727528B7">
            <w:pPr>
              <w:pStyle w:val="18"/>
              <w:rPr>
                <w:color w:val="auto"/>
              </w:rPr>
            </w:pPr>
            <w:r>
              <w:rPr>
                <w:rFonts w:hint="eastAsia"/>
                <w:color w:val="auto"/>
              </w:rPr>
              <w:t>（4）预期目标术语管理</w:t>
            </w:r>
          </w:p>
          <w:p w14:paraId="13A7E5C6">
            <w:pPr>
              <w:pStyle w:val="18"/>
              <w:rPr>
                <w:color w:val="auto"/>
              </w:rPr>
            </w:pPr>
            <w:r>
              <w:rPr>
                <w:rFonts w:hint="eastAsia"/>
                <w:color w:val="auto"/>
              </w:rPr>
              <w:t>系统需提供护理预期目标标准化结构及相关术语的定义。</w:t>
            </w:r>
          </w:p>
          <w:p w14:paraId="2B26A8FC">
            <w:pPr>
              <w:pStyle w:val="18"/>
              <w:rPr>
                <w:color w:val="auto"/>
              </w:rPr>
            </w:pPr>
            <w:r>
              <w:rPr>
                <w:rFonts w:hint="eastAsia"/>
                <w:color w:val="auto"/>
              </w:rPr>
              <w:t>（5）护理评价管理</w:t>
            </w:r>
          </w:p>
          <w:p w14:paraId="052D8D0A">
            <w:pPr>
              <w:pStyle w:val="18"/>
              <w:rPr>
                <w:color w:val="auto"/>
              </w:rPr>
            </w:pPr>
            <w:r>
              <w:rPr>
                <w:rFonts w:hint="eastAsia"/>
                <w:color w:val="auto"/>
              </w:rPr>
              <w:t>系统需提供标准化护理评价，同时也支持用户自定义维护。</w:t>
            </w:r>
          </w:p>
          <w:p w14:paraId="3F8862AB">
            <w:pPr>
              <w:pStyle w:val="18"/>
              <w:rPr>
                <w:color w:val="auto"/>
              </w:rPr>
            </w:pPr>
            <w:r>
              <w:rPr>
                <w:rFonts w:hint="eastAsia"/>
                <w:color w:val="auto"/>
              </w:rPr>
              <w:t>（6）规则管理</w:t>
            </w:r>
          </w:p>
          <w:p w14:paraId="6E3E1023">
            <w:pPr>
              <w:pStyle w:val="18"/>
              <w:rPr>
                <w:color w:val="auto"/>
              </w:rPr>
            </w:pPr>
            <w:r>
              <w:rPr>
                <w:rFonts w:hint="eastAsia"/>
                <w:color w:val="auto"/>
              </w:rPr>
              <w:t>系统需支持护理评估、生命体征与护理诊断之间的逻辑关系运算，应涵盖常用的护理风险评估及其对应的护理诊断之间关系，同时也支持护士根据实际需要进行修改和完善。系统应支持重复诊断的逻辑处理、相似诊断的互斥管理等逻辑规则，也可进行修改维护。可供护士针对患者评估情况的变化提示最新的护理问题，或者关闭前一次护理问题产生的护理计划，使护理问题有一个持续性的计划跟踪。</w:t>
            </w:r>
          </w:p>
          <w:p w14:paraId="5DFDFCA2">
            <w:pPr>
              <w:pStyle w:val="18"/>
              <w:rPr>
                <w:color w:val="auto"/>
              </w:rPr>
            </w:pPr>
            <w:r>
              <w:rPr>
                <w:rFonts w:hint="eastAsia"/>
                <w:color w:val="auto"/>
              </w:rPr>
              <w:t>2.患者护理诊断管理</w:t>
            </w:r>
          </w:p>
          <w:p w14:paraId="73D1BEAC">
            <w:pPr>
              <w:pStyle w:val="18"/>
              <w:rPr>
                <w:color w:val="auto"/>
              </w:rPr>
            </w:pPr>
            <w:r>
              <w:rPr>
                <w:rFonts w:hint="eastAsia"/>
                <w:color w:val="auto"/>
              </w:rPr>
              <w:t>患者护理诊断管理主要用于对患者制定护理诊断，系统应支持根据患者的评估结果自动产生护理诊断推荐，也应支持护士根据患者情况主动创建护理诊断。应提供对患者全部历史护理诊断的追溯管理功能。</w:t>
            </w:r>
          </w:p>
          <w:p w14:paraId="508CB4EF">
            <w:pPr>
              <w:pStyle w:val="18"/>
              <w:rPr>
                <w:color w:val="auto"/>
              </w:rPr>
            </w:pPr>
            <w:r>
              <w:rPr>
                <w:rFonts w:hint="eastAsia"/>
                <w:color w:val="auto"/>
              </w:rPr>
              <w:t>（1）患者护理诊断开立</w:t>
            </w:r>
          </w:p>
          <w:p w14:paraId="410616C1">
            <w:pPr>
              <w:pStyle w:val="18"/>
              <w:rPr>
                <w:color w:val="auto"/>
              </w:rPr>
            </w:pPr>
            <w:r>
              <w:rPr>
                <w:rFonts w:hint="eastAsia"/>
                <w:color w:val="auto"/>
              </w:rPr>
              <w:t>系统需支持通过评估结果自动产生建议护理诊断，护士可以依据临床知识进行诊断确认，护士也可以根据需要手动添加系统中现有的护理诊断，确认后的护理诊断信息包括创建人、创建时间、诊断开始时间、结束时间、诊断状态。</w:t>
            </w:r>
          </w:p>
          <w:p w14:paraId="21A3D377">
            <w:pPr>
              <w:pStyle w:val="18"/>
              <w:rPr>
                <w:color w:val="auto"/>
              </w:rPr>
            </w:pPr>
            <w:r>
              <w:rPr>
                <w:rFonts w:hint="eastAsia"/>
                <w:color w:val="auto"/>
              </w:rPr>
              <w:t>（2）历史护理诊断管理</w:t>
            </w:r>
          </w:p>
          <w:p w14:paraId="24F43E8B">
            <w:pPr>
              <w:pStyle w:val="18"/>
              <w:rPr>
                <w:color w:val="auto"/>
              </w:rPr>
            </w:pPr>
            <w:r>
              <w:rPr>
                <w:rFonts w:hint="eastAsia"/>
                <w:color w:val="auto"/>
              </w:rPr>
              <w:t>系统需显示患者在院期间所有的护理诊断历史信息，显示内容包括相关因素、开立时间、建立人、结束时间、计划评价等信息，保证信息可追溯可管理。</w:t>
            </w:r>
          </w:p>
          <w:p w14:paraId="49102AD2">
            <w:pPr>
              <w:pStyle w:val="18"/>
              <w:rPr>
                <w:color w:val="auto"/>
              </w:rPr>
            </w:pPr>
            <w:r>
              <w:rPr>
                <w:rFonts w:hint="eastAsia"/>
                <w:color w:val="auto"/>
              </w:rPr>
              <w:t>3.患者护理计划管理</w:t>
            </w:r>
          </w:p>
          <w:p w14:paraId="0C478958">
            <w:pPr>
              <w:pStyle w:val="18"/>
              <w:rPr>
                <w:color w:val="auto"/>
              </w:rPr>
            </w:pPr>
            <w:r>
              <w:rPr>
                <w:rFonts w:hint="eastAsia"/>
                <w:color w:val="auto"/>
              </w:rPr>
              <w:t>患者护理计划管理主要用于对患者制定护理计划，系统需根据制定的护理诊断，自动匹配所需要执行的护理措施计划以及对应的预期目标。需支持护士根据患者实际情况进行调整。需提供对患者护理计划的查看和追踪功能。</w:t>
            </w:r>
          </w:p>
          <w:p w14:paraId="2F6C9A49">
            <w:pPr>
              <w:pStyle w:val="18"/>
              <w:rPr>
                <w:color w:val="auto"/>
              </w:rPr>
            </w:pPr>
            <w:r>
              <w:rPr>
                <w:rFonts w:hint="eastAsia"/>
                <w:color w:val="auto"/>
              </w:rPr>
              <w:t>（1）护理计划创建</w:t>
            </w:r>
          </w:p>
          <w:p w14:paraId="7467A787">
            <w:pPr>
              <w:pStyle w:val="18"/>
              <w:rPr>
                <w:color w:val="auto"/>
              </w:rPr>
            </w:pPr>
            <w:r>
              <w:rPr>
                <w:rFonts w:hint="eastAsia"/>
                <w:color w:val="auto"/>
              </w:rPr>
              <w:t>系统需支持依据诊断知识库的关联自动产生患者诊断的建议护理措施，应支持护士可以依据临床经验和知识对措施进行增改，针对可选的措施可以进行删除操作。需支持自动产生诊断所属预期目标，且针对目标护士可以进行维护，完成护理计划的创建。</w:t>
            </w:r>
          </w:p>
          <w:p w14:paraId="4792CB0C">
            <w:pPr>
              <w:pStyle w:val="18"/>
              <w:rPr>
                <w:color w:val="auto"/>
              </w:rPr>
            </w:pPr>
            <w:r>
              <w:rPr>
                <w:rFonts w:hint="eastAsia"/>
                <w:color w:val="auto"/>
              </w:rPr>
              <w:t>（2）护理计划管理追踪</w:t>
            </w:r>
          </w:p>
          <w:p w14:paraId="65845F80">
            <w:pPr>
              <w:pStyle w:val="18"/>
              <w:rPr>
                <w:color w:val="auto"/>
              </w:rPr>
            </w:pPr>
            <w:r>
              <w:rPr>
                <w:rFonts w:hint="eastAsia"/>
                <w:color w:val="auto"/>
              </w:rPr>
              <w:t>系统需支持显示患者正在跟踪发生的护理问题，执行的护理措施、评价的预期目标，评价护理计划的结束状态。也应支持查询历史护理问题完成情况和执行清单。</w:t>
            </w:r>
          </w:p>
          <w:p w14:paraId="2250B108">
            <w:pPr>
              <w:pStyle w:val="18"/>
              <w:rPr>
                <w:color w:val="auto"/>
              </w:rPr>
            </w:pPr>
            <w:r>
              <w:rPr>
                <w:rFonts w:hint="eastAsia"/>
                <w:color w:val="auto"/>
              </w:rPr>
              <w:t>4.患者护理措施管理</w:t>
            </w:r>
          </w:p>
          <w:p w14:paraId="0CA4393B">
            <w:pPr>
              <w:pStyle w:val="18"/>
              <w:rPr>
                <w:color w:val="auto"/>
              </w:rPr>
            </w:pPr>
            <w:r>
              <w:rPr>
                <w:rFonts w:hint="eastAsia"/>
                <w:color w:val="auto"/>
              </w:rPr>
              <w:t>系统需提供患者护理措施的跟踪管理功能。需支持进行护理措施制定的规则校验，需支持查看患者的护理措施执行情况，需支持在PC端进行护理措施的执行和批量执行操作。</w:t>
            </w:r>
          </w:p>
          <w:p w14:paraId="13343E30">
            <w:pPr>
              <w:pStyle w:val="18"/>
              <w:rPr>
                <w:color w:val="auto"/>
              </w:rPr>
            </w:pPr>
            <w:r>
              <w:rPr>
                <w:rFonts w:hint="eastAsia"/>
                <w:color w:val="auto"/>
              </w:rPr>
              <w:t>（1）护理措施浏览</w:t>
            </w:r>
          </w:p>
          <w:p w14:paraId="5642824A">
            <w:pPr>
              <w:pStyle w:val="18"/>
              <w:rPr>
                <w:color w:val="auto"/>
              </w:rPr>
            </w:pPr>
            <w:r>
              <w:rPr>
                <w:rFonts w:hint="eastAsia"/>
                <w:color w:val="auto"/>
              </w:rPr>
              <w:t>系统需支持按照护理诊断查看当前患者所有需执行的护理措施，也可以通过措施一览表展现当前所有待执行的护理措施。</w:t>
            </w:r>
          </w:p>
          <w:p w14:paraId="508D3C54">
            <w:pPr>
              <w:pStyle w:val="18"/>
              <w:rPr>
                <w:color w:val="auto"/>
              </w:rPr>
            </w:pPr>
            <w:r>
              <w:rPr>
                <w:rFonts w:hint="eastAsia"/>
                <w:color w:val="auto"/>
              </w:rPr>
              <w:t>（2）护理措施校验规则</w:t>
            </w:r>
          </w:p>
          <w:p w14:paraId="55504E7C">
            <w:pPr>
              <w:pStyle w:val="18"/>
              <w:rPr>
                <w:color w:val="auto"/>
              </w:rPr>
            </w:pPr>
            <w:r>
              <w:rPr>
                <w:rFonts w:hint="eastAsia"/>
                <w:color w:val="auto"/>
              </w:rPr>
              <w:t>系统需支持为护理措施制定规则校验，用于护理措施制定必选项目判断进行选择。</w:t>
            </w:r>
          </w:p>
          <w:p w14:paraId="04DFE170">
            <w:pPr>
              <w:pStyle w:val="18"/>
              <w:rPr>
                <w:color w:val="auto"/>
              </w:rPr>
            </w:pPr>
            <w:r>
              <w:rPr>
                <w:rFonts w:hint="eastAsia"/>
                <w:color w:val="auto"/>
              </w:rPr>
              <w:t>（3）措施执行管理</w:t>
            </w:r>
          </w:p>
          <w:p w14:paraId="1BD838DE">
            <w:pPr>
              <w:pStyle w:val="18"/>
              <w:rPr>
                <w:color w:val="auto"/>
              </w:rPr>
            </w:pPr>
            <w:r>
              <w:rPr>
                <w:rFonts w:hint="eastAsia"/>
                <w:color w:val="auto"/>
              </w:rPr>
              <w:t>系统需支持执行措施的操作，需能够记录措施执行时间和执行人信息，需支持显示措施执行状态标记、措施执行时间、次数、执行人。系统需支持措施的批量执行操作。</w:t>
            </w:r>
          </w:p>
          <w:p w14:paraId="510A5272">
            <w:pPr>
              <w:pStyle w:val="18"/>
              <w:rPr>
                <w:color w:val="auto"/>
              </w:rPr>
            </w:pPr>
            <w:r>
              <w:rPr>
                <w:rFonts w:hint="eastAsia"/>
                <w:color w:val="auto"/>
              </w:rPr>
              <w:t>5.护理目标评价管理</w:t>
            </w:r>
          </w:p>
          <w:p w14:paraId="1409C94A">
            <w:pPr>
              <w:pStyle w:val="18"/>
              <w:rPr>
                <w:color w:val="auto"/>
              </w:rPr>
            </w:pPr>
            <w:r>
              <w:rPr>
                <w:rFonts w:hint="eastAsia"/>
                <w:color w:val="auto"/>
              </w:rPr>
              <w:t>护理目标评价主要用于对患者的预期目标进行评价。系统需支持护理措施执行完成后，护士评价是否达成预期目标，从而判断是否需要调整护理计划。需支持护士对计划的结束状态进行评价。</w:t>
            </w:r>
          </w:p>
          <w:p w14:paraId="567BE89C">
            <w:pPr>
              <w:pStyle w:val="18"/>
              <w:rPr>
                <w:color w:val="auto"/>
              </w:rPr>
            </w:pPr>
            <w:r>
              <w:rPr>
                <w:rFonts w:hint="eastAsia"/>
                <w:color w:val="auto"/>
              </w:rPr>
              <w:t>系统需支持依据预期目标的达成情况进行预期目标的评价，护士可以通过评价结果来进行诊断计划的中止。系统需支持对评价原因的录入。</w:t>
            </w:r>
          </w:p>
          <w:p w14:paraId="6A978282">
            <w:pPr>
              <w:pStyle w:val="18"/>
              <w:rPr>
                <w:color w:val="auto"/>
              </w:rPr>
            </w:pPr>
            <w:r>
              <w:rPr>
                <w:rFonts w:hint="eastAsia"/>
                <w:color w:val="auto"/>
              </w:rPr>
              <w:t>6.无纸化支持</w:t>
            </w:r>
          </w:p>
          <w:p w14:paraId="5176AD43">
            <w:pPr>
              <w:pStyle w:val="18"/>
              <w:rPr>
                <w:color w:val="auto"/>
              </w:rPr>
            </w:pPr>
            <w:r>
              <w:rPr>
                <w:rFonts w:hint="eastAsia"/>
                <w:color w:val="auto"/>
              </w:rPr>
              <w:t>系统应支持护理计划制定和执行后，能够自动生成患者的护理计划单和执行记录单，支持无纸化归档。</w:t>
            </w:r>
          </w:p>
          <w:p w14:paraId="50E1BCBB">
            <w:pPr>
              <w:pStyle w:val="18"/>
              <w:rPr>
                <w:color w:val="auto"/>
              </w:rPr>
            </w:pPr>
            <w:r>
              <w:rPr>
                <w:rFonts w:hint="eastAsia"/>
                <w:color w:val="auto"/>
              </w:rPr>
              <w:t>（1）护理PIO计划单</w:t>
            </w:r>
          </w:p>
          <w:p w14:paraId="7F122028">
            <w:pPr>
              <w:pStyle w:val="18"/>
              <w:rPr>
                <w:color w:val="auto"/>
              </w:rPr>
            </w:pPr>
            <w:r>
              <w:rPr>
                <w:rFonts w:hint="eastAsia"/>
                <w:color w:val="auto"/>
              </w:rPr>
              <w:t>系统需支持患者的PIO护理计划单的自动生成和展示功能。</w:t>
            </w:r>
          </w:p>
          <w:p w14:paraId="756890A5">
            <w:pPr>
              <w:pStyle w:val="18"/>
              <w:rPr>
                <w:color w:val="auto"/>
              </w:rPr>
            </w:pPr>
            <w:r>
              <w:rPr>
                <w:rFonts w:hint="eastAsia"/>
                <w:color w:val="auto"/>
              </w:rPr>
              <w:t>（2）护理PIO记录单</w:t>
            </w:r>
          </w:p>
          <w:p w14:paraId="4781FC5B">
            <w:pPr>
              <w:pStyle w:val="18"/>
              <w:rPr>
                <w:color w:val="auto"/>
              </w:rPr>
            </w:pPr>
            <w:r>
              <w:rPr>
                <w:rFonts w:hint="eastAsia"/>
                <w:color w:val="auto"/>
              </w:rPr>
              <w:t>系统需支持患者的PIO护理记录单的自动生成和展示功能。</w:t>
            </w:r>
          </w:p>
          <w:p w14:paraId="60BB16FC">
            <w:pPr>
              <w:pStyle w:val="18"/>
              <w:rPr>
                <w:color w:val="auto"/>
              </w:rPr>
            </w:pPr>
            <w:r>
              <w:rPr>
                <w:rFonts w:hint="eastAsia"/>
                <w:color w:val="auto"/>
              </w:rPr>
              <w:t>7.EMR系统智能支持</w:t>
            </w:r>
          </w:p>
          <w:p w14:paraId="046D98EB">
            <w:pPr>
              <w:pStyle w:val="18"/>
              <w:rPr>
                <w:color w:val="auto"/>
              </w:rPr>
            </w:pPr>
            <w:r>
              <w:rPr>
                <w:rFonts w:hint="eastAsia"/>
                <w:color w:val="auto"/>
              </w:rPr>
              <w:t>系统需支持与EMR系统对接，实现体温单的体征数据、护理记录单的体征数据和护理评估单的评估数据作为依据自动生成护理诊断，推导护理计划。系统需支持护理记录单引用的护理措施执行记录和预期目标评价记录可自动生成。</w:t>
            </w:r>
          </w:p>
          <w:p w14:paraId="7B901AE7">
            <w:pPr>
              <w:pStyle w:val="18"/>
              <w:rPr>
                <w:color w:val="auto"/>
              </w:rPr>
            </w:pPr>
            <w:r>
              <w:rPr>
                <w:rFonts w:hint="eastAsia"/>
                <w:color w:val="auto"/>
              </w:rPr>
              <w:t>（1）体温单数据支持</w:t>
            </w:r>
          </w:p>
          <w:p w14:paraId="6264FE36">
            <w:pPr>
              <w:pStyle w:val="18"/>
              <w:rPr>
                <w:color w:val="auto"/>
              </w:rPr>
            </w:pPr>
            <w:r>
              <w:rPr>
                <w:rFonts w:hint="eastAsia"/>
                <w:color w:val="auto"/>
              </w:rPr>
              <w:t>系统需支持根据患者体温单录入的生命体征数据进行护理诊断和护理计划制定的功能。</w:t>
            </w:r>
          </w:p>
          <w:p w14:paraId="577945D7">
            <w:pPr>
              <w:pStyle w:val="18"/>
              <w:rPr>
                <w:color w:val="auto"/>
              </w:rPr>
            </w:pPr>
            <w:r>
              <w:rPr>
                <w:rFonts w:hint="eastAsia"/>
                <w:color w:val="auto"/>
              </w:rPr>
              <w:t>（2）护理评估单数据支持</w:t>
            </w:r>
          </w:p>
          <w:p w14:paraId="62793C58">
            <w:pPr>
              <w:pStyle w:val="18"/>
              <w:rPr>
                <w:color w:val="auto"/>
              </w:rPr>
            </w:pPr>
            <w:r>
              <w:rPr>
                <w:rFonts w:hint="eastAsia"/>
                <w:color w:val="auto"/>
              </w:rPr>
              <w:t>系统需支持根据患者护理评估单的评估内容进行护理诊断和护理计划制定的功能。</w:t>
            </w:r>
          </w:p>
          <w:p w14:paraId="600CE3BE">
            <w:pPr>
              <w:pStyle w:val="18"/>
              <w:rPr>
                <w:color w:val="auto"/>
              </w:rPr>
            </w:pPr>
            <w:r>
              <w:rPr>
                <w:rFonts w:hint="eastAsia"/>
                <w:color w:val="auto"/>
              </w:rPr>
              <w:t>（3）护理记录单数据支持</w:t>
            </w:r>
          </w:p>
          <w:p w14:paraId="6989DFD0">
            <w:pPr>
              <w:pStyle w:val="18"/>
              <w:rPr>
                <w:color w:val="auto"/>
              </w:rPr>
            </w:pPr>
            <w:r>
              <w:rPr>
                <w:rFonts w:hint="eastAsia"/>
                <w:color w:val="auto"/>
              </w:rPr>
              <w:t>系统需支持根据患者护理记录单的生命体征数据进行护理诊断和护理计划制定的功能。应支持在填写护理记录单时，能够引用自动同步的护理措施执行记录和预期目标评价记录的功能。</w:t>
            </w:r>
          </w:p>
        </w:tc>
      </w:tr>
    </w:tbl>
    <w:p w14:paraId="1086665C">
      <w:pPr>
        <w:pStyle w:val="4"/>
        <w:numPr>
          <w:ilvl w:val="1"/>
          <w:numId w:val="0"/>
        </w:numPr>
        <w:ind w:left="576" w:leftChars="0" w:hanging="576" w:firstLineChars="0"/>
        <w:rPr>
          <w:color w:val="auto"/>
        </w:rPr>
      </w:pPr>
      <w:bookmarkStart w:id="134" w:name="_Toc208646526"/>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.4</w:t>
      </w:r>
      <w:r>
        <w:rPr>
          <w:rFonts w:hint="eastAsia"/>
          <w:color w:val="auto"/>
        </w:rPr>
        <w:t>实验室信息系统（LIS）</w:t>
      </w:r>
      <w:bookmarkEnd w:id="134"/>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706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0F11A055">
            <w:pPr>
              <w:pStyle w:val="18"/>
              <w:jc w:val="center"/>
              <w:rPr>
                <w:b w:val="0"/>
                <w:color w:val="auto"/>
              </w:rPr>
            </w:pPr>
            <w:r>
              <w:rPr>
                <w:rFonts w:hint="eastAsia"/>
                <w:b/>
                <w:color w:val="auto"/>
              </w:rPr>
              <w:t>系统名称</w:t>
            </w:r>
          </w:p>
        </w:tc>
        <w:tc>
          <w:tcPr>
            <w:tcW w:w="6579" w:type="dxa"/>
            <w:shd w:val="clear" w:color="auto" w:fill="BEBEBE" w:themeFill="background1" w:themeFillShade="BF"/>
            <w:vAlign w:val="center"/>
          </w:tcPr>
          <w:p w14:paraId="3240863E">
            <w:pPr>
              <w:pStyle w:val="18"/>
              <w:rPr>
                <w:b/>
                <w:color w:val="auto"/>
              </w:rPr>
            </w:pPr>
            <w:r>
              <w:rPr>
                <w:rFonts w:hint="eastAsia"/>
                <w:b/>
                <w:color w:val="auto"/>
              </w:rPr>
              <w:t>实验室信息管理系统（LIS）</w:t>
            </w:r>
          </w:p>
        </w:tc>
      </w:tr>
      <w:tr w14:paraId="349D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8DC3C15">
            <w:pPr>
              <w:pStyle w:val="18"/>
              <w:jc w:val="center"/>
              <w:rPr>
                <w:b/>
                <w:bCs/>
                <w:color w:val="auto"/>
              </w:rPr>
            </w:pPr>
            <w:r>
              <w:rPr>
                <w:rFonts w:hint="eastAsia"/>
                <w:b/>
                <w:bCs/>
                <w:color w:val="auto"/>
              </w:rPr>
              <w:t>系统概述</w:t>
            </w:r>
          </w:p>
        </w:tc>
        <w:tc>
          <w:tcPr>
            <w:tcW w:w="6579" w:type="dxa"/>
            <w:vAlign w:val="center"/>
          </w:tcPr>
          <w:p w14:paraId="2E107072">
            <w:pPr>
              <w:pStyle w:val="18"/>
              <w:rPr>
                <w:color w:val="auto"/>
              </w:rPr>
            </w:pPr>
            <w:r>
              <w:rPr>
                <w:rFonts w:hint="eastAsia"/>
                <w:color w:val="auto"/>
              </w:rPr>
              <w:t>对标电子病历（智慧医疗）4级标准进行升级，并实现与相关业务系统的对接，升级需保障医院历史数据的集成及业务的稳定衔接，需满足医院临床科室对信息化功能的应用需求。需对接16台检验设备。</w:t>
            </w:r>
          </w:p>
          <w:p w14:paraId="6332F2EA">
            <w:pPr>
              <w:pStyle w:val="18"/>
              <w:rPr>
                <w:color w:val="auto"/>
              </w:rPr>
            </w:pPr>
            <w:r>
              <w:rPr>
                <w:rFonts w:hint="eastAsia"/>
                <w:color w:val="auto"/>
              </w:rPr>
              <w:t>实验室信息管理系统（LIS）主要服务于医院检验科室，集样本管理、流程管理、资源管理、数据管理、质量控制、报告管理等诸多模块于一体，组成一套完整的、符合实验室综合管理要求的信息管理系统。利用条码管理系统实现对整个标本流程的跟踪，通过对标本前、中、后全流程跟踪管理规范检验工作流程，提高检验结果可靠性和可追溯性。</w:t>
            </w:r>
          </w:p>
        </w:tc>
      </w:tr>
      <w:tr w14:paraId="6EE4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B595CB0">
            <w:pPr>
              <w:pStyle w:val="18"/>
              <w:jc w:val="center"/>
              <w:rPr>
                <w:b/>
                <w:bCs/>
                <w:color w:val="auto"/>
              </w:rPr>
            </w:pPr>
            <w:r>
              <w:rPr>
                <w:rFonts w:hint="eastAsia"/>
                <w:b/>
                <w:bCs/>
                <w:color w:val="auto"/>
              </w:rPr>
              <w:t>子项名称</w:t>
            </w:r>
          </w:p>
        </w:tc>
        <w:tc>
          <w:tcPr>
            <w:tcW w:w="6579" w:type="dxa"/>
            <w:vAlign w:val="center"/>
          </w:tcPr>
          <w:p w14:paraId="1E4597FE">
            <w:pPr>
              <w:pStyle w:val="18"/>
              <w:jc w:val="center"/>
              <w:rPr>
                <w:b/>
                <w:bCs/>
                <w:color w:val="auto"/>
              </w:rPr>
            </w:pPr>
            <w:r>
              <w:rPr>
                <w:rFonts w:hint="eastAsia"/>
                <w:b/>
                <w:bCs/>
                <w:color w:val="auto"/>
              </w:rPr>
              <w:t>技术和功能配置要求</w:t>
            </w:r>
          </w:p>
        </w:tc>
      </w:tr>
      <w:tr w14:paraId="06DD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5C4853D">
            <w:pPr>
              <w:pStyle w:val="18"/>
              <w:jc w:val="center"/>
              <w:rPr>
                <w:b w:val="0"/>
                <w:color w:val="auto"/>
              </w:rPr>
            </w:pPr>
            <w:r>
              <w:rPr>
                <w:rFonts w:hint="eastAsia"/>
                <w:b w:val="0"/>
                <w:color w:val="auto"/>
              </w:rPr>
              <w:t>常规检验</w:t>
            </w:r>
          </w:p>
        </w:tc>
        <w:tc>
          <w:tcPr>
            <w:tcW w:w="6579" w:type="dxa"/>
            <w:vAlign w:val="center"/>
          </w:tcPr>
          <w:p w14:paraId="6F384B40">
            <w:pPr>
              <w:pStyle w:val="18"/>
              <w:rPr>
                <w:color w:val="auto"/>
              </w:rPr>
            </w:pPr>
            <w:r>
              <w:rPr>
                <w:rFonts w:hint="eastAsia"/>
                <w:color w:val="auto"/>
              </w:rPr>
              <w:t>1.样本接收系统</w:t>
            </w:r>
          </w:p>
          <w:p w14:paraId="5DABCB23">
            <w:pPr>
              <w:pStyle w:val="18"/>
              <w:rPr>
                <w:color w:val="auto"/>
              </w:rPr>
            </w:pPr>
            <w:r>
              <w:rPr>
                <w:rFonts w:hint="eastAsia"/>
                <w:color w:val="auto"/>
              </w:rPr>
              <w:t>样本接收分拣操作：用户进入系统后，扫描条码，系统显示对应该条码的检验信息，并可以提示样本应该分配的小组信息。系统更新原数据表，处理接收的操作。</w:t>
            </w:r>
          </w:p>
          <w:p w14:paraId="229CE558">
            <w:pPr>
              <w:pStyle w:val="18"/>
              <w:rPr>
                <w:color w:val="auto"/>
              </w:rPr>
            </w:pPr>
            <w:r>
              <w:rPr>
                <w:rFonts w:hint="eastAsia"/>
                <w:color w:val="auto"/>
              </w:rPr>
              <w:t>2.样本核收系统</w:t>
            </w:r>
          </w:p>
          <w:p w14:paraId="78171C75">
            <w:pPr>
              <w:pStyle w:val="18"/>
              <w:rPr>
                <w:color w:val="auto"/>
              </w:rPr>
            </w:pPr>
            <w:r>
              <w:rPr>
                <w:rFonts w:hint="eastAsia"/>
                <w:color w:val="auto"/>
              </w:rPr>
              <w:t>（1）核收样本（住院）：核收样本为指定检验设备和日期的方式，并确定样本的上机号码，表示样本进入检验流程。</w:t>
            </w:r>
          </w:p>
          <w:p w14:paraId="29ABBD40">
            <w:pPr>
              <w:pStyle w:val="18"/>
              <w:rPr>
                <w:color w:val="auto"/>
              </w:rPr>
            </w:pPr>
            <w:r>
              <w:rPr>
                <w:rFonts w:hint="eastAsia"/>
                <w:color w:val="auto"/>
              </w:rPr>
              <w:t>（2）核收样本（门诊）：门诊样本核收操作，可以在主功能中进行核收操作，减少功能切换的次数。</w:t>
            </w:r>
          </w:p>
          <w:p w14:paraId="3C8806C2">
            <w:pPr>
              <w:pStyle w:val="18"/>
              <w:rPr>
                <w:color w:val="auto"/>
              </w:rPr>
            </w:pPr>
            <w:r>
              <w:rPr>
                <w:rFonts w:hint="eastAsia"/>
                <w:color w:val="auto"/>
              </w:rPr>
              <w:t>（3）核收样本（体检）：同门诊，住院操作模式。</w:t>
            </w:r>
          </w:p>
          <w:p w14:paraId="49781765">
            <w:pPr>
              <w:pStyle w:val="18"/>
              <w:rPr>
                <w:color w:val="auto"/>
              </w:rPr>
            </w:pPr>
            <w:r>
              <w:rPr>
                <w:rFonts w:hint="eastAsia"/>
                <w:color w:val="auto"/>
              </w:rPr>
              <w:t>（4）核收样本时标签打印：微生物检验特殊性，每个微生物检验样本在核收的时候，需要根据检验项目的性质确定打印实验室内标签，且可以重复打印标签的方式。</w:t>
            </w:r>
          </w:p>
          <w:p w14:paraId="1F264C25">
            <w:pPr>
              <w:pStyle w:val="18"/>
              <w:rPr>
                <w:color w:val="auto"/>
              </w:rPr>
            </w:pPr>
            <w:r>
              <w:rPr>
                <w:rFonts w:hint="eastAsia"/>
                <w:color w:val="auto"/>
              </w:rPr>
              <w:t>（5）核收样本时标签打印：微生物检验特殊性，每个微生物检验样本在核收的时候，需要根据检验项目的性质确定打印实验室内标签，且可以重复打印标签的方式。</w:t>
            </w:r>
          </w:p>
          <w:p w14:paraId="1B43E1BD">
            <w:pPr>
              <w:pStyle w:val="18"/>
              <w:rPr>
                <w:color w:val="auto"/>
              </w:rPr>
            </w:pPr>
            <w:r>
              <w:rPr>
                <w:rFonts w:hint="eastAsia"/>
                <w:color w:val="auto"/>
              </w:rPr>
              <w:t>（6）核收清单打印：样本接收核收后，可以对不同患者类型，检查项目，样本号，日期等选择进行清单打印，且可以根据情况选择显示的列和空行，可以地打印的清单根据用户要求排序。</w:t>
            </w:r>
          </w:p>
          <w:p w14:paraId="1637CF47">
            <w:pPr>
              <w:pStyle w:val="18"/>
              <w:rPr>
                <w:color w:val="auto"/>
              </w:rPr>
            </w:pPr>
            <w:r>
              <w:rPr>
                <w:rFonts w:hint="eastAsia"/>
                <w:color w:val="auto"/>
              </w:rPr>
              <w:t>（7）核收样本超时提示：根据设定的项目的超时时限，提示操作人样本是否已经超时，可以核对样本送达情况。</w:t>
            </w:r>
          </w:p>
          <w:p w14:paraId="7617926F">
            <w:pPr>
              <w:pStyle w:val="18"/>
              <w:rPr>
                <w:color w:val="auto"/>
              </w:rPr>
            </w:pPr>
            <w:r>
              <w:rPr>
                <w:rFonts w:hint="eastAsia"/>
                <w:color w:val="auto"/>
              </w:rPr>
              <w:t>（8）不合格样本管理：在样本接收时，就可以获得样本的不合格情况，进入不合格样本功能时，可以将条码所附带的信息直接显示在不合格样本功能中，并要求填写不合格样本的具体原因等信息，以保证后期统计数据的准确性，保存后，系统可以将信息发送给对应的病区。护士处理后会给检验科提醒，保证不合格样本的闭环管理。</w:t>
            </w:r>
          </w:p>
          <w:p w14:paraId="01599CA5">
            <w:pPr>
              <w:pStyle w:val="18"/>
              <w:rPr>
                <w:color w:val="auto"/>
              </w:rPr>
            </w:pPr>
            <w:r>
              <w:rPr>
                <w:rFonts w:hint="eastAsia"/>
                <w:color w:val="auto"/>
              </w:rPr>
              <w:t>（9）核收项目过滤：对于选择的某个设备，可以将对应该设备的检验申请信息直接过滤，而不选择不属于本仪器的检验项目信息。</w:t>
            </w:r>
          </w:p>
          <w:p w14:paraId="65DB2434">
            <w:pPr>
              <w:pStyle w:val="18"/>
              <w:rPr>
                <w:color w:val="auto"/>
              </w:rPr>
            </w:pPr>
            <w:r>
              <w:rPr>
                <w:rFonts w:hint="eastAsia"/>
                <w:color w:val="auto"/>
              </w:rPr>
              <w:t>3.检验样本后处理</w:t>
            </w:r>
          </w:p>
          <w:p w14:paraId="2308DCEC">
            <w:pPr>
              <w:pStyle w:val="18"/>
              <w:rPr>
                <w:color w:val="auto"/>
              </w:rPr>
            </w:pPr>
            <w:r>
              <w:rPr>
                <w:rFonts w:hint="eastAsia"/>
                <w:color w:val="auto"/>
              </w:rPr>
              <w:t>对检验后的样本进行登记：设置冰箱库，存放试管架号，按照顺序对样本进行逐个登记，并对特殊要求的样本（HIV等）进行提示，需要特殊管理。最后可以形成记录清单，导出打印等。对未完成检验流程的样本，提示有未完成的测试，避免操作人出现检验未完成的情况。</w:t>
            </w:r>
          </w:p>
          <w:p w14:paraId="26101C9B">
            <w:pPr>
              <w:pStyle w:val="18"/>
              <w:rPr>
                <w:color w:val="auto"/>
              </w:rPr>
            </w:pPr>
            <w:r>
              <w:rPr>
                <w:rFonts w:hint="eastAsia"/>
                <w:color w:val="auto"/>
              </w:rPr>
              <w:t>4.样本合并，批量处理</w:t>
            </w:r>
          </w:p>
          <w:p w14:paraId="53263C1A">
            <w:pPr>
              <w:pStyle w:val="18"/>
              <w:rPr>
                <w:color w:val="auto"/>
              </w:rPr>
            </w:pPr>
            <w:r>
              <w:rPr>
                <w:rFonts w:hint="eastAsia"/>
                <w:color w:val="auto"/>
              </w:rPr>
              <w:t>（1）普通合并：使用系统定义的规则，对不同仪器的检验样本信息和结果进行合并。</w:t>
            </w:r>
          </w:p>
          <w:p w14:paraId="7CDC8A75">
            <w:pPr>
              <w:pStyle w:val="18"/>
              <w:rPr>
                <w:color w:val="auto"/>
              </w:rPr>
            </w:pPr>
            <w:r>
              <w:rPr>
                <w:rFonts w:hint="eastAsia"/>
                <w:color w:val="auto"/>
              </w:rPr>
              <w:t>（2）糖耐量合并：糖耐量手工合并方式（葡萄糖，C肽，胰岛素）。</w:t>
            </w:r>
          </w:p>
          <w:p w14:paraId="33B8A29D">
            <w:pPr>
              <w:pStyle w:val="18"/>
              <w:rPr>
                <w:color w:val="auto"/>
              </w:rPr>
            </w:pPr>
            <w:r>
              <w:rPr>
                <w:rFonts w:hint="eastAsia"/>
                <w:color w:val="auto"/>
              </w:rPr>
              <w:t>5.样本信息修改</w:t>
            </w:r>
          </w:p>
          <w:p w14:paraId="4D434178">
            <w:pPr>
              <w:pStyle w:val="18"/>
              <w:rPr>
                <w:color w:val="auto"/>
              </w:rPr>
            </w:pPr>
            <w:r>
              <w:rPr>
                <w:rFonts w:hint="eastAsia"/>
                <w:color w:val="auto"/>
              </w:rPr>
              <w:t>（1）样本信息修改：修改样本号，修改对应的仪器信息。</w:t>
            </w:r>
          </w:p>
          <w:p w14:paraId="283369AB">
            <w:pPr>
              <w:pStyle w:val="18"/>
              <w:rPr>
                <w:color w:val="auto"/>
              </w:rPr>
            </w:pPr>
            <w:r>
              <w:rPr>
                <w:rFonts w:hint="eastAsia"/>
                <w:color w:val="auto"/>
              </w:rPr>
              <w:t>（2）样本信息复制：当出现手工录入体检单信息时，可考虑批量生成体检单信息（直接建立在指定的检验设备上，省去多次重复录入的操作）。</w:t>
            </w:r>
          </w:p>
          <w:p w14:paraId="57698D20">
            <w:pPr>
              <w:pStyle w:val="18"/>
              <w:rPr>
                <w:color w:val="auto"/>
              </w:rPr>
            </w:pPr>
            <w:r>
              <w:rPr>
                <w:rFonts w:hint="eastAsia"/>
                <w:color w:val="auto"/>
              </w:rPr>
              <w:t>6.样本信息查看</w:t>
            </w:r>
          </w:p>
          <w:p w14:paraId="0757F3D3">
            <w:pPr>
              <w:pStyle w:val="18"/>
              <w:rPr>
                <w:color w:val="auto"/>
              </w:rPr>
            </w:pPr>
            <w:r>
              <w:rPr>
                <w:rFonts w:hint="eastAsia"/>
                <w:color w:val="auto"/>
              </w:rPr>
              <w:t>翻页：翻页包括：前，后，最前，最后操作。</w:t>
            </w:r>
          </w:p>
          <w:p w14:paraId="5431880B">
            <w:pPr>
              <w:pStyle w:val="18"/>
              <w:rPr>
                <w:color w:val="auto"/>
              </w:rPr>
            </w:pPr>
            <w:r>
              <w:rPr>
                <w:rFonts w:hint="eastAsia"/>
                <w:color w:val="auto"/>
              </w:rPr>
              <w:t>7.样本信息查看主索引</w:t>
            </w:r>
          </w:p>
          <w:p w14:paraId="0B3CF626">
            <w:pPr>
              <w:pStyle w:val="18"/>
              <w:rPr>
                <w:color w:val="auto"/>
              </w:rPr>
            </w:pPr>
            <w:r>
              <w:rPr>
                <w:rFonts w:hint="eastAsia"/>
                <w:color w:val="auto"/>
              </w:rPr>
              <w:t>主索引：检验单查询中以三个条件作为主索引：仪器编码，样本号，日期。同时在主功能中增加一个条码号的显示信息（可以作为门诊条码录入的接口）。</w:t>
            </w:r>
          </w:p>
          <w:p w14:paraId="3CBBD5B7">
            <w:pPr>
              <w:pStyle w:val="18"/>
              <w:rPr>
                <w:color w:val="auto"/>
              </w:rPr>
            </w:pPr>
            <w:r>
              <w:rPr>
                <w:rFonts w:hint="eastAsia"/>
                <w:color w:val="auto"/>
              </w:rPr>
              <w:t>8.样本信息列表</w:t>
            </w:r>
          </w:p>
          <w:p w14:paraId="0D029304">
            <w:pPr>
              <w:pStyle w:val="18"/>
              <w:rPr>
                <w:color w:val="auto"/>
              </w:rPr>
            </w:pPr>
            <w:r>
              <w:rPr>
                <w:rFonts w:hint="eastAsia"/>
                <w:color w:val="auto"/>
              </w:rPr>
              <w:t>1）样本信息列表中可以针对患者类型，样本状态来区分样本的信息</w:t>
            </w:r>
          </w:p>
          <w:p w14:paraId="36CEC982">
            <w:pPr>
              <w:pStyle w:val="18"/>
              <w:rPr>
                <w:color w:val="auto"/>
              </w:rPr>
            </w:pPr>
            <w:r>
              <w:rPr>
                <w:rFonts w:hint="eastAsia"/>
                <w:color w:val="auto"/>
              </w:rPr>
              <w:t>2）列表信息中包含的内容：样本号，检验日期，姓名，项目，床号等信息（可以采用自定义配置方式来决定显示的内容）。</w:t>
            </w:r>
          </w:p>
          <w:p w14:paraId="36155DE3">
            <w:pPr>
              <w:pStyle w:val="18"/>
              <w:rPr>
                <w:color w:val="auto"/>
              </w:rPr>
            </w:pPr>
            <w:r>
              <w:rPr>
                <w:rFonts w:hint="eastAsia"/>
                <w:color w:val="auto"/>
              </w:rPr>
              <w:t>3）不同颜色描述不同的样本信息状态。</w:t>
            </w:r>
          </w:p>
          <w:p w14:paraId="6CBFA940">
            <w:pPr>
              <w:pStyle w:val="18"/>
              <w:rPr>
                <w:color w:val="auto"/>
              </w:rPr>
            </w:pPr>
            <w:r>
              <w:rPr>
                <w:rFonts w:hint="eastAsia"/>
                <w:color w:val="auto"/>
              </w:rPr>
              <w:t>4）双击表格中的样本信息，可以得到样本生命周期内的时间节点，上机测试节点，操作人信息等。</w:t>
            </w:r>
          </w:p>
          <w:p w14:paraId="0FCCE9A6">
            <w:pPr>
              <w:pStyle w:val="18"/>
              <w:rPr>
                <w:color w:val="auto"/>
              </w:rPr>
            </w:pPr>
            <w:r>
              <w:rPr>
                <w:rFonts w:hint="eastAsia"/>
                <w:color w:val="auto"/>
              </w:rPr>
              <w:t>5）列表信息的显示（默认情况下为显示当日的信息）。</w:t>
            </w:r>
          </w:p>
          <w:p w14:paraId="432C4046">
            <w:pPr>
              <w:pStyle w:val="18"/>
              <w:rPr>
                <w:color w:val="auto"/>
              </w:rPr>
            </w:pPr>
            <w:r>
              <w:rPr>
                <w:rFonts w:hint="eastAsia"/>
                <w:color w:val="auto"/>
              </w:rPr>
              <w:t>6）微生物显示方式可以设定显示日期的范围。</w:t>
            </w:r>
          </w:p>
          <w:p w14:paraId="13AA9566">
            <w:pPr>
              <w:pStyle w:val="18"/>
              <w:rPr>
                <w:color w:val="auto"/>
              </w:rPr>
            </w:pPr>
            <w:r>
              <w:rPr>
                <w:rFonts w:hint="eastAsia"/>
                <w:color w:val="auto"/>
              </w:rPr>
              <w:t>7）显示列表中有自动排序功能。</w:t>
            </w:r>
          </w:p>
          <w:p w14:paraId="123226F9">
            <w:pPr>
              <w:pStyle w:val="18"/>
              <w:rPr>
                <w:color w:val="auto"/>
              </w:rPr>
            </w:pPr>
            <w:r>
              <w:rPr>
                <w:rFonts w:hint="eastAsia"/>
                <w:color w:val="auto"/>
              </w:rPr>
              <w:t>8）对于列表的显示，可以设置默认显示，还是隐藏，设置按钮决定是否显示。</w:t>
            </w:r>
          </w:p>
          <w:p w14:paraId="290DEBC9">
            <w:pPr>
              <w:pStyle w:val="18"/>
              <w:rPr>
                <w:color w:val="auto"/>
              </w:rPr>
            </w:pPr>
            <w:r>
              <w:rPr>
                <w:rFonts w:hint="eastAsia"/>
                <w:color w:val="auto"/>
              </w:rPr>
              <w:t>9.患者信息</w:t>
            </w:r>
          </w:p>
          <w:p w14:paraId="161B42E2">
            <w:pPr>
              <w:pStyle w:val="18"/>
              <w:rPr>
                <w:color w:val="auto"/>
              </w:rPr>
            </w:pPr>
            <w:r>
              <w:rPr>
                <w:rFonts w:hint="eastAsia"/>
                <w:color w:val="auto"/>
              </w:rPr>
              <w:t>患者信息：患者信息列表内容包括患者类型（急诊标识）、患者编码（可以获得患者信息）/患者姓名、性别、、年龄（自定义算法（岁，月，周，日，时）、床号、、检查项目、样本类型、样本部位、样本状态、开立科室、开立医生、采样时间、开立时间、诊断信息、备注、样本所在的状态、检验者、联系电话。</w:t>
            </w:r>
          </w:p>
          <w:p w14:paraId="2EE188CE">
            <w:pPr>
              <w:pStyle w:val="18"/>
              <w:rPr>
                <w:color w:val="auto"/>
              </w:rPr>
            </w:pPr>
            <w:r>
              <w:rPr>
                <w:rFonts w:hint="eastAsia"/>
                <w:color w:val="auto"/>
              </w:rPr>
              <w:t>10.检验单录入</w:t>
            </w:r>
          </w:p>
          <w:p w14:paraId="1D4A233A">
            <w:pPr>
              <w:pStyle w:val="18"/>
              <w:rPr>
                <w:color w:val="auto"/>
              </w:rPr>
            </w:pPr>
            <w:r>
              <w:rPr>
                <w:rFonts w:hint="eastAsia"/>
                <w:color w:val="auto"/>
              </w:rPr>
              <w:t>（1）基本信息的获得：通过手工录入患者编号方式，获得该患者基本信息。</w:t>
            </w:r>
          </w:p>
          <w:p w14:paraId="40361A1F">
            <w:pPr>
              <w:pStyle w:val="18"/>
              <w:rPr>
                <w:color w:val="auto"/>
              </w:rPr>
            </w:pPr>
            <w:r>
              <w:rPr>
                <w:rFonts w:hint="eastAsia"/>
                <w:color w:val="auto"/>
              </w:rPr>
              <w:t>（2）医嘱信息：可以通过患者编号，指定的日期获得该患者未处理的医嘱信息。通过手工方式直接录入到检验单中。</w:t>
            </w:r>
          </w:p>
          <w:p w14:paraId="7694FDFC">
            <w:pPr>
              <w:pStyle w:val="18"/>
              <w:rPr>
                <w:color w:val="auto"/>
              </w:rPr>
            </w:pPr>
            <w:r>
              <w:rPr>
                <w:rFonts w:hint="eastAsia"/>
                <w:color w:val="auto"/>
              </w:rPr>
              <w:t>11.检验样本TAT监控</w:t>
            </w:r>
          </w:p>
          <w:p w14:paraId="4CE0ADDF">
            <w:pPr>
              <w:pStyle w:val="18"/>
              <w:rPr>
                <w:color w:val="auto"/>
              </w:rPr>
            </w:pPr>
            <w:r>
              <w:rPr>
                <w:rFonts w:hint="eastAsia"/>
                <w:color w:val="auto"/>
              </w:rPr>
              <w:t>急诊样本超时管理：对于带有急诊标识的检验单从开立医嘱，条码打印，样本采集，送检，接收，核收，核准等信息进行TAT管理，在TAT时间维护完成后，可以实时在大屏幕提示超时标本信息。同时支持报表统计超时信息提示操作人及时处理检验单信息。</w:t>
            </w:r>
          </w:p>
          <w:p w14:paraId="627B31A1">
            <w:pPr>
              <w:pStyle w:val="18"/>
              <w:rPr>
                <w:color w:val="auto"/>
              </w:rPr>
            </w:pPr>
            <w:r>
              <w:rPr>
                <w:rFonts w:hint="eastAsia"/>
                <w:color w:val="auto"/>
              </w:rPr>
              <w:t>12.超时管理</w:t>
            </w:r>
          </w:p>
          <w:p w14:paraId="2B2BE3BA">
            <w:pPr>
              <w:pStyle w:val="18"/>
              <w:rPr>
                <w:color w:val="auto"/>
              </w:rPr>
            </w:pPr>
            <w:r>
              <w:rPr>
                <w:rFonts w:hint="eastAsia"/>
                <w:color w:val="auto"/>
              </w:rPr>
              <w:t>常规样本超时管理：管理模式同上，仅限制时间有差异。超时未送检、超时未接收、超时未核收、超时未审核。</w:t>
            </w:r>
          </w:p>
          <w:p w14:paraId="4DCC222C">
            <w:pPr>
              <w:pStyle w:val="18"/>
              <w:rPr>
                <w:color w:val="auto"/>
              </w:rPr>
            </w:pPr>
            <w:r>
              <w:rPr>
                <w:rFonts w:hint="eastAsia"/>
                <w:color w:val="auto"/>
              </w:rPr>
              <w:t>13.样本号管理</w:t>
            </w:r>
          </w:p>
          <w:p w14:paraId="2B47D664">
            <w:pPr>
              <w:pStyle w:val="18"/>
              <w:rPr>
                <w:color w:val="auto"/>
              </w:rPr>
            </w:pPr>
            <w:r>
              <w:rPr>
                <w:rFonts w:hint="eastAsia"/>
                <w:color w:val="auto"/>
              </w:rPr>
              <w:t>样本号维护：样本号模式采用系统维护方式，针对不同性质的检验情况，使用前缀和序列方式来管理样本号信息。一般管理模式采用与仪器对应的模式。</w:t>
            </w:r>
          </w:p>
          <w:p w14:paraId="7DF87D16">
            <w:pPr>
              <w:pStyle w:val="18"/>
              <w:rPr>
                <w:color w:val="auto"/>
              </w:rPr>
            </w:pPr>
            <w:r>
              <w:rPr>
                <w:rFonts w:hint="eastAsia"/>
                <w:color w:val="auto"/>
              </w:rPr>
              <w:t>14.检验单核准</w:t>
            </w:r>
          </w:p>
          <w:p w14:paraId="40E3AF20">
            <w:pPr>
              <w:pStyle w:val="18"/>
              <w:rPr>
                <w:color w:val="auto"/>
              </w:rPr>
            </w:pPr>
            <w:r>
              <w:rPr>
                <w:rFonts w:hint="eastAsia"/>
                <w:color w:val="auto"/>
              </w:rPr>
              <w:t>（1）人工核准</w:t>
            </w:r>
          </w:p>
          <w:p w14:paraId="79C23B75">
            <w:pPr>
              <w:pStyle w:val="18"/>
              <w:rPr>
                <w:color w:val="auto"/>
              </w:rPr>
            </w:pPr>
            <w:r>
              <w:rPr>
                <w:rFonts w:hint="eastAsia"/>
                <w:color w:val="auto"/>
              </w:rPr>
              <w:t>对检验单可以连续核准，核准操作时，要对结果表进行更新操作。</w:t>
            </w:r>
          </w:p>
          <w:p w14:paraId="2B6FF9BB">
            <w:pPr>
              <w:pStyle w:val="18"/>
              <w:rPr>
                <w:color w:val="auto"/>
              </w:rPr>
            </w:pPr>
            <w:r>
              <w:rPr>
                <w:rFonts w:hint="eastAsia"/>
                <w:color w:val="auto"/>
              </w:rPr>
              <w:t>核准前可以提示输入密码（开关管理）。</w:t>
            </w:r>
          </w:p>
          <w:p w14:paraId="01CC4917">
            <w:pPr>
              <w:pStyle w:val="18"/>
              <w:rPr>
                <w:color w:val="auto"/>
              </w:rPr>
            </w:pPr>
            <w:r>
              <w:rPr>
                <w:rFonts w:hint="eastAsia"/>
                <w:color w:val="auto"/>
              </w:rPr>
              <w:t>核准人和检验人限制是否是同一个人（开关管理）。</w:t>
            </w:r>
          </w:p>
          <w:p w14:paraId="151C95C8">
            <w:pPr>
              <w:pStyle w:val="18"/>
              <w:rPr>
                <w:color w:val="auto"/>
              </w:rPr>
            </w:pPr>
            <w:r>
              <w:rPr>
                <w:rFonts w:hint="eastAsia"/>
                <w:color w:val="auto"/>
              </w:rPr>
              <w:t>危急值出现时，弹出对话框，要求输入信息，发送危急值。</w:t>
            </w:r>
          </w:p>
          <w:p w14:paraId="04AAC366">
            <w:pPr>
              <w:pStyle w:val="18"/>
              <w:rPr>
                <w:color w:val="auto"/>
              </w:rPr>
            </w:pPr>
            <w:r>
              <w:rPr>
                <w:rFonts w:hint="eastAsia"/>
                <w:color w:val="auto"/>
              </w:rPr>
              <w:t>（2）分步核准：分步式报告审核：通过对特殊检验项目的自动分开核收操作，实现对一些特殊检验项目的单独审核，可缩短特殊项目TAT时间，为临床快速提供此类项目的检验报告服务。</w:t>
            </w:r>
          </w:p>
          <w:p w14:paraId="2616CAD7">
            <w:pPr>
              <w:pStyle w:val="18"/>
              <w:rPr>
                <w:color w:val="auto"/>
              </w:rPr>
            </w:pPr>
            <w:r>
              <w:rPr>
                <w:rFonts w:hint="eastAsia"/>
                <w:color w:val="auto"/>
              </w:rPr>
              <w:t>（3）取消核准：</w:t>
            </w:r>
          </w:p>
          <w:p w14:paraId="53706914">
            <w:pPr>
              <w:pStyle w:val="18"/>
              <w:rPr>
                <w:color w:val="auto"/>
              </w:rPr>
            </w:pPr>
            <w:r>
              <w:rPr>
                <w:rFonts w:hint="eastAsia"/>
                <w:color w:val="auto"/>
              </w:rPr>
              <w:t>判断系统中的状态表是否允许取消核准（涉及到其他读取LIS数据的系统）。</w:t>
            </w:r>
          </w:p>
          <w:p w14:paraId="1A7C0F57">
            <w:pPr>
              <w:pStyle w:val="18"/>
              <w:rPr>
                <w:color w:val="auto"/>
              </w:rPr>
            </w:pPr>
            <w:r>
              <w:rPr>
                <w:rFonts w:hint="eastAsia"/>
                <w:color w:val="auto"/>
              </w:rPr>
              <w:t>取消核准时，对取消操作和原始的结果信息进行保存，方便以后核对。</w:t>
            </w:r>
          </w:p>
          <w:p w14:paraId="246545BD">
            <w:pPr>
              <w:pStyle w:val="18"/>
              <w:rPr>
                <w:color w:val="auto"/>
              </w:rPr>
            </w:pPr>
            <w:r>
              <w:rPr>
                <w:rFonts w:hint="eastAsia"/>
                <w:color w:val="auto"/>
              </w:rPr>
              <w:t>15.待查管理</w:t>
            </w:r>
          </w:p>
          <w:p w14:paraId="5C3121ED">
            <w:pPr>
              <w:pStyle w:val="18"/>
              <w:rPr>
                <w:color w:val="auto"/>
              </w:rPr>
            </w:pPr>
            <w:r>
              <w:rPr>
                <w:rFonts w:hint="eastAsia"/>
                <w:color w:val="auto"/>
              </w:rPr>
              <w:t>待查设置：对于存在疑问的检验单，检验员可以进行待查设置，设置颜色，可以设置本人取消，还是授权取消，并对待查设置有数据库记录。</w:t>
            </w:r>
          </w:p>
          <w:p w14:paraId="63EF58C3">
            <w:pPr>
              <w:pStyle w:val="18"/>
              <w:rPr>
                <w:color w:val="auto"/>
              </w:rPr>
            </w:pPr>
            <w:r>
              <w:rPr>
                <w:rFonts w:hint="eastAsia"/>
                <w:color w:val="auto"/>
              </w:rPr>
              <w:t>16.检验单打印</w:t>
            </w:r>
          </w:p>
          <w:p w14:paraId="702D1E9B">
            <w:pPr>
              <w:pStyle w:val="18"/>
              <w:rPr>
                <w:color w:val="auto"/>
              </w:rPr>
            </w:pPr>
            <w:r>
              <w:rPr>
                <w:rFonts w:hint="eastAsia"/>
                <w:color w:val="auto"/>
              </w:rPr>
              <w:t>（1）支持显示检验单即时打印，并可以设置核准后直接打印的开关（考虑设置个人设置）。</w:t>
            </w:r>
          </w:p>
          <w:p w14:paraId="0DFC247C">
            <w:pPr>
              <w:pStyle w:val="18"/>
              <w:rPr>
                <w:color w:val="auto"/>
              </w:rPr>
            </w:pPr>
            <w:r>
              <w:rPr>
                <w:rFonts w:hint="eastAsia"/>
                <w:color w:val="auto"/>
              </w:rPr>
              <w:t>（2）批量打印：可以对已经打印过的检验单设置是否重复打印，避免纸张浪费。</w:t>
            </w:r>
          </w:p>
          <w:p w14:paraId="1D106C69">
            <w:pPr>
              <w:pStyle w:val="18"/>
              <w:rPr>
                <w:color w:val="auto"/>
              </w:rPr>
            </w:pPr>
            <w:r>
              <w:rPr>
                <w:rFonts w:hint="eastAsia"/>
                <w:color w:val="auto"/>
              </w:rPr>
              <w:t>（3）关于打印模式，不再设置打印机纸张格式，而是根据打印模板的高度来决定打印机走纸（针式打印机）。喷墨，激光不考虑。</w:t>
            </w:r>
          </w:p>
          <w:p w14:paraId="1A1BB6F0">
            <w:pPr>
              <w:pStyle w:val="18"/>
              <w:rPr>
                <w:color w:val="auto"/>
              </w:rPr>
            </w:pPr>
            <w:r>
              <w:rPr>
                <w:rFonts w:hint="eastAsia"/>
                <w:color w:val="auto"/>
              </w:rPr>
              <w:t>（4）自助打印时可以查到患者标本的不同状态，对于特殊标本（不合格标本、传染病隐私等）可以给患者不同提醒。</w:t>
            </w:r>
          </w:p>
          <w:p w14:paraId="3445D0E8">
            <w:pPr>
              <w:pStyle w:val="18"/>
              <w:rPr>
                <w:color w:val="auto"/>
              </w:rPr>
            </w:pPr>
            <w:r>
              <w:rPr>
                <w:rFonts w:hint="eastAsia"/>
                <w:color w:val="auto"/>
              </w:rPr>
              <w:t>17.检验结果显示区</w:t>
            </w:r>
          </w:p>
          <w:p w14:paraId="756C2533">
            <w:pPr>
              <w:pStyle w:val="18"/>
              <w:rPr>
                <w:color w:val="auto"/>
              </w:rPr>
            </w:pPr>
            <w:r>
              <w:rPr>
                <w:rFonts w:hint="eastAsia"/>
                <w:color w:val="auto"/>
              </w:rPr>
              <w:t>检验结果显示内容：</w:t>
            </w:r>
          </w:p>
          <w:p w14:paraId="50DC1C53">
            <w:pPr>
              <w:pStyle w:val="18"/>
              <w:rPr>
                <w:color w:val="auto"/>
              </w:rPr>
            </w:pPr>
            <w:r>
              <w:rPr>
                <w:rFonts w:hint="eastAsia"/>
                <w:color w:val="auto"/>
              </w:rPr>
              <w:t>（1）必须显示的有：项目编码，项目名称，项目结果，检验设备。</w:t>
            </w:r>
          </w:p>
          <w:p w14:paraId="27376D4D">
            <w:pPr>
              <w:pStyle w:val="18"/>
              <w:rPr>
                <w:color w:val="auto"/>
              </w:rPr>
            </w:pPr>
            <w:r>
              <w:rPr>
                <w:rFonts w:hint="eastAsia"/>
                <w:color w:val="auto"/>
              </w:rPr>
              <w:t>（2）显示的有：参考范围，单位，结果值高低，仪器结果（复查前结果），前次结果（1，2，3次），历史图像结果（糖耐量图像等），结果双列显示。</w:t>
            </w:r>
          </w:p>
          <w:p w14:paraId="1468F1F3">
            <w:pPr>
              <w:pStyle w:val="18"/>
              <w:rPr>
                <w:color w:val="auto"/>
              </w:rPr>
            </w:pPr>
            <w:r>
              <w:rPr>
                <w:rFonts w:hint="eastAsia"/>
                <w:color w:val="auto"/>
              </w:rPr>
              <w:t>18.危急值管理</w:t>
            </w:r>
          </w:p>
          <w:p w14:paraId="1916BBFD">
            <w:pPr>
              <w:pStyle w:val="18"/>
              <w:rPr>
                <w:color w:val="auto"/>
              </w:rPr>
            </w:pPr>
            <w:r>
              <w:rPr>
                <w:rFonts w:hint="eastAsia"/>
                <w:color w:val="auto"/>
              </w:rPr>
              <w:t>危急值管理：当检验单中出现危急值，系统第一时间在患者信息列显示危急值标本，提示检验员及时处理危急值项目。如果有大屏幕，程序会第一时间将危急值结果显示在大屏幕上。同时系统要求操作人，确认结果无误后，及时发送危急值信息给临床，并且临床确认答复后，给检验科提醒答复信息。若临床超过维护时限没有答复，要提醒检验科没有答复，需要检验科电话通知医生并完成电话记录。保证危急值闭环管理。或者以短信形式，在短信平台上给医生发短信。</w:t>
            </w:r>
          </w:p>
          <w:p w14:paraId="1836A20B">
            <w:pPr>
              <w:pStyle w:val="18"/>
              <w:rPr>
                <w:color w:val="auto"/>
              </w:rPr>
            </w:pPr>
            <w:r>
              <w:rPr>
                <w:rFonts w:hint="eastAsia"/>
                <w:color w:val="auto"/>
              </w:rPr>
              <w:t>19.检验项目添加</w:t>
            </w:r>
          </w:p>
          <w:p w14:paraId="02F33E44">
            <w:pPr>
              <w:pStyle w:val="18"/>
              <w:rPr>
                <w:color w:val="auto"/>
              </w:rPr>
            </w:pPr>
            <w:r>
              <w:rPr>
                <w:rFonts w:hint="eastAsia"/>
                <w:color w:val="auto"/>
              </w:rPr>
              <w:t>（1）检验组套项目添加：对指定的检验单样本号增加某个检查项目。</w:t>
            </w:r>
          </w:p>
          <w:p w14:paraId="48A86801">
            <w:pPr>
              <w:pStyle w:val="18"/>
              <w:rPr>
                <w:color w:val="auto"/>
              </w:rPr>
            </w:pPr>
            <w:r>
              <w:rPr>
                <w:rFonts w:hint="eastAsia"/>
                <w:color w:val="auto"/>
              </w:rPr>
              <w:t>（2）检验明细项目添加：对指定的检验单样本号，批量增加某个检测项目到检验结果表中。</w:t>
            </w:r>
          </w:p>
          <w:p w14:paraId="7FAADC22">
            <w:pPr>
              <w:pStyle w:val="18"/>
              <w:rPr>
                <w:color w:val="auto"/>
              </w:rPr>
            </w:pPr>
            <w:r>
              <w:rPr>
                <w:rFonts w:hint="eastAsia"/>
                <w:color w:val="auto"/>
              </w:rPr>
              <w:t>20.检验结果批量管理</w:t>
            </w:r>
          </w:p>
          <w:p w14:paraId="58CBF92A">
            <w:pPr>
              <w:pStyle w:val="18"/>
              <w:rPr>
                <w:color w:val="auto"/>
              </w:rPr>
            </w:pPr>
            <w:r>
              <w:rPr>
                <w:rFonts w:hint="eastAsia"/>
                <w:color w:val="auto"/>
              </w:rPr>
              <w:t>结果修改：对检验结果根据实际情况进行加减乘除的操作，或者直接确定为某个结果的方式。</w:t>
            </w:r>
          </w:p>
          <w:p w14:paraId="2422A0FE">
            <w:pPr>
              <w:pStyle w:val="18"/>
              <w:rPr>
                <w:color w:val="auto"/>
              </w:rPr>
            </w:pPr>
            <w:r>
              <w:rPr>
                <w:rFonts w:hint="eastAsia"/>
                <w:color w:val="auto"/>
              </w:rPr>
              <w:t>21.项目参考值管理</w:t>
            </w:r>
          </w:p>
          <w:p w14:paraId="5F86F6DB">
            <w:pPr>
              <w:pStyle w:val="18"/>
              <w:rPr>
                <w:color w:val="auto"/>
              </w:rPr>
            </w:pPr>
            <w:r>
              <w:rPr>
                <w:rFonts w:hint="eastAsia"/>
                <w:color w:val="auto"/>
              </w:rPr>
              <w:t>参考值与性别、年龄管理：系统可以根据患者的性别，年龄，使用的样本对参考值，单位等信息进行自动管理。对关于性别，样本与检验项目之间的逻辑性进行系统校验，避免差错出现。</w:t>
            </w:r>
          </w:p>
          <w:p w14:paraId="57B90D71">
            <w:pPr>
              <w:pStyle w:val="18"/>
              <w:rPr>
                <w:color w:val="auto"/>
              </w:rPr>
            </w:pPr>
            <w:r>
              <w:rPr>
                <w:rFonts w:hint="eastAsia"/>
                <w:color w:val="auto"/>
              </w:rPr>
              <w:t>22.图像显示</w:t>
            </w:r>
          </w:p>
          <w:p w14:paraId="714598BE">
            <w:pPr>
              <w:pStyle w:val="18"/>
              <w:rPr>
                <w:color w:val="auto"/>
              </w:rPr>
            </w:pPr>
            <w:r>
              <w:rPr>
                <w:rFonts w:hint="eastAsia"/>
                <w:color w:val="auto"/>
              </w:rPr>
              <w:t>检验图像显示：对于血常规，尿常规，电泳，血粘度等项目进行图像显示。图像的大小，显示的数量，顺序，可以自由设置。</w:t>
            </w:r>
          </w:p>
          <w:p w14:paraId="1601920F">
            <w:pPr>
              <w:pStyle w:val="18"/>
              <w:rPr>
                <w:color w:val="auto"/>
              </w:rPr>
            </w:pPr>
            <w:r>
              <w:rPr>
                <w:rFonts w:hint="eastAsia"/>
                <w:color w:val="auto"/>
              </w:rPr>
              <w:t>23.复查/复检</w:t>
            </w:r>
          </w:p>
          <w:p w14:paraId="554D059E">
            <w:pPr>
              <w:pStyle w:val="18"/>
              <w:rPr>
                <w:color w:val="auto"/>
              </w:rPr>
            </w:pPr>
            <w:r>
              <w:rPr>
                <w:rFonts w:hint="eastAsia"/>
                <w:color w:val="auto"/>
              </w:rPr>
              <w:t>项目复查：检验员可以根据检验项目中的值，判断项目是否需要进行复查，镜检等。在系统登记复查后，双向仪器支持自动双向复查，同时支持自动稀释复查。</w:t>
            </w:r>
          </w:p>
        </w:tc>
      </w:tr>
      <w:tr w14:paraId="51A3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3BD1745">
            <w:pPr>
              <w:pStyle w:val="18"/>
              <w:jc w:val="center"/>
              <w:rPr>
                <w:b w:val="0"/>
                <w:color w:val="auto"/>
              </w:rPr>
            </w:pPr>
            <w:r>
              <w:rPr>
                <w:rFonts w:hint="eastAsia"/>
                <w:b w:val="0"/>
                <w:color w:val="auto"/>
              </w:rPr>
              <w:t>微生物检验</w:t>
            </w:r>
          </w:p>
        </w:tc>
        <w:tc>
          <w:tcPr>
            <w:tcW w:w="6579" w:type="dxa"/>
            <w:vAlign w:val="center"/>
          </w:tcPr>
          <w:p w14:paraId="3832ABC0">
            <w:pPr>
              <w:pStyle w:val="18"/>
              <w:rPr>
                <w:color w:val="auto"/>
              </w:rPr>
            </w:pPr>
            <w:r>
              <w:rPr>
                <w:rFonts w:hint="eastAsia"/>
                <w:color w:val="auto"/>
              </w:rPr>
              <w:t>1.微生物信息分类</w:t>
            </w:r>
          </w:p>
          <w:p w14:paraId="0AF3BDFE">
            <w:pPr>
              <w:pStyle w:val="18"/>
              <w:rPr>
                <w:color w:val="auto"/>
              </w:rPr>
            </w:pPr>
            <w:r>
              <w:rPr>
                <w:rFonts w:hint="eastAsia"/>
                <w:color w:val="auto"/>
              </w:rPr>
              <w:t>1）微生物分类：通过微生物分类操作，可以通过类别的选择来获得选择微生物和抗生素的组合信息，提高操作效率。</w:t>
            </w:r>
          </w:p>
          <w:p w14:paraId="43CC7990">
            <w:pPr>
              <w:pStyle w:val="18"/>
              <w:rPr>
                <w:color w:val="auto"/>
              </w:rPr>
            </w:pPr>
            <w:r>
              <w:rPr>
                <w:rFonts w:hint="eastAsia"/>
                <w:color w:val="auto"/>
              </w:rPr>
              <w:t>2.微生物信息维护</w:t>
            </w:r>
          </w:p>
          <w:p w14:paraId="16605D4F">
            <w:pPr>
              <w:pStyle w:val="18"/>
              <w:rPr>
                <w:color w:val="auto"/>
              </w:rPr>
            </w:pPr>
            <w:r>
              <w:rPr>
                <w:rFonts w:hint="eastAsia"/>
                <w:color w:val="auto"/>
              </w:rPr>
              <w:t>微生物基本信息与标准编码信息对照，包含内容：</w:t>
            </w:r>
          </w:p>
          <w:p w14:paraId="09E86AEE">
            <w:pPr>
              <w:pStyle w:val="18"/>
              <w:rPr>
                <w:color w:val="auto"/>
              </w:rPr>
            </w:pPr>
            <w:r>
              <w:rPr>
                <w:rFonts w:hint="eastAsia"/>
                <w:color w:val="auto"/>
              </w:rPr>
              <w:t>（1）微生物基本信息的维护</w:t>
            </w:r>
          </w:p>
          <w:p w14:paraId="345AEE06">
            <w:pPr>
              <w:pStyle w:val="18"/>
              <w:rPr>
                <w:color w:val="auto"/>
              </w:rPr>
            </w:pPr>
            <w:r>
              <w:rPr>
                <w:rFonts w:hint="eastAsia"/>
                <w:color w:val="auto"/>
              </w:rPr>
              <w:t>（2）微生物性质特征信息（仪器编码，中文名，英文名，项目编码，标准编码，性状信息（性状，透明度，染色等）</w:t>
            </w:r>
          </w:p>
          <w:p w14:paraId="1F6A338C">
            <w:pPr>
              <w:pStyle w:val="18"/>
              <w:rPr>
                <w:color w:val="auto"/>
              </w:rPr>
            </w:pPr>
            <w:r>
              <w:rPr>
                <w:rFonts w:hint="eastAsia"/>
                <w:color w:val="auto"/>
              </w:rPr>
              <w:t>3.抗生素信息维护</w:t>
            </w:r>
          </w:p>
          <w:p w14:paraId="484853C1">
            <w:pPr>
              <w:pStyle w:val="18"/>
              <w:rPr>
                <w:color w:val="auto"/>
              </w:rPr>
            </w:pPr>
            <w:r>
              <w:rPr>
                <w:rFonts w:hint="eastAsia"/>
                <w:color w:val="auto"/>
              </w:rPr>
              <w:t>抗生素基本信息与标准编码对照信息：通过标准编码的对照操作，可完成数据共享操作和WHONET数据导入功能</w:t>
            </w:r>
          </w:p>
          <w:p w14:paraId="19C20169">
            <w:pPr>
              <w:pStyle w:val="18"/>
              <w:rPr>
                <w:color w:val="auto"/>
              </w:rPr>
            </w:pPr>
            <w:r>
              <w:rPr>
                <w:rFonts w:hint="eastAsia"/>
                <w:color w:val="auto"/>
              </w:rPr>
              <w:t>4.微生物抗生素信息对照</w:t>
            </w:r>
          </w:p>
          <w:p w14:paraId="42BCDB02">
            <w:pPr>
              <w:pStyle w:val="18"/>
              <w:rPr>
                <w:color w:val="auto"/>
              </w:rPr>
            </w:pPr>
            <w:r>
              <w:rPr>
                <w:rFonts w:hint="eastAsia"/>
                <w:color w:val="auto"/>
              </w:rPr>
              <w:t>（1）对KB法中的微生物类别和使用的常见药信息进行药敏信息对照（定义RIS界限信息）</w:t>
            </w:r>
          </w:p>
          <w:p w14:paraId="622AA89A">
            <w:pPr>
              <w:pStyle w:val="18"/>
              <w:rPr>
                <w:color w:val="auto"/>
              </w:rPr>
            </w:pPr>
            <w:r>
              <w:rPr>
                <w:rFonts w:hint="eastAsia"/>
                <w:color w:val="auto"/>
              </w:rPr>
              <w:t>（2）可以提供对与手工MIC法的对照方式.</w:t>
            </w:r>
          </w:p>
          <w:p w14:paraId="199303B9">
            <w:pPr>
              <w:pStyle w:val="18"/>
              <w:rPr>
                <w:color w:val="auto"/>
              </w:rPr>
            </w:pPr>
            <w:r>
              <w:rPr>
                <w:rFonts w:hint="eastAsia"/>
                <w:color w:val="auto"/>
              </w:rPr>
              <w:t>5.微生物质控</w:t>
            </w:r>
          </w:p>
          <w:p w14:paraId="380299A3">
            <w:pPr>
              <w:pStyle w:val="18"/>
              <w:rPr>
                <w:color w:val="auto"/>
              </w:rPr>
            </w:pPr>
            <w:r>
              <w:rPr>
                <w:rFonts w:hint="eastAsia"/>
                <w:color w:val="auto"/>
              </w:rPr>
              <w:t>药敏纸片质控：通过对标准的菌种的测试达到对药敏纸片的质量控制管理</w:t>
            </w:r>
          </w:p>
          <w:p w14:paraId="56CCDC5A">
            <w:pPr>
              <w:pStyle w:val="18"/>
              <w:rPr>
                <w:color w:val="auto"/>
              </w:rPr>
            </w:pPr>
            <w:r>
              <w:rPr>
                <w:rFonts w:hint="eastAsia"/>
                <w:color w:val="auto"/>
              </w:rPr>
              <w:t>6.样本接收和核收</w:t>
            </w:r>
          </w:p>
          <w:p w14:paraId="0C2E563E">
            <w:pPr>
              <w:pStyle w:val="18"/>
              <w:rPr>
                <w:color w:val="auto"/>
              </w:rPr>
            </w:pPr>
            <w:r>
              <w:rPr>
                <w:rFonts w:hint="eastAsia"/>
                <w:color w:val="auto"/>
              </w:rPr>
              <w:t>（1）检验样本排号规则管理</w:t>
            </w:r>
          </w:p>
          <w:p w14:paraId="68AF516D">
            <w:pPr>
              <w:pStyle w:val="18"/>
              <w:rPr>
                <w:color w:val="auto"/>
              </w:rPr>
            </w:pPr>
            <w:r>
              <w:rPr>
                <w:rFonts w:hint="eastAsia"/>
                <w:color w:val="auto"/>
              </w:rPr>
              <w:t>对检验样本接收（确定样本到达检验科，可以进行收费操作），核收操作时，可以根据项目内容进行特定排号规则（定义如下：年月日+“标识”+序号方式，如100729U001标识XXX年X月XX日尿样本001号）。</w:t>
            </w:r>
          </w:p>
          <w:p w14:paraId="28D3B8B0">
            <w:pPr>
              <w:pStyle w:val="18"/>
              <w:rPr>
                <w:color w:val="auto"/>
              </w:rPr>
            </w:pPr>
            <w:r>
              <w:rPr>
                <w:rFonts w:hint="eastAsia"/>
                <w:color w:val="auto"/>
              </w:rPr>
              <w:t>实验室信息要求设计有室内流水编号，用头一个数字来区别尿液、大便、组织、血液、体液、分泌物、性病等标本。</w:t>
            </w:r>
          </w:p>
          <w:p w14:paraId="5D60F59A">
            <w:pPr>
              <w:pStyle w:val="18"/>
              <w:rPr>
                <w:color w:val="auto"/>
              </w:rPr>
            </w:pPr>
            <w:r>
              <w:rPr>
                <w:rFonts w:hint="eastAsia"/>
                <w:color w:val="auto"/>
              </w:rPr>
              <w:t>（2）核收样本时对科室内条码打印</w:t>
            </w:r>
          </w:p>
          <w:p w14:paraId="6BBB0197">
            <w:pPr>
              <w:pStyle w:val="18"/>
              <w:rPr>
                <w:color w:val="auto"/>
              </w:rPr>
            </w:pPr>
            <w:r>
              <w:rPr>
                <w:rFonts w:hint="eastAsia"/>
                <w:color w:val="auto"/>
              </w:rPr>
              <w:t>同时根据检查项目特定，打印出对应这个样本条码号信息；</w:t>
            </w:r>
          </w:p>
          <w:p w14:paraId="0038E63C">
            <w:pPr>
              <w:pStyle w:val="18"/>
              <w:rPr>
                <w:color w:val="auto"/>
              </w:rPr>
            </w:pPr>
            <w:r>
              <w:rPr>
                <w:rFonts w:hint="eastAsia"/>
                <w:color w:val="auto"/>
              </w:rPr>
              <w:t>可以采用128C码的方式进行打印，LIS系统自行定义，打印的数量可以通过项目维护方式进行；</w:t>
            </w:r>
          </w:p>
          <w:p w14:paraId="21E54053">
            <w:pPr>
              <w:pStyle w:val="18"/>
              <w:rPr>
                <w:color w:val="auto"/>
              </w:rPr>
            </w:pPr>
            <w:r>
              <w:rPr>
                <w:rFonts w:hint="eastAsia"/>
                <w:color w:val="auto"/>
              </w:rPr>
              <w:t>标本检测条码是唯一的，在试验室录入信息上要求设有条码打印次数，这样从细菌接种到分离培养、鉴定、药敏过程记录需要贴上条码；</w:t>
            </w:r>
          </w:p>
          <w:p w14:paraId="72E1704A">
            <w:pPr>
              <w:pStyle w:val="18"/>
              <w:rPr>
                <w:color w:val="auto"/>
              </w:rPr>
            </w:pPr>
            <w:r>
              <w:rPr>
                <w:rFonts w:hint="eastAsia"/>
                <w:color w:val="auto"/>
              </w:rPr>
              <w:t>7.患者信息列表显示</w:t>
            </w:r>
          </w:p>
          <w:p w14:paraId="4D9DC1B1">
            <w:pPr>
              <w:pStyle w:val="18"/>
              <w:rPr>
                <w:color w:val="auto"/>
              </w:rPr>
            </w:pPr>
            <w:r>
              <w:rPr>
                <w:rFonts w:hint="eastAsia"/>
                <w:color w:val="auto"/>
              </w:rPr>
              <w:t>（1）根据状态加载不同的患者信息列表：可以根据检验单状态，日期，检验项目类型（血培养），样本类型，患者编号，样本号，条码号等条件来过滤左侧患者信息列表，达到快速查询检验单的目的；</w:t>
            </w:r>
          </w:p>
          <w:p w14:paraId="381C720D">
            <w:pPr>
              <w:pStyle w:val="18"/>
              <w:rPr>
                <w:color w:val="auto"/>
              </w:rPr>
            </w:pPr>
            <w:r>
              <w:rPr>
                <w:rFonts w:hint="eastAsia"/>
                <w:color w:val="auto"/>
              </w:rPr>
              <w:t>（2）补打室内码：在列表位置可以根据选择样本信息，来补打室内码，方便后续的工作流程。</w:t>
            </w:r>
          </w:p>
          <w:p w14:paraId="365032E4">
            <w:pPr>
              <w:pStyle w:val="18"/>
              <w:rPr>
                <w:color w:val="auto"/>
              </w:rPr>
            </w:pPr>
            <w:r>
              <w:rPr>
                <w:rFonts w:hint="eastAsia"/>
                <w:color w:val="auto"/>
              </w:rPr>
              <w:t>8.微生物条码打印</w:t>
            </w:r>
          </w:p>
          <w:p w14:paraId="3DBD2A52">
            <w:pPr>
              <w:pStyle w:val="18"/>
              <w:rPr>
                <w:color w:val="auto"/>
              </w:rPr>
            </w:pPr>
            <w:r>
              <w:rPr>
                <w:rFonts w:hint="eastAsia"/>
                <w:color w:val="auto"/>
              </w:rPr>
              <w:t>血培养瓶对照确认：关于样本采集时器皿与医嘱之间的对照关联，如血培养瓶分为需氧（A）和厌氧（F），瓶子本身是有条码的，那么检验科通过项目与器皿的条码的维护后，然后发放给科室，护士在采集血培养类项目时，需要先对照器皿与医嘱的对应关系，确定无误后，再进行条码的打印操作。</w:t>
            </w:r>
          </w:p>
          <w:p w14:paraId="1D0D6F4C">
            <w:pPr>
              <w:pStyle w:val="18"/>
              <w:rPr>
                <w:color w:val="auto"/>
              </w:rPr>
            </w:pPr>
            <w:r>
              <w:rPr>
                <w:rFonts w:hint="eastAsia"/>
                <w:color w:val="auto"/>
              </w:rPr>
              <w:t>9.样本培养</w:t>
            </w:r>
          </w:p>
          <w:p w14:paraId="2773727B">
            <w:pPr>
              <w:pStyle w:val="18"/>
              <w:rPr>
                <w:color w:val="auto"/>
              </w:rPr>
            </w:pPr>
            <w:r>
              <w:rPr>
                <w:rFonts w:hint="eastAsia"/>
                <w:color w:val="auto"/>
              </w:rPr>
              <w:t>对细菌培养过程，中间结果进行记录。</w:t>
            </w:r>
          </w:p>
          <w:p w14:paraId="12FB912F">
            <w:pPr>
              <w:pStyle w:val="18"/>
              <w:rPr>
                <w:color w:val="auto"/>
              </w:rPr>
            </w:pPr>
            <w:r>
              <w:rPr>
                <w:rFonts w:hint="eastAsia"/>
                <w:color w:val="auto"/>
              </w:rPr>
              <w:t>10.三级报告管理</w:t>
            </w:r>
          </w:p>
          <w:p w14:paraId="57FD69E7">
            <w:pPr>
              <w:pStyle w:val="18"/>
              <w:rPr>
                <w:color w:val="auto"/>
              </w:rPr>
            </w:pPr>
            <w:r>
              <w:rPr>
                <w:rFonts w:hint="eastAsia"/>
                <w:color w:val="auto"/>
              </w:rPr>
              <w:t>血培养的管理：血培养结果自动24小时、48小时阴性报告，如果发现有阳性情况，则自动报告机制停止。</w:t>
            </w:r>
          </w:p>
          <w:p w14:paraId="2FD494BE">
            <w:pPr>
              <w:pStyle w:val="18"/>
              <w:rPr>
                <w:color w:val="auto"/>
              </w:rPr>
            </w:pPr>
            <w:r>
              <w:rPr>
                <w:rFonts w:hint="eastAsia"/>
                <w:color w:val="auto"/>
              </w:rPr>
              <w:t>11.血培养仪</w:t>
            </w:r>
          </w:p>
          <w:p w14:paraId="095AFDFD">
            <w:pPr>
              <w:pStyle w:val="18"/>
              <w:rPr>
                <w:color w:val="auto"/>
              </w:rPr>
            </w:pPr>
            <w:r>
              <w:rPr>
                <w:rFonts w:hint="eastAsia"/>
                <w:color w:val="auto"/>
              </w:rPr>
              <w:t>血培养仪连接：建立血培养连接工作方式，自动读取血培养仪的数据信息，并自动提示操作人员。</w:t>
            </w:r>
          </w:p>
          <w:p w14:paraId="02CE98E6">
            <w:pPr>
              <w:pStyle w:val="18"/>
              <w:rPr>
                <w:color w:val="auto"/>
              </w:rPr>
            </w:pPr>
            <w:r>
              <w:rPr>
                <w:rFonts w:hint="eastAsia"/>
                <w:color w:val="auto"/>
              </w:rPr>
              <w:t>12.细菌鉴定结果处理</w:t>
            </w:r>
          </w:p>
          <w:p w14:paraId="4ACC55B1">
            <w:pPr>
              <w:pStyle w:val="18"/>
              <w:rPr>
                <w:color w:val="auto"/>
              </w:rPr>
            </w:pPr>
            <w:r>
              <w:rPr>
                <w:rFonts w:hint="eastAsia"/>
                <w:color w:val="auto"/>
              </w:rPr>
              <w:t>细菌鉴定结果处理：单独细菌鉴定结果报告发布。</w:t>
            </w:r>
          </w:p>
          <w:p w14:paraId="1C00529A">
            <w:pPr>
              <w:pStyle w:val="18"/>
              <w:rPr>
                <w:color w:val="auto"/>
              </w:rPr>
            </w:pPr>
            <w:r>
              <w:rPr>
                <w:rFonts w:hint="eastAsia"/>
                <w:color w:val="auto"/>
              </w:rPr>
              <w:t>13.检验样本后处理</w:t>
            </w:r>
          </w:p>
          <w:p w14:paraId="536DAC9F">
            <w:pPr>
              <w:pStyle w:val="18"/>
              <w:rPr>
                <w:color w:val="auto"/>
              </w:rPr>
            </w:pPr>
            <w:r>
              <w:rPr>
                <w:rFonts w:hint="eastAsia"/>
                <w:color w:val="auto"/>
              </w:rPr>
              <w:t>对检验后的样本进行登记：设置冰箱库，存放试管架号，按照顺序对样本进行逐个登记，并对特殊要求的样本（HIV等）进行提示，需要特殊管理，最后可以形成记录清单，导出打印等。对未完成检验流程的样本，提示有未完成的测试，避免操作人出现检验未完成的情况。</w:t>
            </w:r>
          </w:p>
          <w:p w14:paraId="31841EF6">
            <w:pPr>
              <w:pStyle w:val="18"/>
              <w:rPr>
                <w:color w:val="auto"/>
              </w:rPr>
            </w:pPr>
            <w:r>
              <w:rPr>
                <w:rFonts w:hint="eastAsia"/>
                <w:color w:val="auto"/>
              </w:rPr>
              <w:t>14.同样本连续出现</w:t>
            </w:r>
          </w:p>
          <w:p w14:paraId="34A49CFC">
            <w:pPr>
              <w:pStyle w:val="18"/>
              <w:rPr>
                <w:color w:val="auto"/>
              </w:rPr>
            </w:pPr>
            <w:r>
              <w:rPr>
                <w:rFonts w:hint="eastAsia"/>
                <w:color w:val="auto"/>
              </w:rPr>
              <w:t>对于已经处理过的鉴定和药敏情况，采用后续样本按照第一次的处理方式进行发布（此时可不做药敏操作），只要进行鉴定即可。</w:t>
            </w:r>
          </w:p>
          <w:p w14:paraId="2A272C51">
            <w:pPr>
              <w:pStyle w:val="18"/>
              <w:rPr>
                <w:color w:val="auto"/>
              </w:rPr>
            </w:pPr>
            <w:r>
              <w:rPr>
                <w:rFonts w:hint="eastAsia"/>
                <w:color w:val="auto"/>
              </w:rPr>
              <w:t>15.药敏测试</w:t>
            </w:r>
          </w:p>
          <w:p w14:paraId="3BDBDED1">
            <w:pPr>
              <w:pStyle w:val="18"/>
              <w:rPr>
                <w:color w:val="auto"/>
              </w:rPr>
            </w:pPr>
            <w:r>
              <w:rPr>
                <w:rFonts w:hint="eastAsia"/>
                <w:color w:val="auto"/>
              </w:rPr>
              <w:t>（1）对于KB法的操作和MIC操作的内容进行分类管理；</w:t>
            </w:r>
          </w:p>
          <w:p w14:paraId="7CFFC506">
            <w:pPr>
              <w:pStyle w:val="18"/>
              <w:rPr>
                <w:color w:val="auto"/>
              </w:rPr>
            </w:pPr>
            <w:r>
              <w:rPr>
                <w:rFonts w:hint="eastAsia"/>
                <w:color w:val="auto"/>
              </w:rPr>
              <w:t>（2）结果报告可以KB法，MIC法并存.并可以根据算法计算。</w:t>
            </w:r>
          </w:p>
          <w:p w14:paraId="7B3673DB">
            <w:pPr>
              <w:pStyle w:val="18"/>
              <w:rPr>
                <w:color w:val="auto"/>
              </w:rPr>
            </w:pPr>
            <w:r>
              <w:rPr>
                <w:rFonts w:hint="eastAsia"/>
                <w:color w:val="auto"/>
              </w:rPr>
              <w:t>16.多药敏结果报告发布</w:t>
            </w:r>
          </w:p>
          <w:p w14:paraId="7307A259">
            <w:pPr>
              <w:pStyle w:val="18"/>
              <w:rPr>
                <w:color w:val="auto"/>
              </w:rPr>
            </w:pPr>
            <w:r>
              <w:rPr>
                <w:rFonts w:hint="eastAsia"/>
                <w:color w:val="auto"/>
              </w:rPr>
              <w:t>一个样本发现多个菌株后，可以进行多个样本的细菌鉴定和药敏报告。</w:t>
            </w:r>
          </w:p>
          <w:p w14:paraId="06EC3209">
            <w:pPr>
              <w:pStyle w:val="18"/>
              <w:rPr>
                <w:color w:val="auto"/>
              </w:rPr>
            </w:pPr>
            <w:r>
              <w:rPr>
                <w:rFonts w:hint="eastAsia"/>
                <w:color w:val="auto"/>
              </w:rPr>
              <w:t>17.报告单多中结果并存</w:t>
            </w:r>
          </w:p>
          <w:p w14:paraId="2E4846EE">
            <w:pPr>
              <w:pStyle w:val="18"/>
              <w:rPr>
                <w:color w:val="auto"/>
              </w:rPr>
            </w:pPr>
            <w:r>
              <w:rPr>
                <w:rFonts w:hint="eastAsia"/>
                <w:color w:val="auto"/>
              </w:rPr>
              <w:t>KB法，MIC法结果共存：通过检验设备，手工方法等方式对数据进行传输，录入达到多种结果报告的形式。</w:t>
            </w:r>
          </w:p>
          <w:p w14:paraId="25D5F320">
            <w:pPr>
              <w:pStyle w:val="18"/>
              <w:rPr>
                <w:color w:val="auto"/>
              </w:rPr>
            </w:pPr>
            <w:r>
              <w:rPr>
                <w:rFonts w:hint="eastAsia"/>
                <w:color w:val="auto"/>
              </w:rPr>
              <w:t>18.检验样本状态管理</w:t>
            </w:r>
          </w:p>
          <w:p w14:paraId="1BDCE439">
            <w:pPr>
              <w:pStyle w:val="18"/>
              <w:rPr>
                <w:color w:val="auto"/>
              </w:rPr>
            </w:pPr>
            <w:r>
              <w:rPr>
                <w:rFonts w:hint="eastAsia"/>
                <w:color w:val="auto"/>
              </w:rPr>
              <w:t>检验样本状态：对检验样本状态进行查看，了解检验单当前所在状态。</w:t>
            </w:r>
          </w:p>
          <w:p w14:paraId="042C3122">
            <w:pPr>
              <w:pStyle w:val="18"/>
              <w:rPr>
                <w:color w:val="auto"/>
              </w:rPr>
            </w:pPr>
            <w:r>
              <w:rPr>
                <w:rFonts w:hint="eastAsia"/>
                <w:color w:val="auto"/>
              </w:rPr>
              <w:t>19.接收记录管理</w:t>
            </w:r>
          </w:p>
          <w:p w14:paraId="2E659156">
            <w:pPr>
              <w:pStyle w:val="18"/>
              <w:rPr>
                <w:color w:val="auto"/>
              </w:rPr>
            </w:pPr>
            <w:r>
              <w:rPr>
                <w:rFonts w:hint="eastAsia"/>
                <w:color w:val="auto"/>
              </w:rPr>
              <w:t>接收记录表：信息系统要求能生成当天标本接收记录表（条码号、流水号为检测项目辨认），打印出来第二天跟着流程走，包括细菌涂片、大便培养、血培养、尿培养、组织培养、分泌物培养、性病检测、氧化酶、触酶、血清凝集等检测记录用“√”形式设计。避免因检验时间长、检验方法复杂环节多、人员交班等原因造成的疏漏和差错。</w:t>
            </w:r>
          </w:p>
          <w:p w14:paraId="09855BA0">
            <w:pPr>
              <w:pStyle w:val="18"/>
              <w:rPr>
                <w:color w:val="auto"/>
              </w:rPr>
            </w:pPr>
            <w:r>
              <w:rPr>
                <w:rFonts w:hint="eastAsia"/>
                <w:color w:val="auto"/>
              </w:rPr>
              <w:t>20.历史信息查看</w:t>
            </w:r>
          </w:p>
          <w:p w14:paraId="5C18B242">
            <w:pPr>
              <w:pStyle w:val="18"/>
              <w:rPr>
                <w:color w:val="auto"/>
              </w:rPr>
            </w:pPr>
            <w:r>
              <w:rPr>
                <w:rFonts w:hint="eastAsia"/>
                <w:color w:val="auto"/>
              </w:rPr>
              <w:t>历史结果：根据患者编码信息获得指定的细菌培养的历史记录</w:t>
            </w:r>
          </w:p>
          <w:p w14:paraId="3A7B8377">
            <w:pPr>
              <w:pStyle w:val="18"/>
              <w:rPr>
                <w:color w:val="auto"/>
              </w:rPr>
            </w:pPr>
            <w:r>
              <w:rPr>
                <w:rFonts w:hint="eastAsia"/>
                <w:color w:val="auto"/>
              </w:rPr>
              <w:t>21.空气培养院感系统</w:t>
            </w:r>
          </w:p>
          <w:p w14:paraId="2F6F3EE1">
            <w:pPr>
              <w:pStyle w:val="18"/>
              <w:rPr>
                <w:color w:val="auto"/>
              </w:rPr>
            </w:pPr>
            <w:r>
              <w:rPr>
                <w:rFonts w:hint="eastAsia"/>
                <w:color w:val="auto"/>
              </w:rPr>
              <w:t>通过对院感系统的数据采集，可以发布院感报告。并可以提供院感系统的相关数据接口。</w:t>
            </w:r>
          </w:p>
          <w:p w14:paraId="59CBFEA0">
            <w:pPr>
              <w:pStyle w:val="18"/>
              <w:rPr>
                <w:color w:val="auto"/>
              </w:rPr>
            </w:pPr>
            <w:r>
              <w:rPr>
                <w:rFonts w:hint="eastAsia"/>
                <w:color w:val="auto"/>
              </w:rPr>
              <w:t>22.WHONET接口</w:t>
            </w:r>
          </w:p>
          <w:p w14:paraId="01F42582">
            <w:pPr>
              <w:pStyle w:val="18"/>
              <w:rPr>
                <w:color w:val="auto"/>
              </w:rPr>
            </w:pPr>
            <w:r>
              <w:rPr>
                <w:rFonts w:hint="eastAsia"/>
                <w:color w:val="auto"/>
              </w:rPr>
              <w:t>（1）通过对系统中的药敏结果信息（KB，MIC法）的内容完成接口数据导入；</w:t>
            </w:r>
          </w:p>
          <w:p w14:paraId="0E4F967D">
            <w:pPr>
              <w:pStyle w:val="18"/>
              <w:rPr>
                <w:color w:val="auto"/>
              </w:rPr>
            </w:pPr>
            <w:r>
              <w:rPr>
                <w:rFonts w:hint="eastAsia"/>
                <w:color w:val="auto"/>
              </w:rPr>
              <w:t>（2）通过对WHONET编码的对照，完成数据导入。</w:t>
            </w:r>
          </w:p>
          <w:p w14:paraId="1E4CFDF9">
            <w:pPr>
              <w:pStyle w:val="18"/>
              <w:rPr>
                <w:color w:val="auto"/>
              </w:rPr>
            </w:pPr>
            <w:r>
              <w:rPr>
                <w:rFonts w:hint="eastAsia"/>
                <w:color w:val="auto"/>
              </w:rPr>
              <w:t>23.EMR/HIS与LIS接口</w:t>
            </w:r>
          </w:p>
          <w:p w14:paraId="0AB80BA8">
            <w:pPr>
              <w:pStyle w:val="18"/>
              <w:rPr>
                <w:color w:val="auto"/>
              </w:rPr>
            </w:pPr>
            <w:r>
              <w:rPr>
                <w:rFonts w:hint="eastAsia"/>
                <w:color w:val="auto"/>
              </w:rPr>
              <w:t>提供患者用药，诊断的相关信息：EMR接口信息，检验科可通过LIS中的按钮方式查询到患者的本次入院诊断，病程记录，用药情况，病历首页等内容.（检验科可根据药敏的情况和当前患者的用药情况，来决定是否发送消息给临床的医生（或者以短信的方式进行）</w:t>
            </w:r>
          </w:p>
        </w:tc>
      </w:tr>
      <w:tr w14:paraId="35DF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8409EB3">
            <w:pPr>
              <w:pStyle w:val="18"/>
              <w:jc w:val="center"/>
              <w:rPr>
                <w:b w:val="0"/>
                <w:color w:val="auto"/>
              </w:rPr>
            </w:pPr>
            <w:r>
              <w:rPr>
                <w:rFonts w:hint="eastAsia"/>
                <w:b w:val="0"/>
                <w:color w:val="auto"/>
              </w:rPr>
              <w:t>酶标检验</w:t>
            </w:r>
          </w:p>
        </w:tc>
        <w:tc>
          <w:tcPr>
            <w:tcW w:w="6579" w:type="dxa"/>
            <w:vAlign w:val="center"/>
          </w:tcPr>
          <w:p w14:paraId="02150768">
            <w:pPr>
              <w:pStyle w:val="18"/>
              <w:rPr>
                <w:color w:val="auto"/>
              </w:rPr>
            </w:pPr>
            <w:r>
              <w:rPr>
                <w:rFonts w:hint="eastAsia"/>
                <w:color w:val="auto"/>
              </w:rPr>
              <w:t>1.酶标检验基本功能模块</w:t>
            </w:r>
          </w:p>
          <w:p w14:paraId="7BC9D41B">
            <w:pPr>
              <w:pStyle w:val="18"/>
              <w:rPr>
                <w:color w:val="auto"/>
              </w:rPr>
            </w:pPr>
            <w:r>
              <w:rPr>
                <w:rFonts w:hint="eastAsia"/>
                <w:color w:val="auto"/>
              </w:rPr>
              <w:t>（1）与酶标仪双向通信（仪器本身支持）：可软件控制测试方式、单双波长及滤光片切换、进板方式、抖动方式等。</w:t>
            </w:r>
          </w:p>
          <w:p w14:paraId="08DAF9EA">
            <w:pPr>
              <w:pStyle w:val="18"/>
              <w:rPr>
                <w:color w:val="auto"/>
              </w:rPr>
            </w:pPr>
            <w:r>
              <w:rPr>
                <w:rFonts w:hint="eastAsia"/>
                <w:color w:val="auto"/>
              </w:rPr>
              <w:t>（2）酶标检验结果处理：自动进板，自动计算结果（吸光度，CutOff值，定性值、定量值），保存全部相关信息及原始结果，查看患者历史结果进行比对，各种特殊结果提醒</w:t>
            </w:r>
          </w:p>
          <w:p w14:paraId="53B231FD">
            <w:pPr>
              <w:pStyle w:val="18"/>
              <w:rPr>
                <w:color w:val="auto"/>
              </w:rPr>
            </w:pPr>
            <w:r>
              <w:rPr>
                <w:rFonts w:hint="eastAsia"/>
                <w:color w:val="auto"/>
              </w:rPr>
              <w:t>（3）酶标原始结果处理：随时查看原始板信息，并可以不同格式导出或打印原始板布局信息表。</w:t>
            </w:r>
          </w:p>
          <w:p w14:paraId="7634A8A6">
            <w:pPr>
              <w:pStyle w:val="18"/>
              <w:rPr>
                <w:color w:val="auto"/>
              </w:rPr>
            </w:pPr>
            <w:r>
              <w:rPr>
                <w:rFonts w:hint="eastAsia"/>
                <w:color w:val="auto"/>
              </w:rPr>
              <w:t>2.酶标板布局</w:t>
            </w:r>
          </w:p>
          <w:p w14:paraId="5D36DE2A">
            <w:pPr>
              <w:pStyle w:val="18"/>
              <w:rPr>
                <w:color w:val="auto"/>
              </w:rPr>
            </w:pPr>
            <w:r>
              <w:rPr>
                <w:rFonts w:hint="eastAsia"/>
                <w:color w:val="auto"/>
              </w:rPr>
              <w:t>（1）批量排号布局：可区域选择、单点选择、横排、竖排、混排、自动样本号、多阴阳性对照点、多质控点等。</w:t>
            </w:r>
          </w:p>
          <w:p w14:paraId="1CF5E6D3">
            <w:pPr>
              <w:pStyle w:val="18"/>
              <w:rPr>
                <w:color w:val="auto"/>
              </w:rPr>
            </w:pPr>
            <w:r>
              <w:rPr>
                <w:rFonts w:hint="eastAsia"/>
                <w:color w:val="auto"/>
              </w:rPr>
              <w:t>（2）单板多项目：在一张12X8板内，可放置多项目，任意位置，自动计算各项目结果。</w:t>
            </w:r>
          </w:p>
          <w:p w14:paraId="20A4DFE8">
            <w:pPr>
              <w:pStyle w:val="18"/>
              <w:rPr>
                <w:color w:val="auto"/>
              </w:rPr>
            </w:pPr>
            <w:r>
              <w:rPr>
                <w:rFonts w:hint="eastAsia"/>
                <w:color w:val="auto"/>
              </w:rPr>
              <w:t>（3）布局模式保存：随时可以保存或调用布局，方便快捷排板。</w:t>
            </w:r>
          </w:p>
          <w:p w14:paraId="702E840C">
            <w:pPr>
              <w:pStyle w:val="18"/>
              <w:rPr>
                <w:color w:val="auto"/>
              </w:rPr>
            </w:pPr>
            <w:r>
              <w:rPr>
                <w:rFonts w:hint="eastAsia"/>
                <w:color w:val="auto"/>
              </w:rPr>
              <w:t>3.酶标参数维护</w:t>
            </w:r>
          </w:p>
          <w:p w14:paraId="438CA61D">
            <w:pPr>
              <w:pStyle w:val="18"/>
              <w:rPr>
                <w:color w:val="auto"/>
              </w:rPr>
            </w:pPr>
            <w:r>
              <w:rPr>
                <w:rFonts w:hint="eastAsia"/>
                <w:color w:val="auto"/>
              </w:rPr>
              <w:t>（1）试剂与项目对照：维护各厂家试剂与测试项目的关系，当前在用试剂调整。</w:t>
            </w:r>
          </w:p>
          <w:p w14:paraId="05CD73CA">
            <w:pPr>
              <w:pStyle w:val="18"/>
              <w:rPr>
                <w:color w:val="auto"/>
              </w:rPr>
            </w:pPr>
            <w:r>
              <w:rPr>
                <w:rFonts w:hint="eastAsia"/>
                <w:color w:val="auto"/>
              </w:rPr>
              <w:t>（2）定性计算公式：维护CutOff公式、阴性对照公式、阳性对照公式、弱阳性对照公式、阴性对照最小值、阴性对照最大值、阳性对照最小值、阳性对照最大值等。</w:t>
            </w:r>
          </w:p>
        </w:tc>
      </w:tr>
      <w:tr w14:paraId="5514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55FBA9E">
            <w:pPr>
              <w:pStyle w:val="18"/>
              <w:jc w:val="center"/>
              <w:rPr>
                <w:b w:val="0"/>
                <w:color w:val="auto"/>
              </w:rPr>
            </w:pPr>
            <w:r>
              <w:rPr>
                <w:rFonts w:hint="eastAsia"/>
                <w:b w:val="0"/>
                <w:color w:val="auto"/>
              </w:rPr>
              <w:t>质控管理</w:t>
            </w:r>
          </w:p>
        </w:tc>
        <w:tc>
          <w:tcPr>
            <w:tcW w:w="6579" w:type="dxa"/>
            <w:vAlign w:val="center"/>
          </w:tcPr>
          <w:p w14:paraId="24871B6A">
            <w:pPr>
              <w:pStyle w:val="18"/>
              <w:rPr>
                <w:color w:val="auto"/>
              </w:rPr>
            </w:pPr>
            <w:r>
              <w:rPr>
                <w:rFonts w:hint="eastAsia"/>
                <w:color w:val="auto"/>
              </w:rPr>
              <w:t>1.质控物基本信息</w:t>
            </w:r>
          </w:p>
          <w:p w14:paraId="6E336714">
            <w:pPr>
              <w:pStyle w:val="18"/>
              <w:rPr>
                <w:color w:val="auto"/>
              </w:rPr>
            </w:pPr>
            <w:r>
              <w:rPr>
                <w:rFonts w:hint="eastAsia"/>
                <w:color w:val="auto"/>
              </w:rPr>
              <w:t>以检验小组和检验设备方式对有关的质控物信息进行维护：以检验设备编码为主线，对质控物有关基本信息，有效时间段信息，批次，是否为过渡信息等进行基本维护操作。</w:t>
            </w:r>
          </w:p>
          <w:p w14:paraId="45066599">
            <w:pPr>
              <w:pStyle w:val="18"/>
              <w:rPr>
                <w:color w:val="auto"/>
              </w:rPr>
            </w:pPr>
            <w:r>
              <w:rPr>
                <w:rFonts w:hint="eastAsia"/>
                <w:color w:val="auto"/>
              </w:rPr>
              <w:t>2.质控项目信息维护</w:t>
            </w:r>
          </w:p>
          <w:p w14:paraId="217477D3">
            <w:pPr>
              <w:pStyle w:val="18"/>
              <w:rPr>
                <w:color w:val="auto"/>
              </w:rPr>
            </w:pPr>
            <w:r>
              <w:rPr>
                <w:rFonts w:hint="eastAsia"/>
                <w:color w:val="auto"/>
              </w:rPr>
              <w:t>（1）质控项目靶值，标准差：可以根据厂家提供的说明书，确定靶值标准差，变异系统等信息确定，根据质控基本信息内容确定相应的批号，批次信息。</w:t>
            </w:r>
          </w:p>
          <w:p w14:paraId="0C2599F2">
            <w:pPr>
              <w:pStyle w:val="18"/>
              <w:rPr>
                <w:color w:val="auto"/>
              </w:rPr>
            </w:pPr>
            <w:r>
              <w:rPr>
                <w:rFonts w:hint="eastAsia"/>
                <w:color w:val="auto"/>
              </w:rPr>
              <w:t>（2）过渡期靶值，标准差计算：在过渡期，可以实现对测试数据的靶值，标准差变异系数等信息的计算。</w:t>
            </w:r>
          </w:p>
          <w:p w14:paraId="198F868C">
            <w:pPr>
              <w:pStyle w:val="18"/>
              <w:rPr>
                <w:color w:val="auto"/>
              </w:rPr>
            </w:pPr>
            <w:r>
              <w:rPr>
                <w:rFonts w:hint="eastAsia"/>
                <w:color w:val="auto"/>
              </w:rPr>
              <w:t>（3）定性，半定量数据的定量对照：根据不同的项目情况，完成定性，半定量数据的定量数据转换维护。可以为质控图画法提供数据基础。</w:t>
            </w:r>
          </w:p>
          <w:p w14:paraId="32297417">
            <w:pPr>
              <w:pStyle w:val="18"/>
              <w:rPr>
                <w:color w:val="auto"/>
              </w:rPr>
            </w:pPr>
            <w:r>
              <w:rPr>
                <w:rFonts w:hint="eastAsia"/>
                <w:color w:val="auto"/>
              </w:rPr>
              <w:t>3.质控规则确定</w:t>
            </w:r>
          </w:p>
          <w:p w14:paraId="7B5757EA">
            <w:pPr>
              <w:pStyle w:val="18"/>
              <w:rPr>
                <w:color w:val="auto"/>
              </w:rPr>
            </w:pPr>
            <w:r>
              <w:rPr>
                <w:rFonts w:hint="eastAsia"/>
                <w:color w:val="auto"/>
              </w:rPr>
              <w:t>（1）质控规则确定：对项目需要确定的质控规则方式进行对照处理。</w:t>
            </w:r>
          </w:p>
          <w:p w14:paraId="60D4A9BC">
            <w:pPr>
              <w:pStyle w:val="18"/>
              <w:rPr>
                <w:color w:val="auto"/>
              </w:rPr>
            </w:pPr>
            <w:r>
              <w:rPr>
                <w:rFonts w:hint="eastAsia"/>
                <w:color w:val="auto"/>
              </w:rPr>
              <w:t>（2）质控规则确定时，可以通过图像方式对所描述的质控规则进行描述，说明与质控规则有关的情况信息。</w:t>
            </w:r>
          </w:p>
          <w:p w14:paraId="598089B5">
            <w:pPr>
              <w:pStyle w:val="18"/>
              <w:rPr>
                <w:color w:val="auto"/>
              </w:rPr>
            </w:pPr>
            <w:r>
              <w:rPr>
                <w:rFonts w:hint="eastAsia"/>
                <w:color w:val="auto"/>
              </w:rPr>
              <w:t>4.质控数据</w:t>
            </w:r>
          </w:p>
          <w:p w14:paraId="332FBA9F">
            <w:pPr>
              <w:pStyle w:val="18"/>
              <w:rPr>
                <w:color w:val="auto"/>
              </w:rPr>
            </w:pPr>
            <w:r>
              <w:rPr>
                <w:rFonts w:hint="eastAsia"/>
                <w:color w:val="auto"/>
              </w:rPr>
              <w:t>对质控数据显示：检验项目质控数据显示包括以下内容</w:t>
            </w:r>
          </w:p>
          <w:p w14:paraId="491745BF">
            <w:pPr>
              <w:pStyle w:val="18"/>
              <w:rPr>
                <w:color w:val="auto"/>
              </w:rPr>
            </w:pPr>
            <w:r>
              <w:rPr>
                <w:rFonts w:hint="eastAsia"/>
                <w:color w:val="auto"/>
              </w:rPr>
              <w:t>（1）按项目，指定时间范围内的所有水平的质控数据，过程数据，无效数据的显示。不同状态的显示。</w:t>
            </w:r>
          </w:p>
          <w:p w14:paraId="1CDB7E04">
            <w:pPr>
              <w:pStyle w:val="18"/>
              <w:rPr>
                <w:color w:val="auto"/>
              </w:rPr>
            </w:pPr>
            <w:r>
              <w:rPr>
                <w:rFonts w:hint="eastAsia"/>
                <w:color w:val="auto"/>
              </w:rPr>
              <w:t>（2）按日期对设备下所有质控项目的所有水平的质控数据进行显示。</w:t>
            </w:r>
          </w:p>
          <w:p w14:paraId="2B7E19D3">
            <w:pPr>
              <w:pStyle w:val="18"/>
              <w:rPr>
                <w:color w:val="auto"/>
              </w:rPr>
            </w:pPr>
            <w:r>
              <w:rPr>
                <w:rFonts w:hint="eastAsia"/>
                <w:color w:val="auto"/>
              </w:rPr>
              <w:t>（3）可以在数据显示的情况下，对质控数据进行编辑，增加，删除，转换等操作。</w:t>
            </w:r>
          </w:p>
          <w:p w14:paraId="1FB17A3D">
            <w:pPr>
              <w:pStyle w:val="18"/>
              <w:rPr>
                <w:color w:val="auto"/>
              </w:rPr>
            </w:pPr>
            <w:r>
              <w:rPr>
                <w:rFonts w:hint="eastAsia"/>
                <w:color w:val="auto"/>
              </w:rPr>
              <w:t>5.单日项目失控数据管理</w:t>
            </w:r>
          </w:p>
          <w:p w14:paraId="76AB2DAE">
            <w:pPr>
              <w:pStyle w:val="18"/>
              <w:rPr>
                <w:color w:val="auto"/>
              </w:rPr>
            </w:pPr>
            <w:r>
              <w:rPr>
                <w:rFonts w:hint="eastAsia"/>
                <w:color w:val="auto"/>
              </w:rPr>
              <w:t>可通过数据表格加载单日项目质控数据的失控情况，并给出违反的规则信息，帮助用户快速确定每日的质控情况。</w:t>
            </w:r>
          </w:p>
          <w:p w14:paraId="20045CE8">
            <w:pPr>
              <w:pStyle w:val="18"/>
              <w:rPr>
                <w:color w:val="auto"/>
              </w:rPr>
            </w:pPr>
            <w:r>
              <w:rPr>
                <w:rFonts w:hint="eastAsia"/>
                <w:color w:val="auto"/>
              </w:rPr>
              <w:t>6.质控数据转换</w:t>
            </w:r>
          </w:p>
          <w:p w14:paraId="626CEAF3">
            <w:pPr>
              <w:pStyle w:val="18"/>
              <w:rPr>
                <w:color w:val="auto"/>
              </w:rPr>
            </w:pPr>
            <w:r>
              <w:rPr>
                <w:rFonts w:hint="eastAsia"/>
                <w:color w:val="auto"/>
              </w:rPr>
              <w:t>按照普通样本方式，根据要求对相关的数据进行转换操作（指定水平，批次，性质（过程点，有效点），质控形式（1，2，3，4，5次），质控类型（每日一点，每日多点形式）。</w:t>
            </w:r>
          </w:p>
          <w:p w14:paraId="077E4EBD">
            <w:pPr>
              <w:pStyle w:val="18"/>
              <w:rPr>
                <w:color w:val="auto"/>
              </w:rPr>
            </w:pPr>
            <w:r>
              <w:rPr>
                <w:rFonts w:hint="eastAsia"/>
                <w:color w:val="auto"/>
              </w:rPr>
              <w:t>7.质控数据审核</w:t>
            </w:r>
          </w:p>
          <w:p w14:paraId="139F4FB3">
            <w:pPr>
              <w:pStyle w:val="18"/>
              <w:rPr>
                <w:color w:val="auto"/>
              </w:rPr>
            </w:pPr>
            <w:r>
              <w:rPr>
                <w:rFonts w:hint="eastAsia"/>
                <w:color w:val="auto"/>
              </w:rPr>
              <w:t>操作人对质控数据进行审核，未经审核的质控数据不能进行打印。审核后的数据不可直接编辑，修改，需要取消审核（并对操作内容进行相应的记录）。</w:t>
            </w:r>
          </w:p>
          <w:p w14:paraId="61C151DA">
            <w:pPr>
              <w:pStyle w:val="18"/>
              <w:rPr>
                <w:color w:val="auto"/>
              </w:rPr>
            </w:pPr>
            <w:r>
              <w:rPr>
                <w:rFonts w:hint="eastAsia"/>
                <w:color w:val="auto"/>
              </w:rPr>
              <w:t>8.质控数据月度汇总与比较</w:t>
            </w:r>
          </w:p>
          <w:p w14:paraId="506E1181">
            <w:pPr>
              <w:pStyle w:val="18"/>
              <w:rPr>
                <w:color w:val="auto"/>
              </w:rPr>
            </w:pPr>
            <w:r>
              <w:rPr>
                <w:rFonts w:hint="eastAsia"/>
                <w:color w:val="auto"/>
              </w:rPr>
              <w:t>（1）对指定时间段的项目数据，可按日期，按次数方式进行对所有质控项目，数据等进行查询，导出，打印等操作。</w:t>
            </w:r>
          </w:p>
          <w:p w14:paraId="29A25EA0">
            <w:pPr>
              <w:pStyle w:val="18"/>
              <w:rPr>
                <w:color w:val="auto"/>
              </w:rPr>
            </w:pPr>
            <w:r>
              <w:rPr>
                <w:rFonts w:hint="eastAsia"/>
                <w:color w:val="auto"/>
              </w:rPr>
              <w:t>（2）以月份方式对质控数据进行汇总计算，完成不同月份质控项目的数据数据比较操作。</w:t>
            </w:r>
          </w:p>
        </w:tc>
      </w:tr>
      <w:tr w14:paraId="76DE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00892F1">
            <w:pPr>
              <w:pStyle w:val="18"/>
              <w:jc w:val="center"/>
              <w:rPr>
                <w:b w:val="0"/>
                <w:color w:val="auto"/>
              </w:rPr>
            </w:pPr>
            <w:r>
              <w:rPr>
                <w:rFonts w:hint="eastAsia"/>
                <w:b w:val="0"/>
                <w:color w:val="auto"/>
              </w:rPr>
              <w:t>试剂管理</w:t>
            </w:r>
          </w:p>
        </w:tc>
        <w:tc>
          <w:tcPr>
            <w:tcW w:w="6579" w:type="dxa"/>
            <w:vAlign w:val="center"/>
          </w:tcPr>
          <w:p w14:paraId="03F9DE07">
            <w:pPr>
              <w:pStyle w:val="18"/>
              <w:rPr>
                <w:color w:val="auto"/>
              </w:rPr>
            </w:pPr>
            <w:r>
              <w:rPr>
                <w:rFonts w:hint="eastAsia"/>
                <w:color w:val="auto"/>
              </w:rPr>
              <w:t>1.试剂厂家管理</w:t>
            </w:r>
          </w:p>
          <w:p w14:paraId="23C7680B">
            <w:pPr>
              <w:pStyle w:val="18"/>
              <w:rPr>
                <w:color w:val="auto"/>
              </w:rPr>
            </w:pPr>
            <w:r>
              <w:rPr>
                <w:rFonts w:hint="eastAsia"/>
                <w:color w:val="auto"/>
              </w:rPr>
              <w:t>试剂厂家信息维护：对试剂厂家的基本信息，资质等信息进行维护。</w:t>
            </w:r>
          </w:p>
          <w:p w14:paraId="33EF3BFF">
            <w:pPr>
              <w:pStyle w:val="18"/>
              <w:rPr>
                <w:color w:val="auto"/>
              </w:rPr>
            </w:pPr>
            <w:r>
              <w:rPr>
                <w:rFonts w:hint="eastAsia"/>
                <w:color w:val="auto"/>
              </w:rPr>
              <w:t>2.试剂信息管理</w:t>
            </w:r>
          </w:p>
          <w:p w14:paraId="7BDD82D8">
            <w:pPr>
              <w:pStyle w:val="18"/>
              <w:rPr>
                <w:color w:val="auto"/>
              </w:rPr>
            </w:pPr>
            <w:r>
              <w:rPr>
                <w:rFonts w:hint="eastAsia"/>
                <w:color w:val="auto"/>
              </w:rPr>
              <w:t>（1）试剂基本信息维护：对试剂厂家供应的试剂基本信息，单位等进行维护操作。</w:t>
            </w:r>
          </w:p>
          <w:p w14:paraId="7BF1972B">
            <w:pPr>
              <w:pStyle w:val="18"/>
              <w:rPr>
                <w:color w:val="auto"/>
              </w:rPr>
            </w:pPr>
            <w:r>
              <w:rPr>
                <w:rFonts w:hint="eastAsia"/>
                <w:color w:val="auto"/>
              </w:rPr>
              <w:t>（2）确定试剂的最低库存，积压库存，有效期预警时间。</w:t>
            </w:r>
          </w:p>
          <w:p w14:paraId="7E4152D0">
            <w:pPr>
              <w:pStyle w:val="18"/>
              <w:rPr>
                <w:color w:val="auto"/>
              </w:rPr>
            </w:pPr>
            <w:r>
              <w:rPr>
                <w:rFonts w:hint="eastAsia"/>
                <w:color w:val="auto"/>
              </w:rPr>
              <w:t>3.试剂与项目对照</w:t>
            </w:r>
          </w:p>
          <w:p w14:paraId="2B13020E">
            <w:pPr>
              <w:pStyle w:val="18"/>
              <w:rPr>
                <w:color w:val="auto"/>
              </w:rPr>
            </w:pPr>
            <w:r>
              <w:rPr>
                <w:rFonts w:hint="eastAsia"/>
                <w:color w:val="auto"/>
              </w:rPr>
              <w:t>试剂项目对照：试剂与测试项目之间建立对照关系，确定每个项目测试后消耗的试剂单位数。</w:t>
            </w:r>
          </w:p>
          <w:p w14:paraId="13429CBE">
            <w:pPr>
              <w:pStyle w:val="18"/>
              <w:rPr>
                <w:color w:val="auto"/>
              </w:rPr>
            </w:pPr>
            <w:r>
              <w:rPr>
                <w:rFonts w:hint="eastAsia"/>
                <w:color w:val="auto"/>
              </w:rPr>
              <w:t>4.试剂出入库管理</w:t>
            </w:r>
          </w:p>
          <w:p w14:paraId="7D83EDB3">
            <w:pPr>
              <w:pStyle w:val="18"/>
              <w:rPr>
                <w:color w:val="auto"/>
              </w:rPr>
            </w:pPr>
            <w:r>
              <w:rPr>
                <w:rFonts w:hint="eastAsia"/>
                <w:color w:val="auto"/>
              </w:rPr>
              <w:t>（1）试剂入库：根据供货单，对试剂信息进行选择，确定入库数量，数据金额。完成入库动作，入库操作时需要确定试剂效期时间（若院内无物资系统，LIS系统可自行打出条码）。</w:t>
            </w:r>
          </w:p>
          <w:p w14:paraId="4942F393">
            <w:pPr>
              <w:pStyle w:val="18"/>
              <w:rPr>
                <w:color w:val="auto"/>
              </w:rPr>
            </w:pPr>
            <w:r>
              <w:rPr>
                <w:rFonts w:hint="eastAsia"/>
                <w:color w:val="auto"/>
              </w:rPr>
              <w:t>（2）试剂出库：试剂出库时，需要对效期较前的提示先出库。可以对效期，或者库存数量进行排序管理，选择需要出库的项目和数量，完成出库操作。</w:t>
            </w:r>
          </w:p>
          <w:p w14:paraId="28871882">
            <w:pPr>
              <w:pStyle w:val="18"/>
              <w:rPr>
                <w:color w:val="auto"/>
              </w:rPr>
            </w:pPr>
            <w:r>
              <w:rPr>
                <w:rFonts w:hint="eastAsia"/>
                <w:color w:val="auto"/>
              </w:rPr>
              <w:t>可以完成正常出库，也可以进行破损出库操作。</w:t>
            </w:r>
          </w:p>
          <w:p w14:paraId="61C3FF5A">
            <w:pPr>
              <w:pStyle w:val="18"/>
              <w:rPr>
                <w:color w:val="auto"/>
              </w:rPr>
            </w:pPr>
            <w:r>
              <w:rPr>
                <w:rFonts w:hint="eastAsia"/>
                <w:color w:val="auto"/>
              </w:rPr>
              <w:t>（3）试剂条码出库：对每个出库试剂进行条码管理，确定每个试剂的出库时间，确定试剂启用时间和耗尽时间，操作人等信息，完成试剂的精细化管理。</w:t>
            </w:r>
          </w:p>
          <w:p w14:paraId="37280E84">
            <w:pPr>
              <w:pStyle w:val="18"/>
              <w:rPr>
                <w:color w:val="auto"/>
              </w:rPr>
            </w:pPr>
            <w:r>
              <w:rPr>
                <w:rFonts w:hint="eastAsia"/>
                <w:color w:val="auto"/>
              </w:rPr>
              <w:t>（4）试剂购买申请单：根据科室试剂消耗量，购买周期等完成试剂自动申请单生成，允许用户对申请的数量，厂家，型号等进行修改，最后保存为试剂申请单。作为试剂采购的比较依据。</w:t>
            </w:r>
          </w:p>
          <w:p w14:paraId="16C1AA3C">
            <w:pPr>
              <w:pStyle w:val="18"/>
              <w:rPr>
                <w:color w:val="auto"/>
              </w:rPr>
            </w:pPr>
            <w:r>
              <w:rPr>
                <w:rFonts w:hint="eastAsia"/>
                <w:color w:val="auto"/>
              </w:rPr>
              <w:t>（5）试剂出库退库：如果出现出库操作错误，可以通过出库退库方式，完成退库操作，再进行重新的出库操作。</w:t>
            </w:r>
          </w:p>
          <w:p w14:paraId="1EAC6FD4">
            <w:pPr>
              <w:pStyle w:val="18"/>
              <w:rPr>
                <w:color w:val="auto"/>
              </w:rPr>
            </w:pPr>
            <w:r>
              <w:rPr>
                <w:rFonts w:hint="eastAsia"/>
                <w:color w:val="auto"/>
              </w:rPr>
              <w:t>5.试剂库存管理</w:t>
            </w:r>
          </w:p>
          <w:p w14:paraId="584ADC0D">
            <w:pPr>
              <w:pStyle w:val="18"/>
              <w:rPr>
                <w:color w:val="auto"/>
              </w:rPr>
            </w:pPr>
            <w:r>
              <w:rPr>
                <w:rFonts w:hint="eastAsia"/>
                <w:color w:val="auto"/>
              </w:rPr>
              <w:t>库存查询：对当前试剂分组，分项目，分批次，分厂家等方式进行库存的查询操作，并可以提示，库存预警（不足，积压），效期预警（过期，将过期）。</w:t>
            </w:r>
          </w:p>
          <w:p w14:paraId="4AE8B5DD">
            <w:pPr>
              <w:pStyle w:val="18"/>
              <w:rPr>
                <w:color w:val="auto"/>
              </w:rPr>
            </w:pPr>
            <w:r>
              <w:rPr>
                <w:rFonts w:hint="eastAsia"/>
                <w:color w:val="auto"/>
              </w:rPr>
              <w:t>6.盘点管理</w:t>
            </w:r>
          </w:p>
          <w:p w14:paraId="5C95C2A3">
            <w:pPr>
              <w:pStyle w:val="18"/>
              <w:rPr>
                <w:color w:val="auto"/>
              </w:rPr>
            </w:pPr>
            <w:r>
              <w:rPr>
                <w:rFonts w:hint="eastAsia"/>
                <w:color w:val="auto"/>
              </w:rPr>
              <w:t>通过对当前库存的查询和实物核对，对上月结余，本于库存的进行判断，完成本月的盘点操作。</w:t>
            </w:r>
          </w:p>
          <w:p w14:paraId="7858E1DF">
            <w:pPr>
              <w:pStyle w:val="18"/>
              <w:rPr>
                <w:color w:val="auto"/>
              </w:rPr>
            </w:pPr>
            <w:r>
              <w:rPr>
                <w:rFonts w:hint="eastAsia"/>
                <w:color w:val="auto"/>
              </w:rPr>
              <w:t>7.有效期管理</w:t>
            </w:r>
          </w:p>
          <w:p w14:paraId="04DE0F1E">
            <w:pPr>
              <w:pStyle w:val="18"/>
              <w:rPr>
                <w:color w:val="auto"/>
              </w:rPr>
            </w:pPr>
            <w:r>
              <w:rPr>
                <w:rFonts w:hint="eastAsia"/>
                <w:color w:val="auto"/>
              </w:rPr>
              <w:t>对当前库存中的试剂信息进行查询，完成有效期预警提示操作。</w:t>
            </w:r>
          </w:p>
          <w:p w14:paraId="55F6A2FA">
            <w:pPr>
              <w:pStyle w:val="18"/>
              <w:rPr>
                <w:color w:val="auto"/>
              </w:rPr>
            </w:pPr>
            <w:r>
              <w:rPr>
                <w:rFonts w:hint="eastAsia"/>
                <w:color w:val="auto"/>
              </w:rPr>
              <w:t>8.库存报警管理</w:t>
            </w:r>
          </w:p>
          <w:p w14:paraId="71D729AF">
            <w:pPr>
              <w:pStyle w:val="18"/>
              <w:rPr>
                <w:color w:val="auto"/>
              </w:rPr>
            </w:pPr>
            <w:r>
              <w:rPr>
                <w:rFonts w:hint="eastAsia"/>
                <w:color w:val="auto"/>
              </w:rPr>
              <w:t>库存报警：对当前库存进行查询，完成不足和积压项目的报警提示。</w:t>
            </w:r>
          </w:p>
          <w:p w14:paraId="666708BF">
            <w:pPr>
              <w:pStyle w:val="18"/>
              <w:rPr>
                <w:color w:val="auto"/>
              </w:rPr>
            </w:pPr>
            <w:r>
              <w:rPr>
                <w:rFonts w:hint="eastAsia"/>
                <w:color w:val="auto"/>
              </w:rPr>
              <w:t>9.试剂信息统计报表</w:t>
            </w:r>
          </w:p>
          <w:p w14:paraId="19C77010">
            <w:pPr>
              <w:pStyle w:val="18"/>
              <w:rPr>
                <w:color w:val="auto"/>
              </w:rPr>
            </w:pPr>
            <w:r>
              <w:rPr>
                <w:rFonts w:hint="eastAsia"/>
                <w:color w:val="auto"/>
              </w:rPr>
              <w:t>（1）试剂入库查询；</w:t>
            </w:r>
          </w:p>
          <w:p w14:paraId="1322E624">
            <w:pPr>
              <w:pStyle w:val="18"/>
              <w:rPr>
                <w:color w:val="auto"/>
              </w:rPr>
            </w:pPr>
            <w:r>
              <w:rPr>
                <w:rFonts w:hint="eastAsia"/>
                <w:color w:val="auto"/>
              </w:rPr>
              <w:t>（2）试剂出库查询；</w:t>
            </w:r>
          </w:p>
          <w:p w14:paraId="3CE39BC4">
            <w:pPr>
              <w:pStyle w:val="18"/>
              <w:rPr>
                <w:color w:val="auto"/>
              </w:rPr>
            </w:pPr>
            <w:r>
              <w:rPr>
                <w:rFonts w:hint="eastAsia"/>
                <w:color w:val="auto"/>
              </w:rPr>
              <w:t>（3）试剂库存查询；；</w:t>
            </w:r>
          </w:p>
          <w:p w14:paraId="02DB79E2">
            <w:pPr>
              <w:pStyle w:val="18"/>
              <w:rPr>
                <w:color w:val="auto"/>
              </w:rPr>
            </w:pPr>
            <w:r>
              <w:rPr>
                <w:rFonts w:hint="eastAsia"/>
                <w:color w:val="auto"/>
              </w:rPr>
              <w:t>（4）试剂盘点查询；</w:t>
            </w:r>
          </w:p>
          <w:p w14:paraId="38DF981C">
            <w:pPr>
              <w:pStyle w:val="18"/>
              <w:rPr>
                <w:color w:val="auto"/>
              </w:rPr>
            </w:pPr>
            <w:r>
              <w:rPr>
                <w:rFonts w:hint="eastAsia"/>
                <w:color w:val="auto"/>
              </w:rPr>
              <w:t>（5）试剂厂家供货数量，供货时间周期，采购金额进行查询；</w:t>
            </w:r>
          </w:p>
          <w:p w14:paraId="74DB4F2D">
            <w:pPr>
              <w:pStyle w:val="18"/>
              <w:rPr>
                <w:color w:val="auto"/>
              </w:rPr>
            </w:pPr>
            <w:r>
              <w:rPr>
                <w:rFonts w:hint="eastAsia"/>
                <w:color w:val="auto"/>
              </w:rPr>
              <w:t>（6）试剂总表查询；；</w:t>
            </w:r>
          </w:p>
          <w:p w14:paraId="1C795C7F">
            <w:pPr>
              <w:pStyle w:val="18"/>
              <w:rPr>
                <w:color w:val="auto"/>
              </w:rPr>
            </w:pPr>
            <w:r>
              <w:rPr>
                <w:rFonts w:hint="eastAsia"/>
                <w:color w:val="auto"/>
              </w:rPr>
              <w:t>（7）按项目对试剂的日消耗量统计。</w:t>
            </w:r>
          </w:p>
        </w:tc>
      </w:tr>
      <w:tr w14:paraId="7BEC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7F2520C">
            <w:pPr>
              <w:pStyle w:val="18"/>
              <w:jc w:val="center"/>
              <w:rPr>
                <w:b w:val="0"/>
                <w:color w:val="auto"/>
              </w:rPr>
            </w:pPr>
            <w:r>
              <w:rPr>
                <w:rFonts w:hint="eastAsia"/>
                <w:b w:val="0"/>
                <w:color w:val="auto"/>
              </w:rPr>
              <w:t>权限管理</w:t>
            </w:r>
          </w:p>
        </w:tc>
        <w:tc>
          <w:tcPr>
            <w:tcW w:w="6579" w:type="dxa"/>
            <w:vAlign w:val="center"/>
          </w:tcPr>
          <w:p w14:paraId="3642664F">
            <w:pPr>
              <w:pStyle w:val="18"/>
              <w:rPr>
                <w:color w:val="auto"/>
              </w:rPr>
            </w:pPr>
            <w:r>
              <w:rPr>
                <w:rFonts w:hint="eastAsia"/>
                <w:color w:val="auto"/>
              </w:rPr>
              <w:t>1.人员管理</w:t>
            </w:r>
          </w:p>
          <w:p w14:paraId="2C5BB746">
            <w:pPr>
              <w:pStyle w:val="18"/>
              <w:rPr>
                <w:color w:val="auto"/>
              </w:rPr>
            </w:pPr>
            <w:r>
              <w:rPr>
                <w:rFonts w:hint="eastAsia"/>
                <w:color w:val="auto"/>
              </w:rPr>
              <w:t>（1）人员导入：通过HIS接口的方式完成人员信息导入。</w:t>
            </w:r>
          </w:p>
          <w:p w14:paraId="5592B259">
            <w:pPr>
              <w:pStyle w:val="18"/>
              <w:rPr>
                <w:color w:val="auto"/>
              </w:rPr>
            </w:pPr>
            <w:r>
              <w:rPr>
                <w:rFonts w:hint="eastAsia"/>
                <w:color w:val="auto"/>
              </w:rPr>
              <w:t>（2）人员所属小组：对于未分组的人员进行小组分配，指定人员所在的小组。</w:t>
            </w:r>
          </w:p>
          <w:p w14:paraId="77D0E9D4">
            <w:pPr>
              <w:pStyle w:val="18"/>
              <w:rPr>
                <w:color w:val="auto"/>
              </w:rPr>
            </w:pPr>
            <w:r>
              <w:rPr>
                <w:rFonts w:hint="eastAsia"/>
                <w:color w:val="auto"/>
              </w:rPr>
              <w:t>（3）人员登录小组：对人员能够登录的检验小组进行登录分配，完成多小组登录的设置方式。</w:t>
            </w:r>
          </w:p>
          <w:p w14:paraId="24A760A1">
            <w:pPr>
              <w:pStyle w:val="18"/>
              <w:rPr>
                <w:color w:val="auto"/>
              </w:rPr>
            </w:pPr>
            <w:r>
              <w:rPr>
                <w:rFonts w:hint="eastAsia"/>
                <w:color w:val="auto"/>
              </w:rPr>
              <w:t>（4）人员角色维护：对于一个人员可以分配多个角色的标识，完成角色分配的人员能够进行系统的操作。</w:t>
            </w:r>
          </w:p>
          <w:p w14:paraId="4432C8A5">
            <w:pPr>
              <w:pStyle w:val="18"/>
              <w:rPr>
                <w:color w:val="auto"/>
              </w:rPr>
            </w:pPr>
            <w:r>
              <w:rPr>
                <w:rFonts w:hint="eastAsia"/>
                <w:color w:val="auto"/>
              </w:rPr>
              <w:t>2.权限设置</w:t>
            </w:r>
          </w:p>
          <w:p w14:paraId="6B4838B5">
            <w:pPr>
              <w:pStyle w:val="18"/>
              <w:rPr>
                <w:color w:val="auto"/>
              </w:rPr>
            </w:pPr>
            <w:r>
              <w:rPr>
                <w:rFonts w:hint="eastAsia"/>
                <w:color w:val="auto"/>
              </w:rPr>
              <w:t>（1）权限类别维护：对系统使用的权限进行初始化定义。</w:t>
            </w:r>
          </w:p>
          <w:p w14:paraId="4CB45EA1">
            <w:pPr>
              <w:pStyle w:val="18"/>
              <w:rPr>
                <w:color w:val="auto"/>
              </w:rPr>
            </w:pPr>
            <w:r>
              <w:rPr>
                <w:rFonts w:hint="eastAsia"/>
                <w:color w:val="auto"/>
              </w:rPr>
              <w:t>（2）角色定义：对系统使用的人员角色初始化定义。</w:t>
            </w:r>
          </w:p>
          <w:p w14:paraId="3E9F2F77">
            <w:pPr>
              <w:pStyle w:val="18"/>
              <w:rPr>
                <w:color w:val="auto"/>
              </w:rPr>
            </w:pPr>
            <w:r>
              <w:rPr>
                <w:rFonts w:hint="eastAsia"/>
                <w:color w:val="auto"/>
              </w:rPr>
              <w:t>（3）角色权限设置：建立角色和权限之间的对应关系，通过角色的权限设置，完成系统的权限基本设置操作。</w:t>
            </w:r>
          </w:p>
        </w:tc>
      </w:tr>
      <w:tr w14:paraId="3734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1DE80BE">
            <w:pPr>
              <w:pStyle w:val="18"/>
              <w:jc w:val="center"/>
              <w:rPr>
                <w:b w:val="0"/>
                <w:color w:val="auto"/>
              </w:rPr>
            </w:pPr>
            <w:r>
              <w:rPr>
                <w:rFonts w:hint="eastAsia"/>
                <w:b w:val="0"/>
                <w:color w:val="auto"/>
              </w:rPr>
              <w:t>数据采集系统</w:t>
            </w:r>
          </w:p>
        </w:tc>
        <w:tc>
          <w:tcPr>
            <w:tcW w:w="6579" w:type="dxa"/>
            <w:vAlign w:val="center"/>
          </w:tcPr>
          <w:p w14:paraId="0FFDC647">
            <w:pPr>
              <w:pStyle w:val="18"/>
              <w:rPr>
                <w:color w:val="auto"/>
              </w:rPr>
            </w:pPr>
            <w:r>
              <w:rPr>
                <w:rFonts w:hint="eastAsia"/>
                <w:color w:val="auto"/>
              </w:rPr>
              <w:t>1.串口数据接收功能</w:t>
            </w:r>
          </w:p>
          <w:p w14:paraId="15AC4FB0">
            <w:pPr>
              <w:pStyle w:val="18"/>
              <w:rPr>
                <w:color w:val="auto"/>
              </w:rPr>
            </w:pPr>
            <w:r>
              <w:rPr>
                <w:rFonts w:hint="eastAsia"/>
                <w:color w:val="auto"/>
              </w:rPr>
              <w:t>（1）串口测试工具：串口工具负责对检验设备的原始数据采集，并可直接保存在本地指定路径中。</w:t>
            </w:r>
          </w:p>
          <w:p w14:paraId="0E79C7C4">
            <w:pPr>
              <w:pStyle w:val="18"/>
              <w:rPr>
                <w:color w:val="auto"/>
              </w:rPr>
            </w:pPr>
            <w:r>
              <w:rPr>
                <w:rFonts w:hint="eastAsia"/>
                <w:color w:val="auto"/>
              </w:rPr>
              <w:t>（2）多串口数据接收：一个串口监听程序可启动对多个串口的监听。</w:t>
            </w:r>
          </w:p>
          <w:p w14:paraId="70F15FD9">
            <w:pPr>
              <w:pStyle w:val="18"/>
              <w:rPr>
                <w:color w:val="auto"/>
              </w:rPr>
            </w:pPr>
            <w:r>
              <w:rPr>
                <w:rFonts w:hint="eastAsia"/>
                <w:color w:val="auto"/>
              </w:rPr>
              <w:t>（3）原始数据保存到数据库：原始数据保存到数据库，定期清空原始数据内容，可设置完成。</w:t>
            </w:r>
          </w:p>
          <w:p w14:paraId="76F70A21">
            <w:pPr>
              <w:pStyle w:val="18"/>
              <w:rPr>
                <w:color w:val="auto"/>
              </w:rPr>
            </w:pPr>
            <w:r>
              <w:rPr>
                <w:rFonts w:hint="eastAsia"/>
                <w:color w:val="auto"/>
              </w:rPr>
              <w:t>（4）原始数据保留到本地文件夹中：原始数据可以保存到本地数据库中，可通过配置管理解决。</w:t>
            </w:r>
          </w:p>
          <w:p w14:paraId="7E4C8F64">
            <w:pPr>
              <w:pStyle w:val="18"/>
              <w:rPr>
                <w:color w:val="auto"/>
              </w:rPr>
            </w:pPr>
            <w:r>
              <w:rPr>
                <w:rFonts w:hint="eastAsia"/>
                <w:color w:val="auto"/>
              </w:rPr>
              <w:t>2.网络数据接收功能</w:t>
            </w:r>
          </w:p>
          <w:p w14:paraId="5A25F5D3">
            <w:pPr>
              <w:pStyle w:val="18"/>
              <w:rPr>
                <w:color w:val="auto"/>
              </w:rPr>
            </w:pPr>
            <w:r>
              <w:rPr>
                <w:rFonts w:hint="eastAsia"/>
                <w:color w:val="auto"/>
              </w:rPr>
              <w:t>TCP/IP数据采集：指定网络监听端口号，建立网络通信机制，完成数据采集，指令发送等功能。</w:t>
            </w:r>
          </w:p>
          <w:p w14:paraId="7D547B49">
            <w:pPr>
              <w:pStyle w:val="18"/>
              <w:rPr>
                <w:color w:val="auto"/>
              </w:rPr>
            </w:pPr>
            <w:r>
              <w:rPr>
                <w:rFonts w:hint="eastAsia"/>
                <w:color w:val="auto"/>
              </w:rPr>
              <w:t>3.文件数据接收功能</w:t>
            </w:r>
          </w:p>
          <w:p w14:paraId="2D0AA558">
            <w:pPr>
              <w:pStyle w:val="18"/>
              <w:rPr>
                <w:color w:val="auto"/>
              </w:rPr>
            </w:pPr>
            <w:r>
              <w:rPr>
                <w:rFonts w:hint="eastAsia"/>
                <w:color w:val="auto"/>
              </w:rPr>
              <w:t>文件数据处理：根据程序确定的文件信息（路径，名称等），程序获得对应的检验结果信息。</w:t>
            </w:r>
          </w:p>
          <w:p w14:paraId="0C75E455">
            <w:pPr>
              <w:pStyle w:val="18"/>
              <w:rPr>
                <w:color w:val="auto"/>
              </w:rPr>
            </w:pPr>
            <w:r>
              <w:rPr>
                <w:rFonts w:hint="eastAsia"/>
                <w:color w:val="auto"/>
              </w:rPr>
              <w:t>4.数据库文件接收</w:t>
            </w:r>
          </w:p>
          <w:p w14:paraId="21C54FAC">
            <w:pPr>
              <w:pStyle w:val="18"/>
              <w:rPr>
                <w:color w:val="auto"/>
              </w:rPr>
            </w:pPr>
            <w:r>
              <w:rPr>
                <w:rFonts w:hint="eastAsia"/>
                <w:color w:val="auto"/>
              </w:rPr>
              <w:t>获得数据库文件结果：可以连接不同的设备数据库，配置结果数据表信息，查询信息，获得数据，并将数据保存到数据库中。</w:t>
            </w:r>
          </w:p>
          <w:p w14:paraId="298E3534">
            <w:pPr>
              <w:pStyle w:val="18"/>
              <w:rPr>
                <w:color w:val="auto"/>
              </w:rPr>
            </w:pPr>
            <w:r>
              <w:rPr>
                <w:rFonts w:hint="eastAsia"/>
                <w:color w:val="auto"/>
              </w:rPr>
              <w:t>5.图像数据采集</w:t>
            </w:r>
          </w:p>
          <w:p w14:paraId="4F9BDCD0">
            <w:pPr>
              <w:pStyle w:val="18"/>
              <w:rPr>
                <w:color w:val="auto"/>
              </w:rPr>
            </w:pPr>
            <w:r>
              <w:rPr>
                <w:rFonts w:hint="eastAsia"/>
                <w:color w:val="auto"/>
              </w:rPr>
              <w:t>（1）二进制数据组成图像：原始数据为二进制格式，需要程序完成坐标，标识等绘制，将绘制的内容形成文件，保存到数据库中。</w:t>
            </w:r>
          </w:p>
          <w:p w14:paraId="2972F7FF">
            <w:pPr>
              <w:pStyle w:val="18"/>
              <w:rPr>
                <w:color w:val="auto"/>
              </w:rPr>
            </w:pPr>
            <w:r>
              <w:rPr>
                <w:rFonts w:hint="eastAsia"/>
                <w:color w:val="auto"/>
              </w:rPr>
              <w:t>（2）文件式图像：数据转换后，直接保存文件到数据库中。</w:t>
            </w:r>
          </w:p>
          <w:p w14:paraId="3AA0C2B6">
            <w:pPr>
              <w:pStyle w:val="18"/>
              <w:rPr>
                <w:color w:val="auto"/>
              </w:rPr>
            </w:pPr>
            <w:r>
              <w:rPr>
                <w:rFonts w:hint="eastAsia"/>
                <w:color w:val="auto"/>
              </w:rPr>
              <w:t>（3）函数式图像：血流变图像，通过函数连线，形成文件后，存到数据库中。</w:t>
            </w:r>
          </w:p>
          <w:p w14:paraId="445A8820">
            <w:pPr>
              <w:pStyle w:val="18"/>
              <w:rPr>
                <w:color w:val="auto"/>
              </w:rPr>
            </w:pPr>
            <w:r>
              <w:rPr>
                <w:rFonts w:hint="eastAsia"/>
                <w:color w:val="auto"/>
              </w:rPr>
              <w:t>6.串口内容设置</w:t>
            </w:r>
          </w:p>
          <w:p w14:paraId="6024FC74">
            <w:pPr>
              <w:pStyle w:val="18"/>
              <w:rPr>
                <w:color w:val="auto"/>
              </w:rPr>
            </w:pPr>
            <w:r>
              <w:rPr>
                <w:rFonts w:hint="eastAsia"/>
                <w:color w:val="auto"/>
              </w:rPr>
              <w:t>对串口基本信息进行配置：波特率，数据位，校验位，停止位，串口端口号等设置。</w:t>
            </w:r>
          </w:p>
          <w:p w14:paraId="05F5DD43">
            <w:pPr>
              <w:pStyle w:val="18"/>
              <w:rPr>
                <w:color w:val="auto"/>
              </w:rPr>
            </w:pPr>
            <w:r>
              <w:rPr>
                <w:rFonts w:hint="eastAsia"/>
                <w:color w:val="auto"/>
              </w:rPr>
              <w:t>7.网络监听设置</w:t>
            </w:r>
          </w:p>
          <w:p w14:paraId="44361521">
            <w:pPr>
              <w:pStyle w:val="18"/>
              <w:rPr>
                <w:color w:val="auto"/>
              </w:rPr>
            </w:pPr>
            <w:r>
              <w:rPr>
                <w:rFonts w:hint="eastAsia"/>
                <w:color w:val="auto"/>
              </w:rPr>
              <w:t>对网口基本信息进行配置：设置指定的IP，端口号信息设置。</w:t>
            </w:r>
          </w:p>
          <w:p w14:paraId="69D558E5">
            <w:pPr>
              <w:pStyle w:val="18"/>
              <w:rPr>
                <w:color w:val="auto"/>
              </w:rPr>
            </w:pPr>
            <w:r>
              <w:rPr>
                <w:rFonts w:hint="eastAsia"/>
                <w:color w:val="auto"/>
              </w:rPr>
              <w:t>8.文件数据接收配置</w:t>
            </w:r>
          </w:p>
          <w:p w14:paraId="38C03517">
            <w:pPr>
              <w:pStyle w:val="18"/>
              <w:rPr>
                <w:color w:val="auto"/>
              </w:rPr>
            </w:pPr>
            <w:r>
              <w:rPr>
                <w:rFonts w:hint="eastAsia"/>
                <w:color w:val="auto"/>
              </w:rPr>
              <w:t>系统配置：对文件的路径，文件名称进行定义。</w:t>
            </w:r>
          </w:p>
          <w:p w14:paraId="40C17C69">
            <w:pPr>
              <w:pStyle w:val="18"/>
              <w:rPr>
                <w:color w:val="auto"/>
              </w:rPr>
            </w:pPr>
            <w:r>
              <w:rPr>
                <w:rFonts w:hint="eastAsia"/>
                <w:color w:val="auto"/>
              </w:rPr>
              <w:t>9.数据库文件配置</w:t>
            </w:r>
          </w:p>
          <w:p w14:paraId="59CEA5CE">
            <w:pPr>
              <w:pStyle w:val="18"/>
              <w:rPr>
                <w:color w:val="auto"/>
              </w:rPr>
            </w:pPr>
            <w:r>
              <w:rPr>
                <w:rFonts w:hint="eastAsia"/>
                <w:color w:val="auto"/>
              </w:rPr>
              <w:t>（1）指定连接的数据库类型。</w:t>
            </w:r>
          </w:p>
          <w:p w14:paraId="67BBAB9F">
            <w:pPr>
              <w:pStyle w:val="18"/>
              <w:rPr>
                <w:color w:val="auto"/>
              </w:rPr>
            </w:pPr>
            <w:r>
              <w:rPr>
                <w:rFonts w:hint="eastAsia"/>
                <w:color w:val="auto"/>
              </w:rPr>
              <w:t>（2）定义需要查询的表，数据字段，为检验系统提供结果数据。</w:t>
            </w:r>
          </w:p>
          <w:p w14:paraId="25B3E029">
            <w:pPr>
              <w:pStyle w:val="18"/>
              <w:rPr>
                <w:color w:val="auto"/>
              </w:rPr>
            </w:pPr>
            <w:r>
              <w:rPr>
                <w:rFonts w:hint="eastAsia"/>
                <w:color w:val="auto"/>
              </w:rPr>
              <w:t>（3）指定查询数据库的地址。</w:t>
            </w:r>
          </w:p>
          <w:p w14:paraId="00AB3FDE">
            <w:pPr>
              <w:pStyle w:val="18"/>
              <w:rPr>
                <w:color w:val="auto"/>
              </w:rPr>
            </w:pPr>
            <w:r>
              <w:rPr>
                <w:rFonts w:hint="eastAsia"/>
                <w:color w:val="auto"/>
              </w:rPr>
              <w:t>10.质控信息设置</w:t>
            </w:r>
          </w:p>
          <w:p w14:paraId="44BDD940">
            <w:pPr>
              <w:pStyle w:val="18"/>
              <w:rPr>
                <w:color w:val="auto"/>
              </w:rPr>
            </w:pPr>
            <w:r>
              <w:rPr>
                <w:rFonts w:hint="eastAsia"/>
                <w:color w:val="auto"/>
              </w:rPr>
              <w:t>可对质控样本号、质控物标识进行配置，设置质控值数量，设置质控结果的处理机制。</w:t>
            </w:r>
          </w:p>
          <w:p w14:paraId="42444F88">
            <w:pPr>
              <w:pStyle w:val="18"/>
              <w:rPr>
                <w:color w:val="auto"/>
              </w:rPr>
            </w:pPr>
            <w:r>
              <w:rPr>
                <w:rFonts w:hint="eastAsia"/>
                <w:color w:val="auto"/>
              </w:rPr>
              <w:t>11.程序更新</w:t>
            </w:r>
          </w:p>
          <w:p w14:paraId="51ABED32">
            <w:pPr>
              <w:pStyle w:val="18"/>
              <w:rPr>
                <w:color w:val="auto"/>
              </w:rPr>
            </w:pPr>
            <w:r>
              <w:rPr>
                <w:rFonts w:hint="eastAsia"/>
                <w:color w:val="auto"/>
              </w:rPr>
              <w:t>更新程序访问log用户名，获得真实数据库信息，访问更新库，自动下传监听程序。</w:t>
            </w:r>
          </w:p>
          <w:p w14:paraId="4BB77A5E">
            <w:pPr>
              <w:pStyle w:val="18"/>
              <w:rPr>
                <w:color w:val="auto"/>
              </w:rPr>
            </w:pPr>
            <w:r>
              <w:rPr>
                <w:rFonts w:hint="eastAsia"/>
                <w:color w:val="auto"/>
              </w:rPr>
              <w:t>12.报错系统</w:t>
            </w:r>
          </w:p>
          <w:p w14:paraId="58DE54DE">
            <w:pPr>
              <w:pStyle w:val="18"/>
              <w:rPr>
                <w:color w:val="auto"/>
              </w:rPr>
            </w:pPr>
            <w:r>
              <w:rPr>
                <w:rFonts w:hint="eastAsia"/>
                <w:color w:val="auto"/>
              </w:rPr>
              <w:t>提供错误编码集合，并可在系统中进行错误编码管理，错误信息维护，为操作者提供错误编码集合查询。</w:t>
            </w:r>
          </w:p>
          <w:p w14:paraId="646AB7FD">
            <w:pPr>
              <w:pStyle w:val="18"/>
              <w:rPr>
                <w:color w:val="auto"/>
              </w:rPr>
            </w:pPr>
            <w:r>
              <w:rPr>
                <w:rFonts w:hint="eastAsia"/>
                <w:color w:val="auto"/>
              </w:rPr>
              <w:t>13.复查指令系统</w:t>
            </w:r>
          </w:p>
          <w:p w14:paraId="6D2161F7">
            <w:pPr>
              <w:pStyle w:val="18"/>
              <w:rPr>
                <w:color w:val="auto"/>
              </w:rPr>
            </w:pPr>
            <w:r>
              <w:rPr>
                <w:rFonts w:hint="eastAsia"/>
                <w:color w:val="auto"/>
              </w:rPr>
              <w:t>根据用户的需要，对复查项目进行管理，发送指令集合给检验设备。</w:t>
            </w:r>
          </w:p>
          <w:p w14:paraId="34B820A4">
            <w:pPr>
              <w:pStyle w:val="18"/>
              <w:rPr>
                <w:color w:val="auto"/>
              </w:rPr>
            </w:pPr>
            <w:r>
              <w:rPr>
                <w:rFonts w:hint="eastAsia"/>
                <w:color w:val="auto"/>
              </w:rPr>
              <w:t>14.项目自动稀释管理</w:t>
            </w:r>
          </w:p>
          <w:p w14:paraId="16C8FA3D">
            <w:pPr>
              <w:pStyle w:val="18"/>
              <w:rPr>
                <w:color w:val="auto"/>
              </w:rPr>
            </w:pPr>
            <w:r>
              <w:rPr>
                <w:rFonts w:hint="eastAsia"/>
                <w:color w:val="auto"/>
              </w:rPr>
              <w:t>自动稀释：对于HCG，肿瘤标志物项目，根据检验项目的检验特点和既往患者检验结果情况，对该项目进行自动稀释，完成测试操作。</w:t>
            </w:r>
          </w:p>
        </w:tc>
      </w:tr>
      <w:tr w14:paraId="6269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C0330DF">
            <w:pPr>
              <w:pStyle w:val="18"/>
              <w:jc w:val="center"/>
              <w:rPr>
                <w:b w:val="0"/>
                <w:color w:val="auto"/>
              </w:rPr>
            </w:pPr>
            <w:r>
              <w:rPr>
                <w:rFonts w:hint="eastAsia"/>
                <w:b w:val="0"/>
                <w:color w:val="auto"/>
              </w:rPr>
              <w:t>接口对接</w:t>
            </w:r>
          </w:p>
        </w:tc>
        <w:tc>
          <w:tcPr>
            <w:tcW w:w="6579" w:type="dxa"/>
            <w:vAlign w:val="center"/>
          </w:tcPr>
          <w:p w14:paraId="2176E2C9">
            <w:pPr>
              <w:pStyle w:val="18"/>
              <w:rPr>
                <w:color w:val="auto"/>
              </w:rPr>
            </w:pPr>
            <w:r>
              <w:rPr>
                <w:rFonts w:hint="eastAsia"/>
                <w:color w:val="auto"/>
              </w:rPr>
              <w:t>1.门诊条码打印</w:t>
            </w:r>
          </w:p>
          <w:p w14:paraId="68E6F197">
            <w:pPr>
              <w:pStyle w:val="18"/>
              <w:rPr>
                <w:color w:val="auto"/>
              </w:rPr>
            </w:pPr>
            <w:r>
              <w:rPr>
                <w:rFonts w:hint="eastAsia"/>
                <w:color w:val="auto"/>
              </w:rPr>
              <w:t>1）患者医嘱信息获得：通过患者的唯一标识（门诊卡，病历本，银行卡，发票号等信息对HIS系统门诊收费（医嘱表）查询获得相关的医嘱信息。</w:t>
            </w:r>
          </w:p>
          <w:p w14:paraId="7ECF0D03">
            <w:pPr>
              <w:pStyle w:val="18"/>
              <w:rPr>
                <w:color w:val="auto"/>
              </w:rPr>
            </w:pPr>
            <w:r>
              <w:rPr>
                <w:rFonts w:hint="eastAsia"/>
                <w:color w:val="auto"/>
              </w:rPr>
              <w:t>2）医嘱信息打印：对医嘱信息处理，插入到指定的LIS医嘱表中。自行打印条码中可包含的信息（条码信息，患者姓名，患者编号，床号，性别，年龄，采样要求，试管颜色，采样人，采样时间，采样科室，执行科室，项目名称组合，急诊标识）。</w:t>
            </w:r>
          </w:p>
          <w:p w14:paraId="68332027">
            <w:pPr>
              <w:pStyle w:val="18"/>
              <w:rPr>
                <w:color w:val="auto"/>
              </w:rPr>
            </w:pPr>
            <w:r>
              <w:rPr>
                <w:rFonts w:hint="eastAsia"/>
                <w:color w:val="auto"/>
              </w:rPr>
              <w:t>3）医嘱信息和条码对照：如果采用预贴条码形式。</w:t>
            </w:r>
          </w:p>
          <w:p w14:paraId="0C655FF2">
            <w:pPr>
              <w:pStyle w:val="18"/>
              <w:rPr>
                <w:color w:val="auto"/>
              </w:rPr>
            </w:pPr>
            <w:r>
              <w:rPr>
                <w:rFonts w:hint="eastAsia"/>
                <w:color w:val="auto"/>
              </w:rPr>
              <w:t>（1）首先确定试管条码所属类别，通过系统维护完成。</w:t>
            </w:r>
          </w:p>
          <w:p w14:paraId="281E9058">
            <w:pPr>
              <w:pStyle w:val="18"/>
              <w:rPr>
                <w:color w:val="auto"/>
              </w:rPr>
            </w:pPr>
            <w:r>
              <w:rPr>
                <w:rFonts w:hint="eastAsia"/>
                <w:color w:val="auto"/>
              </w:rPr>
              <w:t>（2）患者扫描标识后，获得试管使用的数量和颜色，操作人员直接扫描试管，就可以直接让试管条码和医嘱的信息直接关联，同时打印标签，可以直接粘贴在试管上（标签供人员识别，条码供设备识别）。</w:t>
            </w:r>
          </w:p>
          <w:p w14:paraId="37945A1C">
            <w:pPr>
              <w:pStyle w:val="18"/>
              <w:rPr>
                <w:color w:val="auto"/>
              </w:rPr>
            </w:pPr>
            <w:r>
              <w:rPr>
                <w:rFonts w:hint="eastAsia"/>
                <w:color w:val="auto"/>
              </w:rPr>
              <w:t>4）医嘱信息分管：单独一管血维护，根据样本类型，容器类型，组合标识，项目性质，决定项目的合并和拆分，同时不同院区可以维护不同合管规则。</w:t>
            </w:r>
          </w:p>
          <w:p w14:paraId="5151AB5A">
            <w:pPr>
              <w:pStyle w:val="18"/>
              <w:rPr>
                <w:color w:val="auto"/>
              </w:rPr>
            </w:pPr>
            <w:r>
              <w:rPr>
                <w:rFonts w:hint="eastAsia"/>
                <w:color w:val="auto"/>
              </w:rPr>
              <w:t>5）患者回执单：对项目进行对照后，根据项目的维护情况，提示患者所进行的检验性质，获得报告的时间。</w:t>
            </w:r>
          </w:p>
          <w:p w14:paraId="45278AF7">
            <w:pPr>
              <w:pStyle w:val="18"/>
              <w:rPr>
                <w:color w:val="auto"/>
              </w:rPr>
            </w:pPr>
            <w:r>
              <w:rPr>
                <w:rFonts w:hint="eastAsia"/>
                <w:color w:val="auto"/>
              </w:rPr>
              <w:t>6）条码重复打印：对打印后的条码信息进行重新打印（提示补打）。</w:t>
            </w:r>
          </w:p>
          <w:p w14:paraId="190AF575">
            <w:pPr>
              <w:pStyle w:val="18"/>
              <w:rPr>
                <w:color w:val="auto"/>
              </w:rPr>
            </w:pPr>
            <w:r>
              <w:rPr>
                <w:rFonts w:hint="eastAsia"/>
                <w:color w:val="auto"/>
              </w:rPr>
              <w:t>7）条码作废操作：对打印后的条码信息进行作废操作，凡是未进入到检验样本接收流程的样本信息，可以进行作废操作，系统进行记录，然后采样人可以对医嘱进行重新打印，原条码作废。</w:t>
            </w:r>
          </w:p>
          <w:p w14:paraId="5477472B">
            <w:pPr>
              <w:pStyle w:val="18"/>
              <w:rPr>
                <w:color w:val="auto"/>
              </w:rPr>
            </w:pPr>
            <w:r>
              <w:rPr>
                <w:rFonts w:hint="eastAsia"/>
                <w:color w:val="auto"/>
              </w:rPr>
              <w:t>8）人工组合打印：对于维护工作中存在问题的检验项目提供人工组合方式，帮助采血人对样本进行组合。并在条码标签中打印（组）的字样，表明是人工组合的。</w:t>
            </w:r>
          </w:p>
          <w:p w14:paraId="7EF22943">
            <w:pPr>
              <w:pStyle w:val="18"/>
              <w:rPr>
                <w:color w:val="auto"/>
              </w:rPr>
            </w:pPr>
            <w:r>
              <w:rPr>
                <w:rFonts w:hint="eastAsia"/>
                <w:color w:val="auto"/>
              </w:rPr>
              <w:t>9）急诊条码打印提示：对于急诊和普通的项目通过颜色，或者标记进行分类，提示采血人及时采血。</w:t>
            </w:r>
          </w:p>
          <w:p w14:paraId="2B25FE14">
            <w:pPr>
              <w:pStyle w:val="18"/>
              <w:rPr>
                <w:color w:val="auto"/>
              </w:rPr>
            </w:pPr>
            <w:r>
              <w:rPr>
                <w:rFonts w:hint="eastAsia"/>
                <w:color w:val="auto"/>
              </w:rPr>
              <w:t>10）条码打印机设置功能：可以由超级用户配置打印机配置信息。</w:t>
            </w:r>
          </w:p>
          <w:p w14:paraId="6B912027">
            <w:pPr>
              <w:pStyle w:val="18"/>
              <w:rPr>
                <w:color w:val="auto"/>
              </w:rPr>
            </w:pPr>
            <w:r>
              <w:rPr>
                <w:rFonts w:hint="eastAsia"/>
                <w:color w:val="auto"/>
              </w:rPr>
              <w:t>11）设置打印项目样本类型：对于没有开立样本类型的医嘱，可以提示输入样本类型（24H尿量等信息）。</w:t>
            </w:r>
          </w:p>
          <w:p w14:paraId="398B5EAC">
            <w:pPr>
              <w:pStyle w:val="18"/>
              <w:rPr>
                <w:color w:val="auto"/>
              </w:rPr>
            </w:pPr>
            <w:r>
              <w:rPr>
                <w:rFonts w:hint="eastAsia"/>
                <w:color w:val="auto"/>
              </w:rPr>
              <w:t>12）门诊条码打印系统查询统计：在送检人从采血人处获得检验样本时，提供分时间段查询方式，确定样本的数量和类型。</w:t>
            </w:r>
          </w:p>
          <w:p w14:paraId="32BBB28B">
            <w:pPr>
              <w:pStyle w:val="18"/>
              <w:rPr>
                <w:color w:val="auto"/>
              </w:rPr>
            </w:pPr>
            <w:r>
              <w:rPr>
                <w:rFonts w:hint="eastAsia"/>
                <w:color w:val="auto"/>
              </w:rPr>
              <w:t>13）提供现场扫描确认样本功能：送检人获得样本时，可以直接在门诊条码打印系统上确认样本的到位情况。或者通过事先打印好的清单进行样本对照。</w:t>
            </w:r>
          </w:p>
          <w:p w14:paraId="65BD51F7">
            <w:pPr>
              <w:pStyle w:val="18"/>
              <w:rPr>
                <w:color w:val="auto"/>
              </w:rPr>
            </w:pPr>
            <w:r>
              <w:rPr>
                <w:rFonts w:hint="eastAsia"/>
                <w:color w:val="auto"/>
              </w:rPr>
              <w:t>14）患者医嘱获得：病房医嘱信息获得要求指定具体的护士站，或者病区的全部带有检验医嘱的患者信息，并按照住院号分类。</w:t>
            </w:r>
          </w:p>
          <w:p w14:paraId="2AFE57E9">
            <w:pPr>
              <w:pStyle w:val="18"/>
              <w:rPr>
                <w:color w:val="auto"/>
              </w:rPr>
            </w:pPr>
            <w:r>
              <w:rPr>
                <w:rFonts w:hint="eastAsia"/>
                <w:color w:val="auto"/>
              </w:rPr>
              <w:t>2.病房条码打印</w:t>
            </w:r>
          </w:p>
          <w:p w14:paraId="7A7F3DB0">
            <w:pPr>
              <w:pStyle w:val="18"/>
              <w:rPr>
                <w:color w:val="auto"/>
              </w:rPr>
            </w:pPr>
            <w:r>
              <w:rPr>
                <w:rFonts w:hint="eastAsia"/>
                <w:color w:val="auto"/>
              </w:rPr>
              <w:t>1）医嘱信息分管：单独一管血维护，根据样本类型，容器类型，组合标识，项目性质，决定项目的合并和拆分，同时不同院区可以维护不同合管规则。</w:t>
            </w:r>
          </w:p>
          <w:p w14:paraId="7E6E840B">
            <w:pPr>
              <w:pStyle w:val="18"/>
              <w:rPr>
                <w:color w:val="auto"/>
              </w:rPr>
            </w:pPr>
            <w:r>
              <w:rPr>
                <w:rFonts w:hint="eastAsia"/>
                <w:color w:val="auto"/>
              </w:rPr>
              <w:t>2）条码重复打印：对打印后的条码信息进行重新打印（提示补打）。</w:t>
            </w:r>
          </w:p>
          <w:p w14:paraId="70CC849E">
            <w:pPr>
              <w:pStyle w:val="18"/>
              <w:rPr>
                <w:color w:val="auto"/>
              </w:rPr>
            </w:pPr>
            <w:r>
              <w:rPr>
                <w:rFonts w:hint="eastAsia"/>
                <w:color w:val="auto"/>
              </w:rPr>
              <w:t>3）条码作废操作：对打印后的条码信息进行作废操作，凡是未进入到检验样本接收流程的样本信息，可以进行作废操作，系统进行记录，然后采样人可以对医嘱进行重新打印，原条码作废。</w:t>
            </w:r>
          </w:p>
          <w:p w14:paraId="71088D84">
            <w:pPr>
              <w:pStyle w:val="18"/>
              <w:rPr>
                <w:color w:val="auto"/>
              </w:rPr>
            </w:pPr>
            <w:r>
              <w:rPr>
                <w:rFonts w:hint="eastAsia"/>
                <w:color w:val="auto"/>
              </w:rPr>
              <w:t>4）病区条码打印数量统计和明细清单：护士可以对本病区使用的试管情况进行统计，方便病区对试管消耗情况的统计，也可以统计采血护士的工作量。</w:t>
            </w:r>
          </w:p>
          <w:p w14:paraId="702A0559">
            <w:pPr>
              <w:pStyle w:val="18"/>
              <w:rPr>
                <w:color w:val="auto"/>
              </w:rPr>
            </w:pPr>
            <w:r>
              <w:rPr>
                <w:rFonts w:hint="eastAsia"/>
                <w:color w:val="auto"/>
              </w:rPr>
              <w:t>清单：当送检人员对样本获得时，可以由护士提供打印的清单和对应的样本信息进行对照。</w:t>
            </w:r>
          </w:p>
          <w:p w14:paraId="171C260A">
            <w:pPr>
              <w:pStyle w:val="18"/>
              <w:rPr>
                <w:color w:val="auto"/>
              </w:rPr>
            </w:pPr>
            <w:r>
              <w:rPr>
                <w:rFonts w:hint="eastAsia"/>
                <w:color w:val="auto"/>
              </w:rPr>
              <w:t>5）体检患者医嘱获得：通过体检号获得医生开立的检验医嘱信息，形式同门诊方式。</w:t>
            </w:r>
          </w:p>
          <w:p w14:paraId="2DEC071B">
            <w:pPr>
              <w:pStyle w:val="18"/>
              <w:rPr>
                <w:color w:val="auto"/>
              </w:rPr>
            </w:pPr>
            <w:r>
              <w:rPr>
                <w:rFonts w:hint="eastAsia"/>
                <w:color w:val="auto"/>
              </w:rPr>
              <w:t>6）单位，大批量体检条码模式：体检中涉及到大批量患者的条码处理时，需要增加一个单位信息的维护。通过体检接口获得，列出对应的体检患者信息和要求的体检医嘱信息。条码打印或者条码对照。</w:t>
            </w:r>
          </w:p>
          <w:p w14:paraId="52D9567F">
            <w:pPr>
              <w:pStyle w:val="18"/>
              <w:rPr>
                <w:color w:val="auto"/>
              </w:rPr>
            </w:pPr>
            <w:r>
              <w:rPr>
                <w:rFonts w:hint="eastAsia"/>
                <w:color w:val="auto"/>
              </w:rPr>
              <w:t>7）条码打印内容：条码信息，患者姓名，患者编号，床号，性别，年龄，采样要求，试管颜色，采样人，采样时间，采样科室，执行科室，项目名称组合，急诊标识。</w:t>
            </w:r>
          </w:p>
          <w:p w14:paraId="76D82F1C">
            <w:pPr>
              <w:pStyle w:val="18"/>
              <w:rPr>
                <w:color w:val="auto"/>
              </w:rPr>
            </w:pPr>
            <w:r>
              <w:rPr>
                <w:rFonts w:hint="eastAsia"/>
                <w:color w:val="auto"/>
              </w:rPr>
              <w:t>3.体检系统条码打印</w:t>
            </w:r>
          </w:p>
          <w:p w14:paraId="5E94315E">
            <w:pPr>
              <w:pStyle w:val="18"/>
              <w:rPr>
                <w:color w:val="auto"/>
              </w:rPr>
            </w:pPr>
            <w:r>
              <w:rPr>
                <w:rFonts w:hint="eastAsia"/>
                <w:color w:val="auto"/>
              </w:rPr>
              <w:t>支持预置条码对照：</w:t>
            </w:r>
          </w:p>
          <w:p w14:paraId="7636C813">
            <w:pPr>
              <w:pStyle w:val="18"/>
              <w:rPr>
                <w:color w:val="auto"/>
              </w:rPr>
            </w:pPr>
            <w:r>
              <w:rPr>
                <w:rFonts w:hint="eastAsia"/>
                <w:color w:val="auto"/>
              </w:rPr>
              <w:t>（1）首先确定试管条码所属类别，通过系统维护完成。</w:t>
            </w:r>
          </w:p>
          <w:p w14:paraId="2EA67471">
            <w:pPr>
              <w:pStyle w:val="18"/>
              <w:rPr>
                <w:color w:val="auto"/>
              </w:rPr>
            </w:pPr>
            <w:r>
              <w:rPr>
                <w:rFonts w:hint="eastAsia"/>
                <w:color w:val="auto"/>
              </w:rPr>
              <w:t>（2）患者扫描标识后，获得试管使用的数量和颜色，操作人员直接扫描试管，就可以直接让试管条码和医嘱的信息直接关联，同时打印标签，可以直接粘贴在试管上（标签供人员识别，条码供设备识别）。</w:t>
            </w:r>
          </w:p>
          <w:p w14:paraId="42CDF07D">
            <w:pPr>
              <w:pStyle w:val="18"/>
              <w:rPr>
                <w:color w:val="auto"/>
              </w:rPr>
            </w:pPr>
            <w:r>
              <w:rPr>
                <w:rFonts w:hint="eastAsia"/>
                <w:color w:val="auto"/>
              </w:rPr>
              <w:t>2）医嘱信息分管：单独一管血维护，根据样本类型，容器类型，组合标识，项目性质，决定项目的合并和拆分，同时不同院区可以维护不同合管规则。</w:t>
            </w:r>
          </w:p>
          <w:p w14:paraId="718FB24A">
            <w:pPr>
              <w:pStyle w:val="18"/>
              <w:rPr>
                <w:color w:val="auto"/>
              </w:rPr>
            </w:pPr>
            <w:r>
              <w:rPr>
                <w:rFonts w:hint="eastAsia"/>
                <w:color w:val="auto"/>
              </w:rPr>
              <w:t>3）条码重复打印：对打印后的条码信息进行重新打印（提示补打）。</w:t>
            </w:r>
          </w:p>
          <w:p w14:paraId="30B7BAA4">
            <w:pPr>
              <w:pStyle w:val="18"/>
              <w:rPr>
                <w:color w:val="auto"/>
              </w:rPr>
            </w:pPr>
            <w:r>
              <w:rPr>
                <w:rFonts w:hint="eastAsia"/>
                <w:color w:val="auto"/>
              </w:rPr>
              <w:t>4）条码作废操作：对打印后的条码信息进行作废操作，凡是未进入到检验样本接收流程的样本信息，可以进行作废操作，系统进行记录，然后采样人可以对医嘱进行重新打印，原条码作废。</w:t>
            </w:r>
          </w:p>
          <w:p w14:paraId="138005DD">
            <w:pPr>
              <w:pStyle w:val="18"/>
              <w:rPr>
                <w:color w:val="auto"/>
              </w:rPr>
            </w:pPr>
            <w:r>
              <w:rPr>
                <w:rFonts w:hint="eastAsia"/>
                <w:color w:val="auto"/>
              </w:rPr>
              <w:t>5）接口配置定义多类型情况：系统可以接门诊，病房，体检系统以外的其他系统信息。</w:t>
            </w:r>
          </w:p>
          <w:p w14:paraId="316DB26C">
            <w:pPr>
              <w:pStyle w:val="18"/>
              <w:rPr>
                <w:color w:val="auto"/>
              </w:rPr>
            </w:pPr>
            <w:r>
              <w:rPr>
                <w:rFonts w:hint="eastAsia"/>
                <w:color w:val="auto"/>
              </w:rPr>
              <w:t>6）采用LIS表配置方式：提供维护功能，可以获得门诊，住院，体检，其他系统的患者基本信息，医嘱信息。</w:t>
            </w:r>
          </w:p>
          <w:p w14:paraId="5862A97B">
            <w:pPr>
              <w:pStyle w:val="18"/>
              <w:rPr>
                <w:color w:val="auto"/>
              </w:rPr>
            </w:pPr>
            <w:r>
              <w:rPr>
                <w:rFonts w:hint="eastAsia"/>
                <w:color w:val="auto"/>
              </w:rPr>
              <w:t>7）其他信息：科室信息，医生信息，护士信息，检验科信息，收费信息，检查项目信息等。</w:t>
            </w:r>
          </w:p>
          <w:p w14:paraId="5C0CC220">
            <w:pPr>
              <w:pStyle w:val="18"/>
              <w:rPr>
                <w:color w:val="auto"/>
              </w:rPr>
            </w:pPr>
            <w:r>
              <w:rPr>
                <w:rFonts w:hint="eastAsia"/>
                <w:color w:val="auto"/>
              </w:rPr>
              <w:t>4.其他系统外接接口方式</w:t>
            </w:r>
          </w:p>
          <w:p w14:paraId="70803BC9">
            <w:pPr>
              <w:pStyle w:val="18"/>
              <w:rPr>
                <w:color w:val="auto"/>
              </w:rPr>
            </w:pPr>
            <w:r>
              <w:rPr>
                <w:rFonts w:hint="eastAsia"/>
                <w:color w:val="auto"/>
              </w:rPr>
              <w:t>1）HIS、电子病历、体检、平台等等：在LIS上线期间，经常发生门诊，体检，病房等系统不是同一个厂商的情况，需要LIS系统要同时外接多个系统，满足系统配置多接口。</w:t>
            </w:r>
          </w:p>
          <w:p w14:paraId="02827905">
            <w:pPr>
              <w:pStyle w:val="18"/>
              <w:rPr>
                <w:color w:val="auto"/>
              </w:rPr>
            </w:pPr>
            <w:r>
              <w:rPr>
                <w:rFonts w:hint="eastAsia"/>
                <w:color w:val="auto"/>
              </w:rPr>
              <w:t>2）多系统处理：LIS系统可以对门诊，住院，体检等多个系统的不同外部环境进行数据连接和接口设置。</w:t>
            </w:r>
          </w:p>
        </w:tc>
      </w:tr>
      <w:tr w14:paraId="19EB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3063D94">
            <w:pPr>
              <w:pStyle w:val="18"/>
              <w:jc w:val="center"/>
              <w:rPr>
                <w:b w:val="0"/>
                <w:color w:val="auto"/>
              </w:rPr>
            </w:pPr>
            <w:r>
              <w:rPr>
                <w:rFonts w:hint="eastAsia"/>
                <w:b w:val="0"/>
                <w:color w:val="auto"/>
              </w:rPr>
              <w:t>基础信息维护</w:t>
            </w:r>
          </w:p>
        </w:tc>
        <w:tc>
          <w:tcPr>
            <w:tcW w:w="6579" w:type="dxa"/>
            <w:vAlign w:val="center"/>
          </w:tcPr>
          <w:p w14:paraId="2174F856">
            <w:pPr>
              <w:pStyle w:val="18"/>
              <w:rPr>
                <w:color w:val="auto"/>
              </w:rPr>
            </w:pPr>
            <w:r>
              <w:rPr>
                <w:rFonts w:hint="eastAsia"/>
                <w:color w:val="auto"/>
              </w:rPr>
              <w:t>1.系统数据维护</w:t>
            </w:r>
          </w:p>
          <w:p w14:paraId="1F67BD1C">
            <w:pPr>
              <w:pStyle w:val="18"/>
              <w:rPr>
                <w:color w:val="auto"/>
              </w:rPr>
            </w:pPr>
            <w:r>
              <w:rPr>
                <w:rFonts w:hint="eastAsia"/>
                <w:color w:val="auto"/>
              </w:rPr>
              <w:t>（1）检查项目维护：检查项目维护。通过对外接口获得收费项目编码集合，并将项目相关信息对照到LIS系统中的具体设备中（能够达到项目合并拆分的目的）。</w:t>
            </w:r>
          </w:p>
          <w:p w14:paraId="69CE98B0">
            <w:pPr>
              <w:pStyle w:val="18"/>
              <w:rPr>
                <w:color w:val="auto"/>
              </w:rPr>
            </w:pPr>
            <w:r>
              <w:rPr>
                <w:rFonts w:hint="eastAsia"/>
                <w:color w:val="auto"/>
              </w:rPr>
              <w:t>（2）组合项目维护：检查项目与检验项目之间的组合对照关系维护。</w:t>
            </w:r>
          </w:p>
          <w:p w14:paraId="35C476A6">
            <w:pPr>
              <w:pStyle w:val="18"/>
              <w:rPr>
                <w:color w:val="auto"/>
              </w:rPr>
            </w:pPr>
            <w:r>
              <w:rPr>
                <w:rFonts w:hint="eastAsia"/>
                <w:color w:val="auto"/>
              </w:rPr>
              <w:t>（3）检验项目维护：检验项目基本信息维护（项目编码，英文名，Lonic编码，中文名，参考值，单位，单价，质控标识，计算项目，临床诊断意义，危急项目标识，危急值定义（定量，定性），前次结果预警，时限性等设置，灰区参考范围。</w:t>
            </w:r>
          </w:p>
          <w:p w14:paraId="4D08888F">
            <w:pPr>
              <w:pStyle w:val="18"/>
              <w:rPr>
                <w:color w:val="auto"/>
              </w:rPr>
            </w:pPr>
            <w:r>
              <w:rPr>
                <w:rFonts w:hint="eastAsia"/>
                <w:color w:val="auto"/>
              </w:rPr>
              <w:t>（4）常用短语维护：对应检验项目维护常用结果内容。</w:t>
            </w:r>
          </w:p>
          <w:p w14:paraId="5B6BB003">
            <w:pPr>
              <w:pStyle w:val="18"/>
              <w:rPr>
                <w:color w:val="auto"/>
              </w:rPr>
            </w:pPr>
            <w:r>
              <w:rPr>
                <w:rFonts w:hint="eastAsia"/>
                <w:color w:val="auto"/>
              </w:rPr>
              <w:t>（5）高级参考范围维护：对检验项目中的不同性质进行参考值，单位维护（根据性别，年龄，样本类型，完成对应的设置）。</w:t>
            </w:r>
          </w:p>
          <w:p w14:paraId="4D4C49AB">
            <w:pPr>
              <w:pStyle w:val="18"/>
              <w:rPr>
                <w:color w:val="auto"/>
              </w:rPr>
            </w:pPr>
            <w:r>
              <w:rPr>
                <w:rFonts w:hint="eastAsia"/>
                <w:color w:val="auto"/>
              </w:rPr>
              <w:t>（6）组套明细项目分解维护：对于大组套项目，明细组套项目维护定义，明细组套项目（如糖耐量项目，明细项目中含多个收费项目）。通过维护后，在采血模块中对该内容进行加载管理。</w:t>
            </w:r>
          </w:p>
          <w:p w14:paraId="02B2F227">
            <w:pPr>
              <w:pStyle w:val="18"/>
              <w:rPr>
                <w:color w:val="auto"/>
              </w:rPr>
            </w:pPr>
            <w:r>
              <w:rPr>
                <w:rFonts w:hint="eastAsia"/>
                <w:color w:val="auto"/>
              </w:rPr>
              <w:t>2.基本数据维护</w:t>
            </w:r>
          </w:p>
          <w:p w14:paraId="26006B28">
            <w:pPr>
              <w:pStyle w:val="18"/>
              <w:rPr>
                <w:color w:val="auto"/>
              </w:rPr>
            </w:pPr>
            <w:r>
              <w:rPr>
                <w:rFonts w:hint="eastAsia"/>
                <w:color w:val="auto"/>
              </w:rPr>
              <w:t>（1）检验科室维护：分院，医技科室管理，检验小组管理等。</w:t>
            </w:r>
          </w:p>
          <w:p w14:paraId="791B9EB8">
            <w:pPr>
              <w:pStyle w:val="18"/>
              <w:rPr>
                <w:color w:val="auto"/>
              </w:rPr>
            </w:pPr>
            <w:r>
              <w:rPr>
                <w:rFonts w:hint="eastAsia"/>
                <w:color w:val="auto"/>
              </w:rPr>
              <w:t>（2）人员信息导入：从HIS系统导入使用LIS系统的人员信息，并可分配小组，角色等。</w:t>
            </w:r>
          </w:p>
          <w:p w14:paraId="33A4EABC">
            <w:pPr>
              <w:pStyle w:val="18"/>
              <w:rPr>
                <w:color w:val="auto"/>
              </w:rPr>
            </w:pPr>
            <w:r>
              <w:rPr>
                <w:rFonts w:hint="eastAsia"/>
                <w:color w:val="auto"/>
              </w:rPr>
              <w:t>（3）检验仪器维护：检验设备编码，报告模板（特殊项目采用特殊模板），仪器类别等项目维护。</w:t>
            </w:r>
          </w:p>
          <w:p w14:paraId="58CE0BBB">
            <w:pPr>
              <w:pStyle w:val="18"/>
              <w:rPr>
                <w:color w:val="auto"/>
              </w:rPr>
            </w:pPr>
            <w:r>
              <w:rPr>
                <w:rFonts w:hint="eastAsia"/>
                <w:color w:val="auto"/>
              </w:rPr>
              <w:t>（4）检验单排号维护：检验单排号模式，采用前缀+序号方式进行维护（可以采用自然流水，年月日等方式）。排号方式可以针对检验设备，也可以对检查项目维护（如微生物中的检查项目：结核等）。</w:t>
            </w:r>
          </w:p>
          <w:p w14:paraId="73A4F22D">
            <w:pPr>
              <w:pStyle w:val="18"/>
              <w:rPr>
                <w:color w:val="auto"/>
              </w:rPr>
            </w:pPr>
            <w:r>
              <w:rPr>
                <w:rFonts w:hint="eastAsia"/>
                <w:color w:val="auto"/>
              </w:rPr>
              <w:t>3.数据字典维护</w:t>
            </w:r>
          </w:p>
          <w:p w14:paraId="19EBA21C">
            <w:pPr>
              <w:pStyle w:val="18"/>
              <w:rPr>
                <w:color w:val="auto"/>
              </w:rPr>
            </w:pPr>
            <w:r>
              <w:rPr>
                <w:rFonts w:hint="eastAsia"/>
                <w:color w:val="auto"/>
              </w:rPr>
              <w:t>（1）数据字典类别维护：数据字典类别包括样本类型，患者类型，试管颜色，项目类别维护等。</w:t>
            </w:r>
          </w:p>
          <w:p w14:paraId="7FB6C616">
            <w:pPr>
              <w:pStyle w:val="18"/>
              <w:rPr>
                <w:color w:val="auto"/>
              </w:rPr>
            </w:pPr>
            <w:r>
              <w:rPr>
                <w:rFonts w:hint="eastAsia"/>
                <w:color w:val="auto"/>
              </w:rPr>
              <w:t>（2）数据字典维护：设定数据字典的内容。</w:t>
            </w:r>
          </w:p>
          <w:p w14:paraId="21DA49DB">
            <w:pPr>
              <w:pStyle w:val="18"/>
              <w:rPr>
                <w:color w:val="auto"/>
              </w:rPr>
            </w:pPr>
            <w:r>
              <w:rPr>
                <w:rFonts w:hint="eastAsia"/>
                <w:color w:val="auto"/>
              </w:rPr>
              <w:t>4.系统开关管理</w:t>
            </w:r>
          </w:p>
          <w:p w14:paraId="4E5026CE">
            <w:pPr>
              <w:pStyle w:val="18"/>
              <w:rPr>
                <w:color w:val="auto"/>
              </w:rPr>
            </w:pPr>
            <w:r>
              <w:rPr>
                <w:rFonts w:hint="eastAsia"/>
                <w:color w:val="auto"/>
              </w:rPr>
              <w:t>开关管理：针对不同医院的情况，进行开关管理。</w:t>
            </w:r>
          </w:p>
          <w:p w14:paraId="73ED9B47">
            <w:pPr>
              <w:pStyle w:val="18"/>
              <w:rPr>
                <w:color w:val="auto"/>
              </w:rPr>
            </w:pPr>
            <w:r>
              <w:rPr>
                <w:rFonts w:hint="eastAsia"/>
                <w:color w:val="auto"/>
              </w:rPr>
              <w:t>5.回执单管理</w:t>
            </w:r>
          </w:p>
          <w:p w14:paraId="7D6AE8F4">
            <w:pPr>
              <w:pStyle w:val="18"/>
              <w:rPr>
                <w:color w:val="auto"/>
              </w:rPr>
            </w:pPr>
            <w:r>
              <w:rPr>
                <w:rFonts w:hint="eastAsia"/>
                <w:color w:val="auto"/>
              </w:rPr>
              <w:t>患者回执单处理：根据不同的检查项目性质。对获得检验报告的时间进行维护。</w:t>
            </w:r>
          </w:p>
          <w:p w14:paraId="0977C3B8">
            <w:pPr>
              <w:pStyle w:val="18"/>
              <w:rPr>
                <w:color w:val="auto"/>
              </w:rPr>
            </w:pPr>
            <w:r>
              <w:rPr>
                <w:rFonts w:hint="eastAsia"/>
                <w:color w:val="auto"/>
              </w:rPr>
              <w:t>6.智能采血管理</w:t>
            </w:r>
          </w:p>
          <w:p w14:paraId="529C0CAF">
            <w:pPr>
              <w:pStyle w:val="18"/>
              <w:rPr>
                <w:color w:val="auto"/>
              </w:rPr>
            </w:pPr>
            <w:r>
              <w:rPr>
                <w:rFonts w:hint="eastAsia"/>
                <w:color w:val="auto"/>
              </w:rPr>
              <w:t>（1）对通用项目，专用项目，特殊项目等维护：通用项目：多个设备能够完成的测试，专用项目：只有一个设备能够完成的测试，特殊项目：每个项目都是一个试管。</w:t>
            </w:r>
          </w:p>
          <w:p w14:paraId="479F812C">
            <w:pPr>
              <w:pStyle w:val="18"/>
              <w:rPr>
                <w:color w:val="auto"/>
              </w:rPr>
            </w:pPr>
            <w:r>
              <w:rPr>
                <w:rFonts w:hint="eastAsia"/>
                <w:color w:val="auto"/>
              </w:rPr>
              <w:t>（2）分管规则维护：分管规则维护：根据标本类型、试管类型、执行科室、检测部门、LIS流水线控制机器代号五个条件因素决定是否合并采样容器与分管。</w:t>
            </w:r>
          </w:p>
          <w:p w14:paraId="4D2B4887">
            <w:pPr>
              <w:pStyle w:val="18"/>
              <w:rPr>
                <w:color w:val="auto"/>
              </w:rPr>
            </w:pPr>
            <w:r>
              <w:rPr>
                <w:rFonts w:hint="eastAsia"/>
                <w:color w:val="auto"/>
              </w:rPr>
              <w:t>（3）条码合并，拆分管理：根据分管规则生成条码，并实现容器条码合并、拆分。</w:t>
            </w:r>
          </w:p>
          <w:p w14:paraId="108A5131">
            <w:pPr>
              <w:pStyle w:val="18"/>
              <w:rPr>
                <w:color w:val="auto"/>
              </w:rPr>
            </w:pPr>
            <w:r>
              <w:rPr>
                <w:rFonts w:hint="eastAsia"/>
                <w:color w:val="auto"/>
              </w:rPr>
              <w:t>（4）两种模式条码管理：条码打印模式、预置条码对照模式。</w:t>
            </w:r>
          </w:p>
          <w:p w14:paraId="255978BA">
            <w:pPr>
              <w:pStyle w:val="18"/>
              <w:rPr>
                <w:color w:val="auto"/>
              </w:rPr>
            </w:pPr>
            <w:r>
              <w:rPr>
                <w:rFonts w:hint="eastAsia"/>
                <w:color w:val="auto"/>
              </w:rPr>
              <w:t>7.菜单管理</w:t>
            </w:r>
          </w:p>
          <w:p w14:paraId="74794CB0">
            <w:pPr>
              <w:pStyle w:val="18"/>
              <w:rPr>
                <w:color w:val="auto"/>
              </w:rPr>
            </w:pPr>
            <w:r>
              <w:rPr>
                <w:rFonts w:hint="eastAsia"/>
                <w:color w:val="auto"/>
              </w:rPr>
              <w:t>菜单维护：针对不同的角色来配置能够查看的菜单。</w:t>
            </w:r>
          </w:p>
          <w:p w14:paraId="6C7FE2F6">
            <w:pPr>
              <w:pStyle w:val="18"/>
              <w:rPr>
                <w:color w:val="auto"/>
              </w:rPr>
            </w:pPr>
            <w:r>
              <w:rPr>
                <w:rFonts w:hint="eastAsia"/>
                <w:color w:val="auto"/>
              </w:rPr>
              <w:t>8.接口管理</w:t>
            </w:r>
          </w:p>
          <w:p w14:paraId="0132EE48">
            <w:pPr>
              <w:pStyle w:val="18"/>
              <w:rPr>
                <w:color w:val="auto"/>
              </w:rPr>
            </w:pPr>
            <w:r>
              <w:rPr>
                <w:rFonts w:hint="eastAsia"/>
                <w:color w:val="auto"/>
              </w:rPr>
              <w:t>HIS，体检系统接口管理：通过SQL语句的配置来完成接口管理。</w:t>
            </w:r>
          </w:p>
        </w:tc>
      </w:tr>
      <w:tr w14:paraId="480D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D754DF1">
            <w:pPr>
              <w:pStyle w:val="18"/>
              <w:jc w:val="center"/>
              <w:rPr>
                <w:b w:val="0"/>
                <w:color w:val="auto"/>
              </w:rPr>
            </w:pPr>
            <w:r>
              <w:rPr>
                <w:rFonts w:hint="eastAsia"/>
                <w:b w:val="0"/>
                <w:color w:val="auto"/>
              </w:rPr>
              <w:t>即时消息管理</w:t>
            </w:r>
          </w:p>
        </w:tc>
        <w:tc>
          <w:tcPr>
            <w:tcW w:w="6579" w:type="dxa"/>
            <w:vAlign w:val="center"/>
          </w:tcPr>
          <w:p w14:paraId="683BBDB3">
            <w:pPr>
              <w:pStyle w:val="18"/>
              <w:rPr>
                <w:color w:val="auto"/>
              </w:rPr>
            </w:pPr>
            <w:r>
              <w:rPr>
                <w:rFonts w:hint="eastAsia"/>
                <w:color w:val="auto"/>
              </w:rPr>
              <w:t>1.危急值报警</w:t>
            </w:r>
          </w:p>
          <w:p w14:paraId="56E9657D">
            <w:pPr>
              <w:pStyle w:val="18"/>
              <w:rPr>
                <w:color w:val="auto"/>
              </w:rPr>
            </w:pPr>
            <w:r>
              <w:rPr>
                <w:rFonts w:hint="eastAsia"/>
                <w:color w:val="auto"/>
              </w:rPr>
              <w:t>（1）危急值报警提示录入：当检验项目中出现生命危急值情况时，系统在患者列表以醒目的颜色，提示给操作者，如果有大屏幕，可第一时间显示在大屏幕上。并在没有进行记录的情况下，审核时进行提示。用户可以主动进行危急值的登记和情况说明，向临床发布危急值消息。</w:t>
            </w:r>
          </w:p>
          <w:p w14:paraId="52E74C51">
            <w:pPr>
              <w:pStyle w:val="18"/>
              <w:rPr>
                <w:color w:val="auto"/>
              </w:rPr>
            </w:pPr>
            <w:r>
              <w:rPr>
                <w:rFonts w:hint="eastAsia"/>
                <w:color w:val="auto"/>
              </w:rPr>
              <w:t>（2）危急值反馈终结管理：检验科工作终端可以对医生处理过的危急值消息提醒，告知处理内容。同时对没有及时处理的危急值进行提示，闪烁，要求对危急值进行最终处理，需要检验科电话提醒，并登记电话记录。如果医生方面没有异议，则可以有检验员直接对危急值进行终结处理。保证危急值闭环管理。</w:t>
            </w:r>
          </w:p>
          <w:p w14:paraId="0E67AC73">
            <w:pPr>
              <w:pStyle w:val="18"/>
              <w:rPr>
                <w:color w:val="auto"/>
              </w:rPr>
            </w:pPr>
            <w:r>
              <w:rPr>
                <w:rFonts w:hint="eastAsia"/>
                <w:color w:val="auto"/>
              </w:rPr>
              <w:t>（3）危急值统计和查询：可以对指定项目和类别进行危急值的统计，对详细列表进行查询。</w:t>
            </w:r>
          </w:p>
          <w:p w14:paraId="3A4F7645">
            <w:pPr>
              <w:pStyle w:val="18"/>
              <w:rPr>
                <w:color w:val="auto"/>
              </w:rPr>
            </w:pPr>
            <w:r>
              <w:rPr>
                <w:rFonts w:hint="eastAsia"/>
                <w:color w:val="auto"/>
              </w:rPr>
              <w:t>2.不合格样本提醒</w:t>
            </w:r>
          </w:p>
          <w:p w14:paraId="1578FB47">
            <w:pPr>
              <w:pStyle w:val="18"/>
              <w:rPr>
                <w:color w:val="auto"/>
              </w:rPr>
            </w:pPr>
            <w:r>
              <w:rPr>
                <w:rFonts w:hint="eastAsia"/>
                <w:color w:val="auto"/>
              </w:rPr>
              <w:t>（1）不合格样本记录：在样本接收，核收时如发现不合格样本，可以对不合格样本进行记录，详细记录不合格原因处理办法等，并将不合格信息发送给护士站。</w:t>
            </w:r>
          </w:p>
          <w:p w14:paraId="5D4C8DD6">
            <w:pPr>
              <w:pStyle w:val="18"/>
              <w:rPr>
                <w:color w:val="auto"/>
              </w:rPr>
            </w:pPr>
            <w:r>
              <w:rPr>
                <w:rFonts w:hint="eastAsia"/>
                <w:color w:val="auto"/>
              </w:rPr>
              <w:t>（2）不合格样本提示：在门诊条码打印（本人、全部门诊），病房条码打印（本病区）的程序功能中对不合格样本进行滚动提示，如果操作者对其确认，则表示对不合格样本进行最终处理。</w:t>
            </w:r>
          </w:p>
          <w:p w14:paraId="5CEA29AD">
            <w:pPr>
              <w:pStyle w:val="18"/>
              <w:rPr>
                <w:color w:val="auto"/>
              </w:rPr>
            </w:pPr>
            <w:r>
              <w:rPr>
                <w:rFonts w:hint="eastAsia"/>
                <w:color w:val="auto"/>
              </w:rPr>
              <w:t>（3）不合格样本统计查询：查询符合条件的不合格样本信息。对病区，不合格原因等可进行分组统计，来提升采血质量。</w:t>
            </w:r>
          </w:p>
          <w:p w14:paraId="1E4DB102">
            <w:pPr>
              <w:pStyle w:val="18"/>
              <w:rPr>
                <w:color w:val="auto"/>
              </w:rPr>
            </w:pPr>
            <w:r>
              <w:rPr>
                <w:rFonts w:hint="eastAsia"/>
                <w:color w:val="auto"/>
              </w:rPr>
              <w:t>3.高危项目提醒</w:t>
            </w:r>
          </w:p>
          <w:p w14:paraId="258C676E">
            <w:pPr>
              <w:pStyle w:val="18"/>
              <w:rPr>
                <w:color w:val="auto"/>
              </w:rPr>
            </w:pPr>
            <w:r>
              <w:rPr>
                <w:rFonts w:hint="eastAsia"/>
                <w:color w:val="auto"/>
              </w:rPr>
              <w:t>（1）高危患者登记：有传染病结果的标本可以登记此患者为高危患者。</w:t>
            </w:r>
          </w:p>
          <w:p w14:paraId="1668A84D">
            <w:pPr>
              <w:pStyle w:val="18"/>
              <w:rPr>
                <w:color w:val="auto"/>
              </w:rPr>
            </w:pPr>
            <w:r>
              <w:rPr>
                <w:rFonts w:hint="eastAsia"/>
                <w:color w:val="auto"/>
              </w:rPr>
              <w:t>（2）高危患者提醒：登记后患者再次采血化验时，在条码打印、样本接收、样本核收等才做时都会提示，以便检验员高危防护。</w:t>
            </w:r>
          </w:p>
        </w:tc>
      </w:tr>
      <w:tr w14:paraId="2083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26D0496">
            <w:pPr>
              <w:pStyle w:val="18"/>
              <w:jc w:val="center"/>
              <w:rPr>
                <w:b w:val="0"/>
                <w:color w:val="auto"/>
              </w:rPr>
            </w:pPr>
            <w:r>
              <w:rPr>
                <w:rFonts w:hint="eastAsia"/>
                <w:b w:val="0"/>
                <w:color w:val="auto"/>
              </w:rPr>
              <w:t>主任管理</w:t>
            </w:r>
          </w:p>
        </w:tc>
        <w:tc>
          <w:tcPr>
            <w:tcW w:w="6579" w:type="dxa"/>
            <w:vAlign w:val="center"/>
          </w:tcPr>
          <w:p w14:paraId="6B55B54C">
            <w:pPr>
              <w:pStyle w:val="18"/>
              <w:rPr>
                <w:color w:val="auto"/>
              </w:rPr>
            </w:pPr>
            <w:r>
              <w:rPr>
                <w:rFonts w:hint="eastAsia"/>
                <w:color w:val="auto"/>
              </w:rPr>
              <w:t>1.特批申请单管理</w:t>
            </w:r>
          </w:p>
          <w:p w14:paraId="52191766">
            <w:pPr>
              <w:pStyle w:val="18"/>
              <w:rPr>
                <w:color w:val="auto"/>
              </w:rPr>
            </w:pPr>
            <w:r>
              <w:rPr>
                <w:rFonts w:hint="eastAsia"/>
                <w:color w:val="auto"/>
              </w:rPr>
              <w:t>（1）特批申请单审批：对科室内对特殊患者，绿色通道患者等申请信息进行审批操作，允许用户对该项目进行打印。</w:t>
            </w:r>
          </w:p>
          <w:p w14:paraId="27A38863">
            <w:pPr>
              <w:pStyle w:val="18"/>
              <w:rPr>
                <w:color w:val="auto"/>
              </w:rPr>
            </w:pPr>
            <w:r>
              <w:rPr>
                <w:rFonts w:hint="eastAsia"/>
                <w:color w:val="auto"/>
              </w:rPr>
              <w:t>（2）特批申请单查询：需支持对于特批的申请单进行小组，人员的分类查询。对于特批的申请人员，项目等进行统计。</w:t>
            </w:r>
          </w:p>
          <w:p w14:paraId="47B3F9C2">
            <w:pPr>
              <w:pStyle w:val="18"/>
              <w:rPr>
                <w:color w:val="auto"/>
              </w:rPr>
            </w:pPr>
            <w:r>
              <w:rPr>
                <w:rFonts w:hint="eastAsia"/>
                <w:color w:val="auto"/>
              </w:rPr>
              <w:t>2.排班管理</w:t>
            </w:r>
          </w:p>
          <w:p w14:paraId="5E815F5E">
            <w:pPr>
              <w:pStyle w:val="18"/>
              <w:rPr>
                <w:color w:val="auto"/>
              </w:rPr>
            </w:pPr>
            <w:r>
              <w:rPr>
                <w:rFonts w:hint="eastAsia"/>
                <w:color w:val="auto"/>
              </w:rPr>
              <w:t>（1）排班模板维护：通过对常用班型的模板维护方式，确定排班模板，通过排班模板可以快速完成排班工作。</w:t>
            </w:r>
          </w:p>
          <w:p w14:paraId="24347576">
            <w:pPr>
              <w:pStyle w:val="18"/>
              <w:rPr>
                <w:color w:val="auto"/>
              </w:rPr>
            </w:pPr>
            <w:r>
              <w:rPr>
                <w:rFonts w:hint="eastAsia"/>
                <w:color w:val="auto"/>
              </w:rPr>
              <w:t>（2）对于科室内的工作人员，通过模板加载，自定义方式等完成排班工作。</w:t>
            </w:r>
          </w:p>
          <w:p w14:paraId="0B8B0151">
            <w:pPr>
              <w:pStyle w:val="18"/>
              <w:rPr>
                <w:color w:val="auto"/>
              </w:rPr>
            </w:pPr>
            <w:r>
              <w:rPr>
                <w:rFonts w:hint="eastAsia"/>
                <w:color w:val="auto"/>
              </w:rPr>
              <w:t>3.综合查询平台</w:t>
            </w:r>
          </w:p>
          <w:p w14:paraId="6EBE44E8">
            <w:pPr>
              <w:pStyle w:val="18"/>
              <w:rPr>
                <w:color w:val="auto"/>
              </w:rPr>
            </w:pPr>
            <w:r>
              <w:rPr>
                <w:rFonts w:hint="eastAsia"/>
                <w:color w:val="auto"/>
              </w:rPr>
              <w:t>通过统一的查询平台，完成科室内相关业务查询，跟踪，统计分析的操作。</w:t>
            </w:r>
          </w:p>
          <w:p w14:paraId="1466793C">
            <w:pPr>
              <w:pStyle w:val="18"/>
              <w:rPr>
                <w:color w:val="auto"/>
              </w:rPr>
            </w:pPr>
            <w:r>
              <w:rPr>
                <w:rFonts w:hint="eastAsia"/>
                <w:color w:val="auto"/>
              </w:rPr>
              <w:t>4.提醒和报警</w:t>
            </w:r>
          </w:p>
          <w:p w14:paraId="3A45BD80">
            <w:pPr>
              <w:pStyle w:val="18"/>
              <w:rPr>
                <w:color w:val="auto"/>
              </w:rPr>
            </w:pPr>
            <w:r>
              <w:rPr>
                <w:rFonts w:hint="eastAsia"/>
                <w:color w:val="auto"/>
              </w:rPr>
              <w:t>对于超时处理的样本进行报警提示。</w:t>
            </w:r>
          </w:p>
        </w:tc>
      </w:tr>
      <w:tr w14:paraId="01A7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7C401F0">
            <w:pPr>
              <w:pStyle w:val="18"/>
              <w:jc w:val="center"/>
              <w:rPr>
                <w:b w:val="0"/>
                <w:color w:val="auto"/>
              </w:rPr>
            </w:pPr>
            <w:r>
              <w:rPr>
                <w:rFonts w:hint="eastAsia"/>
                <w:b w:val="0"/>
                <w:color w:val="auto"/>
              </w:rPr>
              <w:t>查询统计平台</w:t>
            </w:r>
          </w:p>
        </w:tc>
        <w:tc>
          <w:tcPr>
            <w:tcW w:w="6579" w:type="dxa"/>
            <w:vAlign w:val="center"/>
          </w:tcPr>
          <w:p w14:paraId="358B49D3">
            <w:pPr>
              <w:pStyle w:val="18"/>
              <w:rPr>
                <w:color w:val="auto"/>
              </w:rPr>
            </w:pPr>
            <w:r>
              <w:rPr>
                <w:rFonts w:hint="eastAsia"/>
                <w:color w:val="auto"/>
              </w:rPr>
              <w:t>1.科室收入统计</w:t>
            </w:r>
          </w:p>
          <w:p w14:paraId="3B9C0463">
            <w:pPr>
              <w:pStyle w:val="18"/>
              <w:rPr>
                <w:color w:val="auto"/>
              </w:rPr>
            </w:pPr>
            <w:r>
              <w:rPr>
                <w:rFonts w:hint="eastAsia"/>
                <w:color w:val="auto"/>
              </w:rPr>
              <w:t>对科室（检验科，或者其他医技科室）各个条件下的收入统计操作。</w:t>
            </w:r>
          </w:p>
          <w:p w14:paraId="6B61108C">
            <w:pPr>
              <w:pStyle w:val="18"/>
              <w:rPr>
                <w:color w:val="auto"/>
              </w:rPr>
            </w:pPr>
            <w:r>
              <w:rPr>
                <w:rFonts w:hint="eastAsia"/>
                <w:color w:val="auto"/>
              </w:rPr>
              <w:t>条件：指定时间范围，按住院，门诊，体检患者类型的统计模式，可考虑按日分组统计方式。</w:t>
            </w:r>
          </w:p>
          <w:p w14:paraId="05C4A8C0">
            <w:pPr>
              <w:pStyle w:val="18"/>
              <w:rPr>
                <w:color w:val="auto"/>
              </w:rPr>
            </w:pPr>
            <w:r>
              <w:rPr>
                <w:rFonts w:hint="eastAsia"/>
                <w:color w:val="auto"/>
              </w:rPr>
              <w:t>（1）检验科室（下属检验专业组）的内的费用统计。</w:t>
            </w:r>
          </w:p>
          <w:p w14:paraId="648A71CA">
            <w:pPr>
              <w:pStyle w:val="18"/>
              <w:rPr>
                <w:color w:val="auto"/>
              </w:rPr>
            </w:pPr>
            <w:r>
              <w:rPr>
                <w:rFonts w:hint="eastAsia"/>
                <w:color w:val="auto"/>
              </w:rPr>
              <w:t>（2）专业组内（生化，免疫等），检验设备工作费用统计。</w:t>
            </w:r>
          </w:p>
          <w:p w14:paraId="2E3C3A62">
            <w:pPr>
              <w:pStyle w:val="18"/>
              <w:rPr>
                <w:color w:val="auto"/>
              </w:rPr>
            </w:pPr>
            <w:r>
              <w:rPr>
                <w:rFonts w:hint="eastAsia"/>
                <w:color w:val="auto"/>
              </w:rPr>
              <w:t>（3）检验科室对检验项目（如血常规）等项目的全科室统计（不考虑设备做为条件）。</w:t>
            </w:r>
          </w:p>
          <w:p w14:paraId="57989FEF">
            <w:pPr>
              <w:pStyle w:val="18"/>
              <w:rPr>
                <w:color w:val="auto"/>
              </w:rPr>
            </w:pPr>
            <w:r>
              <w:rPr>
                <w:rFonts w:hint="eastAsia"/>
                <w:color w:val="auto"/>
              </w:rPr>
              <w:t>（4）检验科室内对单项项目进行收入统计（此内容中仅考虑单项存在费用的情况，对于血常规，尿常规中的单项不考虑此统计方式）。</w:t>
            </w:r>
          </w:p>
          <w:p w14:paraId="153C87F7">
            <w:pPr>
              <w:pStyle w:val="18"/>
              <w:rPr>
                <w:color w:val="auto"/>
              </w:rPr>
            </w:pPr>
            <w:r>
              <w:rPr>
                <w:rFonts w:hint="eastAsia"/>
                <w:color w:val="auto"/>
              </w:rPr>
              <w:t>（5）按送检科室，送检医生方式的收入统计方式。</w:t>
            </w:r>
          </w:p>
          <w:p w14:paraId="4E38D709">
            <w:pPr>
              <w:pStyle w:val="18"/>
              <w:rPr>
                <w:color w:val="auto"/>
              </w:rPr>
            </w:pPr>
            <w:r>
              <w:rPr>
                <w:rFonts w:hint="eastAsia"/>
                <w:color w:val="auto"/>
              </w:rPr>
              <w:t>（6）按检验医生的工作方式进行收入统计。</w:t>
            </w:r>
          </w:p>
          <w:p w14:paraId="759E58F8">
            <w:pPr>
              <w:pStyle w:val="18"/>
              <w:rPr>
                <w:color w:val="auto"/>
              </w:rPr>
            </w:pPr>
            <w:r>
              <w:rPr>
                <w:rFonts w:hint="eastAsia"/>
                <w:color w:val="auto"/>
              </w:rPr>
              <w:t>2.科室工作量统计</w:t>
            </w:r>
          </w:p>
          <w:p w14:paraId="56C82717">
            <w:pPr>
              <w:pStyle w:val="18"/>
              <w:rPr>
                <w:color w:val="auto"/>
              </w:rPr>
            </w:pPr>
            <w:r>
              <w:rPr>
                <w:rFonts w:hint="eastAsia"/>
                <w:color w:val="auto"/>
              </w:rPr>
              <w:t>对科室（检验科，或者其他医技科室）各个条件下的工作量（件数）统计操作。</w:t>
            </w:r>
          </w:p>
          <w:p w14:paraId="57908714">
            <w:pPr>
              <w:pStyle w:val="18"/>
              <w:rPr>
                <w:color w:val="auto"/>
              </w:rPr>
            </w:pPr>
            <w:r>
              <w:rPr>
                <w:rFonts w:hint="eastAsia"/>
                <w:color w:val="auto"/>
              </w:rPr>
              <w:t>条件：指定时间范围，按住院，门诊，体检患者类型的统计模式，可考虑按日分组统计方式。</w:t>
            </w:r>
          </w:p>
          <w:p w14:paraId="5E9AEF6B">
            <w:pPr>
              <w:pStyle w:val="18"/>
              <w:rPr>
                <w:color w:val="auto"/>
              </w:rPr>
            </w:pPr>
            <w:r>
              <w:rPr>
                <w:rFonts w:hint="eastAsia"/>
                <w:color w:val="auto"/>
              </w:rPr>
              <w:t>（1）按专业小组进行总的工作量的统计（人次）；</w:t>
            </w:r>
          </w:p>
          <w:p w14:paraId="78DFBDF3">
            <w:pPr>
              <w:pStyle w:val="18"/>
              <w:rPr>
                <w:color w:val="auto"/>
              </w:rPr>
            </w:pPr>
            <w:r>
              <w:rPr>
                <w:rFonts w:hint="eastAsia"/>
                <w:color w:val="auto"/>
              </w:rPr>
              <w:t>（2）按检验设备进行检验项目的工作量统计（人次）；</w:t>
            </w:r>
          </w:p>
          <w:p w14:paraId="3A870A90">
            <w:pPr>
              <w:pStyle w:val="18"/>
              <w:rPr>
                <w:color w:val="auto"/>
              </w:rPr>
            </w:pPr>
            <w:r>
              <w:rPr>
                <w:rFonts w:hint="eastAsia"/>
                <w:color w:val="auto"/>
              </w:rPr>
              <w:t>（3）按检验人员进行工作量统计（人次）；；</w:t>
            </w:r>
          </w:p>
          <w:p w14:paraId="69AD16BE">
            <w:pPr>
              <w:pStyle w:val="18"/>
              <w:rPr>
                <w:color w:val="auto"/>
              </w:rPr>
            </w:pPr>
            <w:r>
              <w:rPr>
                <w:rFonts w:hint="eastAsia"/>
                <w:color w:val="auto"/>
              </w:rPr>
              <w:t>（4）按检验项目进行工作量统计（人次/件数）；</w:t>
            </w:r>
          </w:p>
          <w:p w14:paraId="304E6E76">
            <w:pPr>
              <w:pStyle w:val="18"/>
              <w:rPr>
                <w:color w:val="auto"/>
              </w:rPr>
            </w:pPr>
            <w:r>
              <w:rPr>
                <w:rFonts w:hint="eastAsia"/>
                <w:color w:val="auto"/>
              </w:rPr>
              <w:t>（5）按送检科室进行工作量统计（人次）；</w:t>
            </w:r>
          </w:p>
          <w:p w14:paraId="4BF06CDF">
            <w:pPr>
              <w:pStyle w:val="18"/>
              <w:rPr>
                <w:color w:val="auto"/>
              </w:rPr>
            </w:pPr>
            <w:r>
              <w:rPr>
                <w:rFonts w:hint="eastAsia"/>
                <w:color w:val="auto"/>
              </w:rPr>
              <w:t>（6）按测试项目进行件数统计（对血常规，尿常规等项目无意义）。</w:t>
            </w:r>
          </w:p>
          <w:p w14:paraId="618D9634">
            <w:pPr>
              <w:pStyle w:val="18"/>
              <w:rPr>
                <w:color w:val="auto"/>
              </w:rPr>
            </w:pPr>
            <w:r>
              <w:rPr>
                <w:rFonts w:hint="eastAsia"/>
                <w:color w:val="auto"/>
              </w:rPr>
              <w:t>3.综合统计</w:t>
            </w:r>
          </w:p>
          <w:p w14:paraId="0FC83803">
            <w:pPr>
              <w:pStyle w:val="18"/>
              <w:rPr>
                <w:color w:val="auto"/>
              </w:rPr>
            </w:pPr>
            <w:r>
              <w:rPr>
                <w:rFonts w:hint="eastAsia"/>
                <w:color w:val="auto"/>
              </w:rPr>
              <w:t>对工作量和收入的综合统计方式：对检验项目和收入的数据根据日期和患者类型方式（可按日分组），进行多条件综合表格的查询统计操作。</w:t>
            </w:r>
          </w:p>
          <w:p w14:paraId="0F198CE1">
            <w:pPr>
              <w:pStyle w:val="18"/>
              <w:rPr>
                <w:color w:val="auto"/>
              </w:rPr>
            </w:pPr>
            <w:r>
              <w:rPr>
                <w:rFonts w:hint="eastAsia"/>
                <w:color w:val="auto"/>
              </w:rPr>
              <w:t>4.标本管理</w:t>
            </w:r>
          </w:p>
          <w:p w14:paraId="623E59A5">
            <w:pPr>
              <w:pStyle w:val="18"/>
              <w:rPr>
                <w:color w:val="auto"/>
              </w:rPr>
            </w:pPr>
            <w:r>
              <w:rPr>
                <w:rFonts w:hint="eastAsia"/>
                <w:color w:val="auto"/>
              </w:rPr>
              <w:t>（1）危急值统计报表</w:t>
            </w:r>
          </w:p>
          <w:p w14:paraId="0D01FAD7">
            <w:pPr>
              <w:pStyle w:val="18"/>
              <w:rPr>
                <w:color w:val="auto"/>
              </w:rPr>
            </w:pPr>
            <w:r>
              <w:rPr>
                <w:rFonts w:hint="eastAsia"/>
                <w:color w:val="auto"/>
              </w:rPr>
              <w:t>对每日发生的危急值信息进行查询（条件：可用患者编号，日期，条码号，危急项目）。</w:t>
            </w:r>
          </w:p>
          <w:p w14:paraId="2000D32A">
            <w:pPr>
              <w:pStyle w:val="18"/>
              <w:rPr>
                <w:color w:val="auto"/>
              </w:rPr>
            </w:pPr>
            <w:r>
              <w:rPr>
                <w:rFonts w:hint="eastAsia"/>
                <w:color w:val="auto"/>
              </w:rPr>
              <w:t>对每日危急值处理情况的统计（已经处理的，未处理的数量）.可进入明细查询。</w:t>
            </w:r>
          </w:p>
          <w:p w14:paraId="5AB1A98E">
            <w:pPr>
              <w:pStyle w:val="18"/>
              <w:rPr>
                <w:color w:val="auto"/>
              </w:rPr>
            </w:pPr>
            <w:r>
              <w:rPr>
                <w:rFonts w:hint="eastAsia"/>
                <w:color w:val="auto"/>
              </w:rPr>
              <w:t>可按日对一段时间的处理情况进行汇总。</w:t>
            </w:r>
          </w:p>
          <w:p w14:paraId="6CC2885F">
            <w:pPr>
              <w:pStyle w:val="18"/>
              <w:rPr>
                <w:color w:val="auto"/>
              </w:rPr>
            </w:pPr>
            <w:r>
              <w:rPr>
                <w:rFonts w:hint="eastAsia"/>
                <w:color w:val="auto"/>
              </w:rPr>
              <w:t>（2）敏感项目统计报表</w:t>
            </w:r>
          </w:p>
          <w:p w14:paraId="7DF691E7">
            <w:pPr>
              <w:pStyle w:val="18"/>
              <w:rPr>
                <w:color w:val="auto"/>
              </w:rPr>
            </w:pPr>
            <w:r>
              <w:rPr>
                <w:rFonts w:hint="eastAsia"/>
                <w:color w:val="auto"/>
              </w:rPr>
              <w:t>对HIV，梅毒等国家控制类的传染病，敏感项目的明细报表。</w:t>
            </w:r>
          </w:p>
          <w:p w14:paraId="7748529C">
            <w:pPr>
              <w:pStyle w:val="18"/>
              <w:rPr>
                <w:color w:val="auto"/>
              </w:rPr>
            </w:pPr>
            <w:r>
              <w:rPr>
                <w:rFonts w:hint="eastAsia"/>
                <w:color w:val="auto"/>
              </w:rPr>
              <w:t>对HIV，梅毒等项目的按日统计方式的汇总数据表格。</w:t>
            </w:r>
          </w:p>
          <w:p w14:paraId="2C962914">
            <w:pPr>
              <w:pStyle w:val="18"/>
              <w:rPr>
                <w:color w:val="auto"/>
              </w:rPr>
            </w:pPr>
            <w:r>
              <w:rPr>
                <w:rFonts w:hint="eastAsia"/>
                <w:color w:val="auto"/>
              </w:rPr>
              <w:t>对阳性数据清单的查询。</w:t>
            </w:r>
          </w:p>
          <w:p w14:paraId="17B2A83A">
            <w:pPr>
              <w:pStyle w:val="18"/>
              <w:rPr>
                <w:color w:val="auto"/>
              </w:rPr>
            </w:pPr>
            <w:r>
              <w:rPr>
                <w:rFonts w:hint="eastAsia"/>
                <w:color w:val="auto"/>
              </w:rPr>
              <w:t>对阳性率的统计表。</w:t>
            </w:r>
          </w:p>
          <w:p w14:paraId="3BEC893F">
            <w:pPr>
              <w:pStyle w:val="18"/>
              <w:rPr>
                <w:color w:val="auto"/>
              </w:rPr>
            </w:pPr>
            <w:r>
              <w:rPr>
                <w:rFonts w:hint="eastAsia"/>
                <w:color w:val="auto"/>
              </w:rPr>
              <w:t>（3）全流程时间管理-TAT</w:t>
            </w:r>
          </w:p>
          <w:p w14:paraId="7C59F6FF">
            <w:pPr>
              <w:pStyle w:val="18"/>
              <w:rPr>
                <w:color w:val="auto"/>
              </w:rPr>
            </w:pPr>
            <w:r>
              <w:rPr>
                <w:rFonts w:hint="eastAsia"/>
                <w:color w:val="auto"/>
              </w:rPr>
              <w:t>对样本流程中的时间点进行管理（开立时间，条码打印时间（采血时间），送检时间，接收时间，核收时间，审核时间，打印时间）的时间点，操作人的查询管理。可以通过条码号，患者编号，项目等进行相关的时间点的查询。</w:t>
            </w:r>
          </w:p>
          <w:p w14:paraId="22658EEC">
            <w:pPr>
              <w:pStyle w:val="18"/>
              <w:rPr>
                <w:color w:val="auto"/>
              </w:rPr>
            </w:pPr>
            <w:r>
              <w:rPr>
                <w:rFonts w:hint="eastAsia"/>
                <w:color w:val="auto"/>
              </w:rPr>
              <w:t>根据预先确定的两个时间点的时间约束，进行超时管理，可以对工作人员的工作流程是否满足管理要求进行监管。</w:t>
            </w:r>
          </w:p>
          <w:p w14:paraId="2D28B7FF">
            <w:pPr>
              <w:pStyle w:val="18"/>
              <w:rPr>
                <w:color w:val="auto"/>
              </w:rPr>
            </w:pPr>
            <w:r>
              <w:rPr>
                <w:rFonts w:hint="eastAsia"/>
                <w:color w:val="auto"/>
              </w:rPr>
              <w:t>（4）工作流量管理</w:t>
            </w:r>
          </w:p>
          <w:p w14:paraId="0E277753">
            <w:pPr>
              <w:pStyle w:val="18"/>
              <w:rPr>
                <w:color w:val="auto"/>
              </w:rPr>
            </w:pPr>
            <w:r>
              <w:rPr>
                <w:rFonts w:hint="eastAsia"/>
                <w:color w:val="auto"/>
              </w:rPr>
              <w:t>通过对流程中的时间点的分段统计模式，确定各个检验项目，在不同时段内的样本数量，确定每日工作高峰和低谷的样本管理。以达到优化工作流程的目的，确定人员安排的策略。</w:t>
            </w:r>
          </w:p>
          <w:p w14:paraId="1B195BC9">
            <w:pPr>
              <w:pStyle w:val="18"/>
              <w:rPr>
                <w:color w:val="auto"/>
              </w:rPr>
            </w:pPr>
            <w:r>
              <w:rPr>
                <w:rFonts w:hint="eastAsia"/>
                <w:color w:val="auto"/>
              </w:rPr>
              <w:t>通过流程中两个时间的时间差，查看工作情况效率，如两个时间点的差为1小时对应的样本数量，2小时内对应的数量等。可以考察科室人员工作质量情况。</w:t>
            </w:r>
          </w:p>
          <w:p w14:paraId="36E2DD13">
            <w:pPr>
              <w:pStyle w:val="18"/>
              <w:rPr>
                <w:color w:val="auto"/>
              </w:rPr>
            </w:pPr>
            <w:r>
              <w:rPr>
                <w:rFonts w:hint="eastAsia"/>
                <w:color w:val="auto"/>
              </w:rPr>
              <w:t>（5）护士采血工作量统计</w:t>
            </w:r>
          </w:p>
          <w:p w14:paraId="3847FE71">
            <w:pPr>
              <w:pStyle w:val="18"/>
              <w:rPr>
                <w:color w:val="auto"/>
              </w:rPr>
            </w:pPr>
            <w:r>
              <w:rPr>
                <w:rFonts w:hint="eastAsia"/>
                <w:color w:val="auto"/>
              </w:rPr>
              <w:t>需支持护士采血工作量人次统计、护士采血工作量件数统计。</w:t>
            </w:r>
          </w:p>
          <w:p w14:paraId="3CF8F50A">
            <w:pPr>
              <w:pStyle w:val="18"/>
              <w:rPr>
                <w:color w:val="auto"/>
              </w:rPr>
            </w:pPr>
            <w:r>
              <w:rPr>
                <w:rFonts w:hint="eastAsia"/>
                <w:color w:val="auto"/>
              </w:rPr>
              <w:t>（6）不合格样本统计表</w:t>
            </w:r>
          </w:p>
          <w:p w14:paraId="35DD5F1E">
            <w:pPr>
              <w:pStyle w:val="18"/>
              <w:rPr>
                <w:color w:val="auto"/>
              </w:rPr>
            </w:pPr>
            <w:r>
              <w:rPr>
                <w:rFonts w:hint="eastAsia"/>
                <w:color w:val="auto"/>
              </w:rPr>
              <w:t>按日对不合格样本进行统计，查询表格。</w:t>
            </w:r>
          </w:p>
          <w:p w14:paraId="0896DD9D">
            <w:pPr>
              <w:pStyle w:val="18"/>
              <w:rPr>
                <w:color w:val="auto"/>
              </w:rPr>
            </w:pPr>
            <w:r>
              <w:rPr>
                <w:rFonts w:hint="eastAsia"/>
                <w:color w:val="auto"/>
              </w:rPr>
              <w:t>按科室、操作人、不合格原因等进行不合格样本的统计管理，确定需要改进的工作内容。</w:t>
            </w:r>
          </w:p>
          <w:p w14:paraId="1EC0901A">
            <w:pPr>
              <w:pStyle w:val="18"/>
              <w:rPr>
                <w:color w:val="auto"/>
              </w:rPr>
            </w:pPr>
            <w:r>
              <w:rPr>
                <w:rFonts w:hint="eastAsia"/>
                <w:color w:val="auto"/>
              </w:rPr>
              <w:t>（7）检验样本后管理查询</w:t>
            </w:r>
          </w:p>
          <w:p w14:paraId="5C64F489">
            <w:pPr>
              <w:pStyle w:val="18"/>
              <w:rPr>
                <w:color w:val="auto"/>
              </w:rPr>
            </w:pPr>
            <w:r>
              <w:rPr>
                <w:rFonts w:hint="eastAsia"/>
                <w:color w:val="auto"/>
              </w:rPr>
              <w:t>对每日样本是否存在未进入后处理的样本的状态统计，查看，确定未进入后处理的原因，了解每日工作状态。</w:t>
            </w:r>
          </w:p>
          <w:p w14:paraId="2806035D">
            <w:pPr>
              <w:pStyle w:val="18"/>
              <w:rPr>
                <w:color w:val="auto"/>
              </w:rPr>
            </w:pPr>
            <w:r>
              <w:rPr>
                <w:rFonts w:hint="eastAsia"/>
                <w:color w:val="auto"/>
              </w:rPr>
              <w:t>对每日销毁后处理样本的情况进行查看，确定销毁工作状况。</w:t>
            </w:r>
          </w:p>
          <w:p w14:paraId="09BBC73A">
            <w:pPr>
              <w:pStyle w:val="18"/>
              <w:rPr>
                <w:color w:val="auto"/>
              </w:rPr>
            </w:pPr>
            <w:r>
              <w:rPr>
                <w:rFonts w:hint="eastAsia"/>
                <w:color w:val="auto"/>
              </w:rPr>
              <w:t>查询是否存在未完成后管理的样本信息情况。</w:t>
            </w:r>
          </w:p>
          <w:p w14:paraId="03D6B7A4">
            <w:pPr>
              <w:pStyle w:val="18"/>
              <w:rPr>
                <w:color w:val="auto"/>
              </w:rPr>
            </w:pPr>
            <w:r>
              <w:rPr>
                <w:rFonts w:hint="eastAsia"/>
                <w:color w:val="auto"/>
              </w:rPr>
              <w:t>5、阳性报告清单</w:t>
            </w:r>
          </w:p>
          <w:p w14:paraId="5F4FD190">
            <w:pPr>
              <w:pStyle w:val="18"/>
              <w:rPr>
                <w:color w:val="auto"/>
              </w:rPr>
            </w:pPr>
            <w:r>
              <w:rPr>
                <w:rFonts w:hint="eastAsia"/>
                <w:color w:val="auto"/>
              </w:rPr>
              <w:t>（1）对乙肝类、免疫类等进行阳性率的统计（可以针对某个项目，或者是几个项目的情况组合进行查看和统计）。</w:t>
            </w:r>
          </w:p>
          <w:p w14:paraId="142769FE">
            <w:pPr>
              <w:pStyle w:val="18"/>
              <w:rPr>
                <w:color w:val="auto"/>
              </w:rPr>
            </w:pPr>
            <w:r>
              <w:rPr>
                <w:rFonts w:hint="eastAsia"/>
                <w:color w:val="auto"/>
              </w:rPr>
              <w:t>（2）可以对项目的正常率的统计。</w:t>
            </w:r>
          </w:p>
          <w:p w14:paraId="4719DF3C">
            <w:pPr>
              <w:pStyle w:val="18"/>
              <w:rPr>
                <w:color w:val="auto"/>
              </w:rPr>
            </w:pPr>
            <w:r>
              <w:rPr>
                <w:rFonts w:hint="eastAsia"/>
                <w:color w:val="auto"/>
              </w:rPr>
              <w:t>6.处理样本日志</w:t>
            </w:r>
          </w:p>
          <w:p w14:paraId="4695CFD9">
            <w:pPr>
              <w:pStyle w:val="18"/>
              <w:rPr>
                <w:color w:val="auto"/>
              </w:rPr>
            </w:pPr>
            <w:r>
              <w:rPr>
                <w:rFonts w:hint="eastAsia"/>
                <w:color w:val="auto"/>
              </w:rPr>
              <w:t>（1）每日删除样本管理：可以对删除样本进行查看，获得删除情况信息。</w:t>
            </w:r>
          </w:p>
          <w:p w14:paraId="7C538382">
            <w:pPr>
              <w:pStyle w:val="18"/>
              <w:rPr>
                <w:color w:val="auto"/>
              </w:rPr>
            </w:pPr>
            <w:r>
              <w:rPr>
                <w:rFonts w:hint="eastAsia"/>
                <w:color w:val="auto"/>
              </w:rPr>
              <w:t>（2）每日取消审核信息：</w:t>
            </w:r>
          </w:p>
          <w:p w14:paraId="2AE8FD9A">
            <w:pPr>
              <w:pStyle w:val="18"/>
              <w:rPr>
                <w:color w:val="auto"/>
              </w:rPr>
            </w:pPr>
            <w:r>
              <w:rPr>
                <w:rFonts w:hint="eastAsia"/>
                <w:color w:val="auto"/>
              </w:rPr>
              <w:t>对每日发生的取消审核的检验单进行查看，获得详细清单信息。对取消审核的原因，取消人等作为分组进行统计，确定取消审核的情况，便于改进工作流程和方法。</w:t>
            </w:r>
          </w:p>
          <w:p w14:paraId="4755BBA9">
            <w:pPr>
              <w:pStyle w:val="18"/>
              <w:rPr>
                <w:color w:val="auto"/>
              </w:rPr>
            </w:pPr>
            <w:r>
              <w:rPr>
                <w:rFonts w:hint="eastAsia"/>
                <w:color w:val="auto"/>
              </w:rPr>
              <w:t>7.送检单</w:t>
            </w:r>
          </w:p>
          <w:p w14:paraId="3F0D1D82">
            <w:pPr>
              <w:pStyle w:val="18"/>
              <w:rPr>
                <w:color w:val="auto"/>
              </w:rPr>
            </w:pPr>
            <w:r>
              <w:rPr>
                <w:rFonts w:hint="eastAsia"/>
                <w:color w:val="auto"/>
              </w:rPr>
              <w:t>每日送检单查看：对每日送检样本的情况进行查看，可以了解送检单的工作状态是否正常。</w:t>
            </w:r>
          </w:p>
          <w:p w14:paraId="7531D944">
            <w:pPr>
              <w:pStyle w:val="18"/>
              <w:rPr>
                <w:color w:val="auto"/>
              </w:rPr>
            </w:pPr>
            <w:r>
              <w:rPr>
                <w:rFonts w:hint="eastAsia"/>
                <w:color w:val="auto"/>
              </w:rPr>
              <w:t>8.日常工作表格</w:t>
            </w:r>
          </w:p>
          <w:p w14:paraId="14690C21">
            <w:pPr>
              <w:pStyle w:val="18"/>
              <w:rPr>
                <w:color w:val="auto"/>
              </w:rPr>
            </w:pPr>
            <w:r>
              <w:rPr>
                <w:rFonts w:hint="eastAsia"/>
                <w:color w:val="auto"/>
              </w:rPr>
              <w:t>检验差错记录：对每日工作出现的差错情况进行记录.可对差错问题进行统计，查询。查询出错频度问题，可指导科室的改进意见。</w:t>
            </w:r>
          </w:p>
          <w:p w14:paraId="1D02FC5F">
            <w:pPr>
              <w:pStyle w:val="18"/>
              <w:rPr>
                <w:color w:val="auto"/>
              </w:rPr>
            </w:pPr>
            <w:r>
              <w:rPr>
                <w:rFonts w:hint="eastAsia"/>
                <w:color w:val="auto"/>
              </w:rPr>
              <w:t>9.检验设备运行记录</w:t>
            </w:r>
          </w:p>
          <w:p w14:paraId="16988CB3">
            <w:pPr>
              <w:pStyle w:val="18"/>
              <w:rPr>
                <w:color w:val="auto"/>
              </w:rPr>
            </w:pPr>
            <w:r>
              <w:rPr>
                <w:rFonts w:hint="eastAsia"/>
                <w:color w:val="auto"/>
              </w:rPr>
              <w:t>检验设备运行记录：对检验设备每日运行情况的记录操作，可以完成全科检验设备的运行情况日清单的查询，打印工作。</w:t>
            </w:r>
          </w:p>
          <w:p w14:paraId="755A6DBD">
            <w:pPr>
              <w:pStyle w:val="18"/>
              <w:rPr>
                <w:color w:val="auto"/>
              </w:rPr>
            </w:pPr>
            <w:r>
              <w:rPr>
                <w:rFonts w:hint="eastAsia"/>
                <w:color w:val="auto"/>
              </w:rPr>
              <w:t>10.试剂查询</w:t>
            </w:r>
          </w:p>
          <w:p w14:paraId="2930ED23">
            <w:pPr>
              <w:pStyle w:val="18"/>
              <w:rPr>
                <w:color w:val="auto"/>
              </w:rPr>
            </w:pPr>
            <w:r>
              <w:rPr>
                <w:rFonts w:hint="eastAsia"/>
                <w:color w:val="auto"/>
              </w:rPr>
              <w:t>（1）试剂消耗查询统计：每日试剂消耗情况看统计。</w:t>
            </w:r>
          </w:p>
          <w:p w14:paraId="55062CC2">
            <w:pPr>
              <w:pStyle w:val="18"/>
              <w:rPr>
                <w:color w:val="auto"/>
              </w:rPr>
            </w:pPr>
            <w:r>
              <w:rPr>
                <w:rFonts w:hint="eastAsia"/>
                <w:color w:val="auto"/>
              </w:rPr>
              <w:t>（2）试剂相关信息查询：包括库存预警查看（试剂，杂品类）、库存试剂有效期查看。</w:t>
            </w:r>
          </w:p>
          <w:p w14:paraId="68EFEE88">
            <w:pPr>
              <w:pStyle w:val="18"/>
              <w:rPr>
                <w:color w:val="auto"/>
              </w:rPr>
            </w:pPr>
            <w:r>
              <w:rPr>
                <w:rFonts w:hint="eastAsia"/>
                <w:color w:val="auto"/>
              </w:rPr>
              <w:t>11.质控管理</w:t>
            </w:r>
          </w:p>
          <w:p w14:paraId="579ED25D">
            <w:pPr>
              <w:pStyle w:val="18"/>
              <w:rPr>
                <w:color w:val="auto"/>
              </w:rPr>
            </w:pPr>
            <w:r>
              <w:rPr>
                <w:rFonts w:hint="eastAsia"/>
                <w:color w:val="auto"/>
              </w:rPr>
              <w:t>需支持质控项目查看：</w:t>
            </w:r>
          </w:p>
          <w:p w14:paraId="02F91667">
            <w:pPr>
              <w:pStyle w:val="18"/>
              <w:rPr>
                <w:color w:val="auto"/>
              </w:rPr>
            </w:pPr>
            <w:r>
              <w:rPr>
                <w:rFonts w:hint="eastAsia"/>
                <w:color w:val="auto"/>
              </w:rPr>
              <w:t>（1）管理者对每日检验设备质控情况查看（是否做过质控的管理。</w:t>
            </w:r>
          </w:p>
          <w:p w14:paraId="28DD0E03">
            <w:pPr>
              <w:pStyle w:val="18"/>
              <w:rPr>
                <w:color w:val="auto"/>
              </w:rPr>
            </w:pPr>
            <w:r>
              <w:rPr>
                <w:rFonts w:hint="eastAsia"/>
                <w:color w:val="auto"/>
              </w:rPr>
              <w:t>（2）可以直接查看每日任何一台检验设备的质控数据情况，是否存在失控报告等。</w:t>
            </w:r>
          </w:p>
          <w:p w14:paraId="436F6375">
            <w:pPr>
              <w:pStyle w:val="18"/>
              <w:rPr>
                <w:color w:val="auto"/>
              </w:rPr>
            </w:pPr>
            <w:r>
              <w:rPr>
                <w:rFonts w:hint="eastAsia"/>
                <w:color w:val="auto"/>
              </w:rPr>
              <w:t>12.检验结果分析</w:t>
            </w:r>
          </w:p>
          <w:p w14:paraId="23474C3C">
            <w:pPr>
              <w:pStyle w:val="18"/>
              <w:rPr>
                <w:color w:val="auto"/>
              </w:rPr>
            </w:pPr>
            <w:r>
              <w:rPr>
                <w:rFonts w:hint="eastAsia"/>
                <w:color w:val="auto"/>
              </w:rPr>
              <w:t>根据多种条件来查看满足条件的数据清单列表信息。</w:t>
            </w:r>
          </w:p>
          <w:p w14:paraId="01444D47">
            <w:pPr>
              <w:pStyle w:val="18"/>
              <w:rPr>
                <w:color w:val="auto"/>
              </w:rPr>
            </w:pPr>
            <w:r>
              <w:rPr>
                <w:rFonts w:hint="eastAsia"/>
                <w:color w:val="auto"/>
              </w:rPr>
              <w:t>13.单患者检验波动管理</w:t>
            </w:r>
          </w:p>
          <w:p w14:paraId="3455481A">
            <w:pPr>
              <w:pStyle w:val="18"/>
              <w:rPr>
                <w:color w:val="auto"/>
              </w:rPr>
            </w:pPr>
            <w:r>
              <w:rPr>
                <w:rFonts w:hint="eastAsia"/>
                <w:color w:val="auto"/>
              </w:rPr>
              <w:t>波动管理：对某个患者某个项目（或者几个项目）进行数据，图像分析，查看波动情况（如糖耐量的表格）。</w:t>
            </w:r>
          </w:p>
          <w:p w14:paraId="46BBE6D6">
            <w:pPr>
              <w:pStyle w:val="18"/>
              <w:rPr>
                <w:color w:val="auto"/>
              </w:rPr>
            </w:pPr>
            <w:r>
              <w:rPr>
                <w:rFonts w:hint="eastAsia"/>
                <w:color w:val="auto"/>
              </w:rPr>
              <w:t>14.卫健委质量指标</w:t>
            </w:r>
          </w:p>
          <w:p w14:paraId="31937978">
            <w:pPr>
              <w:pStyle w:val="18"/>
              <w:rPr>
                <w:color w:val="auto"/>
              </w:rPr>
            </w:pPr>
            <w:r>
              <w:rPr>
                <w:rFonts w:hint="eastAsia"/>
                <w:color w:val="auto"/>
              </w:rPr>
              <w:t>按卫健委质量指标标准导出可以上报数据。</w:t>
            </w:r>
          </w:p>
        </w:tc>
      </w:tr>
      <w:tr w14:paraId="46C1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D21F518">
            <w:pPr>
              <w:pStyle w:val="18"/>
              <w:jc w:val="center"/>
              <w:rPr>
                <w:b w:val="0"/>
                <w:color w:val="auto"/>
              </w:rPr>
            </w:pPr>
            <w:r>
              <w:rPr>
                <w:rFonts w:hint="eastAsia"/>
                <w:b w:val="0"/>
                <w:color w:val="auto"/>
              </w:rPr>
              <w:t>打印模板管理</w:t>
            </w:r>
          </w:p>
        </w:tc>
        <w:tc>
          <w:tcPr>
            <w:tcW w:w="6579" w:type="dxa"/>
            <w:vAlign w:val="center"/>
          </w:tcPr>
          <w:p w14:paraId="3AC45643">
            <w:pPr>
              <w:pStyle w:val="18"/>
              <w:rPr>
                <w:color w:val="auto"/>
              </w:rPr>
            </w:pPr>
            <w:r>
              <w:rPr>
                <w:rFonts w:hint="eastAsia"/>
                <w:color w:val="auto"/>
              </w:rPr>
              <w:t>1.报告单模板维护</w:t>
            </w:r>
          </w:p>
          <w:p w14:paraId="192E24B1">
            <w:pPr>
              <w:pStyle w:val="18"/>
              <w:rPr>
                <w:color w:val="auto"/>
              </w:rPr>
            </w:pPr>
            <w:r>
              <w:rPr>
                <w:rFonts w:hint="eastAsia"/>
                <w:color w:val="auto"/>
              </w:rPr>
              <w:t>（1）对常规检验，酶标检验报告模板进行定义控件维护；可以进行LIS控件，HIS控件，工具类控件进行拖拽，复制，剪切，删除等操作。通过属性的修改完成风格的编辑。报告单模板的格式定义（双列，函数限制，日期格式等）。</w:t>
            </w:r>
          </w:p>
          <w:p w14:paraId="1A425C17">
            <w:pPr>
              <w:pStyle w:val="18"/>
              <w:rPr>
                <w:color w:val="auto"/>
              </w:rPr>
            </w:pPr>
            <w:r>
              <w:rPr>
                <w:rFonts w:hint="eastAsia"/>
                <w:color w:val="auto"/>
              </w:rPr>
              <w:t>（2）对微生物检验报告单维护，完成短报告，鉴定报告，药敏报告，多药敏报告的格式定义和编辑；满足微生物系统对于检验报告的要求。</w:t>
            </w:r>
          </w:p>
          <w:p w14:paraId="7ED3A443">
            <w:pPr>
              <w:pStyle w:val="18"/>
              <w:rPr>
                <w:color w:val="auto"/>
              </w:rPr>
            </w:pPr>
            <w:r>
              <w:rPr>
                <w:rFonts w:hint="eastAsia"/>
                <w:color w:val="auto"/>
              </w:rPr>
              <w:t>（3）对骨髓类等图文报告格式进行编辑。</w:t>
            </w:r>
          </w:p>
          <w:p w14:paraId="18518A3D">
            <w:pPr>
              <w:pStyle w:val="18"/>
              <w:rPr>
                <w:color w:val="auto"/>
              </w:rPr>
            </w:pPr>
            <w:r>
              <w:rPr>
                <w:rFonts w:hint="eastAsia"/>
                <w:color w:val="auto"/>
              </w:rPr>
              <w:t>2.报告单使用</w:t>
            </w:r>
          </w:p>
          <w:p w14:paraId="0B310F38">
            <w:pPr>
              <w:pStyle w:val="18"/>
              <w:rPr>
                <w:color w:val="auto"/>
              </w:rPr>
            </w:pPr>
            <w:r>
              <w:rPr>
                <w:rFonts w:hint="eastAsia"/>
                <w:color w:val="auto"/>
              </w:rPr>
              <w:t>常规检验，酶标检验，微生物检验，骨髓检验等，在病房打印，自助报告打印，一站式服务，检验科等完成单报告，批量打印。打印动作通过报告模板的加载完成对应格式报告的打印操作。</w:t>
            </w:r>
          </w:p>
          <w:p w14:paraId="74218EA3">
            <w:pPr>
              <w:pStyle w:val="18"/>
              <w:rPr>
                <w:color w:val="auto"/>
              </w:rPr>
            </w:pPr>
            <w:r>
              <w:rPr>
                <w:rFonts w:hint="eastAsia"/>
                <w:color w:val="auto"/>
              </w:rPr>
              <w:t>3.条码打印模板</w:t>
            </w:r>
          </w:p>
          <w:p w14:paraId="466A055D">
            <w:pPr>
              <w:pStyle w:val="18"/>
              <w:rPr>
                <w:color w:val="auto"/>
              </w:rPr>
            </w:pPr>
            <w:r>
              <w:rPr>
                <w:rFonts w:hint="eastAsia"/>
                <w:color w:val="auto"/>
              </w:rPr>
              <w:t>条码打印模板维护：根据不同患者类型完成门诊，住院，体检患者类型的条码打印，也可处理外送样本的条码管理。</w:t>
            </w:r>
          </w:p>
          <w:p w14:paraId="6C5CAE41">
            <w:pPr>
              <w:pStyle w:val="18"/>
              <w:rPr>
                <w:color w:val="auto"/>
              </w:rPr>
            </w:pPr>
            <w:r>
              <w:rPr>
                <w:rFonts w:hint="eastAsia"/>
                <w:color w:val="auto"/>
              </w:rPr>
              <w:t>4.回执单打印模板</w:t>
            </w:r>
          </w:p>
          <w:p w14:paraId="3A95DBEA">
            <w:pPr>
              <w:pStyle w:val="18"/>
              <w:rPr>
                <w:color w:val="auto"/>
              </w:rPr>
            </w:pPr>
            <w:r>
              <w:rPr>
                <w:rFonts w:hint="eastAsia"/>
                <w:color w:val="auto"/>
              </w:rPr>
              <w:t>通过对门诊条码打印回执单模板的编辑，完成条码回执单的打印，可灵活编辑该模板。</w:t>
            </w:r>
          </w:p>
          <w:p w14:paraId="222273DB">
            <w:pPr>
              <w:pStyle w:val="18"/>
              <w:rPr>
                <w:color w:val="auto"/>
              </w:rPr>
            </w:pPr>
            <w:r>
              <w:rPr>
                <w:rFonts w:hint="eastAsia"/>
                <w:color w:val="auto"/>
              </w:rPr>
              <w:t>5、微生物室内条码模板</w:t>
            </w:r>
          </w:p>
          <w:p w14:paraId="1EC355DA">
            <w:pPr>
              <w:pStyle w:val="18"/>
              <w:rPr>
                <w:color w:val="auto"/>
              </w:rPr>
            </w:pPr>
            <w:r>
              <w:rPr>
                <w:rFonts w:hint="eastAsia"/>
                <w:color w:val="auto"/>
              </w:rPr>
              <w:t>可以对微生物室内条码模板进行自定义编辑，完成条码的信息处理，按照要求打印出数量不等的条码标签。</w:t>
            </w:r>
          </w:p>
        </w:tc>
      </w:tr>
      <w:tr w14:paraId="4162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20D149F">
            <w:pPr>
              <w:pStyle w:val="18"/>
              <w:jc w:val="center"/>
              <w:rPr>
                <w:b w:val="0"/>
                <w:color w:val="auto"/>
              </w:rPr>
            </w:pPr>
            <w:r>
              <w:rPr>
                <w:rFonts w:hint="eastAsia"/>
                <w:b w:val="0"/>
                <w:color w:val="auto"/>
              </w:rPr>
              <w:t>结果报告</w:t>
            </w:r>
          </w:p>
        </w:tc>
        <w:tc>
          <w:tcPr>
            <w:tcW w:w="6579" w:type="dxa"/>
            <w:vAlign w:val="center"/>
          </w:tcPr>
          <w:p w14:paraId="4ADCCA57">
            <w:pPr>
              <w:pStyle w:val="18"/>
              <w:rPr>
                <w:color w:val="auto"/>
              </w:rPr>
            </w:pPr>
            <w:r>
              <w:rPr>
                <w:rFonts w:hint="eastAsia"/>
                <w:color w:val="auto"/>
              </w:rPr>
              <w:t>需支持报告打印。</w:t>
            </w:r>
          </w:p>
          <w:p w14:paraId="134B3664">
            <w:pPr>
              <w:pStyle w:val="18"/>
              <w:rPr>
                <w:color w:val="auto"/>
              </w:rPr>
            </w:pPr>
            <w:r>
              <w:rPr>
                <w:rFonts w:hint="eastAsia"/>
                <w:color w:val="auto"/>
              </w:rPr>
              <w:t>1.自助报告打印：患者通过就诊卡，病历本等标识通过刷卡，扫描等操作在自助报告打印机上获得已经审核的检验报告单。</w:t>
            </w:r>
          </w:p>
          <w:p w14:paraId="47724915">
            <w:pPr>
              <w:pStyle w:val="18"/>
              <w:rPr>
                <w:color w:val="auto"/>
              </w:rPr>
            </w:pPr>
            <w:r>
              <w:rPr>
                <w:rFonts w:hint="eastAsia"/>
                <w:color w:val="auto"/>
              </w:rPr>
              <w:t>2.一站式报告服务：在设置专人的报告服务台通过人员的操作对就诊卡，病历本进行扫描，人工服务打印报告单。</w:t>
            </w:r>
          </w:p>
          <w:p w14:paraId="066A91A9">
            <w:pPr>
              <w:pStyle w:val="18"/>
              <w:rPr>
                <w:color w:val="auto"/>
              </w:rPr>
            </w:pPr>
            <w:r>
              <w:rPr>
                <w:rFonts w:hint="eastAsia"/>
                <w:color w:val="auto"/>
              </w:rPr>
              <w:t>3.病房报告打印：在病区通过病房报告打印程序，完成病区报告打印，不需检验科再对病房的报告打印和分拣。</w:t>
            </w:r>
          </w:p>
        </w:tc>
      </w:tr>
      <w:tr w14:paraId="24F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133F3DA">
            <w:pPr>
              <w:pStyle w:val="18"/>
              <w:jc w:val="center"/>
              <w:rPr>
                <w:b w:val="0"/>
                <w:color w:val="auto"/>
              </w:rPr>
            </w:pPr>
            <w:r>
              <w:rPr>
                <w:rFonts w:hint="eastAsia"/>
                <w:b w:val="0"/>
                <w:color w:val="auto"/>
              </w:rPr>
              <w:t>日志管理</w:t>
            </w:r>
          </w:p>
        </w:tc>
        <w:tc>
          <w:tcPr>
            <w:tcW w:w="6579" w:type="dxa"/>
            <w:vAlign w:val="center"/>
          </w:tcPr>
          <w:p w14:paraId="411EB5A2">
            <w:pPr>
              <w:pStyle w:val="18"/>
              <w:rPr>
                <w:color w:val="auto"/>
              </w:rPr>
            </w:pPr>
            <w:r>
              <w:rPr>
                <w:rFonts w:hint="eastAsia"/>
                <w:color w:val="auto"/>
              </w:rPr>
              <w:t>1.操作痕迹记录信息：</w:t>
            </w:r>
          </w:p>
          <w:p w14:paraId="522ACD9C">
            <w:pPr>
              <w:pStyle w:val="18"/>
              <w:rPr>
                <w:color w:val="auto"/>
              </w:rPr>
            </w:pPr>
            <w:r>
              <w:rPr>
                <w:rFonts w:hint="eastAsia"/>
                <w:color w:val="auto"/>
              </w:rPr>
              <w:t>根据病历号与医嘱号及条码号的关联，可实时与LIS等相关信息系统进行表的交换，同时LIS等信息系统对后续流程中产生的处置结果与节点信息，亦同样可实时与HIS等相关信息系统进行表的交换。</w:t>
            </w:r>
          </w:p>
          <w:p w14:paraId="4F1EC318">
            <w:pPr>
              <w:pStyle w:val="18"/>
              <w:rPr>
                <w:color w:val="auto"/>
              </w:rPr>
            </w:pPr>
            <w:r>
              <w:rPr>
                <w:rFonts w:hint="eastAsia"/>
                <w:color w:val="auto"/>
              </w:rPr>
              <w:t>2.检验单操作记录：</w:t>
            </w:r>
          </w:p>
          <w:p w14:paraId="6A2F5F5C">
            <w:pPr>
              <w:pStyle w:val="18"/>
              <w:rPr>
                <w:color w:val="auto"/>
              </w:rPr>
            </w:pPr>
            <w:r>
              <w:rPr>
                <w:rFonts w:hint="eastAsia"/>
                <w:color w:val="auto"/>
              </w:rPr>
              <w:t>（1）检验单修改，更新，删除等操作记录。</w:t>
            </w:r>
          </w:p>
          <w:p w14:paraId="366A3EFD">
            <w:pPr>
              <w:pStyle w:val="18"/>
              <w:rPr>
                <w:color w:val="auto"/>
              </w:rPr>
            </w:pPr>
            <w:r>
              <w:rPr>
                <w:rFonts w:hint="eastAsia"/>
                <w:color w:val="auto"/>
              </w:rPr>
              <w:t>（2）检验结果修改，删除等操作记录。</w:t>
            </w:r>
          </w:p>
        </w:tc>
      </w:tr>
    </w:tbl>
    <w:p w14:paraId="6F2D8E65">
      <w:pPr>
        <w:pStyle w:val="4"/>
        <w:numPr>
          <w:ilvl w:val="1"/>
          <w:numId w:val="0"/>
        </w:numPr>
        <w:ind w:left="576" w:leftChars="0" w:hanging="576" w:firstLineChars="0"/>
        <w:rPr>
          <w:color w:val="auto"/>
        </w:rPr>
      </w:pPr>
      <w:bookmarkStart w:id="135" w:name="_Toc208646527"/>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.5</w:t>
      </w:r>
      <w:r>
        <w:rPr>
          <w:rFonts w:hint="eastAsia"/>
          <w:color w:val="auto"/>
        </w:rPr>
        <w:t>影像信息系统（PACS）</w:t>
      </w:r>
      <w:bookmarkEnd w:id="135"/>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0A1C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41BCB5D2">
            <w:pPr>
              <w:pStyle w:val="18"/>
              <w:jc w:val="center"/>
              <w:rPr>
                <w:b w:val="0"/>
                <w:color w:val="auto"/>
              </w:rPr>
            </w:pPr>
            <w:r>
              <w:rPr>
                <w:rFonts w:hint="eastAsia"/>
                <w:b/>
                <w:color w:val="auto"/>
              </w:rPr>
              <w:t>系统名称</w:t>
            </w:r>
          </w:p>
        </w:tc>
        <w:tc>
          <w:tcPr>
            <w:tcW w:w="6579" w:type="dxa"/>
            <w:shd w:val="clear" w:color="auto" w:fill="BEBEBE" w:themeFill="background1" w:themeFillShade="BF"/>
            <w:vAlign w:val="center"/>
          </w:tcPr>
          <w:p w14:paraId="7F982050">
            <w:pPr>
              <w:pStyle w:val="18"/>
              <w:rPr>
                <w:b/>
                <w:color w:val="auto"/>
              </w:rPr>
            </w:pPr>
            <w:r>
              <w:rPr>
                <w:rFonts w:hint="eastAsia"/>
                <w:b/>
                <w:color w:val="auto"/>
              </w:rPr>
              <w:t>医学影像管理系统（PACS）</w:t>
            </w:r>
          </w:p>
        </w:tc>
      </w:tr>
      <w:tr w14:paraId="5986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562BBB2">
            <w:pPr>
              <w:pStyle w:val="18"/>
              <w:jc w:val="center"/>
              <w:rPr>
                <w:b/>
                <w:bCs/>
                <w:color w:val="auto"/>
              </w:rPr>
            </w:pPr>
            <w:r>
              <w:rPr>
                <w:rFonts w:hint="eastAsia"/>
                <w:b/>
                <w:bCs/>
                <w:color w:val="auto"/>
              </w:rPr>
              <w:t>系统概述</w:t>
            </w:r>
          </w:p>
        </w:tc>
        <w:tc>
          <w:tcPr>
            <w:tcW w:w="6579" w:type="dxa"/>
            <w:vAlign w:val="center"/>
          </w:tcPr>
          <w:p w14:paraId="37C746AC">
            <w:pPr>
              <w:pStyle w:val="18"/>
              <w:rPr>
                <w:color w:val="auto"/>
              </w:rPr>
            </w:pPr>
            <w:r>
              <w:rPr>
                <w:rFonts w:hint="eastAsia"/>
                <w:color w:val="auto"/>
              </w:rPr>
              <w:t>需对标电子病历（智慧医疗）4级标准进行升级，并实现与相关业务系统的对接，升级需保障医院历史数据的集成及业务的稳定衔接，需满足医院临床科室对信息化功能的应用需求。需对接</w:t>
            </w:r>
            <w:r>
              <w:rPr>
                <w:color w:val="auto"/>
              </w:rPr>
              <w:t>B超</w:t>
            </w:r>
            <w:r>
              <w:rPr>
                <w:rFonts w:hint="eastAsia"/>
                <w:color w:val="auto"/>
              </w:rPr>
              <w:t>设备</w:t>
            </w:r>
            <w:r>
              <w:rPr>
                <w:color w:val="auto"/>
              </w:rPr>
              <w:t>4</w:t>
            </w:r>
            <w:r>
              <w:rPr>
                <w:rFonts w:hint="eastAsia"/>
                <w:color w:val="auto"/>
              </w:rPr>
              <w:t>台</w:t>
            </w:r>
            <w:r>
              <w:rPr>
                <w:color w:val="auto"/>
              </w:rPr>
              <w:t>，胃镜1</w:t>
            </w:r>
            <w:r>
              <w:rPr>
                <w:rFonts w:hint="eastAsia"/>
                <w:color w:val="auto"/>
              </w:rPr>
              <w:t>台</w:t>
            </w:r>
            <w:r>
              <w:rPr>
                <w:color w:val="auto"/>
              </w:rPr>
              <w:t>，放射</w:t>
            </w:r>
            <w:r>
              <w:rPr>
                <w:rFonts w:hint="eastAsia"/>
                <w:color w:val="auto"/>
              </w:rPr>
              <w:t>设备</w:t>
            </w:r>
            <w:r>
              <w:rPr>
                <w:color w:val="auto"/>
              </w:rPr>
              <w:t>4</w:t>
            </w:r>
            <w:r>
              <w:rPr>
                <w:rFonts w:hint="eastAsia"/>
                <w:color w:val="auto"/>
              </w:rPr>
              <w:t>台。</w:t>
            </w:r>
          </w:p>
          <w:p w14:paraId="72EF185C">
            <w:pPr>
              <w:pStyle w:val="18"/>
              <w:rPr>
                <w:color w:val="auto"/>
              </w:rPr>
            </w:pPr>
            <w:r>
              <w:rPr>
                <w:rFonts w:hint="eastAsia"/>
                <w:color w:val="auto"/>
              </w:rPr>
              <w:t>医学影像管理系统系统覆盖医院医技检查业务，包括患者端预约、候诊、检查、结果发放等环节的智能化服务，医生端覆盖放射、超声、内镜、病理等专科诊断信息系统，同时通过结构化报告辅助医生进行图像的诊断和报告的编写、审核以及发放。</w:t>
            </w:r>
          </w:p>
        </w:tc>
      </w:tr>
      <w:tr w14:paraId="5853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8E28065">
            <w:pPr>
              <w:pStyle w:val="18"/>
              <w:jc w:val="center"/>
              <w:rPr>
                <w:b/>
                <w:bCs/>
                <w:color w:val="auto"/>
              </w:rPr>
            </w:pPr>
            <w:r>
              <w:rPr>
                <w:rFonts w:hint="eastAsia"/>
                <w:b/>
                <w:bCs/>
                <w:color w:val="auto"/>
              </w:rPr>
              <w:t>子项名称</w:t>
            </w:r>
          </w:p>
        </w:tc>
        <w:tc>
          <w:tcPr>
            <w:tcW w:w="6579" w:type="dxa"/>
            <w:vAlign w:val="center"/>
          </w:tcPr>
          <w:p w14:paraId="44645664">
            <w:pPr>
              <w:pStyle w:val="18"/>
              <w:jc w:val="center"/>
              <w:rPr>
                <w:b/>
                <w:bCs/>
                <w:color w:val="auto"/>
              </w:rPr>
            </w:pPr>
            <w:r>
              <w:rPr>
                <w:rFonts w:hint="eastAsia"/>
                <w:b/>
                <w:bCs/>
                <w:color w:val="auto"/>
              </w:rPr>
              <w:t>技术和功能配置要求</w:t>
            </w:r>
          </w:p>
        </w:tc>
      </w:tr>
      <w:tr w14:paraId="04BD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8223150">
            <w:pPr>
              <w:pStyle w:val="18"/>
              <w:jc w:val="center"/>
              <w:rPr>
                <w:b w:val="0"/>
                <w:color w:val="auto"/>
              </w:rPr>
            </w:pPr>
            <w:r>
              <w:rPr>
                <w:rFonts w:hint="eastAsia"/>
                <w:b w:val="0"/>
                <w:color w:val="auto"/>
              </w:rPr>
              <w:t>中心服务</w:t>
            </w:r>
          </w:p>
        </w:tc>
        <w:tc>
          <w:tcPr>
            <w:tcW w:w="6579" w:type="dxa"/>
            <w:vAlign w:val="center"/>
          </w:tcPr>
          <w:p w14:paraId="22CA730D">
            <w:pPr>
              <w:pStyle w:val="18"/>
              <w:rPr>
                <w:color w:val="auto"/>
              </w:rPr>
            </w:pPr>
            <w:r>
              <w:rPr>
                <w:rFonts w:hint="eastAsia"/>
                <w:color w:val="auto"/>
              </w:rPr>
              <w:t>1.核心管理</w:t>
            </w:r>
          </w:p>
          <w:p w14:paraId="4BAC7AE9">
            <w:pPr>
              <w:pStyle w:val="18"/>
              <w:rPr>
                <w:color w:val="auto"/>
              </w:rPr>
            </w:pPr>
            <w:r>
              <w:rPr>
                <w:rFonts w:hint="eastAsia"/>
                <w:color w:val="auto"/>
              </w:rPr>
              <w:t>提供PACS/RIS信息系统的采集、存储、应用等核心服务支撑，包括以下信息：</w:t>
            </w:r>
          </w:p>
          <w:p w14:paraId="32F41789">
            <w:pPr>
              <w:pStyle w:val="18"/>
              <w:rPr>
                <w:color w:val="auto"/>
              </w:rPr>
            </w:pPr>
            <w:r>
              <w:rPr>
                <w:rFonts w:hint="eastAsia"/>
                <w:color w:val="auto"/>
              </w:rPr>
              <w:t>（1）系统支持UNIX、Linux及Windows操作系统等多种平台的应用。</w:t>
            </w:r>
          </w:p>
          <w:p w14:paraId="5937A2E8">
            <w:pPr>
              <w:pStyle w:val="18"/>
              <w:rPr>
                <w:color w:val="auto"/>
              </w:rPr>
            </w:pPr>
            <w:r>
              <w:rPr>
                <w:rFonts w:hint="eastAsia"/>
                <w:color w:val="auto"/>
              </w:rPr>
              <w:t>（2）系统支持ORACLE、SQL SERVER等大型关系型数据库的应用。</w:t>
            </w:r>
          </w:p>
          <w:p w14:paraId="46718AB4">
            <w:pPr>
              <w:pStyle w:val="18"/>
              <w:rPr>
                <w:color w:val="auto"/>
              </w:rPr>
            </w:pPr>
            <w:r>
              <w:rPr>
                <w:rFonts w:hint="eastAsia"/>
                <w:color w:val="auto"/>
              </w:rPr>
              <w:t>（3）需支持负载均衡设计，确保系统高效率。</w:t>
            </w:r>
          </w:p>
          <w:p w14:paraId="0CE2EEDD">
            <w:pPr>
              <w:pStyle w:val="18"/>
              <w:rPr>
                <w:color w:val="auto"/>
              </w:rPr>
            </w:pPr>
            <w:r>
              <w:rPr>
                <w:rFonts w:hint="eastAsia"/>
                <w:color w:val="auto"/>
              </w:rPr>
              <w:t>（4）需支持分级服务器系统，采用数据级、平台应用级等多级技术架构。</w:t>
            </w:r>
          </w:p>
          <w:p w14:paraId="78F25518">
            <w:pPr>
              <w:pStyle w:val="18"/>
              <w:rPr>
                <w:color w:val="auto"/>
              </w:rPr>
            </w:pPr>
            <w:r>
              <w:rPr>
                <w:rFonts w:hint="eastAsia"/>
                <w:color w:val="auto"/>
              </w:rPr>
              <w:t>（5）应用服务器随业务接入点增多而能够动态横向扩展，提升整体影像访问性能，投资最大化效益。</w:t>
            </w:r>
          </w:p>
          <w:p w14:paraId="03B77E7F">
            <w:pPr>
              <w:pStyle w:val="18"/>
              <w:rPr>
                <w:color w:val="auto"/>
              </w:rPr>
            </w:pPr>
            <w:r>
              <w:rPr>
                <w:rFonts w:hint="eastAsia"/>
                <w:color w:val="auto"/>
              </w:rPr>
              <w:t>（6）系统支持采用集中式数据库及独立影像储存管理机制，同时记录所有影像的储存位置，支持影像的分级存储。</w:t>
            </w:r>
          </w:p>
          <w:p w14:paraId="317C7C85">
            <w:pPr>
              <w:pStyle w:val="18"/>
              <w:rPr>
                <w:color w:val="auto"/>
              </w:rPr>
            </w:pPr>
            <w:r>
              <w:rPr>
                <w:rFonts w:hint="eastAsia"/>
                <w:color w:val="auto"/>
              </w:rPr>
              <w:t>（7）需支持多级存储，存储性能与数据访问频率相匹配，节约投资。</w:t>
            </w:r>
          </w:p>
          <w:p w14:paraId="0FC1BE81">
            <w:pPr>
              <w:pStyle w:val="18"/>
              <w:rPr>
                <w:color w:val="auto"/>
              </w:rPr>
            </w:pPr>
            <w:r>
              <w:rPr>
                <w:rFonts w:hint="eastAsia"/>
                <w:color w:val="auto"/>
              </w:rPr>
              <w:t>（8）存储在离线系统上的图像数据，在需要访问时，系统提供在短时间之内恢复到在线存储系统。</w:t>
            </w:r>
          </w:p>
          <w:p w14:paraId="16B61995">
            <w:pPr>
              <w:pStyle w:val="18"/>
              <w:rPr>
                <w:color w:val="auto"/>
              </w:rPr>
            </w:pPr>
            <w:r>
              <w:rPr>
                <w:rFonts w:hint="eastAsia"/>
                <w:color w:val="auto"/>
              </w:rPr>
              <w:t>（9）PACS/RIS系统须具有虚拟化软件部署能力，并具有15年以上在线调阅影像数据能力。</w:t>
            </w:r>
          </w:p>
          <w:p w14:paraId="63001DE0">
            <w:pPr>
              <w:pStyle w:val="18"/>
              <w:rPr>
                <w:color w:val="auto"/>
              </w:rPr>
            </w:pPr>
            <w:r>
              <w:rPr>
                <w:rFonts w:hint="eastAsia"/>
                <w:color w:val="auto"/>
              </w:rPr>
              <w:t>（10）需支持独立的存储局域网络，数据操作不影响业务系统带宽。</w:t>
            </w:r>
          </w:p>
          <w:p w14:paraId="168715C9">
            <w:pPr>
              <w:pStyle w:val="18"/>
              <w:rPr>
                <w:color w:val="auto"/>
              </w:rPr>
            </w:pPr>
            <w:r>
              <w:rPr>
                <w:rFonts w:hint="eastAsia"/>
                <w:color w:val="auto"/>
              </w:rPr>
              <w:t>（11）系统具备高效传输效率，调阅一幅10M CR图像小于5s；在5个工作站并发操作，打开一幅10M CR影像的响应时间小于10秒。</w:t>
            </w:r>
          </w:p>
          <w:p w14:paraId="575B79B7">
            <w:pPr>
              <w:pStyle w:val="18"/>
              <w:rPr>
                <w:color w:val="auto"/>
              </w:rPr>
            </w:pPr>
            <w:r>
              <w:rPr>
                <w:rFonts w:hint="eastAsia"/>
                <w:color w:val="auto"/>
              </w:rPr>
              <w:t>（12）存储网络与业务网络物理隔离，提高系统安全性。</w:t>
            </w:r>
          </w:p>
          <w:p w14:paraId="6B593612">
            <w:pPr>
              <w:pStyle w:val="18"/>
              <w:rPr>
                <w:color w:val="auto"/>
              </w:rPr>
            </w:pPr>
            <w:r>
              <w:rPr>
                <w:rFonts w:hint="eastAsia"/>
                <w:color w:val="auto"/>
              </w:rPr>
              <w:t>（13）图像存储支持非压缩，JPEG、JPEG2000无损、有损压缩及文件级的压缩。</w:t>
            </w:r>
          </w:p>
          <w:p w14:paraId="587C5383">
            <w:pPr>
              <w:pStyle w:val="18"/>
              <w:rPr>
                <w:color w:val="auto"/>
              </w:rPr>
            </w:pPr>
            <w:r>
              <w:rPr>
                <w:rFonts w:hint="eastAsia"/>
                <w:color w:val="auto"/>
              </w:rPr>
              <w:t>（14）图像采用无损压缩，由PACS系统打印出的图像硬拷贝不低于原设备打印输出的硬拷贝质量。</w:t>
            </w:r>
          </w:p>
          <w:p w14:paraId="349CB5E9">
            <w:pPr>
              <w:pStyle w:val="18"/>
              <w:rPr>
                <w:color w:val="auto"/>
              </w:rPr>
            </w:pPr>
            <w:r>
              <w:rPr>
                <w:rFonts w:hint="eastAsia"/>
                <w:color w:val="auto"/>
              </w:rPr>
              <w:t>（15）存储系统提供高安全性、可靠性和容灾能力。</w:t>
            </w:r>
          </w:p>
          <w:p w14:paraId="7AFB8601">
            <w:pPr>
              <w:pStyle w:val="18"/>
              <w:rPr>
                <w:color w:val="auto"/>
              </w:rPr>
            </w:pPr>
            <w:r>
              <w:rPr>
                <w:rFonts w:hint="eastAsia"/>
                <w:color w:val="auto"/>
              </w:rPr>
              <w:t>（16）系统具有高可靠性设计，支持热备和热切换，确保业务连续性。</w:t>
            </w:r>
          </w:p>
          <w:p w14:paraId="1E50D6D1">
            <w:pPr>
              <w:pStyle w:val="18"/>
              <w:rPr>
                <w:color w:val="auto"/>
              </w:rPr>
            </w:pPr>
            <w:r>
              <w:rPr>
                <w:rFonts w:hint="eastAsia"/>
                <w:color w:val="auto"/>
              </w:rPr>
              <w:t>2.设备连接</w:t>
            </w:r>
          </w:p>
          <w:p w14:paraId="1E4DCC8C">
            <w:pPr>
              <w:pStyle w:val="18"/>
              <w:rPr>
                <w:color w:val="auto"/>
              </w:rPr>
            </w:pPr>
            <w:r>
              <w:rPr>
                <w:rFonts w:hint="eastAsia"/>
                <w:color w:val="auto"/>
              </w:rPr>
              <w:t>提供影像检查设备接入，包括以下信息：</w:t>
            </w:r>
          </w:p>
          <w:p w14:paraId="29ACC850">
            <w:pPr>
              <w:pStyle w:val="18"/>
              <w:rPr>
                <w:color w:val="auto"/>
              </w:rPr>
            </w:pPr>
            <w:r>
              <w:rPr>
                <w:rFonts w:hint="eastAsia"/>
                <w:color w:val="auto"/>
              </w:rPr>
              <w:t>（1）需支持与医院所有DICOM和非DICOM影像设备的连接，包括CT、MR、CR、DR、数字胃肠、超声、胃镜、肠镜等。</w:t>
            </w:r>
          </w:p>
          <w:p w14:paraId="648D7A67">
            <w:pPr>
              <w:pStyle w:val="18"/>
              <w:rPr>
                <w:color w:val="auto"/>
              </w:rPr>
            </w:pPr>
            <w:r>
              <w:rPr>
                <w:rFonts w:hint="eastAsia"/>
                <w:color w:val="auto"/>
              </w:rPr>
              <w:t>（2）需支持的DICOM服务类包括：Storage SCU/SCP、Query/Retrieve SCU/SCP、Modality Work list SCU/SCP、Modality Performed Procedure Step Management SCU/SCP、Print SCU、ECHO SCU/SCP、Storage Commitment SCU/SCP、Verification SCU/SCP、Hanging Protocol等。</w:t>
            </w:r>
          </w:p>
          <w:p w14:paraId="229DBD5A">
            <w:pPr>
              <w:pStyle w:val="18"/>
              <w:rPr>
                <w:color w:val="auto"/>
              </w:rPr>
            </w:pPr>
            <w:r>
              <w:rPr>
                <w:rFonts w:hint="eastAsia"/>
                <w:color w:val="auto"/>
              </w:rPr>
              <w:t>（3）需支持DICOM RAW DATA、DICOM Part 10、DICOM JPEG-Lossless、DICOM JPEG-Lossy、BMP、JPG等影像类型。</w:t>
            </w:r>
          </w:p>
          <w:p w14:paraId="1875E9CF">
            <w:pPr>
              <w:pStyle w:val="18"/>
              <w:rPr>
                <w:color w:val="auto"/>
              </w:rPr>
            </w:pPr>
            <w:r>
              <w:rPr>
                <w:rFonts w:hint="eastAsia"/>
                <w:color w:val="auto"/>
              </w:rPr>
              <w:t>（4）可接收各种非DICOM影像设备，进行单帧或者多帧采集，并转换为标准DICOM格式。</w:t>
            </w:r>
          </w:p>
          <w:p w14:paraId="7E9761F1">
            <w:pPr>
              <w:pStyle w:val="18"/>
              <w:rPr>
                <w:color w:val="auto"/>
              </w:rPr>
            </w:pPr>
            <w:r>
              <w:rPr>
                <w:rFonts w:hint="eastAsia"/>
                <w:color w:val="auto"/>
              </w:rPr>
              <w:t>（5）能够对非DICOM标准影像采集实时显示，调节图像对比度、亮度、饱和度、色度等。</w:t>
            </w:r>
          </w:p>
          <w:p w14:paraId="10956027">
            <w:pPr>
              <w:pStyle w:val="18"/>
              <w:rPr>
                <w:color w:val="auto"/>
              </w:rPr>
            </w:pPr>
            <w:r>
              <w:rPr>
                <w:rFonts w:hint="eastAsia"/>
                <w:color w:val="auto"/>
              </w:rPr>
              <w:t>（6）通过视频信号采集医学图像时，图像的几何分辨率应不低于原始图像的分辨率。</w:t>
            </w:r>
          </w:p>
          <w:p w14:paraId="4D96668C">
            <w:pPr>
              <w:pStyle w:val="18"/>
              <w:rPr>
                <w:color w:val="auto"/>
              </w:rPr>
            </w:pPr>
            <w:r>
              <w:rPr>
                <w:rFonts w:hint="eastAsia"/>
                <w:color w:val="auto"/>
              </w:rPr>
              <w:t>3.存储管理</w:t>
            </w:r>
          </w:p>
          <w:p w14:paraId="1DE8F369">
            <w:pPr>
              <w:pStyle w:val="18"/>
              <w:rPr>
                <w:color w:val="auto"/>
              </w:rPr>
            </w:pPr>
            <w:r>
              <w:rPr>
                <w:rFonts w:hint="eastAsia"/>
                <w:color w:val="auto"/>
              </w:rPr>
              <w:t>（1）需支持多级存储系统，实现在线、近线、离线的多级图像管理及存储。</w:t>
            </w:r>
          </w:p>
          <w:p w14:paraId="0CCEC1DD">
            <w:pPr>
              <w:pStyle w:val="18"/>
              <w:rPr>
                <w:color w:val="auto"/>
              </w:rPr>
            </w:pPr>
            <w:r>
              <w:rPr>
                <w:rFonts w:hint="eastAsia"/>
                <w:color w:val="auto"/>
              </w:rPr>
              <w:t>（2）具有存储管理的功能，存储系统提供高安全性、可靠性和容灾能力；支持SAN+NAS模式，可同时用SAN或NAS的方式使用存储空间。</w:t>
            </w:r>
          </w:p>
          <w:p w14:paraId="72EFF008">
            <w:pPr>
              <w:pStyle w:val="18"/>
              <w:rPr>
                <w:color w:val="auto"/>
              </w:rPr>
            </w:pPr>
            <w:r>
              <w:rPr>
                <w:rFonts w:hint="eastAsia"/>
                <w:color w:val="auto"/>
              </w:rPr>
              <w:t>（3）对图像存储空间进行管理，不同设备的图像存储到预定的位置，在空间不足时发出警报，提醒管理员及时扩展；在分级存储的情况下，自动完成数据的迁移工作。</w:t>
            </w:r>
          </w:p>
          <w:p w14:paraId="79D85E4F">
            <w:pPr>
              <w:pStyle w:val="18"/>
              <w:rPr>
                <w:color w:val="auto"/>
              </w:rPr>
            </w:pPr>
            <w:r>
              <w:rPr>
                <w:rFonts w:hint="eastAsia"/>
                <w:color w:val="auto"/>
              </w:rPr>
              <w:t>（4）接收客户端调阅图像的请求，并记录调阅日志；支持图像预取和自动路由功能。</w:t>
            </w:r>
          </w:p>
          <w:p w14:paraId="7CA70331">
            <w:pPr>
              <w:pStyle w:val="18"/>
              <w:rPr>
                <w:color w:val="auto"/>
              </w:rPr>
            </w:pPr>
            <w:r>
              <w:rPr>
                <w:rFonts w:hint="eastAsia"/>
                <w:color w:val="auto"/>
              </w:rPr>
              <w:t>（5）中心服务器支持虚拟化技术，能支持1T或以上的最大内存容量，支持电源冗余技术。</w:t>
            </w:r>
          </w:p>
          <w:p w14:paraId="2E3270CE">
            <w:pPr>
              <w:pStyle w:val="18"/>
              <w:rPr>
                <w:color w:val="auto"/>
              </w:rPr>
            </w:pPr>
            <w:r>
              <w:rPr>
                <w:rFonts w:hint="eastAsia"/>
                <w:color w:val="auto"/>
              </w:rPr>
              <w:t>（6）提供多级（前置/在线/归档）数据安全体系保障，提供方便的管理功能，按需要管理所有存储设备。</w:t>
            </w:r>
          </w:p>
          <w:p w14:paraId="601E4801">
            <w:pPr>
              <w:pStyle w:val="18"/>
              <w:rPr>
                <w:color w:val="auto"/>
              </w:rPr>
            </w:pPr>
            <w:r>
              <w:rPr>
                <w:rFonts w:hint="eastAsia"/>
                <w:color w:val="auto"/>
              </w:rPr>
              <w:t>（7）对薄层影像数据存储的管理，可以设置专门的水线管理机制，以保证存储空间的有效性，可根据用户的需求，设置存储设备的影像删除策略；在删除影像前需要确认影像已经备份，影像删除恢复功能。</w:t>
            </w:r>
          </w:p>
        </w:tc>
      </w:tr>
      <w:tr w14:paraId="260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B231D60">
            <w:pPr>
              <w:pStyle w:val="18"/>
              <w:jc w:val="center"/>
              <w:rPr>
                <w:b w:val="0"/>
                <w:color w:val="auto"/>
              </w:rPr>
            </w:pPr>
            <w:r>
              <w:rPr>
                <w:rFonts w:hint="eastAsia"/>
                <w:b w:val="0"/>
                <w:color w:val="auto"/>
              </w:rPr>
              <w:t>综合管理</w:t>
            </w:r>
          </w:p>
        </w:tc>
        <w:tc>
          <w:tcPr>
            <w:tcW w:w="6579" w:type="dxa"/>
            <w:vAlign w:val="center"/>
          </w:tcPr>
          <w:p w14:paraId="3D2AD693">
            <w:pPr>
              <w:pStyle w:val="18"/>
              <w:rPr>
                <w:color w:val="auto"/>
              </w:rPr>
            </w:pPr>
            <w:r>
              <w:rPr>
                <w:rFonts w:hint="eastAsia"/>
                <w:color w:val="auto"/>
              </w:rPr>
              <w:t>1.配置管理</w:t>
            </w:r>
          </w:p>
          <w:p w14:paraId="2F76920E">
            <w:pPr>
              <w:pStyle w:val="18"/>
              <w:rPr>
                <w:color w:val="auto"/>
              </w:rPr>
            </w:pPr>
            <w:r>
              <w:rPr>
                <w:rFonts w:hint="eastAsia"/>
                <w:color w:val="auto"/>
              </w:rPr>
              <w:t>提供管理及维护PACS/RIS的日常工作的基础数据，其维护功能包括以下几项：医院信息、部门信息、用户信息、工作组信息、设备类型、设备明细、部位大类、部位明细、检查项目、角色信息、权限信息、参数信息。</w:t>
            </w:r>
          </w:p>
          <w:p w14:paraId="72CDF5F4">
            <w:pPr>
              <w:pStyle w:val="18"/>
              <w:rPr>
                <w:color w:val="auto"/>
              </w:rPr>
            </w:pPr>
            <w:r>
              <w:rPr>
                <w:rFonts w:hint="eastAsia"/>
                <w:color w:val="auto"/>
              </w:rPr>
              <w:t>（1）医院信息：医院信息的添加与修改与删除。</w:t>
            </w:r>
          </w:p>
          <w:p w14:paraId="62618DCC">
            <w:pPr>
              <w:pStyle w:val="18"/>
              <w:rPr>
                <w:color w:val="auto"/>
              </w:rPr>
            </w:pPr>
            <w:r>
              <w:rPr>
                <w:rFonts w:hint="eastAsia"/>
                <w:color w:val="auto"/>
              </w:rPr>
              <w:t>（2）部门信息：部门信息的添加与修改与删除。</w:t>
            </w:r>
          </w:p>
          <w:p w14:paraId="5389A433">
            <w:pPr>
              <w:pStyle w:val="18"/>
              <w:rPr>
                <w:color w:val="auto"/>
              </w:rPr>
            </w:pPr>
            <w:r>
              <w:rPr>
                <w:rFonts w:hint="eastAsia"/>
                <w:color w:val="auto"/>
              </w:rPr>
              <w:t>（3）用户信息：用户信息的添加与修改与删除。</w:t>
            </w:r>
          </w:p>
          <w:p w14:paraId="626D113E">
            <w:pPr>
              <w:pStyle w:val="18"/>
              <w:rPr>
                <w:color w:val="auto"/>
              </w:rPr>
            </w:pPr>
            <w:r>
              <w:rPr>
                <w:rFonts w:hint="eastAsia"/>
                <w:color w:val="auto"/>
              </w:rPr>
              <w:t>（4）工作组信息：工作组信息的添加、修改与删除。</w:t>
            </w:r>
          </w:p>
          <w:p w14:paraId="0D3B53C3">
            <w:pPr>
              <w:pStyle w:val="18"/>
              <w:rPr>
                <w:color w:val="auto"/>
              </w:rPr>
            </w:pPr>
            <w:r>
              <w:rPr>
                <w:rFonts w:hint="eastAsia"/>
                <w:color w:val="auto"/>
              </w:rPr>
              <w:t>（5）设备类型：设备类型的添加、修改与删除；检查项目匹配设备类型修改。</w:t>
            </w:r>
          </w:p>
          <w:p w14:paraId="38092A52">
            <w:pPr>
              <w:pStyle w:val="18"/>
              <w:rPr>
                <w:color w:val="auto"/>
              </w:rPr>
            </w:pPr>
            <w:r>
              <w:rPr>
                <w:rFonts w:hint="eastAsia"/>
                <w:color w:val="auto"/>
              </w:rPr>
              <w:t>（6）设备明细：设备明细的添加、修改与删除。</w:t>
            </w:r>
          </w:p>
          <w:p w14:paraId="52A95465">
            <w:pPr>
              <w:pStyle w:val="18"/>
              <w:rPr>
                <w:color w:val="auto"/>
              </w:rPr>
            </w:pPr>
            <w:r>
              <w:rPr>
                <w:rFonts w:hint="eastAsia"/>
                <w:color w:val="auto"/>
              </w:rPr>
              <w:t>（7）部位大类：部位大类的添加、修改与删除。</w:t>
            </w:r>
          </w:p>
          <w:p w14:paraId="451780E8">
            <w:pPr>
              <w:pStyle w:val="18"/>
              <w:rPr>
                <w:color w:val="auto"/>
              </w:rPr>
            </w:pPr>
            <w:r>
              <w:rPr>
                <w:rFonts w:hint="eastAsia"/>
                <w:color w:val="auto"/>
              </w:rPr>
              <w:t>（8）部位明细：部位明细的添加、修改与删除；部位明细匹配部位类型。</w:t>
            </w:r>
          </w:p>
          <w:p w14:paraId="31B9126F">
            <w:pPr>
              <w:pStyle w:val="18"/>
              <w:rPr>
                <w:color w:val="auto"/>
              </w:rPr>
            </w:pPr>
            <w:r>
              <w:rPr>
                <w:rFonts w:hint="eastAsia"/>
                <w:color w:val="auto"/>
              </w:rPr>
              <w:t>（9）检查项目：检查项目的添加、修改与删除。</w:t>
            </w:r>
          </w:p>
          <w:p w14:paraId="2404F11C">
            <w:pPr>
              <w:pStyle w:val="18"/>
              <w:rPr>
                <w:color w:val="auto"/>
              </w:rPr>
            </w:pPr>
            <w:r>
              <w:rPr>
                <w:rFonts w:hint="eastAsia"/>
                <w:color w:val="auto"/>
              </w:rPr>
              <w:t>（10）角色信息：角色信息的添加、修改与删除。</w:t>
            </w:r>
          </w:p>
          <w:p w14:paraId="6CA28F45">
            <w:pPr>
              <w:pStyle w:val="18"/>
              <w:rPr>
                <w:color w:val="auto"/>
              </w:rPr>
            </w:pPr>
            <w:r>
              <w:rPr>
                <w:rFonts w:hint="eastAsia"/>
                <w:color w:val="auto"/>
              </w:rPr>
              <w:t>（11）权限信息：权限信息的添加、修改与删除；权限与角色信息匹配。</w:t>
            </w:r>
          </w:p>
          <w:p w14:paraId="335F2A93">
            <w:pPr>
              <w:pStyle w:val="18"/>
              <w:rPr>
                <w:color w:val="auto"/>
              </w:rPr>
            </w:pPr>
            <w:r>
              <w:rPr>
                <w:rFonts w:hint="eastAsia"/>
                <w:color w:val="auto"/>
              </w:rPr>
              <w:t>（12）参数信息：参数信息的添加、修改与删除。</w:t>
            </w:r>
          </w:p>
          <w:p w14:paraId="64F12171">
            <w:pPr>
              <w:pStyle w:val="18"/>
              <w:rPr>
                <w:color w:val="auto"/>
              </w:rPr>
            </w:pPr>
            <w:r>
              <w:rPr>
                <w:rFonts w:hint="eastAsia"/>
                <w:color w:val="auto"/>
              </w:rPr>
              <w:t>2.查询统计</w:t>
            </w:r>
          </w:p>
          <w:p w14:paraId="119CD64D">
            <w:pPr>
              <w:pStyle w:val="18"/>
              <w:rPr>
                <w:color w:val="auto"/>
              </w:rPr>
            </w:pPr>
            <w:r>
              <w:rPr>
                <w:rFonts w:hint="eastAsia"/>
                <w:color w:val="auto"/>
              </w:rPr>
              <w:t>（1）需支持医院科室的医技/设备工作量，阳性率，机器和设备效益等统计。</w:t>
            </w:r>
          </w:p>
          <w:p w14:paraId="48D6112D">
            <w:pPr>
              <w:pStyle w:val="18"/>
              <w:rPr>
                <w:color w:val="auto"/>
              </w:rPr>
            </w:pPr>
            <w:r>
              <w:rPr>
                <w:rFonts w:hint="eastAsia"/>
                <w:color w:val="auto"/>
              </w:rPr>
              <w:t>（2）需支持表格、饼图、条形图、曲线图等方式显示统计数据和数据走向。</w:t>
            </w:r>
          </w:p>
          <w:p w14:paraId="575DD6F2">
            <w:pPr>
              <w:pStyle w:val="18"/>
              <w:rPr>
                <w:color w:val="auto"/>
              </w:rPr>
            </w:pPr>
            <w:r>
              <w:rPr>
                <w:rFonts w:hint="eastAsia"/>
                <w:color w:val="auto"/>
              </w:rPr>
              <w:t>（3）需支持分组报表、聚合报表。</w:t>
            </w:r>
          </w:p>
          <w:p w14:paraId="460BD576">
            <w:pPr>
              <w:pStyle w:val="18"/>
              <w:rPr>
                <w:color w:val="auto"/>
              </w:rPr>
            </w:pPr>
            <w:r>
              <w:rPr>
                <w:rFonts w:hint="eastAsia"/>
                <w:color w:val="auto"/>
              </w:rPr>
              <w:t>（4）需支持自定义报表基本信息。</w:t>
            </w:r>
          </w:p>
          <w:p w14:paraId="4F08D7A6">
            <w:pPr>
              <w:pStyle w:val="18"/>
              <w:rPr>
                <w:color w:val="auto"/>
              </w:rPr>
            </w:pPr>
            <w:r>
              <w:rPr>
                <w:rFonts w:hint="eastAsia"/>
                <w:color w:val="auto"/>
              </w:rPr>
              <w:t>（5）需支持报表按参数过滤及外部传参。</w:t>
            </w:r>
          </w:p>
          <w:p w14:paraId="2145D598">
            <w:pPr>
              <w:pStyle w:val="18"/>
              <w:rPr>
                <w:color w:val="auto"/>
              </w:rPr>
            </w:pPr>
            <w:r>
              <w:rPr>
                <w:rFonts w:hint="eastAsia"/>
                <w:color w:val="auto"/>
              </w:rPr>
              <w:t>（6）需支持报表按权限查看。</w:t>
            </w:r>
          </w:p>
          <w:p w14:paraId="0F1FFD57">
            <w:pPr>
              <w:pStyle w:val="18"/>
              <w:rPr>
                <w:color w:val="auto"/>
              </w:rPr>
            </w:pPr>
            <w:r>
              <w:rPr>
                <w:rFonts w:hint="eastAsia"/>
                <w:color w:val="auto"/>
              </w:rPr>
              <w:t>（7）需支持报表导出功能。</w:t>
            </w:r>
          </w:p>
          <w:p w14:paraId="5946B344">
            <w:pPr>
              <w:pStyle w:val="18"/>
              <w:rPr>
                <w:color w:val="auto"/>
              </w:rPr>
            </w:pPr>
            <w:r>
              <w:rPr>
                <w:rFonts w:hint="eastAsia"/>
                <w:color w:val="auto"/>
              </w:rPr>
              <w:t>（8）需支持列排序功能。</w:t>
            </w:r>
          </w:p>
          <w:p w14:paraId="08582E8B">
            <w:pPr>
              <w:pStyle w:val="18"/>
              <w:rPr>
                <w:color w:val="auto"/>
              </w:rPr>
            </w:pPr>
            <w:r>
              <w:rPr>
                <w:rFonts w:hint="eastAsia"/>
                <w:color w:val="auto"/>
              </w:rPr>
              <w:t>3.排队叫号</w:t>
            </w:r>
          </w:p>
          <w:p w14:paraId="39FE411F">
            <w:pPr>
              <w:pStyle w:val="18"/>
              <w:rPr>
                <w:color w:val="auto"/>
              </w:rPr>
            </w:pPr>
            <w:r>
              <w:rPr>
                <w:rFonts w:hint="eastAsia"/>
                <w:color w:val="auto"/>
              </w:rPr>
              <w:t>（1）需提供电子叫号，大屏队列显示。</w:t>
            </w:r>
          </w:p>
          <w:p w14:paraId="6A1505B2">
            <w:pPr>
              <w:pStyle w:val="18"/>
              <w:rPr>
                <w:color w:val="auto"/>
              </w:rPr>
            </w:pPr>
            <w:r>
              <w:rPr>
                <w:rFonts w:hint="eastAsia"/>
                <w:color w:val="auto"/>
              </w:rPr>
              <w:t>（2）需提供多层队列（候诊队列、诊室队列等）。</w:t>
            </w:r>
          </w:p>
          <w:p w14:paraId="438869C9">
            <w:pPr>
              <w:pStyle w:val="18"/>
              <w:rPr>
                <w:color w:val="auto"/>
              </w:rPr>
            </w:pPr>
            <w:r>
              <w:rPr>
                <w:rFonts w:hint="eastAsia"/>
                <w:color w:val="auto"/>
              </w:rPr>
              <w:t>（3）需提供多种算法（静态、动态等）队列排序。</w:t>
            </w:r>
          </w:p>
          <w:p w14:paraId="634F21FA">
            <w:pPr>
              <w:pStyle w:val="18"/>
              <w:rPr>
                <w:color w:val="auto"/>
              </w:rPr>
            </w:pPr>
            <w:r>
              <w:rPr>
                <w:rFonts w:hint="eastAsia"/>
                <w:color w:val="auto"/>
              </w:rPr>
              <w:t>（4）需提供不同队列不同算法。</w:t>
            </w:r>
          </w:p>
          <w:p w14:paraId="6DD76B7A">
            <w:pPr>
              <w:pStyle w:val="18"/>
              <w:rPr>
                <w:color w:val="auto"/>
              </w:rPr>
            </w:pPr>
            <w:r>
              <w:rPr>
                <w:rFonts w:hint="eastAsia"/>
                <w:color w:val="auto"/>
              </w:rPr>
              <w:t>（5）叫号大屏幕支持个性化定制。</w:t>
            </w:r>
          </w:p>
          <w:p w14:paraId="7C432A97">
            <w:pPr>
              <w:pStyle w:val="18"/>
              <w:rPr>
                <w:color w:val="auto"/>
              </w:rPr>
            </w:pPr>
            <w:r>
              <w:rPr>
                <w:rFonts w:hint="eastAsia"/>
                <w:color w:val="auto"/>
              </w:rPr>
              <w:t>（6）需提供可视化的排队安排功能，可快速对队列进行安排和调整。</w:t>
            </w:r>
          </w:p>
          <w:p w14:paraId="37C5EC0D">
            <w:pPr>
              <w:pStyle w:val="18"/>
              <w:rPr>
                <w:color w:val="auto"/>
              </w:rPr>
            </w:pPr>
            <w:r>
              <w:rPr>
                <w:rFonts w:hint="eastAsia"/>
                <w:color w:val="auto"/>
              </w:rPr>
              <w:t>（7）需提供登记台呼叫和检查室呼叫两种呼叫模式。</w:t>
            </w:r>
          </w:p>
          <w:p w14:paraId="3EFD78AD">
            <w:pPr>
              <w:pStyle w:val="18"/>
              <w:rPr>
                <w:color w:val="auto"/>
              </w:rPr>
            </w:pPr>
            <w:r>
              <w:rPr>
                <w:rFonts w:hint="eastAsia"/>
                <w:color w:val="auto"/>
              </w:rPr>
              <w:t>（8）需提供姓名中英文自动转换。</w:t>
            </w:r>
          </w:p>
          <w:p w14:paraId="1D0B6967">
            <w:pPr>
              <w:pStyle w:val="18"/>
              <w:rPr>
                <w:color w:val="auto"/>
              </w:rPr>
            </w:pPr>
            <w:r>
              <w:rPr>
                <w:rFonts w:hint="eastAsia"/>
                <w:color w:val="auto"/>
              </w:rPr>
              <w:t>（9）医生和登记分诊操作终端具有顺序呼叫、重复呼叫、批量呼叫、选择呼叫等功能。</w:t>
            </w:r>
          </w:p>
          <w:p w14:paraId="59D7651D">
            <w:pPr>
              <w:pStyle w:val="18"/>
              <w:rPr>
                <w:color w:val="auto"/>
              </w:rPr>
            </w:pPr>
            <w:r>
              <w:rPr>
                <w:rFonts w:hint="eastAsia"/>
                <w:color w:val="auto"/>
              </w:rPr>
              <w:t>4.质控管理</w:t>
            </w:r>
          </w:p>
          <w:p w14:paraId="374EFB6D">
            <w:pPr>
              <w:pStyle w:val="18"/>
              <w:rPr>
                <w:color w:val="auto"/>
              </w:rPr>
            </w:pPr>
            <w:r>
              <w:rPr>
                <w:rFonts w:hint="eastAsia"/>
                <w:color w:val="auto"/>
              </w:rPr>
              <w:t>（1）基于全方位多维度的质控管理，通过建立全流程的质控管理体系，来保障影像检查诊断的质量。</w:t>
            </w:r>
          </w:p>
          <w:p w14:paraId="6C106208">
            <w:pPr>
              <w:pStyle w:val="18"/>
              <w:rPr>
                <w:color w:val="auto"/>
              </w:rPr>
            </w:pPr>
            <w:r>
              <w:rPr>
                <w:rFonts w:hint="eastAsia"/>
                <w:color w:val="auto"/>
              </w:rPr>
              <w:t>（2）需支持抽样质控，设定抽样规则，对所有符合质控条件的检查依据规则抽取进行质控。</w:t>
            </w:r>
          </w:p>
          <w:p w14:paraId="4B8DBA27">
            <w:pPr>
              <w:pStyle w:val="18"/>
              <w:rPr>
                <w:color w:val="auto"/>
              </w:rPr>
            </w:pPr>
            <w:r>
              <w:rPr>
                <w:rFonts w:hint="eastAsia"/>
                <w:color w:val="auto"/>
              </w:rPr>
              <w:t>（3）需支持主动质控，医生诊断过程中随时发起质控。</w:t>
            </w:r>
          </w:p>
          <w:p w14:paraId="172B3DB7">
            <w:pPr>
              <w:pStyle w:val="18"/>
              <w:rPr>
                <w:color w:val="auto"/>
              </w:rPr>
            </w:pPr>
            <w:r>
              <w:rPr>
                <w:rFonts w:hint="eastAsia"/>
                <w:color w:val="auto"/>
              </w:rPr>
              <w:t>（4）需支持集中质控，根据质控专员使用质控系统检索检查，对各个质控点进行评价并提供质控报表统计。</w:t>
            </w:r>
          </w:p>
          <w:p w14:paraId="70EB5D42">
            <w:pPr>
              <w:pStyle w:val="18"/>
              <w:rPr>
                <w:color w:val="auto"/>
              </w:rPr>
            </w:pPr>
            <w:r>
              <w:rPr>
                <w:rFonts w:hint="eastAsia"/>
                <w:color w:val="auto"/>
              </w:rPr>
              <w:t>（5）需支持质控评分统计一览，侧重展现以设备类型区分、精确到个人的得分情况一览。</w:t>
            </w:r>
          </w:p>
          <w:p w14:paraId="1065ADA2">
            <w:pPr>
              <w:pStyle w:val="18"/>
              <w:rPr>
                <w:color w:val="auto"/>
              </w:rPr>
            </w:pPr>
            <w:r>
              <w:rPr>
                <w:rFonts w:hint="eastAsia"/>
                <w:color w:val="auto"/>
              </w:rPr>
              <w:t>（6）需支持质控扣分明细，侧重展现精确定位到个人的扣分情况及原因，便于评估个人的职业能力及被扣分的高发原因，便于制定整改措施提升整体水平。</w:t>
            </w:r>
          </w:p>
          <w:p w14:paraId="27C2CEAF">
            <w:pPr>
              <w:pStyle w:val="18"/>
              <w:rPr>
                <w:color w:val="auto"/>
              </w:rPr>
            </w:pPr>
            <w:r>
              <w:rPr>
                <w:rFonts w:hint="eastAsia"/>
                <w:color w:val="auto"/>
              </w:rPr>
              <w:t>（7）需支持人员能力评估报表生成，侧重展现技师和报告医生的人员能力（工作量、质量），便于评估个人的职业能力，为人员的绩效提供有力的数据支持。</w:t>
            </w:r>
          </w:p>
          <w:p w14:paraId="777FD734">
            <w:pPr>
              <w:pStyle w:val="18"/>
              <w:rPr>
                <w:color w:val="auto"/>
              </w:rPr>
            </w:pPr>
            <w:r>
              <w:rPr>
                <w:rFonts w:hint="eastAsia"/>
                <w:color w:val="auto"/>
              </w:rPr>
              <w:t>（8）需支持报告超时管理，统计便于掌控报告的完成情况及哪些设备哪些检查项目超时较集中。</w:t>
            </w:r>
          </w:p>
          <w:p w14:paraId="7E6FD89A">
            <w:pPr>
              <w:pStyle w:val="18"/>
              <w:rPr>
                <w:color w:val="auto"/>
              </w:rPr>
            </w:pPr>
            <w:r>
              <w:rPr>
                <w:rFonts w:hint="eastAsia"/>
                <w:color w:val="auto"/>
              </w:rPr>
              <w:t>（9）需支持MAIL定期发送功能，提供定期向指定接收人发送质量周报的功能，发送内容为附件形式的质控评分统计和质控扣分明细报表内容。</w:t>
            </w:r>
          </w:p>
          <w:p w14:paraId="23D58FBF">
            <w:pPr>
              <w:pStyle w:val="18"/>
              <w:rPr>
                <w:color w:val="auto"/>
              </w:rPr>
            </w:pPr>
            <w:r>
              <w:rPr>
                <w:rFonts w:hint="eastAsia"/>
                <w:color w:val="auto"/>
              </w:rPr>
              <w:t>5.检查危急值闭环管理</w:t>
            </w:r>
          </w:p>
          <w:p w14:paraId="52F85958">
            <w:pPr>
              <w:pStyle w:val="18"/>
              <w:rPr>
                <w:color w:val="auto"/>
              </w:rPr>
            </w:pPr>
            <w:r>
              <w:rPr>
                <w:rFonts w:hint="eastAsia"/>
                <w:color w:val="auto"/>
              </w:rPr>
              <w:t>（1）需提供危急值闭环管理：供诊断医生选择危机级别、记录危机描述，并将危急值信息发送给临床信息系统，同时接收临床信息系统关于临床医生处理危急值的反馈。</w:t>
            </w:r>
          </w:p>
          <w:p w14:paraId="1C885F56">
            <w:pPr>
              <w:pStyle w:val="18"/>
              <w:rPr>
                <w:color w:val="auto"/>
              </w:rPr>
            </w:pPr>
            <w:r>
              <w:rPr>
                <w:rFonts w:hint="eastAsia"/>
                <w:color w:val="auto"/>
              </w:rPr>
              <w:t>（2）需支持危急值上报，供诊断医生自主定义或选择危急值，并记录危机描述。</w:t>
            </w:r>
          </w:p>
          <w:p w14:paraId="36BE1BF7">
            <w:pPr>
              <w:pStyle w:val="18"/>
              <w:rPr>
                <w:color w:val="auto"/>
              </w:rPr>
            </w:pPr>
            <w:r>
              <w:rPr>
                <w:rFonts w:hint="eastAsia"/>
                <w:color w:val="auto"/>
              </w:rPr>
              <w:t>（3）需支持展开危急值下拉列表，选择符合诊断的影像危急值。</w:t>
            </w:r>
          </w:p>
          <w:p w14:paraId="3643B5A3">
            <w:pPr>
              <w:pStyle w:val="18"/>
              <w:rPr>
                <w:color w:val="auto"/>
              </w:rPr>
            </w:pPr>
            <w:r>
              <w:rPr>
                <w:rFonts w:hint="eastAsia"/>
                <w:color w:val="auto"/>
              </w:rPr>
              <w:t>（4）在危急值列表选择时，支持依据“危急值类型”筛选过滤对应的危急值项目。</w:t>
            </w:r>
          </w:p>
          <w:p w14:paraId="5E9BFF10">
            <w:pPr>
              <w:pStyle w:val="18"/>
              <w:rPr>
                <w:color w:val="auto"/>
              </w:rPr>
            </w:pPr>
            <w:r>
              <w:rPr>
                <w:rFonts w:hint="eastAsia"/>
                <w:color w:val="auto"/>
              </w:rPr>
              <w:t>（5）需支持提交报告时弹窗提醒，例如“该报告已设置影像危急值，是否标记影像危急值？”。</w:t>
            </w:r>
          </w:p>
          <w:p w14:paraId="2194E247">
            <w:pPr>
              <w:pStyle w:val="18"/>
              <w:rPr>
                <w:color w:val="auto"/>
              </w:rPr>
            </w:pPr>
            <w:r>
              <w:rPr>
                <w:rFonts w:hint="eastAsia"/>
                <w:color w:val="auto"/>
              </w:rPr>
              <w:t>（6）需支持根据报告描述和诊断的内容自动校验危急值字典，并提示诊断医生设置危急值。</w:t>
            </w:r>
          </w:p>
          <w:p w14:paraId="67B992FC">
            <w:pPr>
              <w:pStyle w:val="18"/>
              <w:rPr>
                <w:color w:val="auto"/>
              </w:rPr>
            </w:pPr>
            <w:r>
              <w:rPr>
                <w:rFonts w:hint="eastAsia"/>
                <w:color w:val="auto"/>
              </w:rPr>
              <w:t>（7）在浏览报告时，支持危急值信息显示。</w:t>
            </w:r>
          </w:p>
          <w:p w14:paraId="5548BB8A">
            <w:pPr>
              <w:pStyle w:val="18"/>
              <w:rPr>
                <w:color w:val="auto"/>
              </w:rPr>
            </w:pPr>
            <w:r>
              <w:rPr>
                <w:rFonts w:hint="eastAsia"/>
                <w:color w:val="auto"/>
              </w:rPr>
              <w:t>（8）需支持将危急值信息发送给临床信息系统。</w:t>
            </w:r>
          </w:p>
          <w:p w14:paraId="624F8FD9">
            <w:pPr>
              <w:pStyle w:val="18"/>
              <w:rPr>
                <w:color w:val="auto"/>
              </w:rPr>
            </w:pPr>
            <w:r>
              <w:rPr>
                <w:rFonts w:hint="eastAsia"/>
                <w:color w:val="auto"/>
              </w:rPr>
              <w:t>（9）需支持危急值上报超时提醒，若危急值上报后超过指定时间而临床仍未接收给予反馈，则诊断医生会受到提醒。</w:t>
            </w:r>
          </w:p>
          <w:p w14:paraId="214E5532">
            <w:pPr>
              <w:pStyle w:val="18"/>
              <w:rPr>
                <w:color w:val="auto"/>
              </w:rPr>
            </w:pPr>
            <w:r>
              <w:rPr>
                <w:rFonts w:hint="eastAsia"/>
                <w:color w:val="auto"/>
              </w:rPr>
              <w:t>（10）需支持接收临床信息系统关于临床医生处理危急值的反馈。</w:t>
            </w:r>
          </w:p>
          <w:p w14:paraId="55271F14">
            <w:pPr>
              <w:pStyle w:val="18"/>
              <w:rPr>
                <w:color w:val="auto"/>
              </w:rPr>
            </w:pPr>
            <w:r>
              <w:rPr>
                <w:rFonts w:hint="eastAsia"/>
                <w:color w:val="auto"/>
              </w:rPr>
              <w:t>（11）提供危急值客户端程序，与医生工作站连接部署，支持临床医生和护士接收并处理危急值。</w:t>
            </w:r>
          </w:p>
          <w:p w14:paraId="58E019C8">
            <w:pPr>
              <w:pStyle w:val="18"/>
              <w:rPr>
                <w:color w:val="auto"/>
              </w:rPr>
            </w:pPr>
            <w:r>
              <w:rPr>
                <w:rFonts w:hint="eastAsia"/>
                <w:color w:val="auto"/>
              </w:rPr>
              <w:t>（12）需提供电子沟通记录本，可替代科室纸质版危急值登记册，将沟通记录保存在系统中，便于后续随访、跟踪、查阅等。</w:t>
            </w:r>
          </w:p>
          <w:p w14:paraId="2849ED7E">
            <w:pPr>
              <w:pStyle w:val="18"/>
              <w:rPr>
                <w:color w:val="auto"/>
              </w:rPr>
            </w:pPr>
            <w:r>
              <w:rPr>
                <w:rFonts w:hint="eastAsia"/>
                <w:color w:val="auto"/>
              </w:rPr>
              <w:t>（13）需支持查询近期的危急值查询，查询条件包括：检查科室、诊断医生、我的患者。</w:t>
            </w:r>
          </w:p>
          <w:p w14:paraId="3728BA77">
            <w:pPr>
              <w:pStyle w:val="18"/>
              <w:rPr>
                <w:color w:val="auto"/>
              </w:rPr>
            </w:pPr>
            <w:r>
              <w:rPr>
                <w:rFonts w:hint="eastAsia"/>
                <w:color w:val="auto"/>
              </w:rPr>
              <w:t>（14）需支持危急值信息统计，定制统计报表。</w:t>
            </w:r>
          </w:p>
          <w:p w14:paraId="308629D8">
            <w:pPr>
              <w:pStyle w:val="18"/>
              <w:rPr>
                <w:color w:val="auto"/>
              </w:rPr>
            </w:pPr>
            <w:r>
              <w:rPr>
                <w:rFonts w:hint="eastAsia"/>
                <w:color w:val="auto"/>
              </w:rPr>
              <w:t>（15）需支持危急值信息数据导出，支持导出格式为Excel。</w:t>
            </w:r>
          </w:p>
        </w:tc>
      </w:tr>
      <w:tr w14:paraId="6770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A71B3E6">
            <w:pPr>
              <w:pStyle w:val="18"/>
              <w:jc w:val="center"/>
              <w:rPr>
                <w:b w:val="0"/>
                <w:color w:val="auto"/>
              </w:rPr>
            </w:pPr>
            <w:r>
              <w:rPr>
                <w:rFonts w:hint="eastAsia"/>
                <w:b w:val="0"/>
                <w:color w:val="auto"/>
              </w:rPr>
              <w:t>放射管理</w:t>
            </w:r>
          </w:p>
        </w:tc>
        <w:tc>
          <w:tcPr>
            <w:tcW w:w="6579" w:type="dxa"/>
            <w:vAlign w:val="center"/>
          </w:tcPr>
          <w:p w14:paraId="270F7219">
            <w:pPr>
              <w:pStyle w:val="18"/>
              <w:rPr>
                <w:color w:val="auto"/>
              </w:rPr>
            </w:pPr>
            <w:r>
              <w:rPr>
                <w:rFonts w:hint="eastAsia"/>
                <w:color w:val="auto"/>
              </w:rPr>
              <w:t>1.检查登记</w:t>
            </w:r>
          </w:p>
          <w:p w14:paraId="1698E002">
            <w:pPr>
              <w:pStyle w:val="18"/>
              <w:rPr>
                <w:color w:val="auto"/>
              </w:rPr>
            </w:pPr>
            <w:r>
              <w:rPr>
                <w:rFonts w:hint="eastAsia"/>
                <w:color w:val="auto"/>
              </w:rPr>
              <w:t>主要录入患者在检查之前的基本信息和检查项目信息，这些信息为下面的检查和统计查询做准备，包括以下检查信息：</w:t>
            </w:r>
          </w:p>
          <w:p w14:paraId="01D665AD">
            <w:pPr>
              <w:pStyle w:val="18"/>
              <w:rPr>
                <w:color w:val="auto"/>
              </w:rPr>
            </w:pPr>
            <w:r>
              <w:rPr>
                <w:rFonts w:hint="eastAsia"/>
                <w:color w:val="auto"/>
              </w:rPr>
              <w:t>（1）需支持检查登记/取消。</w:t>
            </w:r>
          </w:p>
          <w:p w14:paraId="19075320">
            <w:pPr>
              <w:pStyle w:val="18"/>
              <w:rPr>
                <w:color w:val="auto"/>
              </w:rPr>
            </w:pPr>
            <w:r>
              <w:rPr>
                <w:rFonts w:hint="eastAsia"/>
                <w:color w:val="auto"/>
              </w:rPr>
              <w:t>（2）检查单打印，可打印条码。</w:t>
            </w:r>
          </w:p>
          <w:p w14:paraId="490CABB9">
            <w:pPr>
              <w:pStyle w:val="18"/>
              <w:rPr>
                <w:color w:val="auto"/>
              </w:rPr>
            </w:pPr>
            <w:r>
              <w:rPr>
                <w:rFonts w:hint="eastAsia"/>
                <w:color w:val="auto"/>
              </w:rPr>
              <w:t>（3）检查单可以按检查类型和检查项目自由配置格式和内容。</w:t>
            </w:r>
          </w:p>
          <w:p w14:paraId="0624B26D">
            <w:pPr>
              <w:pStyle w:val="18"/>
              <w:rPr>
                <w:color w:val="auto"/>
              </w:rPr>
            </w:pPr>
            <w:r>
              <w:rPr>
                <w:rFonts w:hint="eastAsia"/>
                <w:color w:val="auto"/>
              </w:rPr>
              <w:t>（4）需支持磁卡、IC卡、条码输入、手工输入。</w:t>
            </w:r>
          </w:p>
          <w:p w14:paraId="48DDA762">
            <w:pPr>
              <w:pStyle w:val="18"/>
              <w:rPr>
                <w:color w:val="auto"/>
              </w:rPr>
            </w:pPr>
            <w:r>
              <w:rPr>
                <w:rFonts w:hint="eastAsia"/>
                <w:color w:val="auto"/>
              </w:rPr>
              <w:t>（5）系统支持与HIS系统连接，获取患者的检查申请信息。</w:t>
            </w:r>
          </w:p>
          <w:p w14:paraId="7A6B45BF">
            <w:pPr>
              <w:pStyle w:val="18"/>
              <w:rPr>
                <w:color w:val="auto"/>
              </w:rPr>
            </w:pPr>
            <w:r>
              <w:rPr>
                <w:rFonts w:hint="eastAsia"/>
                <w:color w:val="auto"/>
              </w:rPr>
              <w:t>（6）需支持申请单拍摄、扫描功能。</w:t>
            </w:r>
          </w:p>
          <w:p w14:paraId="005FA6DA">
            <w:pPr>
              <w:pStyle w:val="18"/>
              <w:rPr>
                <w:color w:val="auto"/>
              </w:rPr>
            </w:pPr>
            <w:r>
              <w:rPr>
                <w:rFonts w:hint="eastAsia"/>
                <w:color w:val="auto"/>
              </w:rPr>
              <w:t>（7）需支持检查的确认、取消和改变。</w:t>
            </w:r>
          </w:p>
          <w:p w14:paraId="7090B369">
            <w:pPr>
              <w:pStyle w:val="18"/>
              <w:rPr>
                <w:color w:val="auto"/>
              </w:rPr>
            </w:pPr>
            <w:r>
              <w:rPr>
                <w:rFonts w:hint="eastAsia"/>
                <w:color w:val="auto"/>
              </w:rPr>
              <w:t>（8）英文姓名（拼音）自动输入。</w:t>
            </w:r>
          </w:p>
          <w:p w14:paraId="7A3FC884">
            <w:pPr>
              <w:pStyle w:val="18"/>
              <w:rPr>
                <w:color w:val="auto"/>
              </w:rPr>
            </w:pPr>
            <w:r>
              <w:rPr>
                <w:rFonts w:hint="eastAsia"/>
                <w:color w:val="auto"/>
              </w:rPr>
              <w:t>（9）显示和查询病人检查状态。</w:t>
            </w:r>
          </w:p>
          <w:p w14:paraId="7BFC6477">
            <w:pPr>
              <w:pStyle w:val="18"/>
              <w:rPr>
                <w:color w:val="auto"/>
              </w:rPr>
            </w:pPr>
            <w:r>
              <w:rPr>
                <w:rFonts w:hint="eastAsia"/>
                <w:color w:val="auto"/>
              </w:rPr>
              <w:t>（10）需支持HL7方式的更新医嘱信息以及患者的人口学和其他特殊信息的修改功能。支持患者信息执行步骤管理。</w:t>
            </w:r>
          </w:p>
          <w:p w14:paraId="1CA71475">
            <w:pPr>
              <w:pStyle w:val="18"/>
              <w:rPr>
                <w:color w:val="auto"/>
              </w:rPr>
            </w:pPr>
            <w:r>
              <w:rPr>
                <w:rFonts w:hint="eastAsia"/>
                <w:color w:val="auto"/>
              </w:rPr>
              <w:t>（11）复诊患者在输入住院号（门诊号）之后，会自动从数据库中得到影像号、姓名、性别、年龄等信息。</w:t>
            </w:r>
          </w:p>
          <w:p w14:paraId="50C87D48">
            <w:pPr>
              <w:pStyle w:val="18"/>
              <w:rPr>
                <w:color w:val="auto"/>
              </w:rPr>
            </w:pPr>
            <w:r>
              <w:rPr>
                <w:rFonts w:hint="eastAsia"/>
                <w:color w:val="auto"/>
              </w:rPr>
              <w:t>（12）需支持多个检查项目同时登记。</w:t>
            </w:r>
          </w:p>
          <w:p w14:paraId="367B1683">
            <w:pPr>
              <w:pStyle w:val="18"/>
              <w:rPr>
                <w:color w:val="auto"/>
              </w:rPr>
            </w:pPr>
            <w:r>
              <w:rPr>
                <w:rFonts w:hint="eastAsia"/>
                <w:color w:val="auto"/>
              </w:rPr>
              <w:t>（13）需支持全键盘操作，所有登记过程无需鼠标操作，加快登记流程。</w:t>
            </w:r>
          </w:p>
          <w:p w14:paraId="2B1B73E3">
            <w:pPr>
              <w:pStyle w:val="18"/>
              <w:rPr>
                <w:color w:val="auto"/>
              </w:rPr>
            </w:pPr>
            <w:r>
              <w:rPr>
                <w:rFonts w:hint="eastAsia"/>
                <w:color w:val="auto"/>
              </w:rPr>
              <w:t>（14）需支持根据病人检查项目分派到相应的设备并在该设备上形成worklist。</w:t>
            </w:r>
          </w:p>
          <w:p w14:paraId="57398C34">
            <w:pPr>
              <w:pStyle w:val="18"/>
              <w:rPr>
                <w:color w:val="auto"/>
              </w:rPr>
            </w:pPr>
            <w:r>
              <w:rPr>
                <w:rFonts w:hint="eastAsia"/>
                <w:color w:val="auto"/>
              </w:rPr>
              <w:t>（15）需支持影像检查分时段预约，可以根据检查设备时长定制预约时间段。</w:t>
            </w:r>
          </w:p>
          <w:p w14:paraId="55C47E55">
            <w:pPr>
              <w:pStyle w:val="18"/>
              <w:rPr>
                <w:color w:val="auto"/>
              </w:rPr>
            </w:pPr>
            <w:r>
              <w:rPr>
                <w:rFonts w:hint="eastAsia"/>
                <w:color w:val="auto"/>
              </w:rPr>
              <w:t>（16）需支持电子申请单。</w:t>
            </w:r>
          </w:p>
          <w:p w14:paraId="6E2F5BBE">
            <w:pPr>
              <w:pStyle w:val="18"/>
              <w:rPr>
                <w:color w:val="auto"/>
              </w:rPr>
            </w:pPr>
            <w:r>
              <w:rPr>
                <w:rFonts w:hint="eastAsia"/>
                <w:color w:val="auto"/>
              </w:rPr>
              <w:t>（17）需支持拍摄申请单。</w:t>
            </w:r>
          </w:p>
          <w:p w14:paraId="29DF7233">
            <w:pPr>
              <w:pStyle w:val="18"/>
              <w:rPr>
                <w:color w:val="auto"/>
              </w:rPr>
            </w:pPr>
            <w:r>
              <w:rPr>
                <w:rFonts w:hint="eastAsia"/>
                <w:color w:val="auto"/>
              </w:rPr>
              <w:t>（18）可以选择查询条件，查询检查的状态，确认是否匹配，查询条件可配置。</w:t>
            </w:r>
          </w:p>
          <w:p w14:paraId="7C2CD0D6">
            <w:pPr>
              <w:pStyle w:val="18"/>
              <w:rPr>
                <w:color w:val="auto"/>
              </w:rPr>
            </w:pPr>
            <w:r>
              <w:rPr>
                <w:rFonts w:hint="eastAsia"/>
                <w:color w:val="auto"/>
              </w:rPr>
              <w:t>2.技师管理</w:t>
            </w:r>
          </w:p>
          <w:p w14:paraId="5E54986D">
            <w:pPr>
              <w:pStyle w:val="18"/>
              <w:rPr>
                <w:color w:val="auto"/>
              </w:rPr>
            </w:pPr>
            <w:r>
              <w:rPr>
                <w:rFonts w:hint="eastAsia"/>
                <w:color w:val="auto"/>
              </w:rPr>
              <w:t>提供检查技师定位、呼叫患者信息的综合管理工具，实现胶片打印、患者呼叫联动申请单确认等，功能如下：</w:t>
            </w:r>
          </w:p>
          <w:p w14:paraId="6E688302">
            <w:pPr>
              <w:pStyle w:val="18"/>
              <w:rPr>
                <w:color w:val="auto"/>
              </w:rPr>
            </w:pPr>
            <w:r>
              <w:rPr>
                <w:rFonts w:hint="eastAsia"/>
                <w:color w:val="auto"/>
              </w:rPr>
              <w:t>（1）需支持使用条码扫描的方式定位病人。</w:t>
            </w:r>
          </w:p>
          <w:p w14:paraId="3A76D5C5">
            <w:pPr>
              <w:pStyle w:val="18"/>
              <w:rPr>
                <w:color w:val="auto"/>
              </w:rPr>
            </w:pPr>
            <w:r>
              <w:rPr>
                <w:rFonts w:hint="eastAsia"/>
                <w:color w:val="auto"/>
              </w:rPr>
              <w:t>（2）可以调出当前患者的基本信息、检查信息、收费信息等，进行确认并修改。</w:t>
            </w:r>
          </w:p>
          <w:p w14:paraId="7BF3ABB9">
            <w:pPr>
              <w:pStyle w:val="18"/>
              <w:rPr>
                <w:color w:val="auto"/>
              </w:rPr>
            </w:pPr>
            <w:r>
              <w:rPr>
                <w:rFonts w:hint="eastAsia"/>
                <w:color w:val="auto"/>
              </w:rPr>
              <w:t>（3）可查看当前患者的电子或扫描申请单。</w:t>
            </w:r>
          </w:p>
          <w:p w14:paraId="4E0FCB26">
            <w:pPr>
              <w:pStyle w:val="18"/>
              <w:rPr>
                <w:color w:val="auto"/>
              </w:rPr>
            </w:pPr>
            <w:r>
              <w:rPr>
                <w:rFonts w:hint="eastAsia"/>
                <w:color w:val="auto"/>
              </w:rPr>
              <w:t>（4）检查情况的记录。</w:t>
            </w:r>
          </w:p>
          <w:p w14:paraId="4EF13CDB">
            <w:pPr>
              <w:pStyle w:val="18"/>
              <w:rPr>
                <w:color w:val="auto"/>
              </w:rPr>
            </w:pPr>
            <w:r>
              <w:rPr>
                <w:rFonts w:hint="eastAsia"/>
                <w:color w:val="auto"/>
              </w:rPr>
              <w:t>（5）机房门口叫号系统的排序和告知信息更新。</w:t>
            </w:r>
          </w:p>
          <w:p w14:paraId="17B88569">
            <w:pPr>
              <w:pStyle w:val="18"/>
              <w:rPr>
                <w:color w:val="auto"/>
              </w:rPr>
            </w:pPr>
            <w:r>
              <w:rPr>
                <w:rFonts w:hint="eastAsia"/>
                <w:color w:val="auto"/>
              </w:rPr>
              <w:t>（6）需支持重拍、补拍及紧急拍片。</w:t>
            </w:r>
          </w:p>
          <w:p w14:paraId="1CE2DD8C">
            <w:pPr>
              <w:pStyle w:val="18"/>
              <w:rPr>
                <w:color w:val="auto"/>
              </w:rPr>
            </w:pPr>
            <w:r>
              <w:rPr>
                <w:rFonts w:hint="eastAsia"/>
                <w:color w:val="auto"/>
              </w:rPr>
              <w:t>（7）需支持影像质控功能，可以对胶片质量进行分级，并可对胶片的使用进行统计查询。</w:t>
            </w:r>
          </w:p>
          <w:p w14:paraId="4659F384">
            <w:pPr>
              <w:pStyle w:val="18"/>
              <w:rPr>
                <w:color w:val="auto"/>
              </w:rPr>
            </w:pPr>
            <w:r>
              <w:rPr>
                <w:rFonts w:hint="eastAsia"/>
                <w:color w:val="auto"/>
              </w:rPr>
              <w:t>（8）可支持胶片打印管理，保存胶片打印记录。</w:t>
            </w:r>
          </w:p>
          <w:p w14:paraId="03DFD683">
            <w:pPr>
              <w:pStyle w:val="18"/>
              <w:rPr>
                <w:color w:val="auto"/>
              </w:rPr>
            </w:pPr>
            <w:r>
              <w:rPr>
                <w:rFonts w:hint="eastAsia"/>
                <w:color w:val="auto"/>
              </w:rPr>
              <w:t>3.影像诊断</w:t>
            </w:r>
          </w:p>
          <w:p w14:paraId="3D3524F9">
            <w:pPr>
              <w:pStyle w:val="18"/>
              <w:rPr>
                <w:color w:val="auto"/>
              </w:rPr>
            </w:pPr>
            <w:r>
              <w:rPr>
                <w:rFonts w:hint="eastAsia"/>
                <w:color w:val="auto"/>
              </w:rPr>
              <w:t>（1）基本信息查询：根据患者的影像号、姓名、年龄、性别、设备类型、检查状态、检查时间等条件进行查询，查询到满足条件的患者列表显示，供医生进行、诊断、阅片等操作。</w:t>
            </w:r>
          </w:p>
          <w:p w14:paraId="3AD845F0">
            <w:pPr>
              <w:pStyle w:val="18"/>
              <w:rPr>
                <w:color w:val="auto"/>
              </w:rPr>
            </w:pPr>
            <w:r>
              <w:rPr>
                <w:rFonts w:hint="eastAsia"/>
                <w:color w:val="auto"/>
              </w:rPr>
              <w:t>（2）高级查询：高级查询可用于在科研、教学特定条件下的影像资料查询，根据患者的住院号（门诊号）、检查部位、检查项目、申请科室、科研病例、特殊病例、一线医生姓名、二线医生姓名等条件进行查询。</w:t>
            </w:r>
          </w:p>
          <w:p w14:paraId="15FFEE18">
            <w:pPr>
              <w:pStyle w:val="18"/>
              <w:rPr>
                <w:color w:val="auto"/>
              </w:rPr>
            </w:pPr>
            <w:r>
              <w:rPr>
                <w:rFonts w:hint="eastAsia"/>
                <w:color w:val="auto"/>
              </w:rPr>
              <w:t>（3）模糊查询：输入诊断描述、诊断结果中的关键字，系统将对满足条件的关键字进行模糊查询。</w:t>
            </w:r>
          </w:p>
          <w:p w14:paraId="165DC365">
            <w:pPr>
              <w:pStyle w:val="18"/>
              <w:rPr>
                <w:color w:val="auto"/>
              </w:rPr>
            </w:pPr>
            <w:r>
              <w:rPr>
                <w:rFonts w:hint="eastAsia"/>
                <w:color w:val="auto"/>
              </w:rPr>
              <w:t>（4）图像缩放功能：随着鼠标的移动平滑的放大、缩小整个医疗影像，以方便医生的观察。</w:t>
            </w:r>
          </w:p>
          <w:p w14:paraId="261DC7C5">
            <w:pPr>
              <w:pStyle w:val="18"/>
              <w:rPr>
                <w:color w:val="auto"/>
              </w:rPr>
            </w:pPr>
            <w:r>
              <w:rPr>
                <w:rFonts w:hint="eastAsia"/>
                <w:color w:val="auto"/>
              </w:rPr>
              <w:t>（5）左右上下旋转功能：医疗影像以±90°或±180°的增值旋转医疗影像。</w:t>
            </w:r>
          </w:p>
          <w:p w14:paraId="5F858E61">
            <w:pPr>
              <w:pStyle w:val="18"/>
              <w:rPr>
                <w:color w:val="auto"/>
              </w:rPr>
            </w:pPr>
            <w:r>
              <w:rPr>
                <w:rFonts w:hint="eastAsia"/>
                <w:color w:val="auto"/>
              </w:rPr>
              <w:t>（6）镜像功能：医疗影像左右、上下镜像对调。</w:t>
            </w:r>
          </w:p>
          <w:p w14:paraId="21B419D3">
            <w:pPr>
              <w:pStyle w:val="18"/>
              <w:rPr>
                <w:color w:val="auto"/>
              </w:rPr>
            </w:pPr>
            <w:r>
              <w:rPr>
                <w:rFonts w:hint="eastAsia"/>
                <w:color w:val="auto"/>
              </w:rPr>
              <w:t>（7）图像漫游功能：把感兴趣部位的医疗影像移动到视窗中心以便于观察。</w:t>
            </w:r>
          </w:p>
          <w:p w14:paraId="154F6D6D">
            <w:pPr>
              <w:pStyle w:val="18"/>
              <w:rPr>
                <w:color w:val="auto"/>
              </w:rPr>
            </w:pPr>
            <w:r>
              <w:rPr>
                <w:rFonts w:hint="eastAsia"/>
                <w:color w:val="auto"/>
              </w:rPr>
              <w:t>（8）黑白反相功能：当前的医疗影像黑白反相处理。</w:t>
            </w:r>
          </w:p>
          <w:p w14:paraId="2325A3CD">
            <w:pPr>
              <w:pStyle w:val="18"/>
              <w:rPr>
                <w:color w:val="auto"/>
              </w:rPr>
            </w:pPr>
            <w:r>
              <w:rPr>
                <w:rFonts w:hint="eastAsia"/>
                <w:color w:val="auto"/>
              </w:rPr>
              <w:t>（9）放大镜功能：可设置放大镜尺寸和放大倍数，以一定比例局部放大指定位置的影像。</w:t>
            </w:r>
          </w:p>
          <w:p w14:paraId="7609A199">
            <w:pPr>
              <w:pStyle w:val="18"/>
              <w:rPr>
                <w:color w:val="auto"/>
              </w:rPr>
            </w:pPr>
            <w:r>
              <w:rPr>
                <w:rFonts w:hint="eastAsia"/>
                <w:color w:val="auto"/>
              </w:rPr>
              <w:t>（10）滤波：包括平滑、边缘检测、浮雕等图像处理。</w:t>
            </w:r>
          </w:p>
          <w:p w14:paraId="6A895846">
            <w:pPr>
              <w:pStyle w:val="18"/>
              <w:rPr>
                <w:color w:val="auto"/>
              </w:rPr>
            </w:pPr>
            <w:r>
              <w:rPr>
                <w:rFonts w:hint="eastAsia"/>
                <w:color w:val="auto"/>
              </w:rPr>
              <w:t>（11）伪彩：以彩色图像代替影像中的灰度图像，直观的反映影像。</w:t>
            </w:r>
          </w:p>
          <w:p w14:paraId="320C72A3">
            <w:pPr>
              <w:pStyle w:val="18"/>
              <w:rPr>
                <w:color w:val="auto"/>
              </w:rPr>
            </w:pPr>
            <w:r>
              <w:rPr>
                <w:rFonts w:hint="eastAsia"/>
                <w:color w:val="auto"/>
              </w:rPr>
              <w:t>（12）窗宽、窗位调节：调节医疗影像的窗宽、窗位。</w:t>
            </w:r>
          </w:p>
          <w:p w14:paraId="22969EB3">
            <w:pPr>
              <w:pStyle w:val="18"/>
              <w:rPr>
                <w:color w:val="auto"/>
              </w:rPr>
            </w:pPr>
            <w:r>
              <w:rPr>
                <w:rFonts w:hint="eastAsia"/>
                <w:color w:val="auto"/>
              </w:rPr>
              <w:t>（13）播放：速度可调、连续、循环播放DSA图像等医疗影像。</w:t>
            </w:r>
          </w:p>
          <w:p w14:paraId="0752F772">
            <w:pPr>
              <w:pStyle w:val="18"/>
              <w:rPr>
                <w:color w:val="auto"/>
              </w:rPr>
            </w:pPr>
            <w:r>
              <w:rPr>
                <w:rFonts w:hint="eastAsia"/>
                <w:color w:val="auto"/>
              </w:rPr>
              <w:t>（14）极大化功能：把当前的医疗影像在整个图像区域显示。</w:t>
            </w:r>
          </w:p>
          <w:p w14:paraId="14EB8FA8">
            <w:pPr>
              <w:pStyle w:val="18"/>
              <w:rPr>
                <w:color w:val="auto"/>
              </w:rPr>
            </w:pPr>
            <w:r>
              <w:rPr>
                <w:rFonts w:hint="eastAsia"/>
                <w:color w:val="auto"/>
              </w:rPr>
              <w:t>（15）适合大小功能：把当前的医疗影像调到当前视窗大小。</w:t>
            </w:r>
          </w:p>
          <w:p w14:paraId="2BF2DF33">
            <w:pPr>
              <w:pStyle w:val="18"/>
              <w:rPr>
                <w:color w:val="auto"/>
              </w:rPr>
            </w:pPr>
            <w:r>
              <w:rPr>
                <w:rFonts w:hint="eastAsia"/>
                <w:color w:val="auto"/>
              </w:rPr>
              <w:t>（16）直线距离测量：用于标识影像中病变部位的长度尺寸。</w:t>
            </w:r>
          </w:p>
          <w:p w14:paraId="1F695FBA">
            <w:pPr>
              <w:pStyle w:val="18"/>
              <w:rPr>
                <w:color w:val="auto"/>
              </w:rPr>
            </w:pPr>
            <w:r>
              <w:rPr>
                <w:rFonts w:hint="eastAsia"/>
                <w:color w:val="auto"/>
              </w:rPr>
              <w:t>（17）角度测量：测量影像中病变部位的角度。</w:t>
            </w:r>
          </w:p>
          <w:p w14:paraId="288A1EE4">
            <w:pPr>
              <w:pStyle w:val="18"/>
              <w:rPr>
                <w:color w:val="auto"/>
              </w:rPr>
            </w:pPr>
            <w:r>
              <w:rPr>
                <w:rFonts w:hint="eastAsia"/>
                <w:color w:val="auto"/>
              </w:rPr>
              <w:t>（18）椭圆测量（面积和密度均值）：画出椭圆区域并可测量此区域的面积和密度均值。</w:t>
            </w:r>
          </w:p>
          <w:p w14:paraId="55CFCCC5">
            <w:pPr>
              <w:pStyle w:val="18"/>
              <w:rPr>
                <w:color w:val="auto"/>
              </w:rPr>
            </w:pPr>
            <w:r>
              <w:rPr>
                <w:rFonts w:hint="eastAsia"/>
                <w:color w:val="auto"/>
              </w:rPr>
              <w:t>（19）矩形测量（面积和密度均值）：画出矩形区域并可测量此区域的面积和密度均值。</w:t>
            </w:r>
          </w:p>
          <w:p w14:paraId="1FEF8765">
            <w:pPr>
              <w:pStyle w:val="18"/>
              <w:rPr>
                <w:color w:val="auto"/>
              </w:rPr>
            </w:pPr>
            <w:r>
              <w:rPr>
                <w:rFonts w:hint="eastAsia"/>
                <w:color w:val="auto"/>
              </w:rPr>
              <w:t>（20）不规则手画线：用于勾画出敏感区域，并可测量此区域的面积和密度均值。</w:t>
            </w:r>
          </w:p>
          <w:p w14:paraId="432A01C3">
            <w:pPr>
              <w:pStyle w:val="18"/>
              <w:rPr>
                <w:color w:val="auto"/>
              </w:rPr>
            </w:pPr>
            <w:r>
              <w:rPr>
                <w:rFonts w:hint="eastAsia"/>
                <w:color w:val="auto"/>
              </w:rPr>
              <w:t>（21）ROI值曲线：直接获得其CT值变化的曲线。</w:t>
            </w:r>
          </w:p>
          <w:p w14:paraId="3D926809">
            <w:pPr>
              <w:pStyle w:val="18"/>
              <w:rPr>
                <w:color w:val="auto"/>
              </w:rPr>
            </w:pPr>
            <w:r>
              <w:rPr>
                <w:rFonts w:hint="eastAsia"/>
                <w:color w:val="auto"/>
              </w:rPr>
              <w:t>（22）ROI值测量：测量CT或MRI图像上不同坐标点的ROI值。</w:t>
            </w:r>
          </w:p>
          <w:p w14:paraId="34AE0513">
            <w:pPr>
              <w:pStyle w:val="18"/>
              <w:rPr>
                <w:color w:val="auto"/>
              </w:rPr>
            </w:pPr>
            <w:r>
              <w:rPr>
                <w:rFonts w:hint="eastAsia"/>
                <w:color w:val="auto"/>
              </w:rPr>
              <w:t>（23）需支持乳腺智能挂片协议，按照乳腺诊断标准排布。</w:t>
            </w:r>
          </w:p>
          <w:p w14:paraId="130581A5">
            <w:pPr>
              <w:pStyle w:val="18"/>
              <w:rPr>
                <w:color w:val="auto"/>
              </w:rPr>
            </w:pPr>
            <w:r>
              <w:rPr>
                <w:rFonts w:hint="eastAsia"/>
                <w:color w:val="auto"/>
              </w:rPr>
              <w:t>（24）需支持MIP、MinIP、AIP等多种重建方式。</w:t>
            </w:r>
          </w:p>
          <w:p w14:paraId="554B6551">
            <w:pPr>
              <w:pStyle w:val="18"/>
              <w:rPr>
                <w:color w:val="auto"/>
              </w:rPr>
            </w:pPr>
            <w:r>
              <w:rPr>
                <w:rFonts w:hint="eastAsia"/>
                <w:color w:val="auto"/>
              </w:rPr>
              <w:t>（25）提供三维数据的可视化工具，主要有容积重建VR、MIP、MinIP、AIP等多种重建方式。</w:t>
            </w:r>
          </w:p>
          <w:p w14:paraId="487AAE1D">
            <w:pPr>
              <w:pStyle w:val="18"/>
              <w:rPr>
                <w:color w:val="auto"/>
              </w:rPr>
            </w:pPr>
            <w:r>
              <w:rPr>
                <w:rFonts w:hint="eastAsia"/>
                <w:color w:val="auto"/>
              </w:rPr>
              <w:t>（26）折线区域测量：画出折线区域并可测量此区域的面积和密度均值。</w:t>
            </w:r>
          </w:p>
          <w:p w14:paraId="257678A3">
            <w:pPr>
              <w:pStyle w:val="18"/>
              <w:rPr>
                <w:color w:val="auto"/>
              </w:rPr>
            </w:pPr>
            <w:r>
              <w:rPr>
                <w:rFonts w:hint="eastAsia"/>
                <w:color w:val="auto"/>
              </w:rPr>
              <w:t>（27）箭头标注：用于标识病变部位。</w:t>
            </w:r>
          </w:p>
          <w:p w14:paraId="4CFEC07C">
            <w:pPr>
              <w:pStyle w:val="18"/>
              <w:rPr>
                <w:color w:val="auto"/>
              </w:rPr>
            </w:pPr>
            <w:r>
              <w:rPr>
                <w:rFonts w:hint="eastAsia"/>
                <w:color w:val="auto"/>
              </w:rPr>
              <w:t>（28）文本注释：向图像中添加注释、说明。</w:t>
            </w:r>
          </w:p>
          <w:p w14:paraId="642B2285">
            <w:pPr>
              <w:pStyle w:val="18"/>
              <w:rPr>
                <w:color w:val="auto"/>
              </w:rPr>
            </w:pPr>
            <w:r>
              <w:rPr>
                <w:rFonts w:hint="eastAsia"/>
                <w:color w:val="auto"/>
              </w:rPr>
              <w:t>（29）重点图像标记：重点图像是为临床医生提供的图像，在患者检查过程中将生成大量的图像，有些对临床医生是没用的信息，经过标记后的图像是临床医生是临床医生可以调阅的图像，而没标记的图像临床医生是看不到的。</w:t>
            </w:r>
          </w:p>
          <w:p w14:paraId="65D84179">
            <w:pPr>
              <w:pStyle w:val="18"/>
              <w:rPr>
                <w:color w:val="auto"/>
              </w:rPr>
            </w:pPr>
            <w:r>
              <w:rPr>
                <w:rFonts w:hint="eastAsia"/>
                <w:color w:val="auto"/>
              </w:rPr>
              <w:t>（30）特殊标记：科研病例、特殊病例标记，便于对重点图像的查询，用于科研和教学对重点图像的查阅。</w:t>
            </w:r>
          </w:p>
          <w:p w14:paraId="3454B425">
            <w:pPr>
              <w:pStyle w:val="18"/>
              <w:rPr>
                <w:color w:val="auto"/>
              </w:rPr>
            </w:pPr>
            <w:r>
              <w:rPr>
                <w:rFonts w:hint="eastAsia"/>
                <w:color w:val="auto"/>
              </w:rPr>
              <w:t>（31）需支持对关键图像的标注功能。</w:t>
            </w:r>
          </w:p>
          <w:p w14:paraId="308FCC94">
            <w:pPr>
              <w:pStyle w:val="18"/>
              <w:rPr>
                <w:color w:val="auto"/>
              </w:rPr>
            </w:pPr>
            <w:r>
              <w:rPr>
                <w:rFonts w:hint="eastAsia"/>
                <w:color w:val="auto"/>
              </w:rPr>
              <w:t>（32）可以浏览电子申请单和已拍摄申请单。</w:t>
            </w:r>
          </w:p>
          <w:p w14:paraId="17A81B24">
            <w:pPr>
              <w:pStyle w:val="18"/>
              <w:rPr>
                <w:color w:val="auto"/>
              </w:rPr>
            </w:pPr>
            <w:r>
              <w:rPr>
                <w:rFonts w:hint="eastAsia"/>
                <w:color w:val="auto"/>
              </w:rPr>
              <w:t>（33）可在无图状态下书写诊断报告。</w:t>
            </w:r>
          </w:p>
          <w:p w14:paraId="2725F199">
            <w:pPr>
              <w:pStyle w:val="18"/>
              <w:rPr>
                <w:color w:val="auto"/>
              </w:rPr>
            </w:pPr>
            <w:r>
              <w:rPr>
                <w:rFonts w:hint="eastAsia"/>
                <w:color w:val="auto"/>
              </w:rPr>
              <w:t>（34）报告单预览功能（在书写、审核、打印时都可随时预览报告）。</w:t>
            </w:r>
          </w:p>
          <w:p w14:paraId="75B232ED">
            <w:pPr>
              <w:pStyle w:val="18"/>
              <w:rPr>
                <w:color w:val="auto"/>
              </w:rPr>
            </w:pPr>
            <w:r>
              <w:rPr>
                <w:rFonts w:hint="eastAsia"/>
                <w:color w:val="auto"/>
              </w:rPr>
              <w:t>（35）报告单样式管理功能，可以随意设置多种格式的报告单样式。</w:t>
            </w:r>
          </w:p>
          <w:p w14:paraId="50589EB7">
            <w:pPr>
              <w:pStyle w:val="18"/>
              <w:rPr>
                <w:color w:val="auto"/>
              </w:rPr>
            </w:pPr>
            <w:r>
              <w:rPr>
                <w:rFonts w:hint="eastAsia"/>
                <w:color w:val="auto"/>
              </w:rPr>
              <w:t>（36）在书写报告过程中可随时切换报告单样式。</w:t>
            </w:r>
          </w:p>
          <w:p w14:paraId="72CDAC9E">
            <w:pPr>
              <w:pStyle w:val="18"/>
              <w:rPr>
                <w:color w:val="auto"/>
              </w:rPr>
            </w:pPr>
            <w:r>
              <w:rPr>
                <w:rFonts w:hint="eastAsia"/>
                <w:color w:val="auto"/>
              </w:rPr>
              <w:t>（37）需支持报告回退流程。</w:t>
            </w:r>
          </w:p>
          <w:p w14:paraId="576416F1">
            <w:pPr>
              <w:pStyle w:val="18"/>
              <w:rPr>
                <w:color w:val="auto"/>
              </w:rPr>
            </w:pPr>
            <w:r>
              <w:rPr>
                <w:rFonts w:hint="eastAsia"/>
                <w:color w:val="auto"/>
              </w:rPr>
              <w:t>（38）历史诊断报告列表功能，审核医生可查看当前病人同模态的历史诊断报告。</w:t>
            </w:r>
          </w:p>
          <w:p w14:paraId="35D10AF8">
            <w:pPr>
              <w:pStyle w:val="18"/>
              <w:rPr>
                <w:color w:val="auto"/>
              </w:rPr>
            </w:pPr>
            <w:r>
              <w:rPr>
                <w:rFonts w:hint="eastAsia"/>
                <w:color w:val="auto"/>
              </w:rPr>
              <w:t>（39）常用词汇管理，支持报告模板管理。</w:t>
            </w:r>
          </w:p>
          <w:p w14:paraId="2F9EA9C1">
            <w:pPr>
              <w:pStyle w:val="18"/>
              <w:rPr>
                <w:color w:val="auto"/>
              </w:rPr>
            </w:pPr>
            <w:r>
              <w:rPr>
                <w:rFonts w:hint="eastAsia"/>
                <w:color w:val="auto"/>
              </w:rPr>
              <w:t>（40）报告模版功能，有常见疾病的模版，模版分为公有模版和私有模版，并可以互相转换。</w:t>
            </w:r>
          </w:p>
          <w:p w14:paraId="74E32CE6">
            <w:pPr>
              <w:pStyle w:val="18"/>
              <w:rPr>
                <w:color w:val="auto"/>
              </w:rPr>
            </w:pPr>
            <w:r>
              <w:rPr>
                <w:rFonts w:hint="eastAsia"/>
                <w:color w:val="auto"/>
              </w:rPr>
              <w:t>（41）报告内容模板分级管理（检查大部位/详细检查部位/内容模板）。</w:t>
            </w:r>
          </w:p>
          <w:p w14:paraId="4A3E60F3">
            <w:pPr>
              <w:pStyle w:val="18"/>
              <w:rPr>
                <w:color w:val="auto"/>
              </w:rPr>
            </w:pPr>
            <w:r>
              <w:rPr>
                <w:rFonts w:hint="eastAsia"/>
                <w:color w:val="auto"/>
              </w:rPr>
              <w:t>（42）内置图文报告功能。</w:t>
            </w:r>
          </w:p>
          <w:p w14:paraId="561A2B9C">
            <w:pPr>
              <w:pStyle w:val="18"/>
              <w:rPr>
                <w:color w:val="auto"/>
              </w:rPr>
            </w:pPr>
            <w:r>
              <w:rPr>
                <w:rFonts w:hint="eastAsia"/>
                <w:color w:val="auto"/>
              </w:rPr>
              <w:t>（43）需支持简单数字化报告创建能力。</w:t>
            </w:r>
          </w:p>
          <w:p w14:paraId="4507D7A3">
            <w:pPr>
              <w:pStyle w:val="18"/>
              <w:rPr>
                <w:color w:val="auto"/>
              </w:rPr>
            </w:pPr>
            <w:r>
              <w:rPr>
                <w:rFonts w:hint="eastAsia"/>
                <w:color w:val="auto"/>
              </w:rPr>
              <w:t>（44）通过为诊断报告设置关键词，可以按关键词分类检索诊断报告。</w:t>
            </w:r>
          </w:p>
          <w:p w14:paraId="58E86B7E">
            <w:pPr>
              <w:pStyle w:val="18"/>
              <w:rPr>
                <w:color w:val="auto"/>
              </w:rPr>
            </w:pPr>
            <w:r>
              <w:rPr>
                <w:rFonts w:hint="eastAsia"/>
                <w:color w:val="auto"/>
              </w:rPr>
              <w:t>（45）报告书写/审核权限分为三级：报告/审核/审核后修改权限。报告打印或审核后，可以修改并留痕迹。</w:t>
            </w:r>
          </w:p>
        </w:tc>
      </w:tr>
      <w:tr w14:paraId="7EEF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9C7FE16">
            <w:pPr>
              <w:pStyle w:val="18"/>
              <w:jc w:val="center"/>
              <w:rPr>
                <w:b w:val="0"/>
                <w:color w:val="auto"/>
              </w:rPr>
            </w:pPr>
            <w:r>
              <w:rPr>
                <w:rFonts w:hint="eastAsia"/>
                <w:b w:val="0"/>
                <w:color w:val="auto"/>
              </w:rPr>
              <w:t>超声管理</w:t>
            </w:r>
          </w:p>
        </w:tc>
        <w:tc>
          <w:tcPr>
            <w:tcW w:w="6579" w:type="dxa"/>
            <w:vAlign w:val="center"/>
          </w:tcPr>
          <w:p w14:paraId="386B8F6C">
            <w:pPr>
              <w:pStyle w:val="18"/>
              <w:rPr>
                <w:color w:val="auto"/>
              </w:rPr>
            </w:pPr>
            <w:r>
              <w:rPr>
                <w:rFonts w:hint="eastAsia"/>
                <w:color w:val="auto"/>
              </w:rPr>
              <w:t>1.检查登记</w:t>
            </w:r>
          </w:p>
          <w:p w14:paraId="1169FEA0">
            <w:pPr>
              <w:pStyle w:val="18"/>
              <w:rPr>
                <w:color w:val="auto"/>
              </w:rPr>
            </w:pPr>
            <w:r>
              <w:rPr>
                <w:rFonts w:hint="eastAsia"/>
                <w:color w:val="auto"/>
              </w:rPr>
              <w:t>主要录入患者在检查之前的基本信息和检查项目信息，这些信息为下面的检查和统计查询做准备，包括以下检查信息：</w:t>
            </w:r>
          </w:p>
          <w:p w14:paraId="2A59F22E">
            <w:pPr>
              <w:pStyle w:val="18"/>
              <w:rPr>
                <w:color w:val="auto"/>
              </w:rPr>
            </w:pPr>
            <w:r>
              <w:rPr>
                <w:rFonts w:hint="eastAsia"/>
                <w:color w:val="auto"/>
              </w:rPr>
              <w:t>（1）需支持检查登记/取消。</w:t>
            </w:r>
          </w:p>
          <w:p w14:paraId="57AC8F13">
            <w:pPr>
              <w:pStyle w:val="18"/>
              <w:rPr>
                <w:color w:val="auto"/>
              </w:rPr>
            </w:pPr>
            <w:r>
              <w:rPr>
                <w:rFonts w:hint="eastAsia"/>
                <w:color w:val="auto"/>
              </w:rPr>
              <w:t>（2）检查单打印，可打印条码。</w:t>
            </w:r>
          </w:p>
          <w:p w14:paraId="11F9A6DE">
            <w:pPr>
              <w:pStyle w:val="18"/>
              <w:rPr>
                <w:color w:val="auto"/>
              </w:rPr>
            </w:pPr>
            <w:r>
              <w:rPr>
                <w:rFonts w:hint="eastAsia"/>
                <w:color w:val="auto"/>
              </w:rPr>
              <w:t>（3）检查单可以按检查类型和检查项目自由配置格式和内容。</w:t>
            </w:r>
          </w:p>
          <w:p w14:paraId="318359C2">
            <w:pPr>
              <w:pStyle w:val="18"/>
              <w:rPr>
                <w:color w:val="auto"/>
              </w:rPr>
            </w:pPr>
            <w:r>
              <w:rPr>
                <w:rFonts w:hint="eastAsia"/>
                <w:color w:val="auto"/>
              </w:rPr>
              <w:t>（4）需支持磁卡、IC卡、条码输入、手工输入。</w:t>
            </w:r>
          </w:p>
          <w:p w14:paraId="1717296B">
            <w:pPr>
              <w:pStyle w:val="18"/>
              <w:rPr>
                <w:color w:val="auto"/>
              </w:rPr>
            </w:pPr>
            <w:r>
              <w:rPr>
                <w:rFonts w:hint="eastAsia"/>
                <w:color w:val="auto"/>
              </w:rPr>
              <w:t>（5）需支持与HIS系统连接，获取患者的检查申请信息。</w:t>
            </w:r>
          </w:p>
          <w:p w14:paraId="6E9C9B5A">
            <w:pPr>
              <w:pStyle w:val="18"/>
              <w:rPr>
                <w:color w:val="auto"/>
              </w:rPr>
            </w:pPr>
            <w:r>
              <w:rPr>
                <w:rFonts w:hint="eastAsia"/>
                <w:color w:val="auto"/>
              </w:rPr>
              <w:t>（6）需支持申请单拍摄、扫描功能。</w:t>
            </w:r>
          </w:p>
          <w:p w14:paraId="0900AF5B">
            <w:pPr>
              <w:pStyle w:val="18"/>
              <w:rPr>
                <w:color w:val="auto"/>
              </w:rPr>
            </w:pPr>
            <w:r>
              <w:rPr>
                <w:rFonts w:hint="eastAsia"/>
                <w:color w:val="auto"/>
              </w:rPr>
              <w:t>（7）需支持检查的确认、取消和改变。</w:t>
            </w:r>
          </w:p>
          <w:p w14:paraId="7A53D9A5">
            <w:pPr>
              <w:pStyle w:val="18"/>
              <w:rPr>
                <w:color w:val="auto"/>
              </w:rPr>
            </w:pPr>
            <w:r>
              <w:rPr>
                <w:rFonts w:hint="eastAsia"/>
                <w:color w:val="auto"/>
              </w:rPr>
              <w:t>（8）英文姓名（拼音）自动输入。</w:t>
            </w:r>
          </w:p>
          <w:p w14:paraId="7DD199DB">
            <w:pPr>
              <w:pStyle w:val="18"/>
              <w:rPr>
                <w:color w:val="auto"/>
              </w:rPr>
            </w:pPr>
            <w:r>
              <w:rPr>
                <w:rFonts w:hint="eastAsia"/>
                <w:color w:val="auto"/>
              </w:rPr>
              <w:t>（9）显示和查询病人检查状态。</w:t>
            </w:r>
          </w:p>
          <w:p w14:paraId="6D085DC4">
            <w:pPr>
              <w:pStyle w:val="18"/>
              <w:rPr>
                <w:color w:val="auto"/>
              </w:rPr>
            </w:pPr>
            <w:r>
              <w:rPr>
                <w:rFonts w:hint="eastAsia"/>
                <w:color w:val="auto"/>
              </w:rPr>
              <w:t>（10）复诊患者在输入住院号（门诊号）之后，会自动从数据库中得到影像号、姓名、性别、年龄等信息。</w:t>
            </w:r>
          </w:p>
          <w:p w14:paraId="7502281A">
            <w:pPr>
              <w:pStyle w:val="18"/>
              <w:rPr>
                <w:color w:val="auto"/>
              </w:rPr>
            </w:pPr>
            <w:r>
              <w:rPr>
                <w:rFonts w:hint="eastAsia"/>
                <w:color w:val="auto"/>
              </w:rPr>
              <w:t>（11）需支持多个检查项目同时登记。</w:t>
            </w:r>
          </w:p>
          <w:p w14:paraId="6EC9700B">
            <w:pPr>
              <w:pStyle w:val="18"/>
              <w:rPr>
                <w:color w:val="auto"/>
              </w:rPr>
            </w:pPr>
            <w:r>
              <w:rPr>
                <w:rFonts w:hint="eastAsia"/>
                <w:color w:val="auto"/>
              </w:rPr>
              <w:t>（12）需支持全键盘操作，所有登记过程无需鼠标操作，加快登记流程。</w:t>
            </w:r>
          </w:p>
          <w:p w14:paraId="40DC46EA">
            <w:pPr>
              <w:pStyle w:val="18"/>
              <w:rPr>
                <w:color w:val="auto"/>
              </w:rPr>
            </w:pPr>
            <w:r>
              <w:rPr>
                <w:rFonts w:hint="eastAsia"/>
                <w:color w:val="auto"/>
              </w:rPr>
              <w:t>（13）需支持根据病人检查项目分派到相应的设备并在该设备上形成worklist。</w:t>
            </w:r>
          </w:p>
          <w:p w14:paraId="5D994EA8">
            <w:pPr>
              <w:pStyle w:val="18"/>
              <w:rPr>
                <w:color w:val="auto"/>
              </w:rPr>
            </w:pPr>
            <w:r>
              <w:rPr>
                <w:rFonts w:hint="eastAsia"/>
                <w:color w:val="auto"/>
              </w:rPr>
              <w:t>（14）需支持影像检查分时段预约，可以根据检查设备时长定制预约时间段。</w:t>
            </w:r>
          </w:p>
          <w:p w14:paraId="5D6B6017">
            <w:pPr>
              <w:pStyle w:val="18"/>
              <w:rPr>
                <w:color w:val="auto"/>
              </w:rPr>
            </w:pPr>
            <w:r>
              <w:rPr>
                <w:rFonts w:hint="eastAsia"/>
                <w:color w:val="auto"/>
              </w:rPr>
              <w:t>（15）需支持电子申请单。</w:t>
            </w:r>
          </w:p>
          <w:p w14:paraId="7B52431F">
            <w:pPr>
              <w:pStyle w:val="18"/>
              <w:rPr>
                <w:color w:val="auto"/>
              </w:rPr>
            </w:pPr>
            <w:r>
              <w:rPr>
                <w:rFonts w:hint="eastAsia"/>
                <w:color w:val="auto"/>
              </w:rPr>
              <w:t>（16）需支持拍摄申请单。</w:t>
            </w:r>
          </w:p>
          <w:p w14:paraId="1DE5E444">
            <w:pPr>
              <w:pStyle w:val="18"/>
              <w:rPr>
                <w:color w:val="auto"/>
              </w:rPr>
            </w:pPr>
            <w:r>
              <w:rPr>
                <w:rFonts w:hint="eastAsia"/>
                <w:color w:val="auto"/>
              </w:rPr>
              <w:t>（17）可以选择查询条件，查询检查的状态，确认是否匹配，查询条件可配置。</w:t>
            </w:r>
          </w:p>
          <w:p w14:paraId="1772BCAD">
            <w:pPr>
              <w:pStyle w:val="18"/>
              <w:rPr>
                <w:color w:val="auto"/>
              </w:rPr>
            </w:pPr>
            <w:r>
              <w:rPr>
                <w:rFonts w:hint="eastAsia"/>
                <w:color w:val="auto"/>
              </w:rPr>
              <w:t>2.超声诊断</w:t>
            </w:r>
          </w:p>
          <w:p w14:paraId="27BD06A0">
            <w:pPr>
              <w:pStyle w:val="18"/>
              <w:rPr>
                <w:color w:val="auto"/>
              </w:rPr>
            </w:pPr>
            <w:r>
              <w:rPr>
                <w:rFonts w:hint="eastAsia"/>
                <w:color w:val="auto"/>
              </w:rPr>
              <w:t>提供超声科医生对患者信息查询及报告书写审核的综合管理工具，实现超声患者检查呼叫、影像采集、报告编辑审核等，具体功能如下：</w:t>
            </w:r>
          </w:p>
          <w:p w14:paraId="19B3F06F">
            <w:pPr>
              <w:pStyle w:val="18"/>
              <w:rPr>
                <w:color w:val="auto"/>
              </w:rPr>
            </w:pPr>
            <w:r>
              <w:rPr>
                <w:rFonts w:hint="eastAsia"/>
                <w:color w:val="auto"/>
              </w:rPr>
              <w:t>（1）系统支持通过高清采集卡或DICOM3.0接口采集患者的动、静态超声图像。</w:t>
            </w:r>
          </w:p>
          <w:p w14:paraId="271B90AB">
            <w:pPr>
              <w:pStyle w:val="18"/>
              <w:rPr>
                <w:color w:val="auto"/>
              </w:rPr>
            </w:pPr>
            <w:r>
              <w:rPr>
                <w:rFonts w:hint="eastAsia"/>
                <w:color w:val="auto"/>
              </w:rPr>
              <w:t>（2）视频采集支持静态图像（照相、定时采集）和动态图像（录像）两种采集方式。</w:t>
            </w:r>
          </w:p>
          <w:p w14:paraId="6789A864">
            <w:pPr>
              <w:pStyle w:val="18"/>
              <w:rPr>
                <w:color w:val="auto"/>
              </w:rPr>
            </w:pPr>
            <w:r>
              <w:rPr>
                <w:rFonts w:hint="eastAsia"/>
                <w:color w:val="auto"/>
              </w:rPr>
              <w:t>（3）静态图像采集定时采集：可定义最小1秒钟采集一幅图像，连续自动采集多幅图像。</w:t>
            </w:r>
          </w:p>
          <w:p w14:paraId="270DEDFB">
            <w:pPr>
              <w:pStyle w:val="18"/>
              <w:rPr>
                <w:color w:val="auto"/>
              </w:rPr>
            </w:pPr>
            <w:r>
              <w:rPr>
                <w:rFonts w:hint="eastAsia"/>
                <w:color w:val="auto"/>
              </w:rPr>
              <w:t>（4）需支持脚踏板采集方式和键盘鼠标采集方式。</w:t>
            </w:r>
          </w:p>
          <w:p w14:paraId="5C6F6E01">
            <w:pPr>
              <w:pStyle w:val="18"/>
              <w:rPr>
                <w:color w:val="auto"/>
              </w:rPr>
            </w:pPr>
            <w:r>
              <w:rPr>
                <w:rFonts w:hint="eastAsia"/>
                <w:color w:val="auto"/>
              </w:rPr>
              <w:t>（5）实时显示：实时显示图像内容。</w:t>
            </w:r>
          </w:p>
          <w:p w14:paraId="39DC0291">
            <w:pPr>
              <w:pStyle w:val="18"/>
              <w:rPr>
                <w:color w:val="auto"/>
              </w:rPr>
            </w:pPr>
            <w:r>
              <w:rPr>
                <w:rFonts w:hint="eastAsia"/>
                <w:color w:val="auto"/>
              </w:rPr>
              <w:t>（6）单帧采集：采集一帧图像到采集图像列表中。</w:t>
            </w:r>
          </w:p>
          <w:p w14:paraId="485B4539">
            <w:pPr>
              <w:pStyle w:val="18"/>
              <w:rPr>
                <w:color w:val="auto"/>
              </w:rPr>
            </w:pPr>
            <w:r>
              <w:rPr>
                <w:rFonts w:hint="eastAsia"/>
                <w:color w:val="auto"/>
              </w:rPr>
              <w:t>（7）多帧采集：连续采集图像到图像列表中。</w:t>
            </w:r>
          </w:p>
          <w:p w14:paraId="707B7FA9">
            <w:pPr>
              <w:pStyle w:val="18"/>
              <w:rPr>
                <w:color w:val="auto"/>
              </w:rPr>
            </w:pPr>
            <w:r>
              <w:rPr>
                <w:rFonts w:hint="eastAsia"/>
                <w:color w:val="auto"/>
              </w:rPr>
              <w:t>（8）删除图像：删除图像列表中选中的图像。</w:t>
            </w:r>
          </w:p>
          <w:p w14:paraId="4CDD5C12">
            <w:pPr>
              <w:pStyle w:val="18"/>
              <w:rPr>
                <w:color w:val="auto"/>
              </w:rPr>
            </w:pPr>
            <w:r>
              <w:rPr>
                <w:rFonts w:hint="eastAsia"/>
                <w:color w:val="auto"/>
              </w:rPr>
              <w:t>（9）录像：录制动态影像保存为avi格式。</w:t>
            </w:r>
          </w:p>
          <w:p w14:paraId="63220B1C">
            <w:pPr>
              <w:pStyle w:val="18"/>
              <w:rPr>
                <w:color w:val="auto"/>
              </w:rPr>
            </w:pPr>
            <w:r>
              <w:rPr>
                <w:rFonts w:hint="eastAsia"/>
                <w:color w:val="auto"/>
              </w:rPr>
              <w:t>（10）录像回放：对录制的动态影像进行回放。</w:t>
            </w:r>
          </w:p>
          <w:p w14:paraId="2C111295">
            <w:pPr>
              <w:pStyle w:val="18"/>
              <w:rPr>
                <w:color w:val="auto"/>
              </w:rPr>
            </w:pPr>
            <w:r>
              <w:rPr>
                <w:rFonts w:hint="eastAsia"/>
                <w:color w:val="auto"/>
              </w:rPr>
              <w:t>（11）用户身份验证及密码保密。</w:t>
            </w:r>
          </w:p>
          <w:p w14:paraId="260296B4">
            <w:pPr>
              <w:pStyle w:val="18"/>
              <w:rPr>
                <w:color w:val="auto"/>
              </w:rPr>
            </w:pPr>
            <w:r>
              <w:rPr>
                <w:rFonts w:hint="eastAsia"/>
                <w:color w:val="auto"/>
              </w:rPr>
              <w:t>（12）需支持无人使用后定时屏幕锁定功能，用户重新输入密码后才可以使用，保障系统安全。</w:t>
            </w:r>
          </w:p>
          <w:p w14:paraId="4C5C3030">
            <w:pPr>
              <w:pStyle w:val="18"/>
              <w:rPr>
                <w:color w:val="auto"/>
              </w:rPr>
            </w:pPr>
            <w:r>
              <w:rPr>
                <w:rFonts w:hint="eastAsia"/>
                <w:color w:val="auto"/>
              </w:rPr>
              <w:t>（13）需提供密码维护功能。</w:t>
            </w:r>
          </w:p>
          <w:p w14:paraId="07B16F24">
            <w:pPr>
              <w:pStyle w:val="18"/>
              <w:rPr>
                <w:color w:val="auto"/>
              </w:rPr>
            </w:pPr>
            <w:r>
              <w:rPr>
                <w:rFonts w:hint="eastAsia"/>
                <w:color w:val="auto"/>
              </w:rPr>
              <w:t>（14）保存操作系统异常前已经采集的图像，重新进入图文报告系统后能够恢复。</w:t>
            </w:r>
          </w:p>
          <w:p w14:paraId="3D01796B">
            <w:pPr>
              <w:pStyle w:val="18"/>
              <w:rPr>
                <w:color w:val="auto"/>
              </w:rPr>
            </w:pPr>
            <w:r>
              <w:rPr>
                <w:rFonts w:hint="eastAsia"/>
                <w:color w:val="auto"/>
              </w:rPr>
              <w:t>（15）系统提供对图像的移动、翻转、镜像、放大、缩小等图像显示处理工具，提供角度、直线、箭头、圆、矩形、多边形、手绘线和文字等批注工具。</w:t>
            </w:r>
          </w:p>
          <w:p w14:paraId="7C9BC054">
            <w:pPr>
              <w:pStyle w:val="18"/>
              <w:rPr>
                <w:color w:val="auto"/>
              </w:rPr>
            </w:pPr>
            <w:r>
              <w:rPr>
                <w:rFonts w:hint="eastAsia"/>
                <w:color w:val="auto"/>
              </w:rPr>
              <w:t>（16）在图像采集之后，需要对诊断报告进行编辑，在诊断报告编辑过程中可以调入已有的报告模板，同时也可以将新写的报告以报告模板的形式保存起来，供以后的诊断应用。</w:t>
            </w:r>
          </w:p>
          <w:p w14:paraId="7E2E5B23">
            <w:pPr>
              <w:pStyle w:val="18"/>
              <w:rPr>
                <w:color w:val="auto"/>
              </w:rPr>
            </w:pPr>
            <w:r>
              <w:rPr>
                <w:rFonts w:hint="eastAsia"/>
                <w:color w:val="auto"/>
              </w:rPr>
              <w:t>（17）应用报告模板：根据患者的诊断部位调用已定义的典型报告模板，模板调入后可进行简单的编辑，快速生成影像诊断报告。</w:t>
            </w:r>
          </w:p>
          <w:p w14:paraId="536B3B09">
            <w:pPr>
              <w:pStyle w:val="18"/>
              <w:rPr>
                <w:color w:val="auto"/>
              </w:rPr>
            </w:pPr>
            <w:r>
              <w:rPr>
                <w:rFonts w:hint="eastAsia"/>
                <w:color w:val="auto"/>
              </w:rPr>
              <w:t>（18）报告关键词汇自动校验（性别互斥、左右互斥等）。</w:t>
            </w:r>
          </w:p>
          <w:p w14:paraId="53C4A2B5">
            <w:pPr>
              <w:pStyle w:val="18"/>
              <w:rPr>
                <w:color w:val="auto"/>
              </w:rPr>
            </w:pPr>
            <w:r>
              <w:rPr>
                <w:rFonts w:hint="eastAsia"/>
                <w:color w:val="auto"/>
              </w:rPr>
              <w:t>（19）重点标记：对检查结果为阳性、或典型病例可将该患者的检查标记为“阳性”和“典型病例”，供科研和教学使用。</w:t>
            </w:r>
          </w:p>
          <w:p w14:paraId="39A2DCCF">
            <w:pPr>
              <w:pStyle w:val="18"/>
              <w:rPr>
                <w:color w:val="auto"/>
              </w:rPr>
            </w:pPr>
            <w:r>
              <w:rPr>
                <w:rFonts w:hint="eastAsia"/>
                <w:color w:val="auto"/>
              </w:rPr>
              <w:t>（20）输出报告格式选择：可选择根据医院的超声输出报告样自定义的输出报告模板，作为输出报告的样式。</w:t>
            </w:r>
          </w:p>
          <w:p w14:paraId="37FDCFFC">
            <w:pPr>
              <w:pStyle w:val="18"/>
              <w:rPr>
                <w:color w:val="auto"/>
              </w:rPr>
            </w:pPr>
            <w:r>
              <w:rPr>
                <w:rFonts w:hint="eastAsia"/>
                <w:color w:val="auto"/>
              </w:rPr>
              <w:t>（21）图像描述：报告的图像一般有文字说明，是对图像性质等的描述，其文字内容由诊断医生输入，并将在报告上打印出来。</w:t>
            </w:r>
          </w:p>
          <w:p w14:paraId="1F20C7C5">
            <w:pPr>
              <w:pStyle w:val="18"/>
              <w:rPr>
                <w:color w:val="auto"/>
              </w:rPr>
            </w:pPr>
            <w:r>
              <w:rPr>
                <w:rFonts w:hint="eastAsia"/>
                <w:color w:val="auto"/>
              </w:rPr>
              <w:t>（22）存为模板：当医生在完成一份诊断报告之后，认为该报告可作为典型模板保存起来，可以使用该功能，将已写的报告自动按检查设备、部位等保存为私有模板，便于以后同类型诊断使用。</w:t>
            </w:r>
          </w:p>
          <w:p w14:paraId="479CA682">
            <w:pPr>
              <w:pStyle w:val="18"/>
              <w:rPr>
                <w:color w:val="auto"/>
              </w:rPr>
            </w:pPr>
            <w:r>
              <w:rPr>
                <w:rFonts w:hint="eastAsia"/>
                <w:color w:val="auto"/>
              </w:rPr>
              <w:t>（23）相关诊断功能：显示本病人的所有不同时间、不同设备的相关影像检查资料。</w:t>
            </w:r>
          </w:p>
          <w:p w14:paraId="5FACB02D">
            <w:pPr>
              <w:pStyle w:val="18"/>
              <w:rPr>
                <w:color w:val="auto"/>
              </w:rPr>
            </w:pPr>
            <w:r>
              <w:rPr>
                <w:rFonts w:hint="eastAsia"/>
                <w:color w:val="auto"/>
              </w:rPr>
              <w:t>（24）报告的打印和预览：在打印之前可以选择系统中已定义好的输出报告模板，以确定输出报告的形式。</w:t>
            </w:r>
          </w:p>
        </w:tc>
      </w:tr>
      <w:tr w14:paraId="447F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9958516">
            <w:pPr>
              <w:pStyle w:val="18"/>
              <w:jc w:val="center"/>
              <w:rPr>
                <w:b w:val="0"/>
                <w:color w:val="auto"/>
              </w:rPr>
            </w:pPr>
            <w:r>
              <w:rPr>
                <w:rFonts w:hint="eastAsia"/>
                <w:b w:val="0"/>
                <w:color w:val="auto"/>
              </w:rPr>
              <w:t>相关系统接口</w:t>
            </w:r>
          </w:p>
        </w:tc>
        <w:tc>
          <w:tcPr>
            <w:tcW w:w="6579" w:type="dxa"/>
            <w:vAlign w:val="center"/>
          </w:tcPr>
          <w:p w14:paraId="081F866C">
            <w:pPr>
              <w:pStyle w:val="18"/>
              <w:rPr>
                <w:color w:val="auto"/>
              </w:rPr>
            </w:pPr>
            <w:r>
              <w:rPr>
                <w:rFonts w:hint="eastAsia"/>
                <w:color w:val="auto"/>
              </w:rPr>
              <w:t>1.HIS基础数据接口</w:t>
            </w:r>
          </w:p>
          <w:p w14:paraId="3C748027">
            <w:pPr>
              <w:pStyle w:val="18"/>
              <w:rPr>
                <w:color w:val="auto"/>
              </w:rPr>
            </w:pPr>
            <w:r>
              <w:rPr>
                <w:rFonts w:hint="eastAsia"/>
                <w:color w:val="auto"/>
              </w:rPr>
              <w:t>（1）能够获取患者身份：姓名，年龄，性别，身份证，电话号码，家庭地址等。</w:t>
            </w:r>
          </w:p>
          <w:p w14:paraId="5C65245E">
            <w:pPr>
              <w:pStyle w:val="18"/>
              <w:rPr>
                <w:color w:val="auto"/>
              </w:rPr>
            </w:pPr>
            <w:r>
              <w:rPr>
                <w:rFonts w:hint="eastAsia"/>
                <w:color w:val="auto"/>
              </w:rPr>
              <w:t>（2）接收患者编号：注册编号，外来/住院患者位置信息。</w:t>
            </w:r>
          </w:p>
          <w:p w14:paraId="2F311FF0">
            <w:pPr>
              <w:pStyle w:val="18"/>
              <w:rPr>
                <w:color w:val="auto"/>
              </w:rPr>
            </w:pPr>
            <w:r>
              <w:rPr>
                <w:rFonts w:hint="eastAsia"/>
                <w:color w:val="auto"/>
              </w:rPr>
              <w:t>（3）提供完整的与HIS集成方案，实现与HIS软件的信息共享。</w:t>
            </w:r>
          </w:p>
          <w:p w14:paraId="0AA30259">
            <w:pPr>
              <w:pStyle w:val="18"/>
              <w:rPr>
                <w:color w:val="auto"/>
              </w:rPr>
            </w:pPr>
            <w:r>
              <w:rPr>
                <w:rFonts w:hint="eastAsia"/>
                <w:color w:val="auto"/>
              </w:rPr>
              <w:t>（4）与HIS之间的文字信息交换必须具有符合HL7标准的接口。在此基础上也可以采用专用接口（通过中间表或直接共享对方数据库的形式）实现与HIS的集成。</w:t>
            </w:r>
          </w:p>
          <w:p w14:paraId="2A9DC0BD">
            <w:pPr>
              <w:pStyle w:val="18"/>
              <w:rPr>
                <w:color w:val="auto"/>
              </w:rPr>
            </w:pPr>
            <w:r>
              <w:rPr>
                <w:rFonts w:hint="eastAsia"/>
                <w:color w:val="auto"/>
              </w:rPr>
              <w:t>2.HIS申请单接口</w:t>
            </w:r>
          </w:p>
          <w:p w14:paraId="00F7D32D">
            <w:pPr>
              <w:pStyle w:val="18"/>
              <w:rPr>
                <w:color w:val="auto"/>
              </w:rPr>
            </w:pPr>
            <w:r>
              <w:rPr>
                <w:rFonts w:hint="eastAsia"/>
                <w:color w:val="auto"/>
              </w:rPr>
              <w:t>（1）对医生开立的电子申请能够方便地安排检查时间、录入检查注意事项；对纸张申请能够实现电子化并安排检查时间。</w:t>
            </w:r>
          </w:p>
          <w:p w14:paraId="3E6D27E2">
            <w:pPr>
              <w:pStyle w:val="18"/>
              <w:rPr>
                <w:color w:val="auto"/>
              </w:rPr>
            </w:pPr>
            <w:r>
              <w:rPr>
                <w:rFonts w:hint="eastAsia"/>
                <w:color w:val="auto"/>
              </w:rPr>
              <w:t>（2）能够接收并方便地调阅尚未安排的电子申请列表并对其进行操作。</w:t>
            </w:r>
          </w:p>
          <w:p w14:paraId="7C9FEE54">
            <w:pPr>
              <w:pStyle w:val="18"/>
              <w:rPr>
                <w:color w:val="auto"/>
              </w:rPr>
            </w:pPr>
            <w:r>
              <w:rPr>
                <w:rFonts w:hint="eastAsia"/>
                <w:color w:val="auto"/>
              </w:rPr>
              <w:t>（3）能够提供方便的手段了解各个预约队列的时间占用情况以便安排新检查。</w:t>
            </w:r>
          </w:p>
          <w:p w14:paraId="1E870108">
            <w:pPr>
              <w:pStyle w:val="18"/>
              <w:rPr>
                <w:color w:val="auto"/>
              </w:rPr>
            </w:pPr>
            <w:r>
              <w:rPr>
                <w:rFonts w:hint="eastAsia"/>
                <w:color w:val="auto"/>
              </w:rPr>
              <w:t>（4）确定电子申请单ID，反馈外部系统检查状态及信息。</w:t>
            </w:r>
          </w:p>
          <w:p w14:paraId="3C3F54C4">
            <w:pPr>
              <w:pStyle w:val="18"/>
              <w:rPr>
                <w:color w:val="auto"/>
              </w:rPr>
            </w:pPr>
            <w:r>
              <w:rPr>
                <w:rFonts w:hint="eastAsia"/>
                <w:color w:val="auto"/>
              </w:rPr>
              <w:t>（5）能够提供注意事项录入模板功能方便用户录入反馈注意事项。</w:t>
            </w:r>
          </w:p>
          <w:p w14:paraId="64A3BA45">
            <w:pPr>
              <w:pStyle w:val="18"/>
              <w:rPr>
                <w:color w:val="auto"/>
              </w:rPr>
            </w:pPr>
            <w:r>
              <w:rPr>
                <w:rFonts w:hint="eastAsia"/>
                <w:color w:val="auto"/>
              </w:rPr>
              <w:t>（6）对纸张申请单提供直接录入功能，可以通过病人ID从HIS方提取病人的一般信息，直接录入检查项目等信息；可以增加患者的申请单扫描或拍照等方式，数字化后的申请单可保存在系统中，供诊断医院参考。系统支持多种图像输入设备、包括扫描仪、拍照仪等。</w:t>
            </w:r>
          </w:p>
          <w:p w14:paraId="782DC573">
            <w:pPr>
              <w:pStyle w:val="18"/>
              <w:rPr>
                <w:color w:val="auto"/>
              </w:rPr>
            </w:pPr>
            <w:r>
              <w:rPr>
                <w:rFonts w:hint="eastAsia"/>
                <w:color w:val="auto"/>
              </w:rPr>
              <w:t>3.电子病历接口</w:t>
            </w:r>
          </w:p>
          <w:p w14:paraId="0EFCCB8F">
            <w:pPr>
              <w:pStyle w:val="18"/>
              <w:rPr>
                <w:color w:val="auto"/>
              </w:rPr>
            </w:pPr>
            <w:r>
              <w:rPr>
                <w:rFonts w:hint="eastAsia"/>
                <w:color w:val="auto"/>
              </w:rPr>
              <w:t>提供接口，将院内电子病历系统通过参数传递方式在PACS/RIS系统内无缝集成。</w:t>
            </w:r>
          </w:p>
          <w:p w14:paraId="1319ED51">
            <w:pPr>
              <w:pStyle w:val="18"/>
              <w:rPr>
                <w:color w:val="auto"/>
              </w:rPr>
            </w:pPr>
            <w:r>
              <w:rPr>
                <w:rFonts w:hint="eastAsia"/>
                <w:color w:val="auto"/>
              </w:rPr>
              <w:t>4.临床调阅接口</w:t>
            </w:r>
          </w:p>
          <w:p w14:paraId="64B1F106">
            <w:pPr>
              <w:pStyle w:val="18"/>
              <w:rPr>
                <w:color w:val="auto"/>
              </w:rPr>
            </w:pPr>
            <w:r>
              <w:rPr>
                <w:rFonts w:hint="eastAsia"/>
                <w:color w:val="auto"/>
              </w:rPr>
              <w:t>（1）需提供WEB临床浏览阅片。</w:t>
            </w:r>
          </w:p>
          <w:p w14:paraId="197860A7">
            <w:pPr>
              <w:pStyle w:val="18"/>
              <w:rPr>
                <w:color w:val="auto"/>
              </w:rPr>
            </w:pPr>
            <w:r>
              <w:rPr>
                <w:rFonts w:hint="eastAsia"/>
                <w:color w:val="auto"/>
              </w:rPr>
              <w:t>（2）允许通过DICOM的方式直接共享PACS中的图像数据。</w:t>
            </w:r>
          </w:p>
          <w:p w14:paraId="3A20A89B">
            <w:pPr>
              <w:pStyle w:val="18"/>
              <w:rPr>
                <w:color w:val="auto"/>
              </w:rPr>
            </w:pPr>
            <w:r>
              <w:rPr>
                <w:rFonts w:hint="eastAsia"/>
                <w:color w:val="auto"/>
              </w:rPr>
              <w:t>（3）需提供图像显示控件，能够直接嵌入到医生工作站等应用软件中，方便调阅当前病人的相关图像及历史图像与诊断。</w:t>
            </w:r>
          </w:p>
          <w:p w14:paraId="11F11628">
            <w:pPr>
              <w:pStyle w:val="18"/>
              <w:rPr>
                <w:color w:val="auto"/>
              </w:rPr>
            </w:pPr>
            <w:r>
              <w:rPr>
                <w:rFonts w:hint="eastAsia"/>
                <w:color w:val="auto"/>
              </w:rPr>
              <w:t>（4）需提供按人、按病区、按检查类别、按申请医生、按日期等检索能力，能够显示病人所有的检查申请及处理状态。</w:t>
            </w:r>
          </w:p>
          <w:p w14:paraId="68EBB9D2">
            <w:pPr>
              <w:pStyle w:val="18"/>
              <w:rPr>
                <w:color w:val="auto"/>
              </w:rPr>
            </w:pPr>
            <w:r>
              <w:rPr>
                <w:rFonts w:hint="eastAsia"/>
                <w:color w:val="auto"/>
              </w:rPr>
              <w:t>（5）能够显示静态图像，能够支持动态图像回放。</w:t>
            </w:r>
          </w:p>
          <w:p w14:paraId="36449D75">
            <w:pPr>
              <w:pStyle w:val="18"/>
              <w:rPr>
                <w:color w:val="auto"/>
              </w:rPr>
            </w:pPr>
            <w:r>
              <w:rPr>
                <w:rFonts w:hint="eastAsia"/>
                <w:color w:val="auto"/>
              </w:rPr>
              <w:t>（6）需支持灰度和彩色图像显示。</w:t>
            </w:r>
          </w:p>
          <w:p w14:paraId="01596820">
            <w:pPr>
              <w:pStyle w:val="18"/>
              <w:rPr>
                <w:color w:val="auto"/>
              </w:rPr>
            </w:pPr>
            <w:r>
              <w:rPr>
                <w:rFonts w:hint="eastAsia"/>
                <w:color w:val="auto"/>
              </w:rPr>
              <w:t>（7）需提供与影像科室诊断影像工作站相同的图像显示和处理能力。</w:t>
            </w:r>
          </w:p>
          <w:p w14:paraId="5DFC4633">
            <w:pPr>
              <w:pStyle w:val="18"/>
              <w:rPr>
                <w:color w:val="auto"/>
              </w:rPr>
            </w:pPr>
            <w:r>
              <w:rPr>
                <w:rFonts w:hint="eastAsia"/>
                <w:color w:val="auto"/>
              </w:rPr>
              <w:t>（8）经特殊授权的用户可以把图像以JPEG、TIF、AVI格式另存到本地介质</w:t>
            </w:r>
          </w:p>
          <w:p w14:paraId="321E03AC">
            <w:pPr>
              <w:pStyle w:val="18"/>
              <w:rPr>
                <w:color w:val="auto"/>
              </w:rPr>
            </w:pPr>
            <w:r>
              <w:rPr>
                <w:rFonts w:hint="eastAsia"/>
                <w:color w:val="auto"/>
              </w:rPr>
              <w:t>（9）显示病人的文字报告快照。</w:t>
            </w:r>
          </w:p>
        </w:tc>
      </w:tr>
    </w:tbl>
    <w:p w14:paraId="7038F8E3">
      <w:pPr>
        <w:pStyle w:val="4"/>
        <w:numPr>
          <w:ilvl w:val="1"/>
          <w:numId w:val="0"/>
        </w:numPr>
        <w:ind w:left="576" w:leftChars="0" w:hanging="576" w:firstLineChars="0"/>
        <w:rPr>
          <w:color w:val="auto"/>
        </w:rPr>
      </w:pPr>
      <w:bookmarkStart w:id="136" w:name="_Toc208646528"/>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.6</w:t>
      </w:r>
      <w:r>
        <w:rPr>
          <w:rFonts w:hint="eastAsia"/>
          <w:color w:val="auto"/>
        </w:rPr>
        <w:t>合理用药监测系统</w:t>
      </w:r>
      <w:bookmarkEnd w:id="136"/>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607A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BEBEBE" w:themeFill="background1" w:themeFillShade="BF"/>
            <w:vAlign w:val="center"/>
          </w:tcPr>
          <w:p w14:paraId="05D4C729">
            <w:pPr>
              <w:spacing w:line="300" w:lineRule="auto"/>
              <w:jc w:val="center"/>
              <w:rPr>
                <w:b/>
                <w:color w:val="auto"/>
              </w:rPr>
            </w:pPr>
            <w:r>
              <w:rPr>
                <w:rFonts w:hint="eastAsia"/>
                <w:b/>
                <w:color w:val="auto"/>
              </w:rPr>
              <w:t>系统名称</w:t>
            </w:r>
          </w:p>
        </w:tc>
        <w:tc>
          <w:tcPr>
            <w:tcW w:w="3973" w:type="pct"/>
            <w:shd w:val="clear" w:color="auto" w:fill="BEBEBE" w:themeFill="background1" w:themeFillShade="BF"/>
            <w:vAlign w:val="center"/>
          </w:tcPr>
          <w:p w14:paraId="4EE91FEC">
            <w:pPr>
              <w:spacing w:line="300" w:lineRule="auto"/>
              <w:jc w:val="center"/>
              <w:rPr>
                <w:b/>
                <w:color w:val="auto"/>
              </w:rPr>
            </w:pPr>
            <w:r>
              <w:rPr>
                <w:rFonts w:hint="eastAsia"/>
                <w:b/>
                <w:color w:val="auto"/>
              </w:rPr>
              <w:t>合理用药监测系统</w:t>
            </w:r>
          </w:p>
        </w:tc>
      </w:tr>
      <w:tr w14:paraId="2C5E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58386E7E">
            <w:pPr>
              <w:spacing w:line="300" w:lineRule="auto"/>
              <w:jc w:val="center"/>
              <w:rPr>
                <w:b/>
                <w:bCs/>
                <w:color w:val="auto"/>
              </w:rPr>
            </w:pPr>
            <w:r>
              <w:rPr>
                <w:rFonts w:hint="eastAsia"/>
                <w:b/>
                <w:bCs/>
                <w:color w:val="auto"/>
              </w:rPr>
              <w:t>系统概述</w:t>
            </w:r>
          </w:p>
        </w:tc>
        <w:tc>
          <w:tcPr>
            <w:tcW w:w="3973" w:type="pct"/>
            <w:vAlign w:val="center"/>
          </w:tcPr>
          <w:p w14:paraId="07F3BB22">
            <w:pPr>
              <w:spacing w:line="300" w:lineRule="auto"/>
              <w:rPr>
                <w:bCs/>
                <w:color w:val="auto"/>
              </w:rPr>
            </w:pPr>
            <w:r>
              <w:rPr>
                <w:rFonts w:hint="eastAsia"/>
                <w:bCs/>
                <w:color w:val="auto"/>
              </w:rPr>
              <w:t>系统需具备对医院HIS端医生开具的处方用药信息实时监控和提示的功能，需满足医院合理用药监测的业务需求。</w:t>
            </w:r>
          </w:p>
        </w:tc>
      </w:tr>
      <w:tr w14:paraId="2EA9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485D7242">
            <w:pPr>
              <w:spacing w:line="300" w:lineRule="auto"/>
              <w:jc w:val="center"/>
              <w:rPr>
                <w:b/>
                <w:bCs/>
                <w:color w:val="auto"/>
              </w:rPr>
            </w:pPr>
            <w:r>
              <w:rPr>
                <w:rFonts w:hint="eastAsia"/>
                <w:b/>
                <w:bCs/>
                <w:color w:val="auto"/>
              </w:rPr>
              <w:t>子项名称</w:t>
            </w:r>
          </w:p>
        </w:tc>
        <w:tc>
          <w:tcPr>
            <w:tcW w:w="3973" w:type="pct"/>
            <w:vAlign w:val="center"/>
          </w:tcPr>
          <w:p w14:paraId="43F5256B">
            <w:pPr>
              <w:spacing w:line="300" w:lineRule="auto"/>
              <w:jc w:val="center"/>
              <w:rPr>
                <w:b/>
                <w:bCs/>
                <w:color w:val="auto"/>
              </w:rPr>
            </w:pPr>
            <w:r>
              <w:rPr>
                <w:rFonts w:hint="eastAsia"/>
                <w:b/>
                <w:bCs/>
                <w:color w:val="auto"/>
              </w:rPr>
              <w:t>技术和功能配置要求</w:t>
            </w:r>
          </w:p>
        </w:tc>
      </w:tr>
      <w:tr w14:paraId="64D4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30D7E079">
            <w:pPr>
              <w:spacing w:line="300" w:lineRule="auto"/>
              <w:jc w:val="center"/>
              <w:rPr>
                <w:b w:val="0"/>
                <w:color w:val="auto"/>
              </w:rPr>
            </w:pPr>
            <w:r>
              <w:rPr>
                <w:rFonts w:hint="eastAsia"/>
                <w:b w:val="0"/>
                <w:color w:val="auto"/>
              </w:rPr>
              <w:t>基础数据管理</w:t>
            </w:r>
          </w:p>
        </w:tc>
        <w:tc>
          <w:tcPr>
            <w:tcW w:w="3973" w:type="pct"/>
            <w:vAlign w:val="center"/>
          </w:tcPr>
          <w:p w14:paraId="64CB4431">
            <w:pPr>
              <w:spacing w:line="300" w:lineRule="auto"/>
              <w:rPr>
                <w:color w:val="auto"/>
              </w:rPr>
            </w:pPr>
            <w:r>
              <w:rPr>
                <w:rFonts w:hint="eastAsia"/>
                <w:color w:val="auto"/>
              </w:rPr>
              <w:t>1.提供医院在用药品（西药、中成药、中药饮片）的说明书、中药材专论、重要提示信息等基础数据的集中查询与维护功能。</w:t>
            </w:r>
          </w:p>
          <w:p w14:paraId="6503FB84">
            <w:pPr>
              <w:spacing w:line="300" w:lineRule="auto"/>
              <w:rPr>
                <w:color w:val="auto"/>
              </w:rPr>
            </w:pPr>
            <w:r>
              <w:rPr>
                <w:rFonts w:hint="eastAsia"/>
                <w:color w:val="auto"/>
              </w:rPr>
              <w:t>2.支持药品基础信息、用药指导等内容的便捷访问。</w:t>
            </w:r>
          </w:p>
        </w:tc>
      </w:tr>
      <w:tr w14:paraId="5240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581AB6B6">
            <w:pPr>
              <w:spacing w:line="300" w:lineRule="auto"/>
              <w:jc w:val="center"/>
              <w:rPr>
                <w:b w:val="0"/>
                <w:color w:val="auto"/>
              </w:rPr>
            </w:pPr>
            <w:r>
              <w:rPr>
                <w:rFonts w:hint="eastAsia"/>
                <w:b w:val="0"/>
                <w:color w:val="auto"/>
              </w:rPr>
              <w:t>西药用药规则审查引擎</w:t>
            </w:r>
          </w:p>
        </w:tc>
        <w:tc>
          <w:tcPr>
            <w:tcW w:w="3973" w:type="pct"/>
            <w:vAlign w:val="center"/>
          </w:tcPr>
          <w:p w14:paraId="13E05304">
            <w:pPr>
              <w:spacing w:line="300" w:lineRule="auto"/>
              <w:rPr>
                <w:color w:val="auto"/>
              </w:rPr>
            </w:pPr>
            <w:r>
              <w:rPr>
                <w:rFonts w:hint="eastAsia"/>
                <w:color w:val="auto"/>
              </w:rPr>
              <w:t>1.提供不少于30种内置智能审查规则，并支持自定义规则扩展，对处方/医嘱进行实时、自动化安全性与合理性审核。核心规则类别包括：</w:t>
            </w:r>
          </w:p>
          <w:p w14:paraId="1FDD6D56">
            <w:pPr>
              <w:spacing w:line="300" w:lineRule="auto"/>
              <w:rPr>
                <w:color w:val="auto"/>
              </w:rPr>
            </w:pPr>
            <w:r>
              <w:rPr>
                <w:rFonts w:hint="eastAsia"/>
                <w:color w:val="auto"/>
              </w:rPr>
              <w:t>2.剂量审查：单次剂量、日剂量、给药频次、疗程、基于年龄/体重/体表面积/肝肾功能等的剂量调整。</w:t>
            </w:r>
          </w:p>
          <w:p w14:paraId="0CB84E84">
            <w:pPr>
              <w:spacing w:line="300" w:lineRule="auto"/>
              <w:rPr>
                <w:color w:val="auto"/>
              </w:rPr>
            </w:pPr>
            <w:r>
              <w:rPr>
                <w:rFonts w:hint="eastAsia"/>
                <w:color w:val="auto"/>
              </w:rPr>
              <w:t>3.相互作用审查：药物-药物相互作用风险提示（含结果、严重程度、依据）。</w:t>
            </w:r>
          </w:p>
          <w:p w14:paraId="15A8E25E">
            <w:pPr>
              <w:spacing w:line="300" w:lineRule="auto"/>
              <w:rPr>
                <w:color w:val="auto"/>
              </w:rPr>
            </w:pPr>
            <w:r>
              <w:rPr>
                <w:rFonts w:hint="eastAsia"/>
                <w:color w:val="auto"/>
              </w:rPr>
              <w:t>4.配伍审查：注射剂配伍浓度、体外配伍禁忌。</w:t>
            </w:r>
          </w:p>
          <w:p w14:paraId="0B00DD69">
            <w:pPr>
              <w:spacing w:line="300" w:lineRule="auto"/>
              <w:rPr>
                <w:color w:val="auto"/>
              </w:rPr>
            </w:pPr>
            <w:r>
              <w:rPr>
                <w:rFonts w:hint="eastAsia"/>
                <w:color w:val="auto"/>
              </w:rPr>
              <w:t>5.禁忌症与不良反应审查：基于诊断匹配药品禁忌症及潜在不良反应风险。</w:t>
            </w:r>
          </w:p>
          <w:p w14:paraId="3B3AAD88">
            <w:pPr>
              <w:spacing w:line="300" w:lineRule="auto"/>
              <w:rPr>
                <w:color w:val="auto"/>
              </w:rPr>
            </w:pPr>
            <w:r>
              <w:rPr>
                <w:rFonts w:hint="eastAsia"/>
                <w:color w:val="auto"/>
              </w:rPr>
              <w:t>6.特殊人群审查：儿童、成人、老年人、妊娠期、哺乳期、性别特异性用药风险。</w:t>
            </w:r>
          </w:p>
          <w:p w14:paraId="55201093">
            <w:pPr>
              <w:spacing w:line="300" w:lineRule="auto"/>
              <w:rPr>
                <w:color w:val="auto"/>
              </w:rPr>
            </w:pPr>
            <w:r>
              <w:rPr>
                <w:rFonts w:hint="eastAsia"/>
                <w:color w:val="auto"/>
              </w:rPr>
              <w:t>7.过敏审查：基于患者过敏史筛查潜在致敏药品。</w:t>
            </w:r>
          </w:p>
          <w:p w14:paraId="4A28ACE5">
            <w:pPr>
              <w:spacing w:line="300" w:lineRule="auto"/>
              <w:rPr>
                <w:color w:val="auto"/>
              </w:rPr>
            </w:pPr>
            <w:r>
              <w:rPr>
                <w:rFonts w:hint="eastAsia"/>
                <w:color w:val="auto"/>
              </w:rPr>
              <w:t>8.给药途径审查：剂型与给药途径匹配性检查。</w:t>
            </w:r>
          </w:p>
          <w:p w14:paraId="157DB0B3">
            <w:pPr>
              <w:spacing w:line="300" w:lineRule="auto"/>
              <w:rPr>
                <w:color w:val="auto"/>
              </w:rPr>
            </w:pPr>
            <w:r>
              <w:rPr>
                <w:rFonts w:hint="eastAsia"/>
                <w:color w:val="auto"/>
              </w:rPr>
              <w:t>9.重复用药审查：相同活性成分或同类治疗药物重复使用识别（支持跨科室处方联合审核）。</w:t>
            </w:r>
          </w:p>
          <w:p w14:paraId="11F07EE6">
            <w:pPr>
              <w:spacing w:line="300" w:lineRule="auto"/>
              <w:rPr>
                <w:color w:val="auto"/>
              </w:rPr>
            </w:pPr>
            <w:r>
              <w:rPr>
                <w:rFonts w:hint="eastAsia"/>
                <w:color w:val="auto"/>
              </w:rPr>
              <w:t>10.适应症审查：超说明书用药（超适应症）警示。</w:t>
            </w:r>
          </w:p>
        </w:tc>
      </w:tr>
      <w:tr w14:paraId="1451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212C28EA">
            <w:pPr>
              <w:spacing w:line="300" w:lineRule="auto"/>
              <w:jc w:val="center"/>
              <w:rPr>
                <w:b w:val="0"/>
                <w:color w:val="auto"/>
              </w:rPr>
            </w:pPr>
            <w:r>
              <w:rPr>
                <w:rFonts w:hint="eastAsia"/>
                <w:b w:val="0"/>
                <w:color w:val="auto"/>
              </w:rPr>
              <w:t>医药信息在线查询</w:t>
            </w:r>
          </w:p>
        </w:tc>
        <w:tc>
          <w:tcPr>
            <w:tcW w:w="3973" w:type="pct"/>
            <w:vAlign w:val="center"/>
          </w:tcPr>
          <w:p w14:paraId="362A6AD5">
            <w:pPr>
              <w:spacing w:line="300" w:lineRule="auto"/>
              <w:rPr>
                <w:color w:val="auto"/>
              </w:rPr>
            </w:pPr>
            <w:r>
              <w:rPr>
                <w:rFonts w:hint="eastAsia"/>
                <w:color w:val="auto"/>
              </w:rPr>
              <w:t>提供便捷的在线查询入口，快速获取医院在用药品的说明书、中药材专论及重要提示信息。</w:t>
            </w:r>
          </w:p>
        </w:tc>
      </w:tr>
      <w:tr w14:paraId="4797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096BABF5">
            <w:pPr>
              <w:spacing w:line="300" w:lineRule="auto"/>
              <w:jc w:val="center"/>
              <w:rPr>
                <w:b w:val="0"/>
                <w:color w:val="auto"/>
              </w:rPr>
            </w:pPr>
            <w:r>
              <w:rPr>
                <w:rFonts w:hint="eastAsia"/>
                <w:b w:val="0"/>
                <w:color w:val="auto"/>
              </w:rPr>
              <w:t>用药重点提示</w:t>
            </w:r>
          </w:p>
        </w:tc>
        <w:tc>
          <w:tcPr>
            <w:tcW w:w="3973" w:type="pct"/>
            <w:vAlign w:val="center"/>
          </w:tcPr>
          <w:p w14:paraId="02B07C25">
            <w:pPr>
              <w:spacing w:line="300" w:lineRule="auto"/>
              <w:rPr>
                <w:color w:val="auto"/>
              </w:rPr>
            </w:pPr>
            <w:r>
              <w:rPr>
                <w:rFonts w:hint="eastAsia"/>
                <w:color w:val="auto"/>
              </w:rPr>
              <w:t>在处方审查及药品查询时，根据药品属性（如麻精药品、毒性药品、兴奋剂标识、医保/基药标识、放射性药品等）或医院自定义的重要信息（如院内管控要求），向医生/药师动态展示关键警示信息。</w:t>
            </w:r>
          </w:p>
        </w:tc>
      </w:tr>
    </w:tbl>
    <w:p w14:paraId="258EFFF4">
      <w:pPr>
        <w:pStyle w:val="4"/>
        <w:numPr>
          <w:ilvl w:val="1"/>
          <w:numId w:val="0"/>
        </w:numPr>
        <w:ind w:left="576" w:leftChars="0" w:hanging="576" w:firstLineChars="0"/>
        <w:rPr>
          <w:color w:val="auto"/>
        </w:rPr>
      </w:pPr>
      <w:bookmarkStart w:id="137" w:name="_Toc208646529"/>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.7</w:t>
      </w:r>
      <w:r>
        <w:rPr>
          <w:rFonts w:hint="eastAsia"/>
          <w:color w:val="auto"/>
        </w:rPr>
        <w:t>抗菌药物管理系统</w:t>
      </w:r>
      <w:bookmarkEnd w:id="137"/>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1472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BEBEBE" w:themeFill="background1" w:themeFillShade="BF"/>
            <w:vAlign w:val="center"/>
          </w:tcPr>
          <w:p w14:paraId="6AE0A004">
            <w:pPr>
              <w:spacing w:line="300" w:lineRule="auto"/>
              <w:jc w:val="center"/>
              <w:rPr>
                <w:b/>
                <w:color w:val="auto"/>
              </w:rPr>
            </w:pPr>
            <w:r>
              <w:rPr>
                <w:rFonts w:hint="eastAsia"/>
                <w:b/>
                <w:color w:val="auto"/>
              </w:rPr>
              <w:t>系统名称</w:t>
            </w:r>
          </w:p>
        </w:tc>
        <w:tc>
          <w:tcPr>
            <w:tcW w:w="3973" w:type="pct"/>
            <w:shd w:val="clear" w:color="auto" w:fill="BEBEBE" w:themeFill="background1" w:themeFillShade="BF"/>
            <w:vAlign w:val="center"/>
          </w:tcPr>
          <w:p w14:paraId="4667BAB4">
            <w:pPr>
              <w:spacing w:line="300" w:lineRule="auto"/>
              <w:jc w:val="center"/>
              <w:rPr>
                <w:b/>
                <w:color w:val="auto"/>
              </w:rPr>
            </w:pPr>
            <w:r>
              <w:rPr>
                <w:rFonts w:hint="eastAsia"/>
                <w:b/>
                <w:color w:val="auto"/>
              </w:rPr>
              <w:t>抗菌药物管理系统</w:t>
            </w:r>
          </w:p>
        </w:tc>
      </w:tr>
      <w:tr w14:paraId="7FCD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058B0420">
            <w:pPr>
              <w:spacing w:line="300" w:lineRule="auto"/>
              <w:jc w:val="center"/>
              <w:rPr>
                <w:rFonts w:ascii="宋体" w:hAnsi="宋体" w:cs="宋体"/>
                <w:b/>
                <w:bCs/>
                <w:color w:val="auto"/>
                <w:szCs w:val="21"/>
              </w:rPr>
            </w:pPr>
            <w:r>
              <w:rPr>
                <w:rFonts w:hint="eastAsia" w:ascii="宋体" w:hAnsi="宋体" w:cs="宋体"/>
                <w:b/>
                <w:bCs/>
                <w:color w:val="auto"/>
                <w:szCs w:val="21"/>
              </w:rPr>
              <w:t>系统概述</w:t>
            </w:r>
          </w:p>
        </w:tc>
        <w:tc>
          <w:tcPr>
            <w:tcW w:w="3973" w:type="pct"/>
            <w:vAlign w:val="center"/>
          </w:tcPr>
          <w:p w14:paraId="4129E89C">
            <w:pPr>
              <w:spacing w:line="300" w:lineRule="auto"/>
              <w:rPr>
                <w:rFonts w:ascii="宋体" w:hAnsi="宋体" w:cs="宋体"/>
                <w:color w:val="auto"/>
                <w:szCs w:val="21"/>
              </w:rPr>
            </w:pPr>
            <w:r>
              <w:rPr>
                <w:rFonts w:hint="eastAsia" w:ascii="宋体" w:hAnsi="宋体" w:cs="宋体"/>
                <w:color w:val="auto"/>
                <w:szCs w:val="21"/>
              </w:rPr>
              <w:t>抗菌药物管理系统需实现通过信息化的手段保障医院门诊和住院抗菌药物控制的持续改进，抗菌药物报表数据来源均依赖于HIS系统中所产生的数据，需实现与HIS系统对接。</w:t>
            </w:r>
          </w:p>
        </w:tc>
      </w:tr>
      <w:tr w14:paraId="74B0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0C22B599">
            <w:pPr>
              <w:spacing w:line="300" w:lineRule="auto"/>
              <w:jc w:val="center"/>
              <w:rPr>
                <w:rFonts w:ascii="宋体" w:hAnsi="宋体" w:cs="宋体"/>
                <w:b/>
                <w:bCs/>
                <w:color w:val="auto"/>
                <w:szCs w:val="21"/>
              </w:rPr>
            </w:pPr>
            <w:r>
              <w:rPr>
                <w:rFonts w:hint="eastAsia" w:ascii="宋体" w:hAnsi="宋体" w:cs="宋体"/>
                <w:b/>
                <w:bCs/>
                <w:color w:val="auto"/>
                <w:szCs w:val="21"/>
              </w:rPr>
              <w:t>子项名称</w:t>
            </w:r>
          </w:p>
        </w:tc>
        <w:tc>
          <w:tcPr>
            <w:tcW w:w="3973" w:type="pct"/>
            <w:vAlign w:val="center"/>
          </w:tcPr>
          <w:p w14:paraId="2A9D6ECC">
            <w:pPr>
              <w:spacing w:line="300" w:lineRule="auto"/>
              <w:jc w:val="center"/>
              <w:rPr>
                <w:rFonts w:ascii="宋体" w:hAnsi="宋体" w:cs="宋体"/>
                <w:b/>
                <w:bCs/>
                <w:color w:val="auto"/>
                <w:szCs w:val="21"/>
              </w:rPr>
            </w:pPr>
            <w:r>
              <w:rPr>
                <w:rFonts w:hint="eastAsia" w:ascii="宋体" w:hAnsi="宋体" w:cs="宋体"/>
                <w:b/>
                <w:bCs/>
                <w:color w:val="auto"/>
                <w:szCs w:val="21"/>
              </w:rPr>
              <w:t>技术和功能配置要求</w:t>
            </w:r>
          </w:p>
        </w:tc>
      </w:tr>
      <w:tr w14:paraId="29C3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2BBEEF11">
            <w:pPr>
              <w:spacing w:line="300" w:lineRule="auto"/>
              <w:jc w:val="center"/>
              <w:rPr>
                <w:rFonts w:ascii="宋体" w:hAnsi="宋体" w:cs="宋体"/>
                <w:b w:val="0"/>
                <w:color w:val="auto"/>
                <w:szCs w:val="21"/>
              </w:rPr>
            </w:pPr>
            <w:r>
              <w:rPr>
                <w:rFonts w:hint="eastAsia" w:ascii="宋体" w:hAnsi="宋体" w:cs="宋体"/>
                <w:b w:val="0"/>
                <w:color w:val="auto"/>
                <w:szCs w:val="21"/>
              </w:rPr>
              <w:t>抗菌药物管理系统</w:t>
            </w:r>
          </w:p>
        </w:tc>
        <w:tc>
          <w:tcPr>
            <w:tcW w:w="3973" w:type="pct"/>
            <w:vAlign w:val="center"/>
          </w:tcPr>
          <w:p w14:paraId="56E62070">
            <w:pPr>
              <w:spacing w:line="300" w:lineRule="auto"/>
              <w:rPr>
                <w:rFonts w:ascii="宋体" w:hAnsi="宋体" w:cs="宋体"/>
                <w:color w:val="auto"/>
                <w:szCs w:val="21"/>
              </w:rPr>
            </w:pPr>
            <w:r>
              <w:rPr>
                <w:rFonts w:hint="eastAsia" w:ascii="宋体" w:hAnsi="宋体" w:cs="宋体"/>
                <w:color w:val="auto"/>
                <w:szCs w:val="21"/>
              </w:rPr>
              <w:t>需根据最新的抗菌药物管理要求，符合上级部门管理规定，满足医院抗菌药物管理的实际需求，具体功能包括但不限于以下要求：</w:t>
            </w:r>
          </w:p>
          <w:p w14:paraId="55774A8B">
            <w:pPr>
              <w:spacing w:line="300" w:lineRule="auto"/>
              <w:rPr>
                <w:rFonts w:ascii="宋体" w:hAnsi="宋体" w:cs="宋体"/>
                <w:color w:val="auto"/>
                <w:szCs w:val="21"/>
              </w:rPr>
            </w:pPr>
            <w:r>
              <w:rPr>
                <w:rFonts w:hint="eastAsia" w:ascii="宋体" w:hAnsi="宋体" w:cs="宋体"/>
                <w:color w:val="auto"/>
                <w:szCs w:val="21"/>
              </w:rPr>
              <w:t>1.《全国抗菌药物临床应用专项整治活动方案》相关统计</w:t>
            </w:r>
          </w:p>
          <w:p w14:paraId="5C7398E0">
            <w:pPr>
              <w:spacing w:line="300" w:lineRule="auto"/>
              <w:rPr>
                <w:rFonts w:ascii="宋体" w:hAnsi="宋体" w:cs="宋体"/>
                <w:color w:val="auto"/>
                <w:szCs w:val="21"/>
              </w:rPr>
            </w:pPr>
            <w:r>
              <w:rPr>
                <w:rFonts w:hint="eastAsia" w:ascii="宋体" w:hAnsi="宋体" w:cs="宋体"/>
                <w:color w:val="auto"/>
                <w:szCs w:val="21"/>
              </w:rPr>
              <w:t>根据《全国抗菌药物临床应用专项整治活动方案》要求，通过各类报表对医院抗菌药物临床应用情况进行统计分析。报表中的指标需同步更新至”抗菌药物临床应用管理评价指标及要求”中的相关要求，具备如下管理和统计功能：医院抗菌药物使用种类统计表、医疗机构抗菌药物使用情况统计表、抗菌药物使用月调查表、抗菌药物使用月调查表（分科统计）、医院用药比例、排名统计表（门诊）、医院用药比例、排名统计表（住院）。</w:t>
            </w:r>
          </w:p>
          <w:p w14:paraId="59BCB62B">
            <w:pPr>
              <w:spacing w:line="300" w:lineRule="auto"/>
              <w:rPr>
                <w:rFonts w:ascii="宋体" w:hAnsi="宋体" w:cs="宋体"/>
                <w:color w:val="auto"/>
                <w:szCs w:val="21"/>
              </w:rPr>
            </w:pPr>
            <w:r>
              <w:rPr>
                <w:rFonts w:hint="eastAsia" w:ascii="宋体" w:hAnsi="宋体" w:cs="宋体"/>
                <w:color w:val="auto"/>
                <w:szCs w:val="21"/>
              </w:rPr>
              <w:t>2.《医院医疗质量管理与控制指标》相关统计</w:t>
            </w:r>
          </w:p>
          <w:p w14:paraId="37A585EF">
            <w:pPr>
              <w:spacing w:line="300" w:lineRule="auto"/>
              <w:rPr>
                <w:rFonts w:ascii="宋体" w:hAnsi="宋体" w:cs="宋体"/>
                <w:color w:val="auto"/>
                <w:szCs w:val="21"/>
              </w:rPr>
            </w:pPr>
            <w:r>
              <w:rPr>
                <w:rFonts w:hint="eastAsia" w:ascii="宋体" w:hAnsi="宋体" w:cs="宋体"/>
                <w:color w:val="auto"/>
                <w:szCs w:val="21"/>
              </w:rPr>
              <w:t>需根据《医院医疗质量管理与控制指标》中“医疗机构合理用药指标”的要求进行统计，并提供”抗菌药物临床应用管理评价指标及要求”中要求的统计指标，具备如下统计功能：</w:t>
            </w:r>
          </w:p>
          <w:p w14:paraId="640FF465">
            <w:pPr>
              <w:spacing w:line="300" w:lineRule="auto"/>
              <w:rPr>
                <w:rFonts w:ascii="宋体" w:hAnsi="宋体" w:cs="宋体"/>
                <w:color w:val="auto"/>
                <w:szCs w:val="21"/>
              </w:rPr>
            </w:pPr>
            <w:r>
              <w:rPr>
                <w:rFonts w:hint="eastAsia" w:ascii="宋体" w:hAnsi="宋体" w:cs="宋体"/>
                <w:color w:val="auto"/>
                <w:szCs w:val="21"/>
              </w:rPr>
              <w:t>（1）医疗机构合理用药指标情况表；</w:t>
            </w:r>
          </w:p>
          <w:p w14:paraId="531FA6F9">
            <w:pPr>
              <w:spacing w:line="300" w:lineRule="auto"/>
              <w:rPr>
                <w:rFonts w:ascii="宋体" w:hAnsi="宋体" w:cs="宋体"/>
                <w:color w:val="auto"/>
                <w:szCs w:val="21"/>
              </w:rPr>
            </w:pPr>
            <w:r>
              <w:rPr>
                <w:rFonts w:hint="eastAsia" w:ascii="宋体" w:hAnsi="宋体" w:cs="宋体"/>
                <w:color w:val="auto"/>
                <w:szCs w:val="21"/>
              </w:rPr>
              <w:t>（2）医疗机构合理用药指标情况表（分科统计-门急诊指标）；</w:t>
            </w:r>
          </w:p>
          <w:p w14:paraId="005587F6">
            <w:pPr>
              <w:spacing w:line="300" w:lineRule="auto"/>
              <w:rPr>
                <w:rFonts w:ascii="宋体" w:hAnsi="宋体" w:cs="宋体"/>
                <w:color w:val="auto"/>
                <w:szCs w:val="21"/>
              </w:rPr>
            </w:pPr>
            <w:r>
              <w:rPr>
                <w:rFonts w:hint="eastAsia" w:ascii="宋体" w:hAnsi="宋体" w:cs="宋体"/>
                <w:color w:val="auto"/>
                <w:szCs w:val="21"/>
              </w:rPr>
              <w:t>（3）医疗机构合理用药指标情况表（分科统计-住院指标）。</w:t>
            </w:r>
          </w:p>
          <w:p w14:paraId="6C4D9240">
            <w:pPr>
              <w:spacing w:line="300" w:lineRule="auto"/>
              <w:rPr>
                <w:rFonts w:ascii="宋体" w:hAnsi="宋体" w:cs="宋体"/>
                <w:color w:val="auto"/>
                <w:szCs w:val="21"/>
              </w:rPr>
            </w:pPr>
            <w:r>
              <w:rPr>
                <w:rFonts w:hint="eastAsia" w:ascii="宋体" w:hAnsi="宋体" w:cs="宋体"/>
                <w:color w:val="auto"/>
                <w:szCs w:val="21"/>
              </w:rPr>
              <w:t>3.卫健委抗菌药物临床应用监测网</w:t>
            </w:r>
          </w:p>
          <w:p w14:paraId="76F08FB1">
            <w:pPr>
              <w:spacing w:line="300" w:lineRule="auto"/>
              <w:rPr>
                <w:rFonts w:ascii="宋体" w:hAnsi="宋体" w:cs="宋体"/>
                <w:color w:val="auto"/>
                <w:szCs w:val="21"/>
              </w:rPr>
            </w:pPr>
            <w:r>
              <w:rPr>
                <w:rFonts w:hint="eastAsia" w:ascii="宋体" w:hAnsi="宋体" w:cs="宋体"/>
                <w:color w:val="auto"/>
                <w:szCs w:val="21"/>
              </w:rPr>
              <w:t>根据“抗菌药物临床应用监测网”的数据上报要求，提供相关的统计数据报表：</w:t>
            </w:r>
          </w:p>
          <w:p w14:paraId="05C57DDA">
            <w:pPr>
              <w:spacing w:line="300" w:lineRule="auto"/>
              <w:rPr>
                <w:rFonts w:ascii="宋体" w:hAnsi="宋体" w:cs="宋体"/>
                <w:color w:val="auto"/>
                <w:szCs w:val="21"/>
              </w:rPr>
            </w:pPr>
            <w:r>
              <w:rPr>
                <w:rFonts w:hint="eastAsia" w:ascii="宋体" w:hAnsi="宋体" w:cs="宋体"/>
                <w:color w:val="auto"/>
                <w:szCs w:val="21"/>
              </w:rPr>
              <w:t>（1）门诊处方用药情况调查表（月报表）；</w:t>
            </w:r>
          </w:p>
          <w:p w14:paraId="0479D41D">
            <w:pPr>
              <w:spacing w:line="300" w:lineRule="auto"/>
              <w:rPr>
                <w:rFonts w:ascii="宋体" w:hAnsi="宋体" w:cs="宋体"/>
                <w:color w:val="auto"/>
                <w:szCs w:val="21"/>
              </w:rPr>
            </w:pPr>
            <w:r>
              <w:rPr>
                <w:rFonts w:hint="eastAsia" w:ascii="宋体" w:hAnsi="宋体" w:cs="宋体"/>
                <w:color w:val="auto"/>
                <w:szCs w:val="21"/>
              </w:rPr>
              <w:t>（2）抗菌药物使用强度和使用率。</w:t>
            </w:r>
          </w:p>
          <w:p w14:paraId="50CB0DB0">
            <w:pPr>
              <w:spacing w:line="300" w:lineRule="auto"/>
              <w:rPr>
                <w:rFonts w:ascii="宋体" w:hAnsi="宋体" w:cs="宋体"/>
                <w:color w:val="auto"/>
                <w:szCs w:val="21"/>
              </w:rPr>
            </w:pPr>
            <w:r>
              <w:rPr>
                <w:rFonts w:hint="eastAsia" w:ascii="宋体" w:hAnsi="宋体" w:cs="宋体"/>
                <w:color w:val="auto"/>
                <w:szCs w:val="21"/>
              </w:rPr>
              <w:t>4.系统管理</w:t>
            </w:r>
          </w:p>
          <w:p w14:paraId="18D8F8C6">
            <w:pPr>
              <w:spacing w:line="300" w:lineRule="auto"/>
              <w:rPr>
                <w:rFonts w:ascii="宋体" w:hAnsi="宋体" w:cs="宋体"/>
                <w:color w:val="auto"/>
                <w:szCs w:val="21"/>
              </w:rPr>
            </w:pPr>
            <w:r>
              <w:rPr>
                <w:rFonts w:hint="eastAsia" w:ascii="宋体" w:hAnsi="宋体" w:cs="宋体"/>
                <w:color w:val="auto"/>
                <w:szCs w:val="21"/>
              </w:rPr>
              <w:t>（1）个性化规则库维护：报表分析相关的用户自定义规则设置功能；</w:t>
            </w:r>
          </w:p>
          <w:p w14:paraId="56CC839E">
            <w:pPr>
              <w:spacing w:line="300" w:lineRule="auto"/>
              <w:rPr>
                <w:rFonts w:ascii="宋体" w:hAnsi="宋体" w:cs="宋体"/>
                <w:color w:val="auto"/>
                <w:szCs w:val="21"/>
              </w:rPr>
            </w:pPr>
            <w:r>
              <w:rPr>
                <w:rFonts w:hint="eastAsia" w:ascii="宋体" w:hAnsi="宋体" w:cs="宋体"/>
                <w:color w:val="auto"/>
                <w:szCs w:val="21"/>
              </w:rPr>
              <w:t>（2）基础数据维护工具：提供基础数据的维护工具；</w:t>
            </w:r>
          </w:p>
          <w:p w14:paraId="7EE22D5F">
            <w:pPr>
              <w:spacing w:line="300" w:lineRule="auto"/>
              <w:rPr>
                <w:rFonts w:ascii="宋体" w:hAnsi="宋体" w:cs="宋体"/>
                <w:color w:val="auto"/>
                <w:szCs w:val="21"/>
              </w:rPr>
            </w:pPr>
            <w:r>
              <w:rPr>
                <w:rFonts w:hint="eastAsia" w:ascii="宋体" w:hAnsi="宋体" w:cs="宋体"/>
                <w:color w:val="auto"/>
                <w:szCs w:val="21"/>
              </w:rPr>
              <w:t>（3）抗菌药物单位与DDD单位转换工具：抗菌药物单位与DDD单位转换工具；</w:t>
            </w:r>
          </w:p>
          <w:p w14:paraId="45F381B5">
            <w:pPr>
              <w:spacing w:line="300" w:lineRule="auto"/>
              <w:rPr>
                <w:rFonts w:ascii="宋体" w:hAnsi="宋体" w:cs="宋体"/>
                <w:color w:val="auto"/>
                <w:szCs w:val="21"/>
              </w:rPr>
            </w:pPr>
            <w:r>
              <w:rPr>
                <w:rFonts w:hint="eastAsia" w:ascii="宋体" w:hAnsi="宋体" w:cs="宋体"/>
                <w:color w:val="auto"/>
                <w:szCs w:val="21"/>
              </w:rPr>
              <w:t>（4）DDD维护：通过该设置功能，可以允许用户对于某药品的DDD值进行自定义设置。</w:t>
            </w:r>
          </w:p>
        </w:tc>
      </w:tr>
    </w:tbl>
    <w:p w14:paraId="510C9063">
      <w:pPr>
        <w:pStyle w:val="4"/>
        <w:numPr>
          <w:ilvl w:val="1"/>
          <w:numId w:val="0"/>
        </w:numPr>
        <w:ind w:left="576" w:leftChars="0" w:hanging="576" w:firstLineChars="0"/>
        <w:rPr>
          <w:color w:val="auto"/>
        </w:rPr>
      </w:pPr>
      <w:bookmarkStart w:id="138" w:name="_Toc208646530"/>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.8</w:t>
      </w:r>
      <w:r>
        <w:rPr>
          <w:rFonts w:hint="eastAsia"/>
          <w:color w:val="auto"/>
        </w:rPr>
        <w:t>前置审方系统</w:t>
      </w:r>
      <w:bookmarkEnd w:id="138"/>
    </w:p>
    <w:tbl>
      <w:tblPr>
        <w:tblStyle w:val="9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9"/>
      </w:tblGrid>
      <w:tr w14:paraId="0E75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shd w:val="clear" w:color="auto" w:fill="BEBEBE" w:themeFill="background1" w:themeFillShade="BF"/>
            <w:vAlign w:val="center"/>
          </w:tcPr>
          <w:p w14:paraId="1E768094">
            <w:pPr>
              <w:spacing w:line="300" w:lineRule="auto"/>
              <w:jc w:val="center"/>
              <w:rPr>
                <w:b/>
                <w:color w:val="auto"/>
              </w:rPr>
            </w:pPr>
            <w:r>
              <w:rPr>
                <w:rFonts w:hint="eastAsia"/>
                <w:b/>
                <w:color w:val="auto"/>
              </w:rPr>
              <w:t>系统名称</w:t>
            </w:r>
          </w:p>
        </w:tc>
        <w:tc>
          <w:tcPr>
            <w:tcW w:w="3974" w:type="pct"/>
            <w:shd w:val="clear" w:color="auto" w:fill="BEBEBE" w:themeFill="background1" w:themeFillShade="BF"/>
            <w:vAlign w:val="center"/>
          </w:tcPr>
          <w:p w14:paraId="432F73AD">
            <w:pPr>
              <w:spacing w:line="300" w:lineRule="auto"/>
              <w:jc w:val="center"/>
              <w:rPr>
                <w:b/>
                <w:color w:val="auto"/>
              </w:rPr>
            </w:pPr>
            <w:r>
              <w:rPr>
                <w:rFonts w:hint="eastAsia"/>
                <w:b/>
                <w:color w:val="auto"/>
              </w:rPr>
              <w:t>前置审方系统</w:t>
            </w:r>
          </w:p>
        </w:tc>
      </w:tr>
      <w:tr w14:paraId="7F71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vAlign w:val="center"/>
          </w:tcPr>
          <w:p w14:paraId="4BBE6DA8">
            <w:pPr>
              <w:spacing w:line="300" w:lineRule="auto"/>
              <w:jc w:val="center"/>
              <w:rPr>
                <w:rFonts w:ascii="宋体" w:hAnsi="宋体" w:cs="宋体"/>
                <w:b/>
                <w:bCs/>
                <w:color w:val="auto"/>
                <w:szCs w:val="21"/>
              </w:rPr>
            </w:pPr>
            <w:r>
              <w:rPr>
                <w:rFonts w:hint="eastAsia" w:ascii="宋体" w:hAnsi="宋体" w:cs="宋体"/>
                <w:b/>
                <w:bCs/>
                <w:color w:val="auto"/>
                <w:szCs w:val="21"/>
              </w:rPr>
              <w:t>系统概述</w:t>
            </w:r>
          </w:p>
        </w:tc>
        <w:tc>
          <w:tcPr>
            <w:tcW w:w="3974" w:type="pct"/>
            <w:vAlign w:val="center"/>
          </w:tcPr>
          <w:p w14:paraId="6381A3B1">
            <w:pPr>
              <w:spacing w:line="300" w:lineRule="auto"/>
              <w:rPr>
                <w:color w:val="auto"/>
              </w:rPr>
            </w:pPr>
            <w:r>
              <w:rPr>
                <w:rFonts w:hint="eastAsia"/>
                <w:color w:val="auto"/>
              </w:rPr>
              <w:t>对医生开出的处方或医嘱进行专业药师审核，并将审核结果及时提示给医师，可以有效降低医生开药错误、不规范的情况。采用“系统智能初审+药师人工复核”双轨制流程，实现处方/医嘱闭环审核管理。</w:t>
            </w:r>
          </w:p>
        </w:tc>
      </w:tr>
      <w:tr w14:paraId="29E5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vAlign w:val="center"/>
          </w:tcPr>
          <w:p w14:paraId="440ACE63">
            <w:pPr>
              <w:spacing w:line="300" w:lineRule="auto"/>
              <w:jc w:val="center"/>
              <w:rPr>
                <w:rFonts w:ascii="宋体" w:hAnsi="宋体" w:cs="宋体"/>
                <w:b/>
                <w:bCs/>
                <w:color w:val="auto"/>
                <w:szCs w:val="21"/>
              </w:rPr>
            </w:pPr>
            <w:r>
              <w:rPr>
                <w:rFonts w:hint="eastAsia" w:ascii="宋体" w:hAnsi="宋体" w:cs="宋体"/>
                <w:b/>
                <w:bCs/>
                <w:color w:val="auto"/>
                <w:szCs w:val="21"/>
              </w:rPr>
              <w:t>子项名称</w:t>
            </w:r>
          </w:p>
        </w:tc>
        <w:tc>
          <w:tcPr>
            <w:tcW w:w="3974" w:type="pct"/>
            <w:vAlign w:val="center"/>
          </w:tcPr>
          <w:p w14:paraId="6D9C8D4B">
            <w:pPr>
              <w:spacing w:line="300" w:lineRule="auto"/>
              <w:jc w:val="center"/>
              <w:rPr>
                <w:rFonts w:ascii="宋体" w:hAnsi="宋体" w:cs="宋体"/>
                <w:b/>
                <w:bCs/>
                <w:color w:val="auto"/>
                <w:szCs w:val="21"/>
              </w:rPr>
            </w:pPr>
            <w:r>
              <w:rPr>
                <w:rFonts w:hint="eastAsia" w:ascii="宋体" w:hAnsi="宋体" w:cs="宋体"/>
                <w:b/>
                <w:bCs/>
                <w:color w:val="auto"/>
                <w:szCs w:val="21"/>
              </w:rPr>
              <w:t>技术和功能配置要求</w:t>
            </w:r>
          </w:p>
        </w:tc>
      </w:tr>
      <w:tr w14:paraId="7B14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vAlign w:val="center"/>
          </w:tcPr>
          <w:p w14:paraId="62B60ED5">
            <w:pPr>
              <w:spacing w:line="300" w:lineRule="auto"/>
              <w:jc w:val="center"/>
              <w:rPr>
                <w:b w:val="0"/>
                <w:color w:val="auto"/>
              </w:rPr>
            </w:pPr>
            <w:r>
              <w:rPr>
                <w:rFonts w:hint="eastAsia"/>
                <w:b w:val="0"/>
                <w:color w:val="auto"/>
              </w:rPr>
              <w:t>前置审方</w:t>
            </w:r>
          </w:p>
        </w:tc>
        <w:tc>
          <w:tcPr>
            <w:tcW w:w="3974" w:type="pct"/>
            <w:vAlign w:val="center"/>
          </w:tcPr>
          <w:p w14:paraId="7D63DCA3">
            <w:pPr>
              <w:spacing w:line="300" w:lineRule="auto"/>
              <w:rPr>
                <w:color w:val="auto"/>
              </w:rPr>
            </w:pPr>
            <w:r>
              <w:rPr>
                <w:rFonts w:hint="eastAsia"/>
                <w:color w:val="auto"/>
              </w:rPr>
              <w:t>在医生开方环节进行实时干预，依据规则库进行即时审核，实施分级警示（提示、拦截），并与EMR深度集成调取临床数据。强制拦截处方需药师复核。</w:t>
            </w:r>
          </w:p>
        </w:tc>
      </w:tr>
      <w:tr w14:paraId="5B47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vAlign w:val="center"/>
          </w:tcPr>
          <w:p w14:paraId="5815DFD7">
            <w:pPr>
              <w:spacing w:line="300" w:lineRule="auto"/>
              <w:jc w:val="center"/>
              <w:rPr>
                <w:b w:val="0"/>
                <w:color w:val="auto"/>
              </w:rPr>
            </w:pPr>
            <w:r>
              <w:rPr>
                <w:rFonts w:hint="eastAsia"/>
                <w:b w:val="0"/>
                <w:color w:val="auto"/>
              </w:rPr>
              <w:t>门诊审方</w:t>
            </w:r>
          </w:p>
        </w:tc>
        <w:tc>
          <w:tcPr>
            <w:tcW w:w="3974" w:type="pct"/>
            <w:vAlign w:val="center"/>
          </w:tcPr>
          <w:p w14:paraId="5A39177E">
            <w:pPr>
              <w:spacing w:line="300" w:lineRule="auto"/>
              <w:rPr>
                <w:color w:val="auto"/>
              </w:rPr>
            </w:pPr>
            <w:r>
              <w:rPr>
                <w:rFonts w:hint="eastAsia"/>
                <w:color w:val="auto"/>
              </w:rPr>
              <w:t>聚焦门诊场景，快速处理配伍禁忌、剂量问题、特殊人群风险等常见问题，支持药师调阅信息并与医生实时沟通。优化时效性管理。</w:t>
            </w:r>
          </w:p>
        </w:tc>
      </w:tr>
      <w:tr w14:paraId="68F8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vAlign w:val="center"/>
          </w:tcPr>
          <w:p w14:paraId="5104B92A">
            <w:pPr>
              <w:spacing w:line="300" w:lineRule="auto"/>
              <w:jc w:val="center"/>
              <w:rPr>
                <w:b w:val="0"/>
                <w:color w:val="auto"/>
              </w:rPr>
            </w:pPr>
            <w:r>
              <w:rPr>
                <w:rFonts w:hint="eastAsia"/>
                <w:b w:val="0"/>
                <w:color w:val="auto"/>
              </w:rPr>
              <w:t>住院审方</w:t>
            </w:r>
          </w:p>
        </w:tc>
        <w:tc>
          <w:tcPr>
            <w:tcW w:w="3974" w:type="pct"/>
            <w:vAlign w:val="center"/>
          </w:tcPr>
          <w:p w14:paraId="3D405B39">
            <w:pPr>
              <w:spacing w:line="300" w:lineRule="auto"/>
              <w:rPr>
                <w:color w:val="auto"/>
              </w:rPr>
            </w:pPr>
            <w:r>
              <w:rPr>
                <w:rFonts w:hint="eastAsia"/>
                <w:color w:val="auto"/>
              </w:rPr>
              <w:t>深度整合住院患者临床数据（检验、病程、手术），提供专科化审方支持（如抗菌药物评估、营养支持优化）。支持长期医嘱周期性自动复查。</w:t>
            </w:r>
          </w:p>
        </w:tc>
      </w:tr>
      <w:tr w14:paraId="26D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vAlign w:val="center"/>
          </w:tcPr>
          <w:p w14:paraId="1BA6F3DD">
            <w:pPr>
              <w:spacing w:line="300" w:lineRule="auto"/>
              <w:jc w:val="center"/>
              <w:rPr>
                <w:b w:val="0"/>
                <w:color w:val="auto"/>
              </w:rPr>
            </w:pPr>
            <w:r>
              <w:rPr>
                <w:rFonts w:hint="eastAsia"/>
                <w:b w:val="0"/>
                <w:color w:val="auto"/>
              </w:rPr>
              <w:t>审方设置</w:t>
            </w:r>
          </w:p>
        </w:tc>
        <w:tc>
          <w:tcPr>
            <w:tcW w:w="3974" w:type="pct"/>
            <w:vAlign w:val="center"/>
          </w:tcPr>
          <w:p w14:paraId="6EE63921">
            <w:pPr>
              <w:spacing w:line="300" w:lineRule="auto"/>
              <w:rPr>
                <w:color w:val="auto"/>
              </w:rPr>
            </w:pPr>
            <w:r>
              <w:rPr>
                <w:rFonts w:hint="eastAsia"/>
                <w:color w:val="auto"/>
              </w:rPr>
              <w:t>（1）灵活配置审方超时处理策略（超时自动通过）。</w:t>
            </w:r>
          </w:p>
          <w:p w14:paraId="112A8AA5">
            <w:pPr>
              <w:spacing w:line="300" w:lineRule="auto"/>
              <w:rPr>
                <w:color w:val="auto"/>
              </w:rPr>
            </w:pPr>
            <w:r>
              <w:rPr>
                <w:rFonts w:hint="eastAsia"/>
                <w:color w:val="auto"/>
              </w:rPr>
              <w:t>（2）按问题严重级别设置监测标准，过滤低风险处方。</w:t>
            </w:r>
          </w:p>
          <w:p w14:paraId="2815A5E6">
            <w:pPr>
              <w:spacing w:line="300" w:lineRule="auto"/>
              <w:rPr>
                <w:color w:val="auto"/>
              </w:rPr>
            </w:pPr>
            <w:r>
              <w:rPr>
                <w:rFonts w:hint="eastAsia"/>
                <w:color w:val="auto"/>
              </w:rPr>
              <w:t>（3）配置干预开关（如非工作时间关闭人工审方）。</w:t>
            </w:r>
          </w:p>
          <w:p w14:paraId="618A26BE">
            <w:pPr>
              <w:spacing w:line="300" w:lineRule="auto"/>
              <w:rPr>
                <w:color w:val="auto"/>
              </w:rPr>
            </w:pPr>
            <w:r>
              <w:rPr>
                <w:rFonts w:hint="eastAsia"/>
                <w:color w:val="auto"/>
              </w:rPr>
              <w:t>（4）设置特定医生/疾病/药品重点关注规则。</w:t>
            </w:r>
          </w:p>
          <w:p w14:paraId="0BFD3E17">
            <w:pPr>
              <w:spacing w:line="300" w:lineRule="auto"/>
              <w:rPr>
                <w:color w:val="auto"/>
              </w:rPr>
            </w:pPr>
            <w:r>
              <w:rPr>
                <w:rFonts w:hint="eastAsia"/>
                <w:color w:val="auto"/>
              </w:rPr>
              <w:t>（5）配置双签（药师-医生）模式。</w:t>
            </w:r>
          </w:p>
          <w:p w14:paraId="0D439D86">
            <w:pPr>
              <w:spacing w:line="300" w:lineRule="auto"/>
              <w:rPr>
                <w:color w:val="auto"/>
              </w:rPr>
            </w:pPr>
            <w:r>
              <w:rPr>
                <w:rFonts w:hint="eastAsia"/>
                <w:color w:val="auto"/>
              </w:rPr>
              <w:t>（6）提供预设问题模板库。</w:t>
            </w:r>
          </w:p>
          <w:p w14:paraId="75FED4C0">
            <w:pPr>
              <w:spacing w:line="300" w:lineRule="auto"/>
              <w:rPr>
                <w:color w:val="auto"/>
              </w:rPr>
            </w:pPr>
            <w:r>
              <w:rPr>
                <w:rFonts w:hint="eastAsia"/>
                <w:color w:val="auto"/>
              </w:rPr>
              <w:t>（7）任务分配：</w:t>
            </w:r>
          </w:p>
          <w:p w14:paraId="4C34B6FF">
            <w:pPr>
              <w:spacing w:line="300" w:lineRule="auto"/>
              <w:rPr>
                <w:color w:val="auto"/>
              </w:rPr>
            </w:pPr>
            <w:r>
              <w:rPr>
                <w:rFonts w:hint="eastAsia"/>
                <w:color w:val="auto"/>
              </w:rPr>
              <w:t>（8）基于预设规则（科室/药房）进行一级分配，同权限内随机分配。</w:t>
            </w:r>
          </w:p>
          <w:p w14:paraId="1D5D282F">
            <w:pPr>
              <w:spacing w:line="300" w:lineRule="auto"/>
              <w:rPr>
                <w:color w:val="auto"/>
              </w:rPr>
            </w:pPr>
            <w:r>
              <w:rPr>
                <w:rFonts w:hint="eastAsia"/>
                <w:color w:val="auto"/>
              </w:rPr>
              <w:t>（9）门诊：以单张处方为任务单元，确保修改版本由同一药师跟踪。</w:t>
            </w:r>
          </w:p>
          <w:p w14:paraId="19DB5ADC">
            <w:pPr>
              <w:spacing w:line="300" w:lineRule="auto"/>
              <w:rPr>
                <w:color w:val="auto"/>
              </w:rPr>
            </w:pPr>
            <w:r>
              <w:rPr>
                <w:rFonts w:hint="eastAsia"/>
                <w:color w:val="auto"/>
              </w:rPr>
              <w:t>（10）住院：以患者为任务单元，绑定固定药师。</w:t>
            </w:r>
          </w:p>
          <w:p w14:paraId="0F395DDA">
            <w:pPr>
              <w:spacing w:line="300" w:lineRule="auto"/>
              <w:rPr>
                <w:color w:val="auto"/>
              </w:rPr>
            </w:pPr>
            <w:r>
              <w:rPr>
                <w:rFonts w:hint="eastAsia"/>
                <w:color w:val="auto"/>
              </w:rPr>
              <w:t>（11）问题标记与管理：药师可在审方过程中标记存疑规则，后续可查看标记清单，支持有权限药师对自定义规则进行修正。</w:t>
            </w:r>
          </w:p>
        </w:tc>
      </w:tr>
      <w:tr w14:paraId="74CA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vAlign w:val="center"/>
          </w:tcPr>
          <w:p w14:paraId="6693AB4D">
            <w:pPr>
              <w:spacing w:line="300" w:lineRule="auto"/>
              <w:jc w:val="center"/>
              <w:rPr>
                <w:rFonts w:ascii="宋体" w:hAnsi="宋体" w:cs="宋体"/>
                <w:b w:val="0"/>
                <w:color w:val="auto"/>
                <w:szCs w:val="21"/>
              </w:rPr>
            </w:pPr>
            <w:r>
              <w:rPr>
                <w:rFonts w:hint="eastAsia" w:ascii="宋体" w:hAnsi="宋体" w:cs="宋体"/>
                <w:b w:val="0"/>
                <w:color w:val="auto"/>
                <w:szCs w:val="21"/>
              </w:rPr>
              <w:t>统计分析</w:t>
            </w:r>
          </w:p>
        </w:tc>
        <w:tc>
          <w:tcPr>
            <w:tcW w:w="3974" w:type="pct"/>
            <w:vAlign w:val="center"/>
          </w:tcPr>
          <w:p w14:paraId="4A1F9FCF">
            <w:pPr>
              <w:spacing w:line="300" w:lineRule="auto"/>
              <w:rPr>
                <w:rFonts w:ascii="宋体" w:hAnsi="宋体" w:cs="宋体"/>
                <w:color w:val="auto"/>
                <w:szCs w:val="21"/>
              </w:rPr>
            </w:pPr>
            <w:r>
              <w:rPr>
                <w:rFonts w:hint="eastAsia" w:ascii="宋体" w:hAnsi="宋体" w:cs="宋体"/>
                <w:color w:val="auto"/>
                <w:szCs w:val="21"/>
              </w:rPr>
              <w:t>（1）自动采集保存审方干预数据。</w:t>
            </w:r>
          </w:p>
          <w:p w14:paraId="3A42A530">
            <w:pPr>
              <w:spacing w:line="300" w:lineRule="auto"/>
              <w:rPr>
                <w:rFonts w:ascii="宋体" w:hAnsi="宋体" w:cs="宋体"/>
                <w:color w:val="auto"/>
                <w:szCs w:val="21"/>
              </w:rPr>
            </w:pPr>
            <w:r>
              <w:rPr>
                <w:rFonts w:hint="eastAsia" w:ascii="宋体" w:hAnsi="宋体" w:cs="宋体"/>
                <w:color w:val="auto"/>
                <w:szCs w:val="21"/>
              </w:rPr>
              <w:t>（2）生成多维度统计报表：干预汇总/分类统计（按科室/医生/药品/问题）、不合理问题分析、干预效果追踪、通过状态统计、今日动态监测（门诊&amp;住院）。</w:t>
            </w:r>
          </w:p>
          <w:p w14:paraId="29C7E5E0">
            <w:pPr>
              <w:spacing w:line="300" w:lineRule="auto"/>
              <w:rPr>
                <w:rFonts w:ascii="宋体" w:hAnsi="宋体" w:cs="宋体"/>
                <w:color w:val="auto"/>
                <w:szCs w:val="21"/>
              </w:rPr>
            </w:pPr>
            <w:r>
              <w:rPr>
                <w:rFonts w:hint="eastAsia" w:ascii="宋体" w:hAnsi="宋体" w:cs="宋体"/>
                <w:color w:val="auto"/>
                <w:szCs w:val="21"/>
              </w:rPr>
              <w:t>（3）可视化看板：提供实时数据看板，直观展示在线药师数、审核医生数、自动干预量、药师审核量、问题处方/医嘱数量等关键指标，支持定制化数据汇总展示。</w:t>
            </w:r>
          </w:p>
        </w:tc>
      </w:tr>
    </w:tbl>
    <w:p w14:paraId="196C491F">
      <w:pPr>
        <w:pStyle w:val="4"/>
        <w:numPr>
          <w:ilvl w:val="1"/>
          <w:numId w:val="0"/>
        </w:numPr>
        <w:ind w:left="576" w:leftChars="0" w:hanging="576" w:firstLineChars="0"/>
        <w:rPr>
          <w:color w:val="auto"/>
        </w:rPr>
      </w:pPr>
      <w:bookmarkStart w:id="139" w:name="_Toc208646531"/>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9</w:t>
      </w:r>
      <w:r>
        <w:rPr>
          <w:rFonts w:hint="eastAsia"/>
          <w:color w:val="auto"/>
        </w:rPr>
        <w:t>处方点评系统</w:t>
      </w:r>
      <w:bookmarkEnd w:id="139"/>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77E0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shd w:val="clear" w:color="auto" w:fill="BEBEBE" w:themeFill="background1" w:themeFillShade="BF"/>
            <w:vAlign w:val="center"/>
          </w:tcPr>
          <w:p w14:paraId="72818CFA">
            <w:pPr>
              <w:spacing w:line="300" w:lineRule="auto"/>
              <w:jc w:val="center"/>
              <w:rPr>
                <w:b/>
                <w:color w:val="auto"/>
              </w:rPr>
            </w:pPr>
            <w:r>
              <w:rPr>
                <w:rFonts w:hint="eastAsia"/>
                <w:b/>
                <w:color w:val="auto"/>
              </w:rPr>
              <w:t>系统名称</w:t>
            </w:r>
          </w:p>
        </w:tc>
        <w:tc>
          <w:tcPr>
            <w:tcW w:w="6579" w:type="dxa"/>
            <w:shd w:val="clear" w:color="auto" w:fill="BEBEBE" w:themeFill="background1" w:themeFillShade="BF"/>
            <w:vAlign w:val="center"/>
          </w:tcPr>
          <w:p w14:paraId="6F0A4409">
            <w:pPr>
              <w:spacing w:line="300" w:lineRule="auto"/>
              <w:jc w:val="center"/>
              <w:rPr>
                <w:b/>
                <w:color w:val="auto"/>
              </w:rPr>
            </w:pPr>
            <w:r>
              <w:rPr>
                <w:rFonts w:hint="eastAsia"/>
                <w:b/>
                <w:color w:val="auto"/>
              </w:rPr>
              <w:t>处方点评系统</w:t>
            </w:r>
          </w:p>
        </w:tc>
      </w:tr>
      <w:tr w14:paraId="26D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CB55067">
            <w:pPr>
              <w:spacing w:line="300" w:lineRule="auto"/>
              <w:jc w:val="center"/>
              <w:rPr>
                <w:b/>
                <w:bCs/>
                <w:color w:val="auto"/>
              </w:rPr>
            </w:pPr>
            <w:r>
              <w:rPr>
                <w:rFonts w:hint="eastAsia"/>
                <w:b/>
                <w:bCs/>
                <w:color w:val="auto"/>
              </w:rPr>
              <w:t>系统概述</w:t>
            </w:r>
          </w:p>
        </w:tc>
        <w:tc>
          <w:tcPr>
            <w:tcW w:w="6579" w:type="dxa"/>
            <w:vAlign w:val="center"/>
          </w:tcPr>
          <w:p w14:paraId="22DA2C01">
            <w:pPr>
              <w:spacing w:line="300" w:lineRule="auto"/>
              <w:rPr>
                <w:color w:val="auto"/>
              </w:rPr>
            </w:pPr>
            <w:r>
              <w:rPr>
                <w:rFonts w:hint="eastAsia"/>
                <w:color w:val="auto"/>
              </w:rPr>
              <w:t>系统需要能够具备对处方和医嘱进行抽查，对抽查的处方和医嘱数据能够进行点评。</w:t>
            </w:r>
          </w:p>
        </w:tc>
      </w:tr>
      <w:tr w14:paraId="4444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1B4685BC">
            <w:pPr>
              <w:spacing w:line="300" w:lineRule="auto"/>
              <w:jc w:val="center"/>
              <w:rPr>
                <w:b/>
                <w:bCs/>
                <w:color w:val="auto"/>
              </w:rPr>
            </w:pPr>
            <w:r>
              <w:rPr>
                <w:rFonts w:hint="eastAsia"/>
                <w:b/>
                <w:bCs/>
                <w:color w:val="auto"/>
              </w:rPr>
              <w:t>子项名称</w:t>
            </w:r>
          </w:p>
        </w:tc>
        <w:tc>
          <w:tcPr>
            <w:tcW w:w="6579" w:type="dxa"/>
            <w:vAlign w:val="center"/>
          </w:tcPr>
          <w:p w14:paraId="7B854F6A">
            <w:pPr>
              <w:spacing w:line="300" w:lineRule="auto"/>
              <w:jc w:val="center"/>
              <w:rPr>
                <w:b/>
                <w:bCs/>
                <w:color w:val="auto"/>
              </w:rPr>
            </w:pPr>
            <w:r>
              <w:rPr>
                <w:rFonts w:hint="eastAsia"/>
                <w:b/>
                <w:bCs/>
                <w:color w:val="auto"/>
              </w:rPr>
              <w:t>技术和功能配置要求</w:t>
            </w:r>
          </w:p>
        </w:tc>
      </w:tr>
      <w:tr w14:paraId="1FAF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16A333B2">
            <w:pPr>
              <w:spacing w:line="300" w:lineRule="auto"/>
              <w:jc w:val="center"/>
              <w:rPr>
                <w:b w:val="0"/>
                <w:color w:val="auto"/>
              </w:rPr>
            </w:pPr>
            <w:r>
              <w:rPr>
                <w:rFonts w:hint="eastAsia"/>
                <w:b w:val="0"/>
                <w:color w:val="auto"/>
              </w:rPr>
              <w:t>病历全景视图</w:t>
            </w:r>
          </w:p>
        </w:tc>
        <w:tc>
          <w:tcPr>
            <w:tcW w:w="6579" w:type="dxa"/>
            <w:vAlign w:val="center"/>
          </w:tcPr>
          <w:p w14:paraId="0E02E246">
            <w:pPr>
              <w:spacing w:line="300" w:lineRule="auto"/>
              <w:rPr>
                <w:color w:val="auto"/>
              </w:rPr>
            </w:pPr>
            <w:r>
              <w:rPr>
                <w:rFonts w:hint="eastAsia"/>
                <w:color w:val="auto"/>
              </w:rPr>
              <w:t>支持基于患者就诊信息（类型、时间、医生、ID等）或药品信息进行抽样，查看患者完整的临床诊断、处方/医嘱、检验检查、手术、费用及点评信息。</w:t>
            </w:r>
          </w:p>
        </w:tc>
      </w:tr>
      <w:tr w14:paraId="70B0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2BCB940">
            <w:pPr>
              <w:spacing w:line="300" w:lineRule="auto"/>
              <w:jc w:val="center"/>
              <w:rPr>
                <w:b w:val="0"/>
                <w:color w:val="auto"/>
              </w:rPr>
            </w:pPr>
            <w:r>
              <w:rPr>
                <w:rFonts w:hint="eastAsia"/>
                <w:b w:val="0"/>
                <w:color w:val="auto"/>
              </w:rPr>
              <w:t>点评工作台</w:t>
            </w:r>
          </w:p>
        </w:tc>
        <w:tc>
          <w:tcPr>
            <w:tcW w:w="6579" w:type="dxa"/>
            <w:vAlign w:val="center"/>
          </w:tcPr>
          <w:p w14:paraId="3D1B8220">
            <w:pPr>
              <w:spacing w:line="300" w:lineRule="auto"/>
              <w:rPr>
                <w:color w:val="auto"/>
              </w:rPr>
            </w:pPr>
            <w:r>
              <w:rPr>
                <w:rFonts w:hint="eastAsia"/>
                <w:color w:val="auto"/>
              </w:rPr>
              <w:t>（1）门诊处方点评：依据规范对门急诊处方进行标准化点评（书写规范、用法用量、适应证、禁忌症等）。</w:t>
            </w:r>
          </w:p>
          <w:p w14:paraId="635BD01A">
            <w:pPr>
              <w:spacing w:line="300" w:lineRule="auto"/>
              <w:rPr>
                <w:color w:val="auto"/>
              </w:rPr>
            </w:pPr>
            <w:r>
              <w:rPr>
                <w:rFonts w:hint="eastAsia"/>
                <w:color w:val="auto"/>
              </w:rPr>
              <w:t>（2）门诊病人点评：基于患者个体特征（年龄、肝肾功能、过敏史等）评估用药合理性，重点关注诊断相符性、相互作用、禁忌症及特殊人群/高危药品。</w:t>
            </w:r>
          </w:p>
          <w:p w14:paraId="544B646A">
            <w:pPr>
              <w:spacing w:line="300" w:lineRule="auto"/>
              <w:rPr>
                <w:color w:val="auto"/>
              </w:rPr>
            </w:pPr>
            <w:r>
              <w:rPr>
                <w:rFonts w:hint="eastAsia"/>
                <w:color w:val="auto"/>
              </w:rPr>
              <w:t>（3）门诊抗菌药物点评：专项评价门急诊抗菌药物处方的合理性（适应证、品种选择、用法用量、联合用药等）。</w:t>
            </w:r>
          </w:p>
          <w:p w14:paraId="6B5810B8">
            <w:pPr>
              <w:spacing w:line="300" w:lineRule="auto"/>
              <w:rPr>
                <w:color w:val="auto"/>
              </w:rPr>
            </w:pPr>
            <w:r>
              <w:rPr>
                <w:rFonts w:hint="eastAsia"/>
                <w:color w:val="auto"/>
              </w:rPr>
              <w:t>（4）住院病人点评：评价住院患者用药医嘱合理性，侧重抗菌药物、麻精药品、高危药品、中药注射剂等重点监控药物。</w:t>
            </w:r>
          </w:p>
          <w:p w14:paraId="2C86575C">
            <w:pPr>
              <w:spacing w:line="300" w:lineRule="auto"/>
              <w:rPr>
                <w:color w:val="auto"/>
              </w:rPr>
            </w:pPr>
            <w:r>
              <w:rPr>
                <w:rFonts w:hint="eastAsia"/>
                <w:color w:val="auto"/>
              </w:rPr>
              <w:t>（5）住院抗菌药物点评：专项评价住院患者抗菌药物使用的合理性（适应证、品种、方案优化、病原学检测支持等）。</w:t>
            </w:r>
          </w:p>
          <w:p w14:paraId="38D22948">
            <w:pPr>
              <w:spacing w:line="300" w:lineRule="auto"/>
              <w:rPr>
                <w:color w:val="auto"/>
              </w:rPr>
            </w:pPr>
            <w:r>
              <w:rPr>
                <w:rFonts w:hint="eastAsia"/>
                <w:color w:val="auto"/>
              </w:rPr>
              <w:t>（6）围术期用药点评：专项评价围术期预防性抗菌药物、止血药、PPI、激素等的使用合理性（切口类型、给药时机、疗程等）。</w:t>
            </w:r>
          </w:p>
          <w:p w14:paraId="71868638">
            <w:pPr>
              <w:spacing w:line="300" w:lineRule="auto"/>
              <w:rPr>
                <w:color w:val="auto"/>
              </w:rPr>
            </w:pPr>
            <w:r>
              <w:rPr>
                <w:rFonts w:hint="eastAsia"/>
                <w:color w:val="auto"/>
              </w:rPr>
              <w:t>（7）专项点评模块：提供针对特定药品或场景的预设点评模板与流程。</w:t>
            </w:r>
          </w:p>
          <w:p w14:paraId="50D81518">
            <w:pPr>
              <w:spacing w:line="300" w:lineRule="auto"/>
              <w:rPr>
                <w:color w:val="auto"/>
              </w:rPr>
            </w:pPr>
            <w:r>
              <w:rPr>
                <w:rFonts w:hint="eastAsia"/>
                <w:color w:val="auto"/>
              </w:rPr>
              <w:t>（8）门(急)诊/住(出)院中药饮片、中成药。</w:t>
            </w:r>
          </w:p>
          <w:p w14:paraId="0CAE1236">
            <w:pPr>
              <w:spacing w:line="300" w:lineRule="auto"/>
              <w:rPr>
                <w:color w:val="auto"/>
              </w:rPr>
            </w:pPr>
            <w:r>
              <w:rPr>
                <w:rFonts w:hint="eastAsia"/>
                <w:color w:val="auto"/>
              </w:rPr>
              <w:t>（9）门(急)诊/住(出)院抗肿瘤药物。</w:t>
            </w:r>
          </w:p>
          <w:p w14:paraId="0CFD68F4">
            <w:pPr>
              <w:spacing w:line="300" w:lineRule="auto"/>
              <w:rPr>
                <w:color w:val="auto"/>
              </w:rPr>
            </w:pPr>
            <w:r>
              <w:rPr>
                <w:rFonts w:hint="eastAsia"/>
                <w:color w:val="auto"/>
              </w:rPr>
              <w:t>（10）住(出)院碳青霉烯类/替加环素、特殊级抗菌药物。</w:t>
            </w:r>
          </w:p>
        </w:tc>
      </w:tr>
      <w:tr w14:paraId="0DBE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C5AB1BF">
            <w:pPr>
              <w:spacing w:line="300" w:lineRule="auto"/>
              <w:jc w:val="center"/>
              <w:rPr>
                <w:b w:val="0"/>
                <w:color w:val="auto"/>
              </w:rPr>
            </w:pPr>
            <w:r>
              <w:rPr>
                <w:rFonts w:hint="eastAsia"/>
                <w:b w:val="0"/>
                <w:color w:val="auto"/>
              </w:rPr>
              <w:t>点评任务管理</w:t>
            </w:r>
          </w:p>
        </w:tc>
        <w:tc>
          <w:tcPr>
            <w:tcW w:w="6579" w:type="dxa"/>
            <w:vAlign w:val="center"/>
          </w:tcPr>
          <w:p w14:paraId="2E61AAF4">
            <w:pPr>
              <w:spacing w:line="300" w:lineRule="auto"/>
              <w:rPr>
                <w:color w:val="auto"/>
              </w:rPr>
            </w:pPr>
            <w:r>
              <w:rPr>
                <w:rFonts w:hint="eastAsia"/>
                <w:color w:val="auto"/>
              </w:rPr>
              <w:t>个人任务完成情况：管理个人待点评、已点评任务，支持查看患者全貌信息。</w:t>
            </w:r>
          </w:p>
          <w:p w14:paraId="73E81FD0">
            <w:pPr>
              <w:spacing w:line="300" w:lineRule="auto"/>
              <w:rPr>
                <w:color w:val="auto"/>
              </w:rPr>
            </w:pPr>
            <w:r>
              <w:rPr>
                <w:rFonts w:hint="eastAsia"/>
                <w:color w:val="auto"/>
              </w:rPr>
              <w:t>医生反馈与申诉管理：跟踪处理医生对点评结果的反馈与申诉，记录申诉理由、处理过程及结果（支持查看汇总表与明细表）。</w:t>
            </w:r>
          </w:p>
          <w:p w14:paraId="2B197237">
            <w:pPr>
              <w:spacing w:line="300" w:lineRule="auto"/>
              <w:rPr>
                <w:color w:val="auto"/>
              </w:rPr>
            </w:pPr>
            <w:r>
              <w:rPr>
                <w:rFonts w:hint="eastAsia"/>
                <w:color w:val="auto"/>
              </w:rPr>
              <w:t>团队任务完成情况：监控各点评人任务量、合理/不合理数、完成率。</w:t>
            </w:r>
          </w:p>
          <w:p w14:paraId="0A3F6101">
            <w:pPr>
              <w:spacing w:line="300" w:lineRule="auto"/>
              <w:rPr>
                <w:color w:val="auto"/>
              </w:rPr>
            </w:pPr>
            <w:r>
              <w:rPr>
                <w:rFonts w:hint="eastAsia"/>
                <w:color w:val="auto"/>
              </w:rPr>
              <w:t>点评结果汇总统计：多维度（按项目、医院、科室、医生）统计点评结果。</w:t>
            </w:r>
          </w:p>
          <w:p w14:paraId="3C791F9B">
            <w:pPr>
              <w:spacing w:line="300" w:lineRule="auto"/>
              <w:rPr>
                <w:color w:val="auto"/>
              </w:rPr>
            </w:pPr>
            <w:r>
              <w:rPr>
                <w:rFonts w:hint="eastAsia"/>
                <w:color w:val="auto"/>
              </w:rPr>
              <w:t>申诉处理统计：汇总分析申诉申请量、成功率、失败率等。</w:t>
            </w:r>
          </w:p>
        </w:tc>
      </w:tr>
    </w:tbl>
    <w:p w14:paraId="6B294464">
      <w:pPr>
        <w:pStyle w:val="4"/>
        <w:numPr>
          <w:ilvl w:val="1"/>
          <w:numId w:val="0"/>
        </w:numPr>
        <w:ind w:left="576" w:leftChars="0" w:hanging="576" w:firstLineChars="0"/>
        <w:rPr>
          <w:color w:val="auto"/>
        </w:rPr>
      </w:pPr>
      <w:bookmarkStart w:id="140" w:name="_Toc208646532"/>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.10</w:t>
      </w:r>
      <w:r>
        <w:rPr>
          <w:rFonts w:hint="eastAsia"/>
          <w:color w:val="auto"/>
        </w:rPr>
        <w:t>医院感染综合监控系统</w:t>
      </w:r>
      <w:bookmarkEnd w:id="140"/>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7A6E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shd w:val="clear" w:color="auto" w:fill="BEBEBE" w:themeFill="background1" w:themeFillShade="BF"/>
            <w:vAlign w:val="center"/>
          </w:tcPr>
          <w:p w14:paraId="293191F6">
            <w:pPr>
              <w:pStyle w:val="18"/>
              <w:jc w:val="center"/>
              <w:rPr>
                <w:b w:val="0"/>
                <w:color w:val="auto"/>
              </w:rPr>
            </w:pPr>
            <w:r>
              <w:rPr>
                <w:rFonts w:hint="eastAsia"/>
                <w:b/>
                <w:color w:val="auto"/>
              </w:rPr>
              <w:t>系统名称</w:t>
            </w:r>
          </w:p>
        </w:tc>
        <w:tc>
          <w:tcPr>
            <w:tcW w:w="3973" w:type="pct"/>
            <w:shd w:val="clear" w:color="auto" w:fill="BEBEBE" w:themeFill="background1" w:themeFillShade="BF"/>
            <w:vAlign w:val="center"/>
          </w:tcPr>
          <w:p w14:paraId="6DB957EA">
            <w:pPr>
              <w:pStyle w:val="18"/>
              <w:rPr>
                <w:b/>
                <w:color w:val="auto"/>
              </w:rPr>
            </w:pPr>
            <w:r>
              <w:rPr>
                <w:rFonts w:hint="eastAsia"/>
                <w:b/>
                <w:color w:val="auto"/>
              </w:rPr>
              <w:t>医院感染综合监控系统</w:t>
            </w:r>
          </w:p>
        </w:tc>
      </w:tr>
      <w:tr w14:paraId="1D33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2CE8593">
            <w:pPr>
              <w:pStyle w:val="18"/>
              <w:jc w:val="center"/>
              <w:rPr>
                <w:b w:val="0"/>
                <w:color w:val="auto"/>
              </w:rPr>
            </w:pPr>
            <w:r>
              <w:rPr>
                <w:rFonts w:hint="eastAsia"/>
                <w:b w:val="0"/>
                <w:color w:val="auto"/>
              </w:rPr>
              <w:t>系统概述</w:t>
            </w:r>
          </w:p>
        </w:tc>
        <w:tc>
          <w:tcPr>
            <w:tcW w:w="3973" w:type="pct"/>
            <w:vAlign w:val="center"/>
          </w:tcPr>
          <w:p w14:paraId="47E6F733">
            <w:pPr>
              <w:pStyle w:val="18"/>
              <w:rPr>
                <w:color w:val="auto"/>
              </w:rPr>
            </w:pPr>
            <w:r>
              <w:rPr>
                <w:rFonts w:hint="eastAsia"/>
                <w:color w:val="auto"/>
              </w:rPr>
              <w:t>以医院感染的预防和控制为中心，以院感业务为主线，实现系统预测、医生上报、院感专职人员审核的业务流程，助力医院实现精准的感染预警，做到早发现、早处置，预防感染事件的发生。</w:t>
            </w:r>
          </w:p>
          <w:p w14:paraId="02A62C1C">
            <w:pPr>
              <w:pStyle w:val="18"/>
              <w:rPr>
                <w:color w:val="auto"/>
              </w:rPr>
            </w:pPr>
            <w:r>
              <w:rPr>
                <w:rFonts w:hint="eastAsia"/>
                <w:color w:val="auto"/>
              </w:rPr>
              <w:t>需满足如下标准规范要求：</w:t>
            </w:r>
          </w:p>
          <w:p w14:paraId="3BF6EAB7">
            <w:pPr>
              <w:pStyle w:val="18"/>
              <w:rPr>
                <w:color w:val="auto"/>
              </w:rPr>
            </w:pPr>
            <w:r>
              <w:rPr>
                <w:rFonts w:hint="eastAsia"/>
                <w:color w:val="auto"/>
              </w:rPr>
              <w:t>（1）满足卫健委《医院感染管理信息系统基本功能规范》要求；</w:t>
            </w:r>
          </w:p>
          <w:p w14:paraId="0A973F56">
            <w:pPr>
              <w:pStyle w:val="18"/>
              <w:rPr>
                <w:color w:val="auto"/>
              </w:rPr>
            </w:pPr>
            <w:r>
              <w:rPr>
                <w:rFonts w:hint="eastAsia"/>
                <w:color w:val="auto"/>
              </w:rPr>
              <w:t>（2）满足卫健委医院管理研究所发布的《NIHA医院感染监测基本数据集及质量控制指标集实施指南》中的数据采集要求及统计要求；</w:t>
            </w:r>
          </w:p>
          <w:p w14:paraId="676569FB">
            <w:pPr>
              <w:pStyle w:val="18"/>
              <w:rPr>
                <w:color w:val="auto"/>
              </w:rPr>
            </w:pPr>
            <w:r>
              <w:rPr>
                <w:rFonts w:hint="eastAsia"/>
                <w:color w:val="auto"/>
              </w:rPr>
              <w:t>（3）满足卫健委发布的《医院感染监测规范》要求。</w:t>
            </w:r>
          </w:p>
          <w:p w14:paraId="389FB4AD">
            <w:pPr>
              <w:pStyle w:val="18"/>
              <w:rPr>
                <w:color w:val="auto"/>
              </w:rPr>
            </w:pPr>
            <w:r>
              <w:rPr>
                <w:rFonts w:hint="eastAsia"/>
                <w:color w:val="auto"/>
              </w:rPr>
              <w:t>（4）满足《WS670-2021医疗机构感染监测基本数据集》要求；</w:t>
            </w:r>
          </w:p>
          <w:p w14:paraId="61E3194D">
            <w:pPr>
              <w:pStyle w:val="18"/>
              <w:rPr>
                <w:color w:val="auto"/>
              </w:rPr>
            </w:pPr>
            <w:r>
              <w:rPr>
                <w:rFonts w:hint="eastAsia"/>
                <w:color w:val="auto"/>
              </w:rPr>
              <w:t>（5）满足卫健委发布的《医院评审标准实施细则》等级医院评审对院感模块的要求；</w:t>
            </w:r>
          </w:p>
          <w:p w14:paraId="604E919C">
            <w:pPr>
              <w:pStyle w:val="18"/>
              <w:rPr>
                <w:color w:val="auto"/>
              </w:rPr>
            </w:pPr>
            <w:r>
              <w:rPr>
                <w:rFonts w:hint="eastAsia"/>
                <w:color w:val="auto"/>
              </w:rPr>
              <w:t>（6）满足电子病历（智慧医疗）四级评级对院感的要求；</w:t>
            </w:r>
          </w:p>
          <w:p w14:paraId="41350A6D">
            <w:pPr>
              <w:pStyle w:val="18"/>
              <w:rPr>
                <w:color w:val="auto"/>
              </w:rPr>
            </w:pPr>
            <w:r>
              <w:rPr>
                <w:rFonts w:hint="eastAsia"/>
                <w:color w:val="auto"/>
              </w:rPr>
              <w:t>（7）满足卫健委2023年发布的《WS/T 312-2023医院感染监测标准》要求。</w:t>
            </w:r>
          </w:p>
          <w:p w14:paraId="2ADDE1FF">
            <w:pPr>
              <w:pStyle w:val="18"/>
              <w:rPr>
                <w:color w:val="auto"/>
              </w:rPr>
            </w:pPr>
            <w:r>
              <w:rPr>
                <w:rFonts w:hint="eastAsia"/>
                <w:color w:val="auto"/>
              </w:rPr>
              <w:t>（8）满足卫健委2024年发布的医院感染管理医疗质量控制指标（2024年版）的统计要求。</w:t>
            </w:r>
          </w:p>
        </w:tc>
      </w:tr>
      <w:tr w14:paraId="7D8A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66F717A5">
            <w:pPr>
              <w:pStyle w:val="18"/>
              <w:jc w:val="center"/>
              <w:rPr>
                <w:b/>
                <w:bCs/>
                <w:color w:val="auto"/>
              </w:rPr>
            </w:pPr>
            <w:r>
              <w:rPr>
                <w:rFonts w:hint="eastAsia"/>
                <w:b/>
                <w:bCs/>
                <w:color w:val="auto"/>
              </w:rPr>
              <w:t>子项名称</w:t>
            </w:r>
          </w:p>
        </w:tc>
        <w:tc>
          <w:tcPr>
            <w:tcW w:w="3973" w:type="pct"/>
            <w:vAlign w:val="center"/>
          </w:tcPr>
          <w:p w14:paraId="30530F9A">
            <w:pPr>
              <w:pStyle w:val="18"/>
              <w:jc w:val="center"/>
              <w:rPr>
                <w:b/>
                <w:bCs/>
                <w:color w:val="auto"/>
              </w:rPr>
            </w:pPr>
            <w:r>
              <w:rPr>
                <w:rFonts w:hint="eastAsia"/>
                <w:b/>
                <w:bCs/>
                <w:color w:val="auto"/>
              </w:rPr>
              <w:t>技术和功能配置要求</w:t>
            </w:r>
          </w:p>
        </w:tc>
      </w:tr>
      <w:tr w14:paraId="6E5E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3CECDC04">
            <w:pPr>
              <w:pStyle w:val="18"/>
              <w:jc w:val="center"/>
              <w:rPr>
                <w:b w:val="0"/>
                <w:color w:val="auto"/>
              </w:rPr>
            </w:pPr>
            <w:bookmarkStart w:id="141" w:name="_Hlk178271974"/>
            <w:r>
              <w:rPr>
                <w:rFonts w:hint="eastAsia"/>
                <w:b w:val="0"/>
                <w:color w:val="auto"/>
              </w:rPr>
              <w:t>病例预警</w:t>
            </w:r>
          </w:p>
        </w:tc>
        <w:tc>
          <w:tcPr>
            <w:tcW w:w="3973" w:type="pct"/>
            <w:vAlign w:val="center"/>
          </w:tcPr>
          <w:p w14:paraId="65C15E64">
            <w:pPr>
              <w:pStyle w:val="18"/>
              <w:rPr>
                <w:color w:val="auto"/>
              </w:rPr>
            </w:pPr>
            <w:r>
              <w:rPr>
                <w:rFonts w:hint="eastAsia"/>
                <w:color w:val="auto"/>
              </w:rPr>
              <w:t>（1）支持《医院感染诊断标准》诊断模型。</w:t>
            </w:r>
          </w:p>
          <w:p w14:paraId="464F1378">
            <w:pPr>
              <w:pStyle w:val="18"/>
              <w:rPr>
                <w:color w:val="auto"/>
              </w:rPr>
            </w:pPr>
            <w:r>
              <w:rPr>
                <w:rFonts w:hint="eastAsia"/>
                <w:color w:val="auto"/>
              </w:rPr>
              <w:t>（2）支持对纯文本、半结构化或结构化的病历内容进行自然语言分析处理，对xml、html、rtf、txt友好支持；</w:t>
            </w:r>
          </w:p>
          <w:p w14:paraId="62AAC712">
            <w:pPr>
              <w:pStyle w:val="18"/>
              <w:rPr>
                <w:color w:val="auto"/>
              </w:rPr>
            </w:pPr>
            <w:r>
              <w:rPr>
                <w:rFonts w:hint="eastAsia"/>
                <w:color w:val="auto"/>
              </w:rPr>
              <w:t>（3）通过自然语言处理技术对患者病例进行语义分析，智能识别感染因素，使用特殊颜色字体在病程中标注，方便用户查看，并结合检验、检查、体温等信息进行综合预警；支持标记并提取感染因素，单独一列展示感染因素；</w:t>
            </w:r>
          </w:p>
          <w:p w14:paraId="4CA3EDA2">
            <w:pPr>
              <w:pStyle w:val="18"/>
              <w:rPr>
                <w:color w:val="auto"/>
              </w:rPr>
            </w:pPr>
            <w:r>
              <w:rPr>
                <w:rFonts w:hint="eastAsia"/>
                <w:color w:val="auto"/>
              </w:rPr>
              <w:t>预警功能支持临床医生上报院感报卡，支持院感科医生选择</w:t>
            </w:r>
          </w:p>
          <w:p w14:paraId="47E02F80">
            <w:pPr>
              <w:pStyle w:val="18"/>
              <w:rPr>
                <w:color w:val="auto"/>
              </w:rPr>
            </w:pPr>
            <w:r>
              <w:rPr>
                <w:rFonts w:hint="eastAsia"/>
                <w:color w:val="auto"/>
              </w:rPr>
              <w:t>（4）支持对患者常规检验中感染相关重要指标进行分析并提示，如降钙素原、C反应蛋白、超敏C反应蛋白；</w:t>
            </w:r>
          </w:p>
          <w:p w14:paraId="7E8B1E8F">
            <w:pPr>
              <w:pStyle w:val="18"/>
              <w:rPr>
                <w:color w:val="auto"/>
              </w:rPr>
            </w:pPr>
            <w:r>
              <w:rPr>
                <w:rFonts w:hint="eastAsia"/>
                <w:color w:val="auto"/>
              </w:rPr>
              <w:t>（5）结合模型预警计算出患者感染部位的感染开始日期，自动区分出医院感染与社区感染；</w:t>
            </w:r>
          </w:p>
          <w:p w14:paraId="3A2044B8">
            <w:pPr>
              <w:pStyle w:val="18"/>
              <w:rPr>
                <w:color w:val="auto"/>
              </w:rPr>
            </w:pPr>
            <w:r>
              <w:rPr>
                <w:rFonts w:hint="eastAsia"/>
                <w:color w:val="auto"/>
              </w:rPr>
              <w:t>（6）自动生成待处理疑似感染病例，按在院、关注患者、出院三种患者角度进行预警病例查看，同时支持根据用户管辖科室、全院两种方式查看；</w:t>
            </w:r>
          </w:p>
          <w:p w14:paraId="02F9088F">
            <w:pPr>
              <w:pStyle w:val="18"/>
              <w:rPr>
                <w:color w:val="auto"/>
              </w:rPr>
            </w:pPr>
            <w:r>
              <w:rPr>
                <w:rFonts w:hint="eastAsia"/>
                <w:color w:val="auto"/>
              </w:rPr>
              <w:t>（7）支持对患者疑似感染病例操作的同时，可查看患者的重要关注因素；</w:t>
            </w:r>
          </w:p>
          <w:p w14:paraId="26CA14E4">
            <w:pPr>
              <w:pStyle w:val="18"/>
              <w:rPr>
                <w:color w:val="auto"/>
              </w:rPr>
            </w:pPr>
            <w:r>
              <w:rPr>
                <w:rFonts w:hint="eastAsia"/>
                <w:color w:val="auto"/>
              </w:rPr>
              <w:t>（8）支持专职人员对疑似病例处理，包括确认、代报、排除，处理后的疑似病例标记为已确认、已排除，未处理的则是未处理标识；</w:t>
            </w:r>
          </w:p>
          <w:p w14:paraId="3190387C">
            <w:pPr>
              <w:pStyle w:val="18"/>
              <w:rPr>
                <w:color w:val="auto"/>
              </w:rPr>
            </w:pPr>
            <w:r>
              <w:rPr>
                <w:rFonts w:hint="eastAsia"/>
                <w:color w:val="auto"/>
              </w:rPr>
              <w:t>（9）支持临床医生对疑似病例处置后，院感科专职人员二次审核确认临床操作结果。</w:t>
            </w:r>
          </w:p>
          <w:p w14:paraId="04D3CCBC">
            <w:pPr>
              <w:pStyle w:val="18"/>
              <w:rPr>
                <w:color w:val="auto"/>
              </w:rPr>
            </w:pPr>
            <w:r>
              <w:rPr>
                <w:rFonts w:hint="eastAsia"/>
                <w:color w:val="auto"/>
              </w:rPr>
              <w:t>（10）对疑似感染病例的预警来源维度分类展示，包括：病历、检验、体温、影像、抗菌药物使用情况，方便专职人员查阅；</w:t>
            </w:r>
          </w:p>
          <w:p w14:paraId="4C61FA0D">
            <w:pPr>
              <w:pStyle w:val="18"/>
              <w:rPr>
                <w:color w:val="auto"/>
              </w:rPr>
            </w:pPr>
            <w:r>
              <w:rPr>
                <w:rFonts w:hint="eastAsia"/>
                <w:color w:val="auto"/>
              </w:rPr>
              <w:t>（11）对疑似感染病例的预警来源直观展示，包括：诊断感染依据、原文内容、出现时间段；</w:t>
            </w:r>
          </w:p>
          <w:p w14:paraId="65C28F93">
            <w:pPr>
              <w:pStyle w:val="18"/>
              <w:rPr>
                <w:color w:val="auto"/>
              </w:rPr>
            </w:pPr>
            <w:r>
              <w:rPr>
                <w:rFonts w:hint="eastAsia"/>
                <w:color w:val="auto"/>
              </w:rPr>
              <w:t>（12）支持对病历中感染因素进行颜色标记，以便专职人员能够直观追溯病历重要内容；</w:t>
            </w:r>
          </w:p>
          <w:p w14:paraId="740AE5D9">
            <w:pPr>
              <w:pStyle w:val="18"/>
              <w:rPr>
                <w:color w:val="auto"/>
              </w:rPr>
            </w:pPr>
            <w:r>
              <w:rPr>
                <w:rFonts w:hint="eastAsia"/>
                <w:color w:val="auto"/>
              </w:rPr>
              <w:t>（13）支持对患者病例重点关注操作，同时以角标标记患者诊疗卡片，方便用户直观看到是否为关注患者，进行后续跟踪；</w:t>
            </w:r>
          </w:p>
          <w:p w14:paraId="6120A1CD">
            <w:pPr>
              <w:pStyle w:val="18"/>
              <w:rPr>
                <w:color w:val="auto"/>
              </w:rPr>
            </w:pPr>
            <w:r>
              <w:rPr>
                <w:rFonts w:hint="eastAsia"/>
                <w:color w:val="auto"/>
              </w:rPr>
              <w:t>（14）支持对患者的疑似感染进行干预到临床操作处理，临床医生接收干预消息后，可对患者进行疑似感染病主动确认或排除操作；</w:t>
            </w:r>
          </w:p>
          <w:p w14:paraId="3BEC2BEF">
            <w:pPr>
              <w:pStyle w:val="18"/>
              <w:rPr>
                <w:color w:val="auto"/>
              </w:rPr>
            </w:pPr>
            <w:r>
              <w:rPr>
                <w:rFonts w:hint="eastAsia"/>
                <w:color w:val="auto"/>
              </w:rPr>
              <w:t>（15）支持对患者的疑似感染进行感染病例代报。</w:t>
            </w:r>
          </w:p>
        </w:tc>
      </w:tr>
      <w:tr w14:paraId="1ACD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333CA4EC">
            <w:pPr>
              <w:pStyle w:val="18"/>
              <w:jc w:val="center"/>
              <w:rPr>
                <w:b w:val="0"/>
                <w:color w:val="auto"/>
              </w:rPr>
            </w:pPr>
            <w:r>
              <w:rPr>
                <w:rFonts w:hint="eastAsia"/>
                <w:b w:val="0"/>
                <w:color w:val="auto"/>
              </w:rPr>
              <w:t>暴发预警</w:t>
            </w:r>
          </w:p>
        </w:tc>
        <w:tc>
          <w:tcPr>
            <w:tcW w:w="3973" w:type="pct"/>
            <w:vAlign w:val="center"/>
          </w:tcPr>
          <w:p w14:paraId="388FB5B2">
            <w:pPr>
              <w:pStyle w:val="18"/>
              <w:rPr>
                <w:color w:val="auto"/>
              </w:rPr>
            </w:pPr>
            <w:r>
              <w:rPr>
                <w:rFonts w:hint="eastAsia"/>
                <w:color w:val="auto"/>
              </w:rPr>
              <w:t>（1）以事件形式展示疑似暴发概况；</w:t>
            </w:r>
          </w:p>
          <w:p w14:paraId="7C3A3DD6">
            <w:pPr>
              <w:pStyle w:val="18"/>
              <w:rPr>
                <w:color w:val="auto"/>
              </w:rPr>
            </w:pPr>
            <w:r>
              <w:rPr>
                <w:rFonts w:hint="eastAsia"/>
                <w:color w:val="auto"/>
              </w:rPr>
              <w:t>（2）支持暴发预警提示在首页监测面板显著提示，对未处理的暴发预警始终显示；</w:t>
            </w:r>
          </w:p>
          <w:p w14:paraId="61632237">
            <w:pPr>
              <w:pStyle w:val="18"/>
              <w:rPr>
                <w:color w:val="auto"/>
              </w:rPr>
            </w:pPr>
            <w:r>
              <w:rPr>
                <w:rFonts w:hint="eastAsia"/>
                <w:color w:val="auto"/>
              </w:rPr>
              <w:t>（3）监测项目包括：发热、腹泻、大便常规、血培养、相同耐药谱、感染部位、病原体、痰培养；</w:t>
            </w:r>
          </w:p>
          <w:p w14:paraId="33249257">
            <w:pPr>
              <w:pStyle w:val="18"/>
              <w:rPr>
                <w:color w:val="auto"/>
              </w:rPr>
            </w:pPr>
            <w:r>
              <w:rPr>
                <w:rFonts w:hint="eastAsia"/>
                <w:color w:val="auto"/>
              </w:rPr>
              <w:t>（4）支持对监测项目的关注程度进行自定义调整，包括重点关注、一般关注；</w:t>
            </w:r>
          </w:p>
          <w:p w14:paraId="1D0EDED6">
            <w:pPr>
              <w:pStyle w:val="18"/>
              <w:rPr>
                <w:color w:val="auto"/>
              </w:rPr>
            </w:pPr>
            <w:r>
              <w:rPr>
                <w:rFonts w:hint="eastAsia"/>
                <w:color w:val="auto"/>
              </w:rPr>
              <w:t>（5）支持对查询结果内容穿透查看具体明细，如血培养疑似暴发的送检项目、送检时间可直接展示查看，减少打开页面次数；</w:t>
            </w:r>
          </w:p>
          <w:p w14:paraId="5E87794E">
            <w:pPr>
              <w:pStyle w:val="18"/>
              <w:rPr>
                <w:color w:val="auto"/>
              </w:rPr>
            </w:pPr>
            <w:r>
              <w:rPr>
                <w:rFonts w:hint="eastAsia"/>
                <w:color w:val="auto"/>
              </w:rPr>
              <w:t>（6）支持对疑似暴发的审核操作，包括确认暴发、排除暴发、备注事件、干预；</w:t>
            </w:r>
          </w:p>
          <w:p w14:paraId="0E457CB5">
            <w:pPr>
              <w:pStyle w:val="18"/>
              <w:rPr>
                <w:color w:val="auto"/>
              </w:rPr>
            </w:pPr>
            <w:r>
              <w:rPr>
                <w:rFonts w:hint="eastAsia"/>
                <w:color w:val="auto"/>
              </w:rPr>
              <w:t>（7）支持对审核后的疑似暴发事件查看审核人、审核时间、备注内容；</w:t>
            </w:r>
          </w:p>
        </w:tc>
      </w:tr>
      <w:tr w14:paraId="165D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65C8F9D0">
            <w:pPr>
              <w:pStyle w:val="18"/>
              <w:jc w:val="center"/>
              <w:rPr>
                <w:b w:val="0"/>
                <w:color w:val="auto"/>
              </w:rPr>
            </w:pPr>
            <w:r>
              <w:rPr>
                <w:rFonts w:hint="eastAsia"/>
                <w:b w:val="0"/>
                <w:color w:val="auto"/>
              </w:rPr>
              <w:t>风险分析</w:t>
            </w:r>
          </w:p>
        </w:tc>
        <w:tc>
          <w:tcPr>
            <w:tcW w:w="3973" w:type="pct"/>
            <w:vAlign w:val="center"/>
          </w:tcPr>
          <w:p w14:paraId="6A2488C9">
            <w:pPr>
              <w:pStyle w:val="18"/>
              <w:rPr>
                <w:color w:val="auto"/>
              </w:rPr>
            </w:pPr>
            <w:r>
              <w:rPr>
                <w:rFonts w:hint="eastAsia"/>
                <w:color w:val="auto"/>
              </w:rPr>
              <w:t>（1）系统自带风险分析体系，根据患者的全方位易感因素，判定患者的感染风险值，预警出科室的高风险感染患者</w:t>
            </w:r>
          </w:p>
          <w:p w14:paraId="16A07A43">
            <w:pPr>
              <w:pStyle w:val="18"/>
              <w:rPr>
                <w:color w:val="auto"/>
              </w:rPr>
            </w:pPr>
            <w:r>
              <w:rPr>
                <w:rFonts w:hint="eastAsia"/>
                <w:color w:val="auto"/>
              </w:rPr>
              <w:t>（2）根据时间线刻录高风险患者患者的感染风险点，系统自动提醒临床，进行风险环节的提前干预，智能的根据不同类型的风险因素发送针对性的干预形式（评估表、SOP、防控措施落实表等）和干预内容从源头上降低医院感染发生率</w:t>
            </w:r>
          </w:p>
          <w:p w14:paraId="257F1DC1">
            <w:pPr>
              <w:pStyle w:val="18"/>
              <w:rPr>
                <w:color w:val="auto"/>
              </w:rPr>
            </w:pPr>
            <w:r>
              <w:rPr>
                <w:rFonts w:hint="eastAsia"/>
                <w:color w:val="auto"/>
              </w:rPr>
              <w:t>（3）干预结果同步至院感专职人员，如果临床未及时处理，专职人员可利用系统进行人工干预</w:t>
            </w:r>
          </w:p>
          <w:p w14:paraId="18A53E8C">
            <w:pPr>
              <w:pStyle w:val="18"/>
              <w:rPr>
                <w:color w:val="auto"/>
              </w:rPr>
            </w:pPr>
            <w:r>
              <w:rPr>
                <w:rFonts w:hint="eastAsia"/>
                <w:color w:val="auto"/>
              </w:rPr>
              <w:t>（4）针对高风险感染患者的感染风险点，用户可在页面上查看干预记录列表、干预详情、风险评估表，全面的掌握患者的风险点干预情况；且可直接点击进行PDCA循环质量管理，涉及问题记录、原因分析、考核结果等环节，帮助用户有针对性的、持续的改进临床医疗质量</w:t>
            </w:r>
          </w:p>
        </w:tc>
      </w:tr>
      <w:tr w14:paraId="0FFA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10B91866">
            <w:pPr>
              <w:pStyle w:val="18"/>
              <w:jc w:val="center"/>
              <w:rPr>
                <w:b w:val="0"/>
                <w:color w:val="auto"/>
              </w:rPr>
            </w:pPr>
            <w:r>
              <w:rPr>
                <w:b w:val="0"/>
                <w:color w:val="auto"/>
              </w:rPr>
              <w:t>床位</w:t>
            </w:r>
            <w:r>
              <w:rPr>
                <w:rFonts w:hint="eastAsia"/>
                <w:b w:val="0"/>
                <w:color w:val="auto"/>
              </w:rPr>
              <w:t>风险</w:t>
            </w:r>
            <w:r>
              <w:rPr>
                <w:b w:val="0"/>
                <w:color w:val="auto"/>
              </w:rPr>
              <w:t>分布</w:t>
            </w:r>
          </w:p>
        </w:tc>
        <w:tc>
          <w:tcPr>
            <w:tcW w:w="3973" w:type="pct"/>
            <w:vAlign w:val="center"/>
          </w:tcPr>
          <w:p w14:paraId="27E9C9F6">
            <w:pPr>
              <w:pStyle w:val="18"/>
              <w:rPr>
                <w:color w:val="auto"/>
              </w:rPr>
            </w:pPr>
            <w:r>
              <w:rPr>
                <w:rFonts w:hint="eastAsia"/>
                <w:color w:val="auto"/>
              </w:rPr>
              <w:t>（1）通过图形展示科室病房的床位分布与布局，更加直观的查看每个房间、每个床位患者的分布情况，直观的了解患者风险因素（如是否感染、疑似院感、是否使用抗菌药物、是否有检出细菌，是否体温异常、是否检出病毒等），方便的掌握本科是否存在聚集性事件情况，有效辅助感控专职人员进行研判；</w:t>
            </w:r>
          </w:p>
          <w:p w14:paraId="4EF5B217">
            <w:pPr>
              <w:pStyle w:val="18"/>
              <w:rPr>
                <w:color w:val="auto"/>
              </w:rPr>
            </w:pPr>
            <w:r>
              <w:rPr>
                <w:rFonts w:hint="eastAsia"/>
                <w:color w:val="auto"/>
              </w:rPr>
              <w:t>（2）科室病房可由临床科室自行进行病房数量新增、删除、名称修改，更加符合科室现有病房名称命名，支持ICU模式病房设置；</w:t>
            </w:r>
          </w:p>
          <w:p w14:paraId="42BE0063">
            <w:pPr>
              <w:pStyle w:val="18"/>
              <w:rPr>
                <w:color w:val="auto"/>
              </w:rPr>
            </w:pPr>
            <w:r>
              <w:rPr>
                <w:rFonts w:hint="eastAsia"/>
                <w:color w:val="auto"/>
              </w:rPr>
              <w:t>（3）病房中床位可由临床客户数自行进行床位数量新增、删除、名称修改，更加符合病房中病床命名，同时支持走廊加床的新增；</w:t>
            </w:r>
          </w:p>
          <w:p w14:paraId="0E219C40">
            <w:pPr>
              <w:pStyle w:val="18"/>
              <w:rPr>
                <w:color w:val="auto"/>
              </w:rPr>
            </w:pPr>
            <w:r>
              <w:rPr>
                <w:rFonts w:hint="eastAsia"/>
                <w:color w:val="auto"/>
              </w:rPr>
              <w:t>（4）支持患者随床位号进行分配与排列，并且展示患者当前存在的风险情况；</w:t>
            </w:r>
          </w:p>
          <w:p w14:paraId="3A740543">
            <w:pPr>
              <w:pStyle w:val="18"/>
              <w:rPr>
                <w:color w:val="auto"/>
              </w:rPr>
            </w:pPr>
            <w:r>
              <w:rPr>
                <w:rFonts w:hint="eastAsia"/>
                <w:color w:val="auto"/>
              </w:rPr>
              <w:t>（5）以不同图形展示患者正在经历及历史风险情况，包括：本次住院已确认感染、正在使用三大插管、检出多重耐药菌、近三天发热（超过38℃）</w:t>
            </w:r>
          </w:p>
        </w:tc>
      </w:tr>
      <w:tr w14:paraId="7777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202AD5B4">
            <w:pPr>
              <w:pStyle w:val="18"/>
              <w:jc w:val="center"/>
              <w:rPr>
                <w:b w:val="0"/>
                <w:color w:val="auto"/>
              </w:rPr>
            </w:pPr>
            <w:r>
              <w:rPr>
                <w:rFonts w:hint="eastAsia"/>
                <w:b w:val="0"/>
                <w:color w:val="auto"/>
              </w:rPr>
              <w:t>监测面板</w:t>
            </w:r>
          </w:p>
        </w:tc>
        <w:tc>
          <w:tcPr>
            <w:tcW w:w="3973" w:type="pct"/>
            <w:vAlign w:val="center"/>
          </w:tcPr>
          <w:p w14:paraId="26552492">
            <w:pPr>
              <w:pStyle w:val="18"/>
              <w:rPr>
                <w:color w:val="auto"/>
              </w:rPr>
            </w:pPr>
            <w:r>
              <w:rPr>
                <w:rFonts w:hint="eastAsia"/>
                <w:color w:val="auto"/>
              </w:rPr>
              <w:t>（1）提供友好的用户交互功能，能够集中展示全院概况、待处理事宜、重点指标监测；</w:t>
            </w:r>
          </w:p>
          <w:p w14:paraId="2B68C823">
            <w:pPr>
              <w:pStyle w:val="18"/>
              <w:rPr>
                <w:color w:val="auto"/>
              </w:rPr>
            </w:pPr>
            <w:r>
              <w:rPr>
                <w:rFonts w:hint="eastAsia"/>
                <w:color w:val="auto"/>
              </w:rPr>
              <w:t>（2）全院概况，能够支持用户查看及穿透至对应页面，全院概况内容包括：在院患者人数、体温异常人数（体温≥38℃）、三大插管人数、MDRO检出人数，重点菌检出人数；</w:t>
            </w:r>
          </w:p>
          <w:p w14:paraId="6DD2AB0C">
            <w:pPr>
              <w:pStyle w:val="18"/>
              <w:rPr>
                <w:color w:val="auto"/>
              </w:rPr>
            </w:pPr>
            <w:r>
              <w:rPr>
                <w:rFonts w:hint="eastAsia"/>
                <w:color w:val="auto"/>
              </w:rPr>
              <w:t>（3）待办事宜，能够对1个月内未处理的内容总数展示及穿透相应功能进行业务处理，待办事宜内容包括：暴发预警、感染预警、感染报卡、暴露上报，暴露复查，插管未评估，证照过期；</w:t>
            </w:r>
          </w:p>
          <w:p w14:paraId="45F8DE60">
            <w:pPr>
              <w:pStyle w:val="18"/>
              <w:rPr>
                <w:color w:val="auto"/>
              </w:rPr>
            </w:pPr>
            <w:r>
              <w:rPr>
                <w:rFonts w:hint="eastAsia"/>
                <w:color w:val="auto"/>
              </w:rPr>
              <w:t>（4）重点指标监测，能够对重点的指标进行监测及穿透查询相应统计分析，包括：感染部位构成（年度）、送检标本构成（年度）、检出重点菌构成（年度）、检出重点菌构成（年度）、职业暴露人员构成（年度）、全院发热患者趋势（近7天、近30天）、MRSA相关血流感染（近7天、近30天、近一年、近五年）、多重耐药菌检出率趋势（近7天、近30天、近一年、近五年）、发病率趋势（近12个月、近五年）。</w:t>
            </w:r>
          </w:p>
        </w:tc>
      </w:tr>
      <w:tr w14:paraId="6766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4C38E40D">
            <w:pPr>
              <w:pStyle w:val="18"/>
              <w:jc w:val="center"/>
              <w:rPr>
                <w:b w:val="0"/>
                <w:color w:val="auto"/>
              </w:rPr>
            </w:pPr>
            <w:r>
              <w:rPr>
                <w:b w:val="0"/>
                <w:color w:val="auto"/>
              </w:rPr>
              <w:t>PDCA</w:t>
            </w:r>
            <w:r>
              <w:rPr>
                <w:rFonts w:hint="eastAsia"/>
                <w:b w:val="0"/>
                <w:color w:val="auto"/>
              </w:rPr>
              <w:t>持续改进</w:t>
            </w:r>
          </w:p>
        </w:tc>
        <w:tc>
          <w:tcPr>
            <w:tcW w:w="3973" w:type="pct"/>
            <w:vAlign w:val="center"/>
          </w:tcPr>
          <w:p w14:paraId="3D919BC4">
            <w:pPr>
              <w:pStyle w:val="18"/>
              <w:rPr>
                <w:color w:val="auto"/>
              </w:rPr>
            </w:pPr>
            <w:r>
              <w:rPr>
                <w:rFonts w:hint="eastAsia"/>
                <w:color w:val="auto"/>
              </w:rPr>
              <w:t>（1）支持建立全院的PDCA持续改进机制，能够有效地根据发现问题进行项目PDCA；</w:t>
            </w:r>
          </w:p>
          <w:p w14:paraId="16118E44">
            <w:pPr>
              <w:pStyle w:val="18"/>
              <w:rPr>
                <w:color w:val="auto"/>
              </w:rPr>
            </w:pPr>
            <w:r>
              <w:rPr>
                <w:rFonts w:hint="eastAsia"/>
                <w:color w:val="auto"/>
              </w:rPr>
              <w:t>（2）能够支持感控专职人员维护PDCA流程模板中的模板名称、过程名称；</w:t>
            </w:r>
          </w:p>
          <w:p w14:paraId="3A8B74EF">
            <w:pPr>
              <w:pStyle w:val="18"/>
              <w:rPr>
                <w:color w:val="auto"/>
              </w:rPr>
            </w:pPr>
            <w:r>
              <w:rPr>
                <w:rFonts w:hint="eastAsia"/>
                <w:color w:val="auto"/>
              </w:rPr>
              <w:t>（3）支持感控专职人员发起新增PDCA持续改进，包括关联科室名称、监测项目、预期目标、资料来源、监测结果、问题叙述、原因分析、督导项目负责人、参与人员、上传图片；</w:t>
            </w:r>
          </w:p>
          <w:p w14:paraId="1311D170">
            <w:pPr>
              <w:pStyle w:val="18"/>
              <w:rPr>
                <w:color w:val="auto"/>
              </w:rPr>
            </w:pPr>
            <w:r>
              <w:rPr>
                <w:rFonts w:hint="eastAsia"/>
                <w:color w:val="auto"/>
              </w:rPr>
              <w:t>（4）支持PDCA内容打印报告、另存为PDCA改进模板；</w:t>
            </w:r>
          </w:p>
          <w:p w14:paraId="2D9C7CA5">
            <w:pPr>
              <w:pStyle w:val="18"/>
              <w:rPr>
                <w:color w:val="auto"/>
              </w:rPr>
            </w:pPr>
            <w:r>
              <w:rPr>
                <w:rFonts w:hint="eastAsia"/>
                <w:color w:val="auto"/>
              </w:rPr>
              <w:t>支持医院对PDCA流程的自定义及顺序调整。</w:t>
            </w:r>
          </w:p>
        </w:tc>
      </w:tr>
      <w:tr w14:paraId="0B8E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6720AC6C">
            <w:pPr>
              <w:pStyle w:val="18"/>
              <w:jc w:val="center"/>
              <w:rPr>
                <w:b w:val="0"/>
                <w:color w:val="auto"/>
              </w:rPr>
            </w:pPr>
            <w:r>
              <w:rPr>
                <w:rFonts w:hint="eastAsia"/>
                <w:b w:val="0"/>
                <w:color w:val="auto"/>
              </w:rPr>
              <w:t>干预会话</w:t>
            </w:r>
          </w:p>
        </w:tc>
        <w:tc>
          <w:tcPr>
            <w:tcW w:w="3973" w:type="pct"/>
            <w:vAlign w:val="center"/>
          </w:tcPr>
          <w:p w14:paraId="6B838E23">
            <w:pPr>
              <w:pStyle w:val="18"/>
              <w:rPr>
                <w:color w:val="auto"/>
              </w:rPr>
            </w:pPr>
            <w:r>
              <w:rPr>
                <w:rFonts w:hint="eastAsia"/>
                <w:color w:val="auto"/>
              </w:rPr>
              <w:t>（1）更为灵活的消息盒子，支持与医院主业务系统消息对接，如HIS系统、电子病历系统，对接后使消息接收和传送更加统一；</w:t>
            </w:r>
          </w:p>
          <w:p w14:paraId="30F0CBED">
            <w:pPr>
              <w:pStyle w:val="18"/>
              <w:rPr>
                <w:color w:val="auto"/>
              </w:rPr>
            </w:pPr>
            <w:r>
              <w:rPr>
                <w:rFonts w:hint="eastAsia"/>
                <w:color w:val="auto"/>
              </w:rPr>
              <w:t>（2）支持两种消息发送方式，包括：个人与个人的一对一实时沟通，个人至科室的一对多消息发送；</w:t>
            </w:r>
          </w:p>
          <w:p w14:paraId="20CC1CA4">
            <w:pPr>
              <w:pStyle w:val="18"/>
              <w:rPr>
                <w:color w:val="auto"/>
              </w:rPr>
            </w:pPr>
            <w:r>
              <w:rPr>
                <w:rFonts w:hint="eastAsia"/>
                <w:color w:val="auto"/>
              </w:rPr>
              <w:t>（3）支持查、看发送的消息接收人数和未读人数；</w:t>
            </w:r>
          </w:p>
          <w:p w14:paraId="51737560">
            <w:pPr>
              <w:pStyle w:val="18"/>
              <w:rPr>
                <w:color w:val="auto"/>
              </w:rPr>
            </w:pPr>
            <w:r>
              <w:rPr>
                <w:rFonts w:hint="eastAsia"/>
                <w:color w:val="auto"/>
              </w:rPr>
              <w:t>（4）支持对未读的消息一键已读操作，同时可查看全部消息；</w:t>
            </w:r>
          </w:p>
          <w:p w14:paraId="556ACDBF">
            <w:pPr>
              <w:pStyle w:val="18"/>
              <w:rPr>
                <w:color w:val="auto"/>
              </w:rPr>
            </w:pPr>
            <w:r>
              <w:rPr>
                <w:rFonts w:hint="eastAsia"/>
                <w:color w:val="auto"/>
              </w:rPr>
              <w:t>（5）消息发送支持个人到个人的一对一方式、个人到科室的一对多方式；</w:t>
            </w:r>
          </w:p>
          <w:p w14:paraId="7D640B79">
            <w:pPr>
              <w:pStyle w:val="18"/>
              <w:rPr>
                <w:color w:val="auto"/>
              </w:rPr>
            </w:pPr>
            <w:r>
              <w:rPr>
                <w:rFonts w:hint="eastAsia"/>
                <w:color w:val="auto"/>
              </w:rPr>
              <w:t>（6）支持临床科室接收感控管理端的消息，包括：感染病例审核结果提醒、职业暴露复查提醒、干预消息提醒、即时通讯消息提醒、SOP感控标准操作流程提醒；</w:t>
            </w:r>
          </w:p>
          <w:p w14:paraId="0219212A">
            <w:pPr>
              <w:pStyle w:val="18"/>
              <w:rPr>
                <w:color w:val="auto"/>
              </w:rPr>
            </w:pPr>
            <w:r>
              <w:rPr>
                <w:rFonts w:hint="eastAsia"/>
                <w:color w:val="auto"/>
              </w:rPr>
              <w:t>（7）支持感控管理端接收临床科室的消息，包括：感染病例报卡提醒、职业暴露上报提醒、即时通讯消息提醒；</w:t>
            </w:r>
          </w:p>
          <w:p w14:paraId="1919F3A5">
            <w:pPr>
              <w:pStyle w:val="18"/>
              <w:rPr>
                <w:color w:val="auto"/>
              </w:rPr>
            </w:pPr>
            <w:r>
              <w:rPr>
                <w:rFonts w:hint="eastAsia"/>
                <w:color w:val="auto"/>
              </w:rPr>
              <w:t>（8）不同的消息类型，点击后可进入不同的功能，进行查看、审核等业务操作，减少用户跳转操作；</w:t>
            </w:r>
          </w:p>
          <w:p w14:paraId="13A4BAF1">
            <w:pPr>
              <w:pStyle w:val="18"/>
              <w:rPr>
                <w:color w:val="auto"/>
              </w:rPr>
            </w:pPr>
            <w:r>
              <w:rPr>
                <w:rFonts w:hint="eastAsia"/>
                <w:color w:val="auto"/>
              </w:rPr>
              <w:t>（9）支持以患者为中心，查看贯穿患者在院期间所有干预信息及即时消息内容。</w:t>
            </w:r>
          </w:p>
          <w:p w14:paraId="31A46A4C">
            <w:pPr>
              <w:pStyle w:val="18"/>
              <w:rPr>
                <w:color w:val="auto"/>
              </w:rPr>
            </w:pPr>
            <w:r>
              <w:rPr>
                <w:rFonts w:hint="eastAsia"/>
                <w:color w:val="auto"/>
              </w:rPr>
              <w:t>（10）不登陆院感系统，可在客户端自动弹出院感科发送的干预消息及其他消息。</w:t>
            </w:r>
          </w:p>
        </w:tc>
      </w:tr>
      <w:tr w14:paraId="7C52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7AE997C3">
            <w:pPr>
              <w:pStyle w:val="18"/>
              <w:jc w:val="center"/>
              <w:rPr>
                <w:b w:val="0"/>
                <w:color w:val="auto"/>
              </w:rPr>
            </w:pPr>
            <w:r>
              <w:rPr>
                <w:rFonts w:hint="eastAsia"/>
                <w:b w:val="0"/>
                <w:color w:val="auto"/>
              </w:rPr>
              <w:t>感染监测</w:t>
            </w:r>
          </w:p>
        </w:tc>
        <w:tc>
          <w:tcPr>
            <w:tcW w:w="3973" w:type="pct"/>
            <w:vAlign w:val="center"/>
          </w:tcPr>
          <w:p w14:paraId="6E700667">
            <w:pPr>
              <w:pStyle w:val="18"/>
              <w:rPr>
                <w:color w:val="auto"/>
              </w:rPr>
            </w:pPr>
            <w:r>
              <w:rPr>
                <w:rFonts w:hint="eastAsia"/>
                <w:color w:val="auto"/>
              </w:rPr>
              <w:t>（1）支持对感染病例报卡的审核操作，报卡信息的补充及修改、报卡退回；</w:t>
            </w:r>
          </w:p>
          <w:p w14:paraId="5AB29347">
            <w:pPr>
              <w:pStyle w:val="18"/>
              <w:rPr>
                <w:color w:val="auto"/>
              </w:rPr>
            </w:pPr>
            <w:r>
              <w:rPr>
                <w:rFonts w:hint="eastAsia"/>
                <w:color w:val="auto"/>
              </w:rPr>
              <w:t>（2）支持对感染病例审核时，可查看患者历史报卡的记录概况；</w:t>
            </w:r>
          </w:p>
          <w:p w14:paraId="0FC9005C">
            <w:pPr>
              <w:pStyle w:val="18"/>
              <w:rPr>
                <w:color w:val="auto"/>
              </w:rPr>
            </w:pPr>
            <w:r>
              <w:rPr>
                <w:rFonts w:hint="eastAsia"/>
                <w:color w:val="auto"/>
              </w:rPr>
              <w:t>（3）支持查看临床医生上报医院感染病例报卡时填写的医院感染诊断依据；</w:t>
            </w:r>
          </w:p>
          <w:p w14:paraId="2D1F7CAD">
            <w:pPr>
              <w:pStyle w:val="18"/>
              <w:rPr>
                <w:color w:val="auto"/>
              </w:rPr>
            </w:pPr>
            <w:r>
              <w:rPr>
                <w:rFonts w:hint="eastAsia"/>
                <w:color w:val="auto"/>
              </w:rPr>
              <w:t xml:space="preserve">（4）支持按不同筛选条件进行感染病例查询，如：日期类别、感染类别、感染诊断名称、导管相关性条件、致病菌名称； </w:t>
            </w:r>
          </w:p>
          <w:p w14:paraId="2BFEB59E">
            <w:pPr>
              <w:pStyle w:val="18"/>
              <w:rPr>
                <w:color w:val="auto"/>
              </w:rPr>
            </w:pPr>
            <w:r>
              <w:rPr>
                <w:rFonts w:hint="eastAsia"/>
                <w:color w:val="auto"/>
              </w:rPr>
              <w:t>（5）支持对感染病例进行感染终止日期修改、感染转归情况填写、感染与原发病关系填写；</w:t>
            </w:r>
          </w:p>
          <w:p w14:paraId="658A2DC9">
            <w:pPr>
              <w:pStyle w:val="18"/>
              <w:rPr>
                <w:color w:val="auto"/>
              </w:rPr>
            </w:pPr>
            <w:r>
              <w:rPr>
                <w:rFonts w:hint="eastAsia"/>
                <w:color w:val="auto"/>
              </w:rPr>
              <w:t>（6）支持对已确认的感染病例报卡删除操作；</w:t>
            </w:r>
          </w:p>
          <w:p w14:paraId="010B6B7D">
            <w:pPr>
              <w:pStyle w:val="18"/>
              <w:rPr>
                <w:color w:val="auto"/>
              </w:rPr>
            </w:pPr>
            <w:r>
              <w:rPr>
                <w:rFonts w:hint="eastAsia"/>
                <w:color w:val="auto"/>
              </w:rPr>
              <w:t>（7）支持最新全国医院感染培训基地的现患率横断面个案调查表；</w:t>
            </w:r>
          </w:p>
          <w:p w14:paraId="2E274A5E">
            <w:pPr>
              <w:pStyle w:val="18"/>
              <w:rPr>
                <w:color w:val="auto"/>
              </w:rPr>
            </w:pPr>
            <w:r>
              <w:rPr>
                <w:rFonts w:hint="eastAsia"/>
                <w:color w:val="auto"/>
              </w:rPr>
              <w:t>（8）支持不限次数的现患率横断面调查；</w:t>
            </w:r>
          </w:p>
          <w:p w14:paraId="345CB538">
            <w:pPr>
              <w:pStyle w:val="18"/>
              <w:rPr>
                <w:color w:val="auto"/>
              </w:rPr>
            </w:pPr>
            <w:r>
              <w:rPr>
                <w:rFonts w:hint="eastAsia"/>
                <w:color w:val="auto"/>
              </w:rPr>
              <w:t>（9）支持一键自动生成调查日在院患者及出院患者现患数据，如：患者基本信息、所在科室，调查者可对调查表进行信息补充；</w:t>
            </w:r>
          </w:p>
          <w:p w14:paraId="63A0E5BE">
            <w:pPr>
              <w:pStyle w:val="18"/>
              <w:rPr>
                <w:color w:val="auto"/>
              </w:rPr>
            </w:pPr>
            <w:r>
              <w:rPr>
                <w:rFonts w:hint="eastAsia"/>
                <w:color w:val="auto"/>
              </w:rPr>
              <w:t>（10）支持对完成的调查数据可直接上报至全国医院感染监控管理培训基地；</w:t>
            </w:r>
          </w:p>
          <w:p w14:paraId="2E9A9BA7">
            <w:pPr>
              <w:pStyle w:val="18"/>
              <w:rPr>
                <w:color w:val="auto"/>
              </w:rPr>
            </w:pPr>
            <w:r>
              <w:rPr>
                <w:rFonts w:hint="eastAsia"/>
                <w:color w:val="auto"/>
              </w:rPr>
              <w:t>（11）支持查询在院患者及出院患者，并可按住院号、病案号、姓名模糊查询。</w:t>
            </w:r>
          </w:p>
        </w:tc>
      </w:tr>
      <w:tr w14:paraId="71EA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77B9029C">
            <w:pPr>
              <w:pStyle w:val="18"/>
              <w:jc w:val="center"/>
              <w:rPr>
                <w:b w:val="0"/>
                <w:color w:val="auto"/>
              </w:rPr>
            </w:pPr>
            <w:r>
              <w:rPr>
                <w:rFonts w:hint="eastAsia"/>
                <w:b w:val="0"/>
                <w:color w:val="auto"/>
              </w:rPr>
              <w:t>细菌监测</w:t>
            </w:r>
          </w:p>
        </w:tc>
        <w:tc>
          <w:tcPr>
            <w:tcW w:w="3973" w:type="pct"/>
            <w:vAlign w:val="center"/>
          </w:tcPr>
          <w:p w14:paraId="0FA62452">
            <w:pPr>
              <w:pStyle w:val="18"/>
              <w:rPr>
                <w:color w:val="auto"/>
              </w:rPr>
            </w:pPr>
            <w:r>
              <w:rPr>
                <w:rFonts w:hint="eastAsia"/>
                <w:color w:val="auto"/>
              </w:rPr>
              <w:t>（1）自动对微生物数据进行加载，结合最新多耐定义标准《医疗机构耐药菌MDR、XDR、PDR的定义专家建议（草案）》自动判断是否为MDR、XDR、PDR，对特殊耐药菌自动进行颜色醒目标识。对多重耐药进行多耐分析，及时对临床科室和感控科预警提示</w:t>
            </w:r>
          </w:p>
          <w:p w14:paraId="73CC04D3">
            <w:pPr>
              <w:pStyle w:val="18"/>
              <w:rPr>
                <w:color w:val="auto"/>
              </w:rPr>
            </w:pPr>
            <w:r>
              <w:rPr>
                <w:rFonts w:hint="eastAsia"/>
                <w:color w:val="auto"/>
              </w:rPr>
              <w:t>（2）细菌监测功能列表显示多耐/特耐审核状态、多重耐药菌防控措施的督导情况、多重耐药菌感染病例上报情况、隔离状态、是否出院、评分、管床医生、感染部位、感染类型、是否落实、备注等信息。</w:t>
            </w:r>
          </w:p>
          <w:p w14:paraId="74E204D7">
            <w:pPr>
              <w:pStyle w:val="18"/>
              <w:rPr>
                <w:color w:val="auto"/>
              </w:rPr>
            </w:pPr>
            <w:r>
              <w:rPr>
                <w:rFonts w:hint="eastAsia"/>
                <w:color w:val="auto"/>
              </w:rPr>
              <w:t>（3）对每种抗菌药物的药敏结果进行展示，并按照药敏药物的药品类别分组显示，包括：β-内酰胺与β-内酰胺酶抑制复合物、氨基糖苷类、单环β-内酰胺类、青霉素类、碳青霉烯类、头孢类、硝基呋喃类、叶酸代谢途径抑制剂(磺胺类)、喹诺酮类等，如果是天然耐药的抗菌药物，有不同颜色区分的显眼提示。</w:t>
            </w:r>
          </w:p>
          <w:p w14:paraId="1DE0A56B">
            <w:pPr>
              <w:pStyle w:val="18"/>
              <w:rPr>
                <w:color w:val="auto"/>
              </w:rPr>
            </w:pPr>
            <w:r>
              <w:rPr>
                <w:rFonts w:hint="eastAsia"/>
                <w:color w:val="auto"/>
              </w:rPr>
              <w:t>（4）支持根据最新规范标准，自动区分出MDR、XDR、PDR、特殊耐药菌、能够自动剔除天然耐药。</w:t>
            </w:r>
          </w:p>
          <w:p w14:paraId="4E36B058">
            <w:pPr>
              <w:pStyle w:val="18"/>
              <w:rPr>
                <w:color w:val="auto"/>
              </w:rPr>
            </w:pPr>
            <w:r>
              <w:rPr>
                <w:rFonts w:hint="eastAsia"/>
                <w:color w:val="auto"/>
              </w:rPr>
              <w:t>（5）支持每日检出菌中按管辖科室或全院视角查看，自动优先展示未审核的重点菌内容，对聚焦重点菌的审核、干预；</w:t>
            </w:r>
          </w:p>
          <w:p w14:paraId="2317FBD5">
            <w:pPr>
              <w:pStyle w:val="18"/>
              <w:rPr>
                <w:color w:val="auto"/>
              </w:rPr>
            </w:pPr>
            <w:r>
              <w:rPr>
                <w:rFonts w:hint="eastAsia"/>
                <w:color w:val="auto"/>
              </w:rPr>
              <w:t>（6）支持自动关联感染的致病菌信息，包括：感染类型、感染时间、感染部位；</w:t>
            </w:r>
          </w:p>
          <w:p w14:paraId="6A24E861">
            <w:pPr>
              <w:pStyle w:val="18"/>
              <w:rPr>
                <w:color w:val="auto"/>
              </w:rPr>
            </w:pPr>
            <w:r>
              <w:rPr>
                <w:rFonts w:hint="eastAsia"/>
                <w:color w:val="auto"/>
              </w:rPr>
              <w:t>（7）该功能支持在该功能对多重耐药菌进行多耐、特耐审核；对细菌的感染类型审核处理，包括：院感、社感、定植、污染、不确定、未审核等操作；审核为院感时，可优先干预到临床，要求临床先进行院感致病菌报告；</w:t>
            </w:r>
          </w:p>
          <w:p w14:paraId="24F3AE73">
            <w:pPr>
              <w:pStyle w:val="18"/>
              <w:rPr>
                <w:color w:val="auto"/>
              </w:rPr>
            </w:pPr>
            <w:r>
              <w:rPr>
                <w:rFonts w:hint="eastAsia"/>
                <w:color w:val="auto"/>
              </w:rPr>
              <w:t>（8）支持根据患者医嘱情况，自动展示患者隔离标识，自动计算出患者开始隔离日期、解除隔离日期，可钻取隔离标识的医嘱明细；</w:t>
            </w:r>
          </w:p>
          <w:p w14:paraId="33784A1E">
            <w:pPr>
              <w:pStyle w:val="18"/>
              <w:rPr>
                <w:color w:val="auto"/>
              </w:rPr>
            </w:pPr>
            <w:r>
              <w:rPr>
                <w:rFonts w:hint="eastAsia"/>
                <w:color w:val="auto"/>
              </w:rPr>
              <w:t>（9）支持对干预的检出菌患者，进行隔离干预消息操作，干预自动生成；</w:t>
            </w:r>
          </w:p>
          <w:p w14:paraId="28C040A9">
            <w:pPr>
              <w:pStyle w:val="18"/>
              <w:rPr>
                <w:color w:val="auto"/>
              </w:rPr>
            </w:pPr>
            <w:r>
              <w:rPr>
                <w:rFonts w:hint="eastAsia"/>
                <w:color w:val="auto"/>
              </w:rPr>
              <w:t>（10）支持调阅查看多重耐药菌患者的感染防控评估表执行情况；</w:t>
            </w:r>
          </w:p>
          <w:p w14:paraId="727D4C1D">
            <w:pPr>
              <w:pStyle w:val="18"/>
              <w:rPr>
                <w:color w:val="auto"/>
              </w:rPr>
            </w:pPr>
            <w:r>
              <w:rPr>
                <w:rFonts w:hint="eastAsia"/>
                <w:color w:val="auto"/>
              </w:rPr>
              <w:t>（11）支持按多条件查询检出菌明细，条件包括：时间类型（送检日期、检出日期），患者检索、科室类型、科室名称、重点菌和非重点菌、细菌名称、革兰氏G+/G-、菌属分类、感染类型、隔离医嘱情况、管辖科室/全院；</w:t>
            </w:r>
          </w:p>
          <w:p w14:paraId="4BDDE1A1">
            <w:pPr>
              <w:pStyle w:val="18"/>
              <w:rPr>
                <w:color w:val="auto"/>
              </w:rPr>
            </w:pPr>
            <w:r>
              <w:rPr>
                <w:rFonts w:hint="eastAsia"/>
                <w:color w:val="auto"/>
              </w:rPr>
              <w:t>（12）支持对查询的菌结果，可直接导出XLS。</w:t>
            </w:r>
          </w:p>
          <w:p w14:paraId="1A25C950">
            <w:pPr>
              <w:pStyle w:val="18"/>
              <w:rPr>
                <w:color w:val="auto"/>
              </w:rPr>
            </w:pPr>
            <w:r>
              <w:rPr>
                <w:rFonts w:hint="eastAsia"/>
                <w:color w:val="auto"/>
              </w:rPr>
              <w:t>（1</w:t>
            </w:r>
            <w:r>
              <w:rPr>
                <w:color w:val="auto"/>
              </w:rPr>
              <w:t>3</w:t>
            </w:r>
            <w:r>
              <w:rPr>
                <w:rFonts w:hint="eastAsia"/>
                <w:color w:val="auto"/>
              </w:rPr>
              <w:t>）支持可按多种条件进行查询统计，包括：时间类型（送检日期、检出日期）按月度、季度、年度、自定义时间段，科室类型、科室名称、细菌名称、标本名称、革兰氏G+/G-、菌属分类、感染类型、管辖科室/全院维度，自动剔除重复；</w:t>
            </w:r>
          </w:p>
          <w:p w14:paraId="36A8C426">
            <w:pPr>
              <w:pStyle w:val="18"/>
              <w:rPr>
                <w:color w:val="auto"/>
              </w:rPr>
            </w:pPr>
            <w:r>
              <w:rPr>
                <w:rFonts w:hint="eastAsia"/>
                <w:color w:val="auto"/>
              </w:rPr>
              <w:t>（</w:t>
            </w:r>
            <w:r>
              <w:rPr>
                <w:color w:val="auto"/>
              </w:rPr>
              <w:t>14</w:t>
            </w:r>
            <w:r>
              <w:rPr>
                <w:rFonts w:hint="eastAsia"/>
                <w:color w:val="auto"/>
              </w:rPr>
              <w:t>）指标包括：送检阳性率（科室）、送检多耐率（科室）、检出菌耐药率统计（按耐药率程度颜色标记）、检出菌标本分布、检出菌科室分布、感染类型分布、多重耐药菌感染人（例次）数、多重耐药菌感染发生（例次）率、多重耐药菌千日感染（例次）率、重点菌感染次数、检出菌标本分布、标本检出菌分布、体温异常血培养送检率；</w:t>
            </w:r>
          </w:p>
          <w:p w14:paraId="0379C797">
            <w:pPr>
              <w:pStyle w:val="18"/>
              <w:rPr>
                <w:color w:val="auto"/>
              </w:rPr>
            </w:pPr>
            <w:r>
              <w:rPr>
                <w:rFonts w:hint="eastAsia"/>
                <w:color w:val="auto"/>
              </w:rPr>
              <w:t>（1</w:t>
            </w:r>
            <w:r>
              <w:rPr>
                <w:color w:val="auto"/>
              </w:rPr>
              <w:t>5</w:t>
            </w:r>
            <w:r>
              <w:rPr>
                <w:rFonts w:hint="eastAsia"/>
                <w:color w:val="auto"/>
              </w:rPr>
              <w:t>）按月度、季度、年度的环比分析检出率趋势、多耐率趋势、菌的耐药率趋势。</w:t>
            </w:r>
          </w:p>
        </w:tc>
      </w:tr>
      <w:tr w14:paraId="2467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512BAED6">
            <w:pPr>
              <w:pStyle w:val="18"/>
              <w:jc w:val="center"/>
              <w:rPr>
                <w:b w:val="0"/>
                <w:color w:val="auto"/>
              </w:rPr>
            </w:pPr>
            <w:r>
              <w:rPr>
                <w:rFonts w:hint="eastAsia"/>
                <w:b w:val="0"/>
                <w:color w:val="auto"/>
              </w:rPr>
              <w:t>多重耐药菌</w:t>
            </w:r>
          </w:p>
          <w:p w14:paraId="13DF1765">
            <w:pPr>
              <w:pStyle w:val="18"/>
              <w:jc w:val="center"/>
              <w:rPr>
                <w:b w:val="0"/>
                <w:color w:val="auto"/>
              </w:rPr>
            </w:pPr>
            <w:r>
              <w:rPr>
                <w:rFonts w:hint="eastAsia"/>
                <w:b w:val="0"/>
                <w:color w:val="auto"/>
              </w:rPr>
              <w:t>防控措施评估</w:t>
            </w:r>
          </w:p>
        </w:tc>
        <w:tc>
          <w:tcPr>
            <w:tcW w:w="3973" w:type="pct"/>
            <w:vAlign w:val="center"/>
          </w:tcPr>
          <w:p w14:paraId="70913463">
            <w:pPr>
              <w:pStyle w:val="18"/>
              <w:rPr>
                <w:color w:val="auto"/>
              </w:rPr>
            </w:pPr>
            <w:r>
              <w:rPr>
                <w:rFonts w:hint="eastAsia"/>
                <w:color w:val="auto"/>
              </w:rPr>
              <w:t>（1）支持多种耐药菌的防控措施进行评估及督导，对于检出的多重耐药菌，系统自动预警并发送防控措施表至管床医生、护士，院感科医生下到临床进行防控措施的督导，临床的防控措施记录，以及院感科的督导评价将全部记录在系统，可溯源。可对防控记录和督导表进行打印</w:t>
            </w:r>
          </w:p>
          <w:p w14:paraId="0D93AABC">
            <w:pPr>
              <w:pStyle w:val="18"/>
              <w:rPr>
                <w:color w:val="auto"/>
              </w:rPr>
            </w:pPr>
            <w:r>
              <w:rPr>
                <w:rFonts w:hint="eastAsia"/>
                <w:color w:val="auto"/>
              </w:rPr>
              <w:t>（2）支持对防控措施评估表进行医院个性化的配置与设定；</w:t>
            </w:r>
          </w:p>
          <w:p w14:paraId="7509B002">
            <w:pPr>
              <w:pStyle w:val="18"/>
              <w:rPr>
                <w:color w:val="auto"/>
              </w:rPr>
            </w:pPr>
            <w:r>
              <w:rPr>
                <w:rFonts w:hint="eastAsia"/>
                <w:color w:val="auto"/>
              </w:rPr>
              <w:t>（3）支持评估项的不限定项目数的新增；</w:t>
            </w:r>
          </w:p>
          <w:p w14:paraId="0FB22208">
            <w:pPr>
              <w:pStyle w:val="18"/>
              <w:rPr>
                <w:color w:val="auto"/>
              </w:rPr>
            </w:pPr>
            <w:r>
              <w:rPr>
                <w:rFonts w:hint="eastAsia"/>
                <w:color w:val="auto"/>
              </w:rPr>
              <w:t>（4）支持对评估项的分值设定；</w:t>
            </w:r>
          </w:p>
          <w:p w14:paraId="3FD05690">
            <w:pPr>
              <w:pStyle w:val="18"/>
              <w:rPr>
                <w:color w:val="auto"/>
              </w:rPr>
            </w:pPr>
            <w:r>
              <w:rPr>
                <w:rFonts w:hint="eastAsia"/>
                <w:color w:val="auto"/>
              </w:rPr>
              <w:t>（5）支持对防控措施评估表的开启、暂停的设置；</w:t>
            </w:r>
          </w:p>
          <w:p w14:paraId="36959AFE">
            <w:pPr>
              <w:pStyle w:val="18"/>
              <w:rPr>
                <w:color w:val="auto"/>
              </w:rPr>
            </w:pPr>
            <w:r>
              <w:rPr>
                <w:rFonts w:hint="eastAsia"/>
                <w:color w:val="auto"/>
              </w:rPr>
              <w:t>（6）支持临床医生与护士对多重耐药菌患者的防控措施评估表的填报，评估结果直接同步至感控管理端。</w:t>
            </w:r>
          </w:p>
        </w:tc>
      </w:tr>
      <w:tr w14:paraId="2C32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408DC989">
            <w:pPr>
              <w:pStyle w:val="18"/>
              <w:jc w:val="center"/>
              <w:rPr>
                <w:b w:val="0"/>
                <w:color w:val="auto"/>
              </w:rPr>
            </w:pPr>
            <w:r>
              <w:rPr>
                <w:b w:val="0"/>
                <w:color w:val="auto"/>
              </w:rPr>
              <w:t>ICU</w:t>
            </w:r>
            <w:r>
              <w:rPr>
                <w:rFonts w:hint="eastAsia"/>
                <w:b w:val="0"/>
                <w:color w:val="auto"/>
              </w:rPr>
              <w:t>监测</w:t>
            </w:r>
          </w:p>
        </w:tc>
        <w:tc>
          <w:tcPr>
            <w:tcW w:w="3973" w:type="pct"/>
            <w:vAlign w:val="center"/>
          </w:tcPr>
          <w:p w14:paraId="1A7951EE">
            <w:pPr>
              <w:pStyle w:val="18"/>
              <w:rPr>
                <w:color w:val="auto"/>
              </w:rPr>
            </w:pPr>
            <w:r>
              <w:rPr>
                <w:rFonts w:hint="eastAsia"/>
                <w:color w:val="auto"/>
              </w:rPr>
              <w:t>（1）支持对全院ICU、PICU、CCU、MICU等ICU病房监测；</w:t>
            </w:r>
          </w:p>
          <w:p w14:paraId="3B48E40A">
            <w:pPr>
              <w:pStyle w:val="18"/>
              <w:rPr>
                <w:color w:val="auto"/>
              </w:rPr>
            </w:pPr>
            <w:r>
              <w:rPr>
                <w:rFonts w:hint="eastAsia"/>
                <w:color w:val="auto"/>
              </w:rPr>
              <w:t>（2）支持自动生成新住进患者数、住在患者数、留置导尿管使用患者数、中心静脉插管使用患者数、呼吸机使用患者数；</w:t>
            </w:r>
          </w:p>
          <w:p w14:paraId="76611F88">
            <w:pPr>
              <w:pStyle w:val="18"/>
              <w:rPr>
                <w:color w:val="auto"/>
              </w:rPr>
            </w:pPr>
            <w:r>
              <w:rPr>
                <w:rFonts w:hint="eastAsia"/>
                <w:color w:val="auto"/>
              </w:rPr>
              <w:t>（3）支持对监测月报中的患者数列表穿透，可查看插管使用开始时间、结束时间、使用天数、插管评估概况；</w:t>
            </w:r>
          </w:p>
          <w:p w14:paraId="0703A4B0">
            <w:pPr>
              <w:pStyle w:val="18"/>
              <w:rPr>
                <w:color w:val="auto"/>
              </w:rPr>
            </w:pPr>
            <w:r>
              <w:rPr>
                <w:rFonts w:hint="eastAsia"/>
                <w:color w:val="auto"/>
              </w:rPr>
              <w:t>（4）支持对高危新生儿病房监测；</w:t>
            </w:r>
          </w:p>
          <w:p w14:paraId="31D1A637">
            <w:pPr>
              <w:pStyle w:val="18"/>
              <w:rPr>
                <w:color w:val="auto"/>
              </w:rPr>
            </w:pPr>
            <w:r>
              <w:rPr>
                <w:rFonts w:hint="eastAsia"/>
                <w:color w:val="auto"/>
              </w:rPr>
              <w:t>（5）能够自动生成监测月报按（≤1000g、（1001-1500）g、（1501-2500）g、≥2500g）进行分组的新生儿监测月报,同时也分组（≤751g、（751-1000）g、（1001-1500）g、（1501-2500）g、≥2500g）；分组的新住进患者数、住在患者数、脐/中心静脉插管使用患者数、呼吸机使用患者数；</w:t>
            </w:r>
          </w:p>
          <w:p w14:paraId="52E2613F">
            <w:pPr>
              <w:pStyle w:val="18"/>
              <w:rPr>
                <w:color w:val="auto"/>
              </w:rPr>
            </w:pPr>
            <w:r>
              <w:rPr>
                <w:rFonts w:hint="eastAsia"/>
                <w:color w:val="auto"/>
              </w:rPr>
              <w:t>（6）支持对未填写体重的新生儿提供维护窗口；</w:t>
            </w:r>
          </w:p>
          <w:p w14:paraId="51B9A2D9">
            <w:pPr>
              <w:pStyle w:val="18"/>
              <w:rPr>
                <w:color w:val="auto"/>
              </w:rPr>
            </w:pPr>
            <w:r>
              <w:rPr>
                <w:rFonts w:hint="eastAsia"/>
                <w:color w:val="auto"/>
              </w:rPr>
              <w:t>（7）支持对监测月报中的患儿数列表穿透，可查看插管使用开始时间、结束时间、使用天数、插管评估概况；</w:t>
            </w:r>
          </w:p>
          <w:p w14:paraId="59A94D6D">
            <w:pPr>
              <w:pStyle w:val="18"/>
              <w:rPr>
                <w:color w:val="auto"/>
              </w:rPr>
            </w:pPr>
            <w:r>
              <w:rPr>
                <w:rFonts w:hint="eastAsia"/>
                <w:color w:val="auto"/>
              </w:rPr>
              <w:t>（8）支持临床病情等级评分功能，医生根据患者病情，对患者病情进行评分操作，一周内选定任意一日进行病情等级评定；</w:t>
            </w:r>
          </w:p>
          <w:p w14:paraId="4F0C2C55">
            <w:pPr>
              <w:pStyle w:val="18"/>
              <w:rPr>
                <w:color w:val="auto"/>
              </w:rPr>
            </w:pPr>
            <w:r>
              <w:rPr>
                <w:rFonts w:hint="eastAsia"/>
                <w:color w:val="auto"/>
              </w:rPr>
              <w:t>（9）支持临床病情等级未评分人进行归纳，方便查询及评分；</w:t>
            </w:r>
          </w:p>
          <w:p w14:paraId="210D9BA3">
            <w:pPr>
              <w:pStyle w:val="18"/>
              <w:rPr>
                <w:color w:val="auto"/>
              </w:rPr>
            </w:pPr>
            <w:r>
              <w:rPr>
                <w:rFonts w:hint="eastAsia"/>
                <w:color w:val="auto"/>
              </w:rPr>
              <w:t>（10）支持对普通病房的ICU床位进行ICU级别监测。</w:t>
            </w:r>
          </w:p>
          <w:p w14:paraId="22187F21">
            <w:pPr>
              <w:pStyle w:val="18"/>
              <w:rPr>
                <w:color w:val="auto"/>
              </w:rPr>
            </w:pPr>
            <w:r>
              <w:rPr>
                <w:rFonts w:hint="eastAsia"/>
                <w:color w:val="auto"/>
              </w:rPr>
              <w:t>（11）支持按照住院患者人数的时间段查询，科室感染率（%）、科室感染例次率（%）、日感染率（‰）调整感染率（%）、调整日感染率（‰）、中心静脉插管使用率（%）、呼吸机使用率（%）、总器械使用率（%）；</w:t>
            </w:r>
          </w:p>
          <w:p w14:paraId="20D1D055">
            <w:pPr>
              <w:pStyle w:val="18"/>
              <w:rPr>
                <w:color w:val="auto"/>
              </w:rPr>
            </w:pPr>
            <w:r>
              <w:rPr>
                <w:rFonts w:hint="eastAsia"/>
                <w:color w:val="auto"/>
              </w:rPr>
              <w:t>（12）支持统计高危新生儿，按照体重进行分组的感染率（%）、感染例次率（%）、患儿日感染率（‰）、调整日感染率（‰）、脐/中心静脉插管使用率（%）、呼吸机使用率（%）、总器械使用率（%）、脐/中心静脉插管血流感染发病率（‰）、呼吸机相关肺炎发病率（‰）。</w:t>
            </w:r>
          </w:p>
        </w:tc>
      </w:tr>
      <w:tr w14:paraId="7D99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1A353BD4">
            <w:pPr>
              <w:pStyle w:val="18"/>
              <w:jc w:val="center"/>
              <w:rPr>
                <w:b w:val="0"/>
                <w:color w:val="auto"/>
              </w:rPr>
            </w:pPr>
            <w:r>
              <w:rPr>
                <w:rFonts w:hint="eastAsia"/>
                <w:b w:val="0"/>
                <w:color w:val="auto"/>
              </w:rPr>
              <w:t>抗菌药物监测</w:t>
            </w:r>
          </w:p>
        </w:tc>
        <w:tc>
          <w:tcPr>
            <w:tcW w:w="3973" w:type="pct"/>
            <w:vAlign w:val="center"/>
          </w:tcPr>
          <w:p w14:paraId="07450338">
            <w:pPr>
              <w:pStyle w:val="18"/>
              <w:rPr>
                <w:color w:val="auto"/>
              </w:rPr>
            </w:pPr>
            <w:r>
              <w:rPr>
                <w:rFonts w:hint="eastAsia"/>
                <w:color w:val="auto"/>
              </w:rPr>
              <w:t>支持可按多种条件进行查询统计，包括：出院患者抗菌药物使用率、住院患者抗菌药物使用率、抗菌药物预防使用构成比、抗菌药物治疗使用构成比、出院患者人均使用抗菌药物品种数、出院患者人均使用抗菌药物天数、出院患者使用抗菌药物病原学送检率、出院患者治疗性使用抗菌药物病原学送检率、住院患者抗菌药物治疗前病原学送检率、住院患者限制使用级抗菌药物治疗前病原学送检率、住院患者特殊使用级抗菌药物治疗前病原学送检率、住院患者限制使用级抗菌药物治疗前血培养送检率、住院患者特殊使用级抗菌药物治疗前血培养送检率、住院患者使用抗菌药物治疗前指向性病原学送检率、住院患者使用抗菌药物治疗前非指向性病原学送检率。标本采集时间、抗菌药物使用时间、送检时间等细节时间点查看。</w:t>
            </w:r>
          </w:p>
        </w:tc>
      </w:tr>
      <w:tr w14:paraId="51CF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789D6059">
            <w:pPr>
              <w:pStyle w:val="18"/>
              <w:jc w:val="center"/>
              <w:rPr>
                <w:b w:val="0"/>
                <w:color w:val="auto"/>
              </w:rPr>
            </w:pPr>
            <w:r>
              <w:rPr>
                <w:rFonts w:hint="eastAsia"/>
                <w:b w:val="0"/>
                <w:color w:val="auto"/>
              </w:rPr>
              <w:t>手术感染监测</w:t>
            </w:r>
          </w:p>
        </w:tc>
        <w:tc>
          <w:tcPr>
            <w:tcW w:w="3973" w:type="pct"/>
            <w:vAlign w:val="center"/>
          </w:tcPr>
          <w:p w14:paraId="48861C29">
            <w:pPr>
              <w:pStyle w:val="18"/>
              <w:rPr>
                <w:color w:val="auto"/>
              </w:rPr>
            </w:pPr>
            <w:r>
              <w:rPr>
                <w:rFonts w:hint="eastAsia"/>
                <w:color w:val="auto"/>
              </w:rPr>
              <w:t>（1）支持与医院HIS 手术记录单、手术麻醉系统自动匹配手术监测相关数据；</w:t>
            </w:r>
          </w:p>
          <w:p w14:paraId="5BF3250A">
            <w:pPr>
              <w:pStyle w:val="18"/>
              <w:rPr>
                <w:color w:val="auto"/>
              </w:rPr>
            </w:pPr>
            <w:r>
              <w:rPr>
                <w:rFonts w:hint="eastAsia"/>
                <w:color w:val="auto"/>
              </w:rPr>
              <w:t>（2）支持优先进行重点手术监测，重点监测手术可根据医院开展情况进行手术目录调整；</w:t>
            </w:r>
          </w:p>
          <w:p w14:paraId="19E0C9CD">
            <w:pPr>
              <w:pStyle w:val="18"/>
              <w:rPr>
                <w:color w:val="auto"/>
              </w:rPr>
            </w:pPr>
            <w:r>
              <w:rPr>
                <w:rFonts w:hint="eastAsia"/>
                <w:color w:val="auto"/>
              </w:rPr>
              <w:t>（3）支持手术与已上报的手术切口感染诊断自动关联；</w:t>
            </w:r>
          </w:p>
          <w:p w14:paraId="5FAA76CB">
            <w:pPr>
              <w:pStyle w:val="18"/>
              <w:rPr>
                <w:color w:val="auto"/>
              </w:rPr>
            </w:pPr>
            <w:r>
              <w:rPr>
                <w:rFonts w:hint="eastAsia"/>
                <w:color w:val="auto"/>
              </w:rPr>
              <w:t>（4）支持手术信息登记表信息修改补充，标红且优先显示影响统计分析的重要信息；</w:t>
            </w:r>
          </w:p>
          <w:p w14:paraId="299C21DD">
            <w:pPr>
              <w:pStyle w:val="18"/>
              <w:rPr>
                <w:color w:val="auto"/>
              </w:rPr>
            </w:pPr>
            <w:r>
              <w:rPr>
                <w:rFonts w:hint="eastAsia"/>
                <w:color w:val="auto"/>
              </w:rPr>
              <w:t>（5）支持手术信息登记表归档功能，可进行归档和撤销归档操作；</w:t>
            </w:r>
          </w:p>
          <w:p w14:paraId="65CBE623">
            <w:pPr>
              <w:pStyle w:val="18"/>
              <w:rPr>
                <w:color w:val="auto"/>
              </w:rPr>
            </w:pPr>
            <w:r>
              <w:rPr>
                <w:rFonts w:hint="eastAsia"/>
                <w:color w:val="auto"/>
              </w:rPr>
              <w:t>（6）支持对手术用药自动匹配设定规则，选定手术后，直接一键自动匹配；</w:t>
            </w:r>
          </w:p>
          <w:p w14:paraId="5A48B829">
            <w:pPr>
              <w:pStyle w:val="18"/>
              <w:rPr>
                <w:color w:val="auto"/>
              </w:rPr>
            </w:pPr>
            <w:r>
              <w:rPr>
                <w:rFonts w:hint="eastAsia"/>
                <w:color w:val="auto"/>
              </w:rPr>
              <w:t>（7）支持外科手术监测多条件查询，包括：手术日期、患者姓名、申请科室、重点手术、手术操作类别、手术部位、切口等级、ASA评分、手术名称、手术医生、手术间、手术时长；</w:t>
            </w:r>
          </w:p>
          <w:p w14:paraId="32CDE8DE">
            <w:pPr>
              <w:pStyle w:val="18"/>
              <w:rPr>
                <w:color w:val="auto"/>
              </w:rPr>
            </w:pPr>
            <w:r>
              <w:rPr>
                <w:rFonts w:hint="eastAsia"/>
                <w:color w:val="auto"/>
              </w:rPr>
              <w:t>（8）能够根据手术搜索条件进行多条件搜索，并查询的结果导出为xls。</w:t>
            </w:r>
          </w:p>
          <w:p w14:paraId="206B5CAD">
            <w:pPr>
              <w:pStyle w:val="18"/>
              <w:rPr>
                <w:color w:val="auto"/>
              </w:rPr>
            </w:pPr>
            <w:r>
              <w:rPr>
                <w:rFonts w:hint="eastAsia"/>
                <w:color w:val="auto"/>
              </w:rPr>
              <w:t>（9）可按多种条件进行查询月度、季度、年度、自定义时间、其他条件（住院患者、切口等级、愈合等级、麻醉方式、手术间、感染名称、重点手术、手术操作分类、手术部位分类）统计手术相关指标，包括：与手术相关医院感染发生率、手术部位感染发生率、手术患者肺部感染发生率、择期手术术后相关感染发生率、择期手术术后相关感染发生率、择期手术患者肺部感染发生率、急诊手术相关感染发生率、急诊手术患者肺部感染发生率、NNIS分级手术部位感染率、外科医生感染率（科室）、外科医生感染率（医生）、术前预防用药使用率、术中预防用药使用率、术前0.5-2小时预防用药使用率、术前0.5-1小时预防用药使用率、术后用药使用率、术后24小时内停药率、术后48小时内停药率。</w:t>
            </w:r>
          </w:p>
        </w:tc>
      </w:tr>
      <w:tr w14:paraId="0811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F0D1E58">
            <w:pPr>
              <w:pStyle w:val="18"/>
              <w:jc w:val="center"/>
              <w:rPr>
                <w:b w:val="0"/>
                <w:color w:val="auto"/>
              </w:rPr>
            </w:pPr>
            <w:r>
              <w:rPr>
                <w:rFonts w:hint="eastAsia"/>
                <w:b w:val="0"/>
                <w:color w:val="auto"/>
              </w:rPr>
              <w:t>全院三管监测</w:t>
            </w:r>
          </w:p>
        </w:tc>
        <w:tc>
          <w:tcPr>
            <w:tcW w:w="3973" w:type="pct"/>
            <w:vAlign w:val="center"/>
          </w:tcPr>
          <w:p w14:paraId="0551D97C">
            <w:pPr>
              <w:pStyle w:val="18"/>
              <w:rPr>
                <w:color w:val="auto"/>
              </w:rPr>
            </w:pPr>
            <w:r>
              <w:rPr>
                <w:rFonts w:hint="eastAsia"/>
                <w:color w:val="auto"/>
              </w:rPr>
              <w:t>（1）支持进行全院各科室的侵入性操作监测日志；</w:t>
            </w:r>
          </w:p>
          <w:p w14:paraId="30111069">
            <w:pPr>
              <w:pStyle w:val="18"/>
              <w:rPr>
                <w:color w:val="auto"/>
              </w:rPr>
            </w:pPr>
            <w:r>
              <w:rPr>
                <w:rFonts w:hint="eastAsia"/>
                <w:color w:val="auto"/>
              </w:rPr>
              <w:t>（2）支持进行全院各科室的侵入性操作监测月报；</w:t>
            </w:r>
          </w:p>
          <w:p w14:paraId="19AF65FC">
            <w:pPr>
              <w:pStyle w:val="18"/>
              <w:rPr>
                <w:color w:val="auto"/>
              </w:rPr>
            </w:pPr>
            <w:r>
              <w:rPr>
                <w:rFonts w:hint="eastAsia"/>
                <w:color w:val="auto"/>
              </w:rPr>
              <w:t>（3）支持自动生成新住进患者数、住在患者数、发热人数、留置导尿管使用患者数、中心静脉插管使用患者数、呼吸机使用患者数；</w:t>
            </w:r>
          </w:p>
          <w:p w14:paraId="78E84637">
            <w:pPr>
              <w:pStyle w:val="18"/>
              <w:rPr>
                <w:color w:val="auto"/>
              </w:rPr>
            </w:pPr>
            <w:r>
              <w:rPr>
                <w:rFonts w:hint="eastAsia"/>
                <w:color w:val="auto"/>
              </w:rPr>
              <w:t>（4）支持穿透监测日志中的患者数列表，可查看插管使用开始时间、结束时间、使用天数；</w:t>
            </w:r>
          </w:p>
          <w:p w14:paraId="01DAABBD">
            <w:pPr>
              <w:pStyle w:val="18"/>
              <w:rPr>
                <w:color w:val="auto"/>
              </w:rPr>
            </w:pPr>
            <w:r>
              <w:rPr>
                <w:rFonts w:hint="eastAsia"/>
                <w:color w:val="auto"/>
              </w:rPr>
              <w:t>（5）提供三大插管匹配医嘱的维护功能；</w:t>
            </w:r>
          </w:p>
          <w:p w14:paraId="3CFB1999">
            <w:pPr>
              <w:pStyle w:val="18"/>
              <w:rPr>
                <w:color w:val="auto"/>
              </w:rPr>
            </w:pPr>
            <w:r>
              <w:rPr>
                <w:rFonts w:hint="eastAsia"/>
                <w:color w:val="auto"/>
              </w:rPr>
              <w:t>（6）支持查看患者三管督导措施评估情况明细内容；</w:t>
            </w:r>
          </w:p>
        </w:tc>
      </w:tr>
      <w:tr w14:paraId="477D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2F30F032">
            <w:pPr>
              <w:pStyle w:val="18"/>
              <w:jc w:val="center"/>
              <w:rPr>
                <w:b w:val="0"/>
                <w:color w:val="auto"/>
              </w:rPr>
            </w:pPr>
            <w:r>
              <w:rPr>
                <w:b w:val="0"/>
                <w:color w:val="auto"/>
              </w:rPr>
              <w:t>插管</w:t>
            </w:r>
            <w:r>
              <w:rPr>
                <w:rFonts w:hint="eastAsia"/>
                <w:b w:val="0"/>
                <w:color w:val="auto"/>
              </w:rPr>
              <w:t>风险评</w:t>
            </w:r>
            <w:r>
              <w:rPr>
                <w:b w:val="0"/>
                <w:color w:val="auto"/>
              </w:rPr>
              <w:t>估</w:t>
            </w:r>
          </w:p>
        </w:tc>
        <w:tc>
          <w:tcPr>
            <w:tcW w:w="3973" w:type="pct"/>
            <w:vAlign w:val="center"/>
          </w:tcPr>
          <w:p w14:paraId="037B865C">
            <w:pPr>
              <w:pStyle w:val="18"/>
              <w:rPr>
                <w:color w:val="auto"/>
              </w:rPr>
            </w:pPr>
            <w:r>
              <w:rPr>
                <w:rFonts w:hint="eastAsia"/>
                <w:color w:val="auto"/>
              </w:rPr>
              <w:t>（1）支持感控管理端以及临床科室打开系统便可看到插管未评估患者人数，点击进行未评估的具体科室与人员清单；</w:t>
            </w:r>
          </w:p>
          <w:p w14:paraId="34DE22E2">
            <w:pPr>
              <w:pStyle w:val="18"/>
              <w:rPr>
                <w:color w:val="auto"/>
              </w:rPr>
            </w:pPr>
            <w:r>
              <w:rPr>
                <w:rFonts w:hint="eastAsia"/>
                <w:color w:val="auto"/>
              </w:rPr>
              <w:t>（2）支持点击插管患者后，直观展示患者的插管自然日历表，分析的结果来自患者三管的医嘱执行情况；</w:t>
            </w:r>
          </w:p>
          <w:p w14:paraId="48ECF910">
            <w:pPr>
              <w:pStyle w:val="18"/>
              <w:rPr>
                <w:color w:val="auto"/>
              </w:rPr>
            </w:pPr>
            <w:r>
              <w:rPr>
                <w:rFonts w:hint="eastAsia"/>
                <w:color w:val="auto"/>
              </w:rPr>
              <w:t>（3）插管日历表以红底白字表示患者插管但未评估，以白底蓝字表示患者插管已评估；</w:t>
            </w:r>
          </w:p>
          <w:p w14:paraId="461BC729">
            <w:pPr>
              <w:pStyle w:val="18"/>
              <w:rPr>
                <w:color w:val="auto"/>
              </w:rPr>
            </w:pPr>
            <w:r>
              <w:rPr>
                <w:rFonts w:hint="eastAsia"/>
                <w:color w:val="auto"/>
              </w:rPr>
              <w:t>（4）插管指征评估操作可由临床人员进行每日评估，系统不限定具体评估的人员角色；</w:t>
            </w:r>
          </w:p>
          <w:p w14:paraId="32B43C66">
            <w:pPr>
              <w:pStyle w:val="18"/>
              <w:rPr>
                <w:color w:val="auto"/>
              </w:rPr>
            </w:pPr>
            <w:r>
              <w:rPr>
                <w:rFonts w:hint="eastAsia"/>
                <w:color w:val="auto"/>
              </w:rPr>
              <w:t>（5）插管指征评估表可随医院具体开展评估内容自由灵活设定，设定后立即生效；</w:t>
            </w:r>
          </w:p>
        </w:tc>
      </w:tr>
      <w:tr w14:paraId="0624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42209CF2">
            <w:pPr>
              <w:pStyle w:val="18"/>
              <w:jc w:val="center"/>
              <w:rPr>
                <w:b w:val="0"/>
                <w:color w:val="auto"/>
              </w:rPr>
            </w:pPr>
            <w:r>
              <w:rPr>
                <w:rFonts w:hint="eastAsia"/>
                <w:b w:val="0"/>
                <w:color w:val="auto"/>
              </w:rPr>
              <w:t>消毒灭菌、环境卫生学监测</w:t>
            </w:r>
          </w:p>
        </w:tc>
        <w:tc>
          <w:tcPr>
            <w:tcW w:w="3973" w:type="pct"/>
            <w:vAlign w:val="center"/>
          </w:tcPr>
          <w:p w14:paraId="7831C82D">
            <w:pPr>
              <w:pStyle w:val="18"/>
              <w:rPr>
                <w:color w:val="auto"/>
              </w:rPr>
            </w:pPr>
            <w:r>
              <w:rPr>
                <w:rFonts w:hint="eastAsia"/>
                <w:color w:val="auto"/>
              </w:rPr>
              <w:t>（1）支持对空气、物表、手卫生、医疗器械、消毒物品、灭菌物品、一次性物品、污水等项目监测单申请，并支持全院联网查看监测项目和监测结果；</w:t>
            </w:r>
          </w:p>
          <w:p w14:paraId="28D96581">
            <w:pPr>
              <w:pStyle w:val="18"/>
              <w:rPr>
                <w:color w:val="auto"/>
              </w:rPr>
            </w:pPr>
            <w:r>
              <w:rPr>
                <w:rFonts w:hint="eastAsia"/>
                <w:color w:val="auto"/>
              </w:rPr>
              <w:t>（2）支持临床科室监测项目自查与感控科抽查工作，可根据医院监测流程进行配置；</w:t>
            </w:r>
          </w:p>
          <w:p w14:paraId="3717C2C8">
            <w:pPr>
              <w:pStyle w:val="18"/>
              <w:rPr>
                <w:color w:val="auto"/>
              </w:rPr>
            </w:pPr>
            <w:r>
              <w:rPr>
                <w:rFonts w:hint="eastAsia"/>
                <w:color w:val="auto"/>
              </w:rPr>
              <w:t>（3）监测单据直接查看送检科室、监测项目、监测类型、采样场所、采样标本、采样点数、采样点位、采样方法、采样人、采样日期、检验日期、检验人、检验结果、是否需要复查；</w:t>
            </w:r>
          </w:p>
          <w:p w14:paraId="25983FFC">
            <w:pPr>
              <w:pStyle w:val="18"/>
              <w:rPr>
                <w:color w:val="auto"/>
              </w:rPr>
            </w:pPr>
            <w:r>
              <w:rPr>
                <w:rFonts w:hint="eastAsia"/>
                <w:color w:val="auto"/>
              </w:rPr>
              <w:t>（4）支持对常用监测内容保存为常用模板，方便后续使用，常用模板支持科室级、全院级；</w:t>
            </w:r>
          </w:p>
          <w:p w14:paraId="5CDB6B68">
            <w:pPr>
              <w:pStyle w:val="18"/>
              <w:rPr>
                <w:color w:val="auto"/>
              </w:rPr>
            </w:pPr>
            <w:r>
              <w:rPr>
                <w:rFonts w:hint="eastAsia"/>
                <w:color w:val="auto"/>
              </w:rPr>
              <w:t>（5）支持监测结果报告单支持全院联网打印，以及在线查看监测结果报告；</w:t>
            </w:r>
          </w:p>
          <w:p w14:paraId="68B44BD9">
            <w:pPr>
              <w:pStyle w:val="18"/>
              <w:rPr>
                <w:color w:val="auto"/>
              </w:rPr>
            </w:pPr>
            <w:r>
              <w:rPr>
                <w:rFonts w:hint="eastAsia"/>
                <w:color w:val="auto"/>
              </w:rPr>
              <w:t>（6）具有独立的监测授权管理模块，灵活设定单个用户管辖多科室、监测项目授权等，与系统基础用户授权不冲突；</w:t>
            </w:r>
          </w:p>
          <w:p w14:paraId="67CEA037">
            <w:pPr>
              <w:pStyle w:val="18"/>
              <w:rPr>
                <w:color w:val="auto"/>
              </w:rPr>
            </w:pPr>
            <w:r>
              <w:rPr>
                <w:rFonts w:hint="eastAsia"/>
                <w:color w:val="auto"/>
              </w:rPr>
              <w:t>（7）可根据医院情况，在标准上修改、增加环境卫生消毒灭菌监测项目、监测标准、采样场所、采样标本、采样方法、采样点等相关的字典数据；</w:t>
            </w:r>
          </w:p>
          <w:p w14:paraId="7CE55CC1">
            <w:pPr>
              <w:pStyle w:val="18"/>
              <w:rPr>
                <w:color w:val="auto"/>
              </w:rPr>
            </w:pPr>
            <w:r>
              <w:rPr>
                <w:rFonts w:hint="eastAsia"/>
                <w:color w:val="auto"/>
              </w:rPr>
              <w:t>（8）支持自动按照监测项目类别、监测科室统计分析监测数目数、合格数、合格率、不合格数、不合格率。</w:t>
            </w:r>
          </w:p>
        </w:tc>
      </w:tr>
      <w:tr w14:paraId="02C3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3D4B56EE">
            <w:pPr>
              <w:pStyle w:val="18"/>
              <w:jc w:val="center"/>
              <w:rPr>
                <w:b w:val="0"/>
                <w:color w:val="auto"/>
              </w:rPr>
            </w:pPr>
            <w:r>
              <w:rPr>
                <w:rFonts w:hint="eastAsia"/>
                <w:b w:val="0"/>
                <w:color w:val="auto"/>
              </w:rPr>
              <w:t>职业暴露监测</w:t>
            </w:r>
          </w:p>
        </w:tc>
        <w:tc>
          <w:tcPr>
            <w:tcW w:w="3973" w:type="pct"/>
            <w:vAlign w:val="center"/>
          </w:tcPr>
          <w:p w14:paraId="0E52B68A">
            <w:pPr>
              <w:pStyle w:val="18"/>
              <w:rPr>
                <w:color w:val="auto"/>
              </w:rPr>
            </w:pPr>
            <w:r>
              <w:rPr>
                <w:rFonts w:hint="eastAsia"/>
                <w:color w:val="auto"/>
              </w:rPr>
              <w:t>（1）支持医务人员及护工进行职业暴露内容的信息登记填写；</w:t>
            </w:r>
          </w:p>
          <w:p w14:paraId="163189F4">
            <w:pPr>
              <w:pStyle w:val="18"/>
              <w:rPr>
                <w:color w:val="auto"/>
              </w:rPr>
            </w:pPr>
            <w:r>
              <w:rPr>
                <w:rFonts w:hint="eastAsia"/>
                <w:color w:val="auto"/>
              </w:rPr>
              <w:t>（2）支持《WS/T 312-2023医院感染监测规范》要求的医院工作人员感染性疾病职业暴露登记表填写上报</w:t>
            </w:r>
          </w:p>
          <w:p w14:paraId="05860380">
            <w:pPr>
              <w:pStyle w:val="18"/>
              <w:rPr>
                <w:color w:val="auto"/>
              </w:rPr>
            </w:pPr>
            <w:r>
              <w:rPr>
                <w:rFonts w:hint="eastAsia"/>
                <w:color w:val="auto"/>
              </w:rPr>
              <w:t>（3）支持暴露填报前告知《职业暴露的标准处置流程》及《职业暴露的处置制度》，要求暴露填报人员在线掌握了解，告知内容可随医院定制性调整；</w:t>
            </w:r>
          </w:p>
          <w:p w14:paraId="0140FF46">
            <w:pPr>
              <w:pStyle w:val="18"/>
              <w:rPr>
                <w:color w:val="auto"/>
              </w:rPr>
            </w:pPr>
            <w:r>
              <w:rPr>
                <w:rFonts w:hint="eastAsia"/>
                <w:color w:val="auto"/>
              </w:rPr>
              <w:t>（4）支持填报职业暴露登记表后，在感控管理端上实时提示新暴露填报消息；</w:t>
            </w:r>
          </w:p>
          <w:p w14:paraId="358DD5A1">
            <w:pPr>
              <w:pStyle w:val="18"/>
              <w:rPr>
                <w:color w:val="auto"/>
              </w:rPr>
            </w:pPr>
            <w:r>
              <w:rPr>
                <w:rFonts w:hint="eastAsia"/>
                <w:color w:val="auto"/>
              </w:rPr>
              <w:t>（5）支持职业暴露信息登记、评估预防、临床观察、临床诊断完整随访闭环，感染性疾病科医生可对评估预防操作，支持跨部门联网的评估跟踪；</w:t>
            </w:r>
          </w:p>
          <w:p w14:paraId="1D4959FB">
            <w:pPr>
              <w:pStyle w:val="18"/>
              <w:rPr>
                <w:color w:val="auto"/>
              </w:rPr>
            </w:pPr>
            <w:r>
              <w:rPr>
                <w:rFonts w:hint="eastAsia"/>
                <w:color w:val="auto"/>
              </w:rPr>
              <w:t>（6）支持对检验复查项目多时间点设定，在监测面板首页显示当前暴露需进行复查人员提醒，钻取后展示需复查人员姓名、发生科室、暴露人员所属科室、暴露时间、检查项目、复查时间、上次复查时间；</w:t>
            </w:r>
          </w:p>
          <w:p w14:paraId="220DC4FB">
            <w:pPr>
              <w:pStyle w:val="18"/>
              <w:rPr>
                <w:color w:val="auto"/>
              </w:rPr>
            </w:pPr>
            <w:r>
              <w:rPr>
                <w:rFonts w:hint="eastAsia"/>
                <w:color w:val="auto"/>
              </w:rPr>
              <w:t>（7）支持按照科室统计职业暴露情况，并计算科室构成比；</w:t>
            </w:r>
          </w:p>
          <w:p w14:paraId="054AA003">
            <w:pPr>
              <w:pStyle w:val="18"/>
              <w:rPr>
                <w:color w:val="auto"/>
              </w:rPr>
            </w:pPr>
            <w:r>
              <w:rPr>
                <w:rFonts w:hint="eastAsia"/>
                <w:color w:val="auto"/>
              </w:rPr>
              <w:t>（8）支持按工别、年龄、性别等内容计算科室构成比；</w:t>
            </w:r>
          </w:p>
          <w:p w14:paraId="1AE949DD">
            <w:pPr>
              <w:pStyle w:val="18"/>
              <w:rPr>
                <w:color w:val="auto"/>
              </w:rPr>
            </w:pPr>
            <w:r>
              <w:rPr>
                <w:rFonts w:hint="eastAsia"/>
                <w:color w:val="auto"/>
              </w:rPr>
              <w:t>（9）支持自动统计职业暴露感染率、职业暴露（例次）率。</w:t>
            </w:r>
          </w:p>
        </w:tc>
      </w:tr>
      <w:tr w14:paraId="2661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1F5F34EA">
            <w:pPr>
              <w:pStyle w:val="18"/>
              <w:jc w:val="center"/>
              <w:rPr>
                <w:b w:val="0"/>
                <w:color w:val="auto"/>
              </w:rPr>
            </w:pPr>
            <w:r>
              <w:rPr>
                <w:rFonts w:hint="eastAsia"/>
                <w:b w:val="0"/>
                <w:color w:val="auto"/>
              </w:rPr>
              <w:t>手卫生监测</w:t>
            </w:r>
          </w:p>
        </w:tc>
        <w:tc>
          <w:tcPr>
            <w:tcW w:w="3973" w:type="pct"/>
            <w:vAlign w:val="center"/>
          </w:tcPr>
          <w:p w14:paraId="227DAD5C">
            <w:pPr>
              <w:pStyle w:val="18"/>
              <w:rPr>
                <w:color w:val="auto"/>
              </w:rPr>
            </w:pPr>
            <w:r>
              <w:rPr>
                <w:rFonts w:hint="eastAsia"/>
                <w:color w:val="auto"/>
              </w:rPr>
              <w:t>（1）掌握全院各科室手卫生用品消耗量情况，如手消毒液、抗菌洗手液、干手纸，分析手卫生依从性的，协同促进医务人员手卫生执行的依从率；</w:t>
            </w:r>
          </w:p>
          <w:p w14:paraId="4A705D51">
            <w:pPr>
              <w:pStyle w:val="18"/>
              <w:rPr>
                <w:color w:val="auto"/>
              </w:rPr>
            </w:pPr>
            <w:r>
              <w:rPr>
                <w:rFonts w:hint="eastAsia"/>
                <w:color w:val="auto"/>
              </w:rPr>
              <w:t>（2）支持临床感控兼职人员进行本科科室用品本月领取量和库存量的在线录入；</w:t>
            </w:r>
          </w:p>
          <w:p w14:paraId="53B8BD6C">
            <w:pPr>
              <w:pStyle w:val="18"/>
              <w:rPr>
                <w:color w:val="auto"/>
              </w:rPr>
            </w:pPr>
            <w:r>
              <w:rPr>
                <w:rFonts w:hint="eastAsia"/>
                <w:color w:val="auto"/>
              </w:rPr>
              <w:t>（3）支持在线完成手卫生依从性调查，包括被调查人员类型、时机、指征、手卫生行为、正确性；</w:t>
            </w:r>
          </w:p>
          <w:p w14:paraId="7147BFA2">
            <w:pPr>
              <w:pStyle w:val="18"/>
              <w:rPr>
                <w:color w:val="auto"/>
              </w:rPr>
            </w:pPr>
            <w:r>
              <w:rPr>
                <w:rFonts w:hint="eastAsia"/>
                <w:color w:val="auto"/>
              </w:rPr>
              <w:t>（4）支持设定临床自查手卫生依从性的开放数据录入时间段；</w:t>
            </w:r>
          </w:p>
          <w:p w14:paraId="688F9D2A">
            <w:pPr>
              <w:pStyle w:val="18"/>
              <w:rPr>
                <w:color w:val="auto"/>
              </w:rPr>
            </w:pPr>
            <w:r>
              <w:rPr>
                <w:rFonts w:hint="eastAsia"/>
                <w:color w:val="auto"/>
              </w:rPr>
              <w:t>（5）支持维护设定特定科室的手卫生依从性调查指征，如：外科手卫生依从性调查监测设定单独的调查指征与手卫生行为；</w:t>
            </w:r>
          </w:p>
          <w:p w14:paraId="688D4313">
            <w:pPr>
              <w:pStyle w:val="18"/>
              <w:rPr>
                <w:color w:val="auto"/>
              </w:rPr>
            </w:pPr>
            <w:r>
              <w:rPr>
                <w:rFonts w:hint="eastAsia"/>
                <w:color w:val="auto"/>
              </w:rPr>
              <w:t>（6）支持调查完成后，对本次调查结果进行回顾性分析，如医护人员手卫生意识低等内容；</w:t>
            </w:r>
          </w:p>
          <w:p w14:paraId="0E53228C">
            <w:pPr>
              <w:pStyle w:val="18"/>
              <w:rPr>
                <w:color w:val="auto"/>
              </w:rPr>
            </w:pPr>
            <w:r>
              <w:rPr>
                <w:rFonts w:hint="eastAsia"/>
                <w:color w:val="auto"/>
              </w:rPr>
              <w:t>（7）支持按科室、人员类型、指征、时机多类型进行统计分析。</w:t>
            </w:r>
          </w:p>
        </w:tc>
      </w:tr>
      <w:tr w14:paraId="13AA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730562DC">
            <w:pPr>
              <w:pStyle w:val="18"/>
              <w:jc w:val="center"/>
              <w:rPr>
                <w:b w:val="0"/>
                <w:color w:val="auto"/>
              </w:rPr>
            </w:pPr>
            <w:r>
              <w:rPr>
                <w:rFonts w:hint="eastAsia"/>
                <w:b w:val="0"/>
                <w:color w:val="auto"/>
              </w:rPr>
              <w:t>血透监测</w:t>
            </w:r>
          </w:p>
        </w:tc>
        <w:tc>
          <w:tcPr>
            <w:tcW w:w="3973" w:type="pct"/>
            <w:vAlign w:val="center"/>
          </w:tcPr>
          <w:p w14:paraId="30AE8F6E">
            <w:pPr>
              <w:pStyle w:val="18"/>
              <w:rPr>
                <w:color w:val="auto"/>
              </w:rPr>
            </w:pPr>
            <w:r>
              <w:rPr>
                <w:rFonts w:hint="eastAsia"/>
                <w:color w:val="auto"/>
              </w:rPr>
              <w:t>（1）支持血透患者感染监测信息登记及上报，信息包括：患者基本信息、血透频率（曾经在几所医院接受过血透、当前每周几次血透、感染时血透机号、透析日期、累计透析次数）、透析前检查项目及时间、透析中复查项目及时间、感染日期、感染部位、相关病原学检查、相关抗菌药物使用情况；</w:t>
            </w:r>
          </w:p>
          <w:p w14:paraId="33C12C07">
            <w:pPr>
              <w:pStyle w:val="18"/>
              <w:rPr>
                <w:color w:val="auto"/>
              </w:rPr>
            </w:pPr>
            <w:r>
              <w:rPr>
                <w:rFonts w:hint="eastAsia"/>
                <w:color w:val="auto"/>
              </w:rPr>
              <w:t>（2）支持对血液透析室血透日志的登记，登记信息包括：新入血液透析人次数、已在血液透析人次数、透析路径内瘘人次数、长期置管人数、临时置管人数、相关导管相关血流感染性操作人次数、乙肝丙肝等病毒感染人次数、其他医院感染人次数。</w:t>
            </w:r>
          </w:p>
          <w:p w14:paraId="14C2E3CF">
            <w:pPr>
              <w:pStyle w:val="18"/>
              <w:rPr>
                <w:color w:val="auto"/>
              </w:rPr>
            </w:pPr>
            <w:r>
              <w:rPr>
                <w:rFonts w:hint="eastAsia"/>
                <w:color w:val="auto"/>
              </w:rPr>
              <w:t>（3）支持对依据国家卫生健康委员会发布的《医院感染监测标准》(WS/T 312-2023)，要求医疗机构监测血液透析感染事件发生情况，包括使用抗菌药物（包括口服、肌注和静脉使用所有抗细菌药物和抗真菌药物）、血培养阳性和血管通路部位出现脓液、发红或肿胀加剧 3 类。血液透析患者血源性病原体感染监测，血液透析患者血源性病原体感染情况筛查、复查，监测病原体包括 HBV、HCV、HIV、梅毒螺旋体，统计四类传染病标志物检验完成率及阳转率。</w:t>
            </w:r>
          </w:p>
        </w:tc>
      </w:tr>
      <w:tr w14:paraId="170B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45281BF">
            <w:pPr>
              <w:pStyle w:val="18"/>
              <w:jc w:val="center"/>
              <w:rPr>
                <w:b w:val="0"/>
                <w:color w:val="auto"/>
              </w:rPr>
            </w:pPr>
            <w:r>
              <w:rPr>
                <w:rFonts w:hint="eastAsia"/>
                <w:b w:val="0"/>
                <w:color w:val="auto"/>
              </w:rPr>
              <w:t>网络直报</w:t>
            </w:r>
          </w:p>
        </w:tc>
        <w:tc>
          <w:tcPr>
            <w:tcW w:w="3973" w:type="pct"/>
            <w:vAlign w:val="center"/>
          </w:tcPr>
          <w:p w14:paraId="6C482B5D">
            <w:pPr>
              <w:pStyle w:val="18"/>
              <w:rPr>
                <w:color w:val="auto"/>
              </w:rPr>
            </w:pPr>
            <w:r>
              <w:rPr>
                <w:rFonts w:hint="eastAsia"/>
                <w:color w:val="auto"/>
              </w:rPr>
              <w:t>（1）支持建立“医院→全国医院感染监控管理培训基地”上报体系；</w:t>
            </w:r>
          </w:p>
          <w:p w14:paraId="27B48AB8">
            <w:pPr>
              <w:pStyle w:val="18"/>
              <w:rPr>
                <w:color w:val="auto"/>
              </w:rPr>
            </w:pPr>
            <w:r>
              <w:rPr>
                <w:rFonts w:hint="eastAsia"/>
                <w:color w:val="auto"/>
              </w:rPr>
              <w:t>（2）支持自动分析出已上报记录数、总未上报记录数；</w:t>
            </w:r>
          </w:p>
          <w:p w14:paraId="543A791A">
            <w:pPr>
              <w:pStyle w:val="18"/>
              <w:rPr>
                <w:color w:val="auto"/>
              </w:rPr>
            </w:pPr>
            <w:r>
              <w:rPr>
                <w:rFonts w:hint="eastAsia"/>
                <w:color w:val="auto"/>
              </w:rPr>
              <w:t>（3）支持数据单项上报，也支持全选项上报，能够进行断点续传功能，多线程上报技术，上传速度快，不影响其他业务模块的操作；</w:t>
            </w:r>
          </w:p>
          <w:p w14:paraId="6244C67D">
            <w:pPr>
              <w:pStyle w:val="18"/>
              <w:rPr>
                <w:color w:val="auto"/>
              </w:rPr>
            </w:pPr>
            <w:r>
              <w:rPr>
                <w:rFonts w:hint="eastAsia"/>
                <w:color w:val="auto"/>
              </w:rPr>
              <w:t>（4）支持数据上报数据包括：感染病例监测（感染数、出院记录数）、现患率调查（实查数、应监测记录数）、外科手术感染监测、职业暴露监测、ICU病人感染监测（感染数、监测日志记录数）、高危新生儿监测（感染数、日志记录数）、抗菌药物监测、环境卫生消毒药械监测、一次性用品监测、污水监测；</w:t>
            </w:r>
          </w:p>
          <w:p w14:paraId="037FA6C5">
            <w:pPr>
              <w:pStyle w:val="18"/>
              <w:rPr>
                <w:color w:val="auto"/>
              </w:rPr>
            </w:pPr>
            <w:r>
              <w:rPr>
                <w:rFonts w:hint="eastAsia"/>
                <w:color w:val="auto"/>
              </w:rPr>
              <w:t>（5）支持数据上报结果的日志查看及保存；</w:t>
            </w:r>
          </w:p>
          <w:p w14:paraId="532D829F">
            <w:pPr>
              <w:pStyle w:val="18"/>
              <w:rPr>
                <w:color w:val="auto"/>
              </w:rPr>
            </w:pPr>
            <w:r>
              <w:rPr>
                <w:rFonts w:hint="eastAsia"/>
                <w:color w:val="auto"/>
              </w:rPr>
              <w:t>（6）支持医院感染监测过程化数据直报国家医院感染管理专业质控中心哨点医院信息上报系统；</w:t>
            </w:r>
          </w:p>
          <w:p w14:paraId="13F8EA4D">
            <w:pPr>
              <w:pStyle w:val="18"/>
              <w:rPr>
                <w:color w:val="auto"/>
              </w:rPr>
            </w:pPr>
            <w:r>
              <w:rPr>
                <w:rFonts w:hint="eastAsia"/>
                <w:color w:val="auto"/>
              </w:rPr>
              <w:t>（7）支持医院感染监测过程化\结果化数据直报各省市医院感染质控中心监测平台；</w:t>
            </w:r>
          </w:p>
          <w:p w14:paraId="4F414BF6">
            <w:pPr>
              <w:pStyle w:val="18"/>
              <w:rPr>
                <w:color w:val="auto"/>
              </w:rPr>
            </w:pPr>
            <w:r>
              <w:rPr>
                <w:rFonts w:hint="eastAsia"/>
                <w:color w:val="auto"/>
              </w:rPr>
              <w:t>（8）支持医院感染监测过程化数据直报全国医疗机构感染监测网。</w:t>
            </w:r>
          </w:p>
        </w:tc>
      </w:tr>
      <w:tr w14:paraId="353B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41A358E8">
            <w:pPr>
              <w:pStyle w:val="18"/>
              <w:jc w:val="center"/>
              <w:rPr>
                <w:b w:val="0"/>
                <w:color w:val="auto"/>
              </w:rPr>
            </w:pPr>
            <w:r>
              <w:rPr>
                <w:rFonts w:hint="eastAsia"/>
                <w:b w:val="0"/>
                <w:color w:val="auto"/>
              </w:rPr>
              <w:t>医院感染管理质量控制</w:t>
            </w:r>
          </w:p>
          <w:p w14:paraId="3296A2B6">
            <w:pPr>
              <w:pStyle w:val="18"/>
              <w:jc w:val="center"/>
              <w:rPr>
                <w:b w:val="0"/>
                <w:color w:val="auto"/>
              </w:rPr>
            </w:pPr>
            <w:r>
              <w:rPr>
                <w:rFonts w:hint="eastAsia"/>
                <w:b w:val="0"/>
                <w:color w:val="auto"/>
              </w:rPr>
              <w:t>十三项指标</w:t>
            </w:r>
          </w:p>
        </w:tc>
        <w:tc>
          <w:tcPr>
            <w:tcW w:w="3973" w:type="pct"/>
            <w:vAlign w:val="center"/>
          </w:tcPr>
          <w:p w14:paraId="57ECDF35">
            <w:pPr>
              <w:pStyle w:val="18"/>
              <w:rPr>
                <w:color w:val="auto"/>
              </w:rPr>
            </w:pPr>
            <w:r>
              <w:rPr>
                <w:rFonts w:hint="eastAsia"/>
                <w:color w:val="auto"/>
              </w:rPr>
              <w:t>支持按住院患者、时间段进行查询统计：医院感染发病（例次）率、医院感染现患（例次）率、医院感染病例漏报率、多重耐药菌感染发现率、多重耐药菌检出率、医务人员手卫生依从率、住院患者抗菌药物使用率、抗菌药物治疗前病原学送检率、</w:t>
            </w:r>
            <w:r>
              <w:rPr>
                <w:color w:val="auto"/>
              </w:rPr>
              <w:t>Ⅰ</w:t>
            </w:r>
            <w:r>
              <w:rPr>
                <w:rFonts w:hint="eastAsia"/>
                <w:color w:val="auto"/>
              </w:rPr>
              <w:t>类切口手术部位感染率、</w:t>
            </w:r>
            <w:r>
              <w:rPr>
                <w:color w:val="auto"/>
              </w:rPr>
              <w:t>Ⅰ</w:t>
            </w:r>
            <w:r>
              <w:rPr>
                <w:rFonts w:hint="eastAsia"/>
                <w:color w:val="auto"/>
              </w:rPr>
              <w:t>类切口手术抗菌药物预防使用率、血管内导管相关血流感染发病率、呼吸机相关肺炎发病率、导尿管相关泌尿系统感染发病率</w:t>
            </w:r>
          </w:p>
        </w:tc>
      </w:tr>
      <w:tr w14:paraId="3431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52080445">
            <w:pPr>
              <w:pStyle w:val="18"/>
              <w:jc w:val="center"/>
              <w:rPr>
                <w:b w:val="0"/>
                <w:color w:val="auto"/>
              </w:rPr>
            </w:pPr>
            <w:r>
              <w:rPr>
                <w:rFonts w:hint="eastAsia"/>
                <w:b w:val="0"/>
                <w:color w:val="auto"/>
              </w:rPr>
              <w:t>医院感染管理医疗质量控制十二项指标（</w:t>
            </w:r>
            <w:r>
              <w:rPr>
                <w:b w:val="0"/>
                <w:color w:val="auto"/>
              </w:rPr>
              <w:t>2024</w:t>
            </w:r>
            <w:r>
              <w:rPr>
                <w:rFonts w:hint="eastAsia"/>
                <w:b w:val="0"/>
                <w:color w:val="auto"/>
              </w:rPr>
              <w:t>年版）</w:t>
            </w:r>
          </w:p>
        </w:tc>
        <w:tc>
          <w:tcPr>
            <w:tcW w:w="3973" w:type="pct"/>
            <w:vAlign w:val="center"/>
          </w:tcPr>
          <w:p w14:paraId="1898AD00">
            <w:pPr>
              <w:pStyle w:val="18"/>
              <w:rPr>
                <w:color w:val="auto"/>
              </w:rPr>
            </w:pPr>
            <w:r>
              <w:rPr>
                <w:rFonts w:hint="eastAsia"/>
                <w:color w:val="auto"/>
              </w:rPr>
              <w:t>支持按住院患者、时间段进行查询统计：感控专职人员床位比、医疗机构工作人员手卫生依从率、千日医院感染例次发病率、新生儿千日医院感染例次发病率、千日特定多重耐药菌医院感染例次发病率、住院患者联合使用重点抗菌药物治疗前病原学送检率、住院患者Ⅰ类切口手术抗菌药物预防使用率、住院患者Ⅰ类切口手术部位感染率、血管导管相关血流感染发病率、呼吸机相关肺炎发病率、导尿管相关尿路感染发病率、血液透析相关感染发生率</w:t>
            </w:r>
          </w:p>
        </w:tc>
      </w:tr>
      <w:tr w14:paraId="449B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6E39FB38">
            <w:pPr>
              <w:pStyle w:val="18"/>
              <w:jc w:val="center"/>
              <w:rPr>
                <w:b w:val="0"/>
                <w:color w:val="auto"/>
              </w:rPr>
            </w:pPr>
            <w:r>
              <w:rPr>
                <w:rFonts w:hint="eastAsia"/>
                <w:b w:val="0"/>
                <w:color w:val="auto"/>
              </w:rPr>
              <w:t>提升抗菌药物治疗前病原学送检率哨点医院专项行动</w:t>
            </w:r>
          </w:p>
          <w:p w14:paraId="41678A08">
            <w:pPr>
              <w:pStyle w:val="18"/>
              <w:jc w:val="center"/>
              <w:rPr>
                <w:b w:val="0"/>
                <w:color w:val="auto"/>
              </w:rPr>
            </w:pPr>
            <w:r>
              <w:rPr>
                <w:rFonts w:hint="eastAsia"/>
                <w:b w:val="0"/>
                <w:color w:val="auto"/>
              </w:rPr>
              <w:t>指标统计</w:t>
            </w:r>
          </w:p>
        </w:tc>
        <w:tc>
          <w:tcPr>
            <w:tcW w:w="3973" w:type="pct"/>
            <w:vAlign w:val="center"/>
          </w:tcPr>
          <w:p w14:paraId="3C2723F5">
            <w:pPr>
              <w:pStyle w:val="18"/>
              <w:rPr>
                <w:color w:val="auto"/>
              </w:rPr>
            </w:pPr>
            <w:r>
              <w:rPr>
                <w:rFonts w:hint="eastAsia"/>
                <w:color w:val="auto"/>
              </w:rPr>
              <w:t>统计分析抗菌药物（分级）治疗前病原学送检率、联合使用重点药物前病原学送检率、医院感染诊断相关病原学送检率。可按照不同条件进行筛选，如是否包含降钙素原、PRC、白介素、G试验、显微镜检查、免疫学检测、分子快速判断、相关标志物等。并且通过红色标志数字显示警戒线。</w:t>
            </w:r>
          </w:p>
        </w:tc>
      </w:tr>
      <w:tr w14:paraId="5F42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1200B396">
            <w:pPr>
              <w:pStyle w:val="18"/>
              <w:jc w:val="center"/>
              <w:rPr>
                <w:b w:val="0"/>
                <w:color w:val="auto"/>
              </w:rPr>
            </w:pPr>
            <w:r>
              <w:rPr>
                <w:rFonts w:hint="eastAsia"/>
                <w:b w:val="0"/>
                <w:color w:val="auto"/>
              </w:rPr>
              <w:t>全国医疗机构感染监测网</w:t>
            </w:r>
          </w:p>
          <w:p w14:paraId="3FF64022">
            <w:pPr>
              <w:pStyle w:val="18"/>
              <w:jc w:val="center"/>
              <w:rPr>
                <w:b w:val="0"/>
                <w:color w:val="auto"/>
              </w:rPr>
            </w:pPr>
            <w:r>
              <w:rPr>
                <w:rFonts w:hint="eastAsia"/>
                <w:b w:val="0"/>
                <w:color w:val="auto"/>
              </w:rPr>
              <w:t>指标统计</w:t>
            </w:r>
          </w:p>
        </w:tc>
        <w:tc>
          <w:tcPr>
            <w:tcW w:w="3973" w:type="pct"/>
            <w:vAlign w:val="center"/>
          </w:tcPr>
          <w:p w14:paraId="65072C7E">
            <w:pPr>
              <w:pStyle w:val="18"/>
              <w:rPr>
                <w:color w:val="auto"/>
              </w:rPr>
            </w:pPr>
            <w:r>
              <w:rPr>
                <w:rFonts w:hint="eastAsia"/>
                <w:color w:val="auto"/>
              </w:rPr>
              <w:t>支持按住院患者、时间段进行查询统计：医院感染日发病率、医院感染日发病例次率、特定多重耐药菌医院感染发生率、特定多重耐药菌检出率、特定多重耐药菌患者隔离医嘱开具率、住院患者抗菌药物使用率、抗菌药物治疗前病原学送检率、</w:t>
            </w:r>
            <w:r>
              <w:rPr>
                <w:color w:val="auto"/>
              </w:rPr>
              <w:t xml:space="preserve">I </w:t>
            </w:r>
            <w:r>
              <w:rPr>
                <w:rFonts w:hint="eastAsia"/>
                <w:color w:val="auto"/>
              </w:rPr>
              <w:t>类切口手术部位感染率、</w:t>
            </w:r>
            <w:r>
              <w:rPr>
                <w:color w:val="auto"/>
              </w:rPr>
              <w:t xml:space="preserve">I </w:t>
            </w:r>
            <w:r>
              <w:rPr>
                <w:rFonts w:hint="eastAsia"/>
                <w:color w:val="auto"/>
              </w:rPr>
              <w:t>类切口手术抗菌药物预防使用率、血管导管相关血流感染发病率、呼吸机相关肺炎发病率、导尿管相关尿路感染发病率</w:t>
            </w:r>
          </w:p>
        </w:tc>
      </w:tr>
      <w:tr w14:paraId="7F4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2330B2A8">
            <w:pPr>
              <w:pStyle w:val="18"/>
              <w:jc w:val="center"/>
              <w:rPr>
                <w:b w:val="0"/>
                <w:color w:val="auto"/>
              </w:rPr>
            </w:pPr>
            <w:r>
              <w:rPr>
                <w:rFonts w:hint="eastAsia"/>
                <w:b w:val="0"/>
                <w:color w:val="auto"/>
              </w:rPr>
              <w:t>“感术”行动监测指标统计</w:t>
            </w:r>
          </w:p>
        </w:tc>
        <w:tc>
          <w:tcPr>
            <w:tcW w:w="3973" w:type="pct"/>
            <w:vAlign w:val="center"/>
          </w:tcPr>
          <w:p w14:paraId="1E42AF26">
            <w:pPr>
              <w:pStyle w:val="18"/>
              <w:rPr>
                <w:color w:val="auto"/>
              </w:rPr>
            </w:pPr>
            <w:r>
              <w:rPr>
                <w:rFonts w:hint="eastAsia"/>
                <w:color w:val="auto"/>
              </w:rPr>
              <w:t>支持按住院患者、时间段进行查询统计：术前皮肤准备合格率、手术部位感染率、</w:t>
            </w:r>
            <w:r>
              <w:rPr>
                <w:color w:val="auto"/>
              </w:rPr>
              <w:t xml:space="preserve">I </w:t>
            </w:r>
            <w:r>
              <w:rPr>
                <w:rFonts w:hint="eastAsia"/>
                <w:color w:val="auto"/>
              </w:rPr>
              <w:t>类切口手术部位感染率、术后肺炎发生率、预防性使用抗菌药物术前</w:t>
            </w:r>
            <w:r>
              <w:rPr>
                <w:color w:val="auto"/>
              </w:rPr>
              <w:t xml:space="preserve"> 0.5~1 </w:t>
            </w:r>
            <w:r>
              <w:rPr>
                <w:rFonts w:hint="eastAsia"/>
                <w:color w:val="auto"/>
              </w:rPr>
              <w:t>小时给药率、</w:t>
            </w:r>
            <w:r>
              <w:rPr>
                <w:color w:val="auto"/>
              </w:rPr>
              <w:t xml:space="preserve">I </w:t>
            </w:r>
            <w:r>
              <w:rPr>
                <w:rFonts w:hint="eastAsia"/>
                <w:color w:val="auto"/>
              </w:rPr>
              <w:t>类切口手术预防性用药</w:t>
            </w:r>
            <w:r>
              <w:rPr>
                <w:color w:val="auto"/>
              </w:rPr>
              <w:t>24</w:t>
            </w:r>
            <w:r>
              <w:rPr>
                <w:rFonts w:hint="eastAsia"/>
                <w:color w:val="auto"/>
              </w:rPr>
              <w:t>小时内抗菌药物停药率。支持按重点手术分类统计数据，如：髋关节置换术、膝关节置换术、冠状动脉旁路移植术等；支持排除感染病例用药数据统计；支持术前用药排除万古霉素和氟喹诺酮类用药统计；支持以全身性用药途径进行数据筛选统计。</w:t>
            </w:r>
          </w:p>
        </w:tc>
      </w:tr>
      <w:tr w14:paraId="04E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3DD38B7B">
            <w:pPr>
              <w:pStyle w:val="18"/>
              <w:jc w:val="center"/>
              <w:rPr>
                <w:b w:val="0"/>
                <w:color w:val="auto"/>
              </w:rPr>
            </w:pPr>
            <w:r>
              <w:rPr>
                <w:rFonts w:hint="eastAsia"/>
                <w:b w:val="0"/>
                <w:color w:val="auto"/>
              </w:rPr>
              <w:t>感染统计</w:t>
            </w:r>
          </w:p>
        </w:tc>
        <w:tc>
          <w:tcPr>
            <w:tcW w:w="3973" w:type="pct"/>
            <w:vAlign w:val="center"/>
          </w:tcPr>
          <w:p w14:paraId="779AB370">
            <w:pPr>
              <w:pStyle w:val="18"/>
              <w:rPr>
                <w:color w:val="auto"/>
              </w:rPr>
            </w:pPr>
            <w:r>
              <w:rPr>
                <w:rFonts w:hint="eastAsia"/>
                <w:color w:val="auto"/>
              </w:rPr>
              <w:t>可按照时间段、患者科室等维度统计分析：医院感染率、社区感染率、医院感染日感染率、医院感染部位分布、社区感染部位分布、医院感染病原体部位分布、社区感染病原体部位分布、易感因素、</w:t>
            </w:r>
            <w:r>
              <w:rPr>
                <w:color w:val="auto"/>
              </w:rPr>
              <w:t>CLABSI</w:t>
            </w:r>
            <w:r>
              <w:rPr>
                <w:rFonts w:hint="eastAsia"/>
                <w:color w:val="auto"/>
              </w:rPr>
              <w:t>（血管内导管相关血流感染发病率）、</w:t>
            </w:r>
            <w:r>
              <w:rPr>
                <w:color w:val="auto"/>
              </w:rPr>
              <w:t>VAP</w:t>
            </w:r>
            <w:r>
              <w:rPr>
                <w:rFonts w:hint="eastAsia"/>
                <w:color w:val="auto"/>
              </w:rPr>
              <w:t>（呼吸机相关肺炎发病率）、</w:t>
            </w:r>
            <w:r>
              <w:rPr>
                <w:color w:val="auto"/>
              </w:rPr>
              <w:t>CAUTI</w:t>
            </w:r>
            <w:r>
              <w:rPr>
                <w:rFonts w:hint="eastAsia"/>
                <w:color w:val="auto"/>
              </w:rPr>
              <w:t>（导尿管相关泌尿系统感染发病率）</w:t>
            </w:r>
          </w:p>
        </w:tc>
      </w:tr>
      <w:tr w14:paraId="20CB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CEC488A">
            <w:pPr>
              <w:pStyle w:val="18"/>
              <w:jc w:val="center"/>
              <w:rPr>
                <w:b w:val="0"/>
                <w:color w:val="auto"/>
              </w:rPr>
            </w:pPr>
            <w:r>
              <w:rPr>
                <w:rFonts w:hint="eastAsia"/>
                <w:b w:val="0"/>
                <w:color w:val="auto"/>
              </w:rPr>
              <w:t>感染率</w:t>
            </w:r>
          </w:p>
          <w:p w14:paraId="5FA79A9E">
            <w:pPr>
              <w:pStyle w:val="18"/>
              <w:jc w:val="center"/>
              <w:rPr>
                <w:b w:val="0"/>
                <w:color w:val="auto"/>
              </w:rPr>
            </w:pPr>
            <w:r>
              <w:rPr>
                <w:rFonts w:hint="eastAsia"/>
                <w:b w:val="0"/>
                <w:color w:val="auto"/>
              </w:rPr>
              <w:t>趋势分析</w:t>
            </w:r>
          </w:p>
        </w:tc>
        <w:tc>
          <w:tcPr>
            <w:tcW w:w="3973" w:type="pct"/>
            <w:vAlign w:val="center"/>
          </w:tcPr>
          <w:p w14:paraId="3BE379FD">
            <w:pPr>
              <w:pStyle w:val="18"/>
              <w:rPr>
                <w:color w:val="auto"/>
              </w:rPr>
            </w:pPr>
            <w:r>
              <w:rPr>
                <w:rFonts w:hint="eastAsia"/>
                <w:color w:val="auto"/>
              </w:rPr>
              <w:t>医院感染率、社区感染率、医院感染日感染率、</w:t>
            </w:r>
            <w:r>
              <w:rPr>
                <w:color w:val="auto"/>
              </w:rPr>
              <w:t>CLABSI</w:t>
            </w:r>
            <w:r>
              <w:rPr>
                <w:rFonts w:hint="eastAsia"/>
                <w:color w:val="auto"/>
              </w:rPr>
              <w:t>（血管内导管相关血流感染发病率）、</w:t>
            </w:r>
            <w:r>
              <w:rPr>
                <w:color w:val="auto"/>
              </w:rPr>
              <w:t>VAP</w:t>
            </w:r>
            <w:r>
              <w:rPr>
                <w:rFonts w:hint="eastAsia"/>
                <w:color w:val="auto"/>
              </w:rPr>
              <w:t>（呼吸机相关肺炎发病率）、</w:t>
            </w:r>
            <w:r>
              <w:rPr>
                <w:color w:val="auto"/>
              </w:rPr>
              <w:t>CAUTI</w:t>
            </w:r>
            <w:r>
              <w:rPr>
                <w:rFonts w:hint="eastAsia"/>
                <w:color w:val="auto"/>
              </w:rPr>
              <w:t>（导尿管相关泌尿系统感染发病率）。</w:t>
            </w:r>
          </w:p>
        </w:tc>
      </w:tr>
      <w:tr w14:paraId="4B3A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4033E9AD">
            <w:pPr>
              <w:pStyle w:val="18"/>
              <w:jc w:val="center"/>
              <w:rPr>
                <w:b w:val="0"/>
                <w:color w:val="auto"/>
              </w:rPr>
            </w:pPr>
            <w:r>
              <w:rPr>
                <w:rFonts w:hint="eastAsia"/>
                <w:b w:val="0"/>
                <w:color w:val="auto"/>
              </w:rPr>
              <w:t>现患率统计</w:t>
            </w:r>
          </w:p>
        </w:tc>
        <w:tc>
          <w:tcPr>
            <w:tcW w:w="3973" w:type="pct"/>
            <w:vAlign w:val="center"/>
          </w:tcPr>
          <w:p w14:paraId="229863D2">
            <w:pPr>
              <w:pStyle w:val="18"/>
              <w:rPr>
                <w:color w:val="auto"/>
              </w:rPr>
            </w:pPr>
            <w:r>
              <w:rPr>
                <w:rFonts w:hint="eastAsia"/>
                <w:color w:val="auto"/>
              </w:rPr>
              <w:t>根据横断面调查进行现患统计；医院感染率、社区感染率、医院感染病原体部位分布、抗菌药物使用情况、医院感染率现患趋势分析</w:t>
            </w:r>
          </w:p>
        </w:tc>
      </w:tr>
      <w:tr w14:paraId="481F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14709B8B">
            <w:pPr>
              <w:pStyle w:val="18"/>
              <w:jc w:val="center"/>
              <w:rPr>
                <w:b w:val="0"/>
                <w:color w:val="auto"/>
              </w:rPr>
            </w:pPr>
            <w:r>
              <w:rPr>
                <w:rFonts w:hint="eastAsia"/>
                <w:b w:val="0"/>
                <w:color w:val="auto"/>
              </w:rPr>
              <w:t>院感通讯简报</w:t>
            </w:r>
          </w:p>
        </w:tc>
        <w:tc>
          <w:tcPr>
            <w:tcW w:w="3973" w:type="pct"/>
            <w:vAlign w:val="center"/>
          </w:tcPr>
          <w:p w14:paraId="3F0BF0BF">
            <w:pPr>
              <w:pStyle w:val="18"/>
              <w:rPr>
                <w:color w:val="auto"/>
              </w:rPr>
            </w:pPr>
            <w:r>
              <w:rPr>
                <w:rFonts w:hint="eastAsia"/>
                <w:color w:val="auto"/>
              </w:rPr>
              <w:t>支持根据院内监测数据自动生成院感通讯简报，进行多样化的指标数据统计。支持表格、曲线图、折线图等展现形式生成图文并茂的简报内容，提供统一模板库和各类标准统计指标。支持简报名称、格式、内容自定义；简报一键生成，支持导出</w:t>
            </w:r>
            <w:r>
              <w:rPr>
                <w:color w:val="auto"/>
              </w:rPr>
              <w:t>word</w:t>
            </w:r>
            <w:r>
              <w:rPr>
                <w:rFonts w:hint="eastAsia"/>
                <w:color w:val="auto"/>
              </w:rPr>
              <w:t>格式，自行调整简报内容。</w:t>
            </w:r>
          </w:p>
        </w:tc>
      </w:tr>
      <w:tr w14:paraId="72F3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33B75C5">
            <w:pPr>
              <w:pStyle w:val="18"/>
              <w:jc w:val="center"/>
              <w:rPr>
                <w:b w:val="0"/>
                <w:color w:val="auto"/>
              </w:rPr>
            </w:pPr>
            <w:r>
              <w:rPr>
                <w:rFonts w:hint="eastAsia"/>
                <w:b w:val="0"/>
                <w:color w:val="auto"/>
              </w:rPr>
              <w:t>患者诊疗信息</w:t>
            </w:r>
          </w:p>
        </w:tc>
        <w:tc>
          <w:tcPr>
            <w:tcW w:w="3973" w:type="pct"/>
            <w:vAlign w:val="center"/>
          </w:tcPr>
          <w:p w14:paraId="1B21BC38">
            <w:pPr>
              <w:pStyle w:val="18"/>
              <w:rPr>
                <w:color w:val="auto"/>
              </w:rPr>
            </w:pPr>
            <w:r>
              <w:rPr>
                <w:rFonts w:hint="eastAsia"/>
                <w:color w:val="auto"/>
              </w:rPr>
              <w:t>（1）支持查看患者历次本院住院诊疗信息，包括住院号、入院科室、入院时间、出院科室、出院时间、入院诊断、住院次数；</w:t>
            </w:r>
          </w:p>
          <w:p w14:paraId="783E65EB">
            <w:pPr>
              <w:pStyle w:val="18"/>
              <w:rPr>
                <w:color w:val="auto"/>
              </w:rPr>
            </w:pPr>
            <w:r>
              <w:rPr>
                <w:rFonts w:hint="eastAsia"/>
                <w:color w:val="auto"/>
              </w:rPr>
              <w:t>（2）支持查看患者基本信息，包括住院号、病案号、姓名、性别、年龄、住院次数、体重、入院诊断、当前科室信息；</w:t>
            </w:r>
          </w:p>
          <w:p w14:paraId="0CD8D459">
            <w:pPr>
              <w:pStyle w:val="18"/>
              <w:rPr>
                <w:color w:val="auto"/>
              </w:rPr>
            </w:pPr>
            <w:r>
              <w:rPr>
                <w:rFonts w:hint="eastAsia"/>
                <w:color w:val="auto"/>
              </w:rPr>
              <w:t>（3）支持查看患者住院综合图示重要关注因素的时序图，包括三大插管、三大常规、C反应蛋白、降钙素原、检出菌、隔离标识；</w:t>
            </w:r>
          </w:p>
          <w:p w14:paraId="75570410">
            <w:pPr>
              <w:pStyle w:val="18"/>
              <w:rPr>
                <w:color w:val="auto"/>
              </w:rPr>
            </w:pPr>
            <w:r>
              <w:rPr>
                <w:rFonts w:hint="eastAsia"/>
                <w:color w:val="auto"/>
              </w:rPr>
              <w:t>（4）支持在综合图示中，可查看三大常规、C反应蛋白的历次送检信息及检验结果的趋势走向；</w:t>
            </w:r>
          </w:p>
          <w:p w14:paraId="2643E0AF">
            <w:pPr>
              <w:pStyle w:val="18"/>
              <w:rPr>
                <w:color w:val="auto"/>
              </w:rPr>
            </w:pPr>
            <w:r>
              <w:rPr>
                <w:rFonts w:hint="eastAsia"/>
                <w:color w:val="auto"/>
              </w:rPr>
              <w:t>（5）支持查看住院综合图示重要风险因素明细，包括：抗菌药物使用、侵入性操作、检出菌、手术、体温异常；</w:t>
            </w:r>
          </w:p>
          <w:p w14:paraId="150F719E">
            <w:pPr>
              <w:pStyle w:val="18"/>
              <w:rPr>
                <w:color w:val="auto"/>
              </w:rPr>
            </w:pPr>
            <w:r>
              <w:rPr>
                <w:rFonts w:hint="eastAsia"/>
                <w:color w:val="auto"/>
              </w:rPr>
              <w:t>（6）支持查看医嘱信息，侵入性操作、抗菌药物优先置顶，并可进行关键词搜索医嘱；</w:t>
            </w:r>
          </w:p>
          <w:p w14:paraId="0C867E49">
            <w:pPr>
              <w:pStyle w:val="18"/>
              <w:rPr>
                <w:color w:val="auto"/>
              </w:rPr>
            </w:pPr>
            <w:r>
              <w:rPr>
                <w:rFonts w:hint="eastAsia"/>
                <w:color w:val="auto"/>
              </w:rPr>
              <w:t>（7）支持查看检验信息，对存在异常检验项目，标记红点显目提示，异常检验结果优先置顶；</w:t>
            </w:r>
          </w:p>
          <w:p w14:paraId="1EA77FBA">
            <w:pPr>
              <w:pStyle w:val="18"/>
              <w:rPr>
                <w:color w:val="auto"/>
              </w:rPr>
            </w:pPr>
            <w:r>
              <w:rPr>
                <w:rFonts w:hint="eastAsia"/>
                <w:color w:val="auto"/>
              </w:rPr>
              <w:t>（8）支持查看菌培养信息，优先置顶，药敏结果为耐药标红显示；</w:t>
            </w:r>
          </w:p>
          <w:p w14:paraId="1ADBC7CF">
            <w:pPr>
              <w:pStyle w:val="18"/>
              <w:rPr>
                <w:color w:val="auto"/>
              </w:rPr>
            </w:pPr>
            <w:r>
              <w:rPr>
                <w:rFonts w:hint="eastAsia"/>
                <w:color w:val="auto"/>
              </w:rPr>
              <w:t>（9）支持查看手术信息，可穿透查看手术登记表；</w:t>
            </w:r>
          </w:p>
          <w:p w14:paraId="7C8CFD61">
            <w:pPr>
              <w:pStyle w:val="18"/>
              <w:rPr>
                <w:color w:val="auto"/>
              </w:rPr>
            </w:pPr>
            <w:r>
              <w:rPr>
                <w:rFonts w:hint="eastAsia"/>
                <w:color w:val="auto"/>
              </w:rPr>
              <w:t>（10）支持查看体温信息，时间段内体温走向，超过38℃显目提示；</w:t>
            </w:r>
          </w:p>
          <w:p w14:paraId="47E16062">
            <w:pPr>
              <w:pStyle w:val="18"/>
              <w:rPr>
                <w:color w:val="auto"/>
              </w:rPr>
            </w:pPr>
            <w:r>
              <w:rPr>
                <w:rFonts w:hint="eastAsia"/>
                <w:color w:val="auto"/>
              </w:rPr>
              <w:t>（11）支持查看病历信息，对存在感染因素的标记显示，分别展示分析后病历和原文病历，分析后病历中关键词按颜色区分否定式、阳性词；</w:t>
            </w:r>
          </w:p>
          <w:p w14:paraId="2C3B6A0B">
            <w:pPr>
              <w:pStyle w:val="18"/>
              <w:rPr>
                <w:color w:val="auto"/>
              </w:rPr>
            </w:pPr>
            <w:r>
              <w:rPr>
                <w:rFonts w:hint="eastAsia"/>
                <w:color w:val="auto"/>
              </w:rPr>
              <w:t>（12）支持查看影像信息，对存在感染因素的标记显示，分析后影像报告中关键词按颜色区分否定式、阳性词；</w:t>
            </w:r>
          </w:p>
          <w:p w14:paraId="7E5FE4AF">
            <w:pPr>
              <w:pStyle w:val="18"/>
              <w:rPr>
                <w:color w:val="auto"/>
              </w:rPr>
            </w:pPr>
            <w:r>
              <w:rPr>
                <w:rFonts w:hint="eastAsia"/>
                <w:color w:val="auto"/>
              </w:rPr>
              <w:t>（13）支持查看诊断信息，包括入院诊断、出院诊断、其他诊断；</w:t>
            </w:r>
          </w:p>
          <w:p w14:paraId="3FD512B9">
            <w:pPr>
              <w:pStyle w:val="18"/>
              <w:rPr>
                <w:color w:val="auto"/>
              </w:rPr>
            </w:pPr>
            <w:r>
              <w:rPr>
                <w:rFonts w:hint="eastAsia"/>
                <w:color w:val="auto"/>
              </w:rPr>
              <w:t>（14）支持查看在院期间出入科记录；</w:t>
            </w:r>
          </w:p>
          <w:p w14:paraId="6C3C1480">
            <w:pPr>
              <w:pStyle w:val="18"/>
              <w:rPr>
                <w:color w:val="auto"/>
              </w:rPr>
            </w:pPr>
            <w:r>
              <w:rPr>
                <w:rFonts w:hint="eastAsia"/>
                <w:color w:val="auto"/>
              </w:rPr>
              <w:t>（15）支持查看当前患者干预历史情况，并支持干预会话发起；</w:t>
            </w:r>
          </w:p>
          <w:p w14:paraId="57EB75C6">
            <w:pPr>
              <w:pStyle w:val="18"/>
              <w:rPr>
                <w:color w:val="auto"/>
              </w:rPr>
            </w:pPr>
            <w:r>
              <w:rPr>
                <w:rFonts w:hint="eastAsia"/>
                <w:color w:val="auto"/>
              </w:rPr>
              <w:t>（16）支持查看当前患者疑似感染信息，并可直接进行干预、排除、确认操作；</w:t>
            </w:r>
          </w:p>
          <w:p w14:paraId="7F120FC2">
            <w:pPr>
              <w:pStyle w:val="18"/>
              <w:rPr>
                <w:color w:val="auto"/>
              </w:rPr>
            </w:pPr>
            <w:r>
              <w:rPr>
                <w:rFonts w:hint="eastAsia"/>
                <w:color w:val="auto"/>
              </w:rPr>
              <w:t>支持查看当前患者感染病例历史上报情况；</w:t>
            </w:r>
          </w:p>
        </w:tc>
      </w:tr>
      <w:tr w14:paraId="5D1E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0F7F195">
            <w:pPr>
              <w:pStyle w:val="18"/>
              <w:jc w:val="center"/>
              <w:rPr>
                <w:b w:val="0"/>
                <w:color w:val="auto"/>
              </w:rPr>
            </w:pPr>
            <w:r>
              <w:rPr>
                <w:rFonts w:hint="eastAsia"/>
                <w:b w:val="0"/>
                <w:color w:val="auto"/>
              </w:rPr>
              <w:t>患者数据数据采集</w:t>
            </w:r>
          </w:p>
        </w:tc>
        <w:tc>
          <w:tcPr>
            <w:tcW w:w="3973" w:type="pct"/>
            <w:vAlign w:val="center"/>
          </w:tcPr>
          <w:p w14:paraId="42FB9D99">
            <w:pPr>
              <w:pStyle w:val="18"/>
              <w:rPr>
                <w:color w:val="auto"/>
              </w:rPr>
            </w:pPr>
            <w:r>
              <w:rPr>
                <w:rFonts w:hint="eastAsia"/>
                <w:color w:val="auto"/>
              </w:rPr>
              <w:t>（1）支持与医院现有系统的数据对接，自动完成HIS、LIS、PACS、EMR(电子病历)、手术麻醉、护理系统系统的数据加载，并自动完成各项院感数据匹配工作；</w:t>
            </w:r>
          </w:p>
          <w:p w14:paraId="49D9C076">
            <w:pPr>
              <w:pStyle w:val="18"/>
              <w:rPr>
                <w:color w:val="auto"/>
              </w:rPr>
            </w:pPr>
            <w:r>
              <w:rPr>
                <w:rFonts w:hint="eastAsia"/>
                <w:color w:val="auto"/>
              </w:rPr>
              <w:t>（2）支持对接Sqlserver、Mysql、Oracle、DB2、Cache数据库；</w:t>
            </w:r>
          </w:p>
          <w:p w14:paraId="41B957EB">
            <w:pPr>
              <w:pStyle w:val="18"/>
              <w:rPr>
                <w:color w:val="auto"/>
              </w:rPr>
            </w:pPr>
            <w:r>
              <w:rPr>
                <w:rFonts w:hint="eastAsia"/>
                <w:color w:val="auto"/>
              </w:rPr>
              <w:t>（3）支持完成自动加载患者基本信息；</w:t>
            </w:r>
          </w:p>
          <w:p w14:paraId="7E6E9F2B">
            <w:pPr>
              <w:pStyle w:val="18"/>
              <w:rPr>
                <w:color w:val="auto"/>
              </w:rPr>
            </w:pPr>
            <w:r>
              <w:rPr>
                <w:rFonts w:hint="eastAsia"/>
                <w:color w:val="auto"/>
              </w:rPr>
              <w:t>（4）支持完成自动加载患者出入院信息，包括出入院日期、科室、床位、住院总费用信息；</w:t>
            </w:r>
          </w:p>
          <w:p w14:paraId="74DD3BCA">
            <w:pPr>
              <w:pStyle w:val="18"/>
              <w:rPr>
                <w:color w:val="auto"/>
              </w:rPr>
            </w:pPr>
            <w:r>
              <w:rPr>
                <w:rFonts w:hint="eastAsia"/>
                <w:color w:val="auto"/>
              </w:rPr>
              <w:t>（5）支持完成自动加载患者转科信息；</w:t>
            </w:r>
          </w:p>
          <w:p w14:paraId="664BA84B">
            <w:pPr>
              <w:pStyle w:val="18"/>
              <w:rPr>
                <w:color w:val="auto"/>
              </w:rPr>
            </w:pPr>
            <w:r>
              <w:rPr>
                <w:rFonts w:hint="eastAsia"/>
                <w:color w:val="auto"/>
              </w:rPr>
              <w:t>（6）支持完成自动加载患者诊断信息，入院诊断、疾病诊断、出院诊断；</w:t>
            </w:r>
          </w:p>
          <w:p w14:paraId="7F844572">
            <w:pPr>
              <w:pStyle w:val="18"/>
              <w:rPr>
                <w:color w:val="auto"/>
              </w:rPr>
            </w:pPr>
            <w:r>
              <w:rPr>
                <w:rFonts w:hint="eastAsia"/>
                <w:color w:val="auto"/>
              </w:rPr>
              <w:t>（7）支持完成自动加载患者电子体温信息及大便次数信息；</w:t>
            </w:r>
          </w:p>
          <w:p w14:paraId="10691E74">
            <w:pPr>
              <w:pStyle w:val="18"/>
              <w:rPr>
                <w:color w:val="auto"/>
              </w:rPr>
            </w:pPr>
            <w:r>
              <w:rPr>
                <w:rFonts w:hint="eastAsia"/>
                <w:color w:val="auto"/>
              </w:rPr>
              <w:t>（8）支持完成自动加载患者手术申请、安排，详细的手术情况，如麻醉类型、手术时间等；</w:t>
            </w:r>
          </w:p>
          <w:p w14:paraId="2BC1FB51">
            <w:pPr>
              <w:pStyle w:val="18"/>
              <w:rPr>
                <w:color w:val="auto"/>
              </w:rPr>
            </w:pPr>
            <w:r>
              <w:rPr>
                <w:rFonts w:hint="eastAsia"/>
                <w:color w:val="auto"/>
              </w:rPr>
              <w:t>（9）支持完成自动加载患者医嘱信息，包括检验检查项目、用药情况等；</w:t>
            </w:r>
          </w:p>
          <w:p w14:paraId="4BD32E96">
            <w:pPr>
              <w:pStyle w:val="18"/>
              <w:rPr>
                <w:color w:val="auto"/>
              </w:rPr>
            </w:pPr>
            <w:r>
              <w:rPr>
                <w:rFonts w:hint="eastAsia"/>
                <w:color w:val="auto"/>
              </w:rPr>
              <w:t>（10）支持完成自动加载患者检验信息，包括常规检验、细菌培养、检验结果等；</w:t>
            </w:r>
          </w:p>
          <w:p w14:paraId="7FAF1A5D">
            <w:pPr>
              <w:pStyle w:val="18"/>
              <w:rPr>
                <w:color w:val="auto"/>
              </w:rPr>
            </w:pPr>
            <w:r>
              <w:rPr>
                <w:rFonts w:hint="eastAsia"/>
                <w:color w:val="auto"/>
              </w:rPr>
              <w:t>（11）支持完成自动加载患者微生物培养情况（包括送检信息、病原体检出情况、药敏试验情况等）；</w:t>
            </w:r>
          </w:p>
          <w:p w14:paraId="7B9354DF">
            <w:pPr>
              <w:pStyle w:val="18"/>
              <w:rPr>
                <w:color w:val="auto"/>
              </w:rPr>
            </w:pPr>
            <w:r>
              <w:rPr>
                <w:rFonts w:hint="eastAsia"/>
                <w:color w:val="auto"/>
              </w:rPr>
              <w:t>（12）支持完成自动加载患者抗菌药物使用情况；</w:t>
            </w:r>
          </w:p>
          <w:p w14:paraId="5E2BEF36">
            <w:pPr>
              <w:pStyle w:val="18"/>
              <w:rPr>
                <w:color w:val="auto"/>
              </w:rPr>
            </w:pPr>
            <w:r>
              <w:rPr>
                <w:rFonts w:hint="eastAsia"/>
                <w:color w:val="auto"/>
              </w:rPr>
              <w:t>（13）支持完成自动加载患者影像诊断信息；</w:t>
            </w:r>
          </w:p>
          <w:p w14:paraId="5684E2BA">
            <w:pPr>
              <w:pStyle w:val="18"/>
              <w:rPr>
                <w:color w:val="auto"/>
              </w:rPr>
            </w:pPr>
            <w:r>
              <w:rPr>
                <w:rFonts w:hint="eastAsia"/>
                <w:color w:val="auto"/>
              </w:rPr>
              <w:t>（14）支持完成自动加载患者病历记录；</w:t>
            </w:r>
          </w:p>
          <w:p w14:paraId="42FAD9EE">
            <w:pPr>
              <w:pStyle w:val="18"/>
              <w:rPr>
                <w:color w:val="auto"/>
              </w:rPr>
            </w:pPr>
            <w:r>
              <w:rPr>
                <w:rFonts w:hint="eastAsia"/>
                <w:color w:val="auto"/>
              </w:rPr>
              <w:t>（15）科室信息、医生信息（包括职称）、药品信息等基础资料；</w:t>
            </w:r>
          </w:p>
          <w:p w14:paraId="2C874991">
            <w:pPr>
              <w:pStyle w:val="18"/>
              <w:rPr>
                <w:color w:val="auto"/>
              </w:rPr>
            </w:pPr>
            <w:r>
              <w:rPr>
                <w:rFonts w:hint="eastAsia"/>
                <w:color w:val="auto"/>
              </w:rPr>
              <w:t>（16）支持ETL接口数据自动监控，异常接口数据弹窗提醒，可查看异常接口事件详情与错误记录明细。</w:t>
            </w:r>
          </w:p>
        </w:tc>
      </w:tr>
      <w:tr w14:paraId="1C83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64B7A64A">
            <w:pPr>
              <w:pStyle w:val="18"/>
              <w:jc w:val="center"/>
              <w:rPr>
                <w:b w:val="0"/>
                <w:color w:val="auto"/>
              </w:rPr>
            </w:pPr>
            <w:r>
              <w:rPr>
                <w:rFonts w:hint="eastAsia"/>
                <w:b w:val="0"/>
                <w:color w:val="auto"/>
              </w:rPr>
              <w:t>重点监测细菌</w:t>
            </w:r>
          </w:p>
        </w:tc>
        <w:tc>
          <w:tcPr>
            <w:tcW w:w="3973" w:type="pct"/>
            <w:vAlign w:val="center"/>
          </w:tcPr>
          <w:p w14:paraId="74735785">
            <w:pPr>
              <w:pStyle w:val="18"/>
              <w:rPr>
                <w:color w:val="auto"/>
              </w:rPr>
            </w:pPr>
            <w:r>
              <w:rPr>
                <w:rFonts w:hint="eastAsia"/>
                <w:color w:val="auto"/>
              </w:rPr>
              <w:t>（1）支持对国家卫计委要求的重点监测菌的维护，重点监测菌包括：耐甲氧西林金黄色葡萄球菌（MRSA）、耐碳青霉烯类抗菌药物铜绿假单胞菌（CR-PA）、耐碳青霉烯类抗菌药物肠杆菌科细菌(CRE)、耐碳青霉烯类抗菌药物鲍曼不动杆菌(CR-AB)、耐万古霉素肠球菌(VRE)、耐万古霉素金黄色葡萄球菌(VRSA)、产超广谱β-内酰胺酶疑似菌株（ESBLs）；</w:t>
            </w:r>
          </w:p>
          <w:p w14:paraId="07F18613">
            <w:pPr>
              <w:pStyle w:val="18"/>
              <w:rPr>
                <w:color w:val="auto"/>
              </w:rPr>
            </w:pPr>
            <w:r>
              <w:rPr>
                <w:rFonts w:hint="eastAsia"/>
                <w:color w:val="auto"/>
              </w:rPr>
              <w:t>（2）提供重点监测细菌可定制化操作功能，通过简单的点与选可完成对重点监测细菌的增加、修改、停用的操作；</w:t>
            </w:r>
          </w:p>
          <w:p w14:paraId="57B14B03">
            <w:pPr>
              <w:pStyle w:val="18"/>
              <w:rPr>
                <w:color w:val="auto"/>
              </w:rPr>
            </w:pPr>
            <w:r>
              <w:rPr>
                <w:rFonts w:hint="eastAsia"/>
                <w:color w:val="auto"/>
              </w:rPr>
              <w:t>（3）重点监测细菌内容可随医院细菌监测业务的变化随之调整，如对金黄色葡萄球菌作为重点菌，则增加成功后；或增加大肠埃希菌对碳青霉烯类中亚胺培南、美罗培南、厄他培南任一耐药（CR-CEO），增加成功后，立即生效；</w:t>
            </w:r>
          </w:p>
          <w:p w14:paraId="47979033">
            <w:pPr>
              <w:pStyle w:val="18"/>
              <w:rPr>
                <w:color w:val="auto"/>
              </w:rPr>
            </w:pPr>
            <w:r>
              <w:rPr>
                <w:rFonts w:hint="eastAsia"/>
                <w:color w:val="auto"/>
              </w:rPr>
              <w:t>（4）重点监测菌的菌对药物药敏结果可以设定耐药或耐药+中介，两种方式，设定规则独立，互不影响；</w:t>
            </w:r>
          </w:p>
        </w:tc>
      </w:tr>
      <w:tr w14:paraId="0AA2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85FB483">
            <w:pPr>
              <w:pStyle w:val="18"/>
              <w:jc w:val="center"/>
              <w:rPr>
                <w:b w:val="0"/>
                <w:color w:val="auto"/>
              </w:rPr>
            </w:pPr>
            <w:r>
              <w:rPr>
                <w:rFonts w:hint="eastAsia"/>
                <w:b w:val="0"/>
                <w:color w:val="auto"/>
              </w:rPr>
              <w:t>临床感控</w:t>
            </w:r>
          </w:p>
          <w:p w14:paraId="5A9CC2CE">
            <w:pPr>
              <w:pStyle w:val="18"/>
              <w:jc w:val="center"/>
              <w:rPr>
                <w:b w:val="0"/>
                <w:color w:val="auto"/>
              </w:rPr>
            </w:pPr>
            <w:r>
              <w:rPr>
                <w:rFonts w:hint="eastAsia"/>
                <w:b w:val="0"/>
                <w:color w:val="auto"/>
              </w:rPr>
              <w:t>工作站</w:t>
            </w:r>
          </w:p>
        </w:tc>
        <w:tc>
          <w:tcPr>
            <w:tcW w:w="3973" w:type="pct"/>
            <w:vAlign w:val="center"/>
          </w:tcPr>
          <w:p w14:paraId="4AEA4209">
            <w:pPr>
              <w:pStyle w:val="18"/>
              <w:rPr>
                <w:color w:val="auto"/>
              </w:rPr>
            </w:pPr>
            <w:r>
              <w:rPr>
                <w:rFonts w:hint="eastAsia"/>
                <w:color w:val="auto"/>
              </w:rPr>
              <w:t>（1）支持单个用户管辖多科室时，提供临床用户进行科室切换的操作；</w:t>
            </w:r>
          </w:p>
          <w:p w14:paraId="17F42E03">
            <w:pPr>
              <w:pStyle w:val="18"/>
              <w:rPr>
                <w:color w:val="auto"/>
              </w:rPr>
            </w:pPr>
            <w:r>
              <w:rPr>
                <w:rFonts w:hint="eastAsia"/>
                <w:color w:val="auto"/>
              </w:rPr>
              <w:t>（2）支持打开工作站直接查看当前科室的疑似感染病例，并可对疑似并进行上报或排除操作；</w:t>
            </w:r>
          </w:p>
          <w:p w14:paraId="0D95DB4C">
            <w:pPr>
              <w:pStyle w:val="18"/>
              <w:rPr>
                <w:color w:val="auto"/>
              </w:rPr>
            </w:pPr>
            <w:r>
              <w:rPr>
                <w:rFonts w:hint="eastAsia"/>
                <w:color w:val="auto"/>
              </w:rPr>
              <w:t>（3）支持按管床医生视角查看所管患者的疑似感染病例；</w:t>
            </w:r>
          </w:p>
          <w:p w14:paraId="490A9A8C">
            <w:pPr>
              <w:pStyle w:val="18"/>
              <w:rPr>
                <w:color w:val="auto"/>
              </w:rPr>
            </w:pPr>
            <w:r>
              <w:rPr>
                <w:rFonts w:hint="eastAsia"/>
                <w:color w:val="auto"/>
              </w:rPr>
              <w:t>（4）支持查看患者历史上报感染病例报卡合计数，并可穿透感染病例报卡明细内容；</w:t>
            </w:r>
          </w:p>
          <w:p w14:paraId="36D7BF95">
            <w:pPr>
              <w:pStyle w:val="18"/>
              <w:rPr>
                <w:color w:val="auto"/>
              </w:rPr>
            </w:pPr>
            <w:r>
              <w:rPr>
                <w:rFonts w:hint="eastAsia"/>
                <w:color w:val="auto"/>
              </w:rPr>
              <w:t>（5）支持对患者主动感染病例的上报，自动获取患者基本信息，完善感染病例信息、医院感染诊断依据、易感因素、插管相关性、致病菌信息，对既往已报过同类感染诊断友好提示，并可穿透查看此病例；</w:t>
            </w:r>
          </w:p>
          <w:p w14:paraId="0DDD7EFD">
            <w:pPr>
              <w:pStyle w:val="18"/>
              <w:rPr>
                <w:color w:val="auto"/>
              </w:rPr>
            </w:pPr>
            <w:r>
              <w:rPr>
                <w:rFonts w:hint="eastAsia"/>
                <w:color w:val="auto"/>
              </w:rPr>
              <w:t>（6）支持对曾转科至本科室及从本科室出院的患者搜索，并进行病例上报；</w:t>
            </w:r>
          </w:p>
          <w:p w14:paraId="055D6ACF">
            <w:pPr>
              <w:pStyle w:val="18"/>
              <w:rPr>
                <w:color w:val="auto"/>
              </w:rPr>
            </w:pPr>
            <w:r>
              <w:rPr>
                <w:rFonts w:hint="eastAsia"/>
                <w:color w:val="auto"/>
              </w:rPr>
              <w:t>（7）支持临床用户对ICU患者进行临床病情等级评定；</w:t>
            </w:r>
          </w:p>
          <w:p w14:paraId="6BD731D5">
            <w:pPr>
              <w:pStyle w:val="18"/>
              <w:rPr>
                <w:color w:val="auto"/>
              </w:rPr>
            </w:pPr>
            <w:r>
              <w:rPr>
                <w:rFonts w:hint="eastAsia"/>
                <w:color w:val="auto"/>
              </w:rPr>
              <w:t>（8）支持医院感染横断面调查信息的录入；</w:t>
            </w:r>
          </w:p>
          <w:p w14:paraId="399F9FC8">
            <w:pPr>
              <w:pStyle w:val="18"/>
              <w:rPr>
                <w:color w:val="auto"/>
              </w:rPr>
            </w:pPr>
            <w:r>
              <w:rPr>
                <w:rFonts w:hint="eastAsia"/>
                <w:color w:val="auto"/>
              </w:rPr>
              <w:t>（9）支持职业暴露在线填写暴露信息，并上报至感控科；</w:t>
            </w:r>
          </w:p>
          <w:p w14:paraId="3BC1889C">
            <w:pPr>
              <w:pStyle w:val="18"/>
              <w:rPr>
                <w:color w:val="auto"/>
              </w:rPr>
            </w:pPr>
            <w:r>
              <w:rPr>
                <w:rFonts w:hint="eastAsia"/>
                <w:color w:val="auto"/>
              </w:rPr>
              <w:t>（10）支持感控兼职人员及微生物室对环境卫生消毒药械监测内容填报，单个用户可管辖多科室。</w:t>
            </w:r>
          </w:p>
        </w:tc>
      </w:tr>
      <w:tr w14:paraId="076F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19A38B66">
            <w:pPr>
              <w:pStyle w:val="18"/>
              <w:jc w:val="center"/>
              <w:rPr>
                <w:b w:val="0"/>
                <w:color w:val="auto"/>
              </w:rPr>
            </w:pPr>
            <w:r>
              <w:rPr>
                <w:rFonts w:hint="eastAsia"/>
                <w:b w:val="0"/>
                <w:color w:val="auto"/>
              </w:rPr>
              <w:t>嵌入式报卡</w:t>
            </w:r>
          </w:p>
        </w:tc>
        <w:tc>
          <w:tcPr>
            <w:tcW w:w="3973" w:type="pct"/>
            <w:vAlign w:val="center"/>
          </w:tcPr>
          <w:p w14:paraId="32277C35">
            <w:pPr>
              <w:pStyle w:val="18"/>
              <w:rPr>
                <w:color w:val="auto"/>
              </w:rPr>
            </w:pPr>
            <w:r>
              <w:rPr>
                <w:rFonts w:hint="eastAsia"/>
                <w:color w:val="auto"/>
              </w:rPr>
              <w:t>（1）支持嵌入式调用页面链接给HIS、电子病历系统进行院感相关功能的调用，实现与HIS、电子病历系统的无缝对接；</w:t>
            </w:r>
          </w:p>
          <w:p w14:paraId="2FD4C0EA">
            <w:pPr>
              <w:pStyle w:val="18"/>
              <w:rPr>
                <w:color w:val="auto"/>
              </w:rPr>
            </w:pPr>
            <w:r>
              <w:rPr>
                <w:rFonts w:hint="eastAsia"/>
                <w:color w:val="auto"/>
              </w:rPr>
              <w:t>（2）支持多种开发语言的程序调用，如DELPHI、PB、C#、JAVA、PHP常用开发语言的实例，调用简单；</w:t>
            </w:r>
          </w:p>
          <w:p w14:paraId="0FF9ABAD">
            <w:pPr>
              <w:pStyle w:val="18"/>
              <w:rPr>
                <w:color w:val="auto"/>
              </w:rPr>
            </w:pPr>
            <w:r>
              <w:rPr>
                <w:rFonts w:hint="eastAsia"/>
                <w:color w:val="auto"/>
              </w:rPr>
              <w:t>（3）支持报卡完全B/S（浏览器）模式，更加方便、快捷、灵活；</w:t>
            </w:r>
          </w:p>
          <w:p w14:paraId="783BB714">
            <w:pPr>
              <w:pStyle w:val="18"/>
              <w:rPr>
                <w:color w:val="auto"/>
              </w:rPr>
            </w:pPr>
            <w:r>
              <w:rPr>
                <w:rFonts w:hint="eastAsia"/>
                <w:color w:val="auto"/>
              </w:rPr>
              <w:t>（4）支持感染病例报卡、现患率横断面登记表、职业暴露登记的可调用；</w:t>
            </w:r>
          </w:p>
          <w:p w14:paraId="25EB730D">
            <w:pPr>
              <w:pStyle w:val="18"/>
              <w:rPr>
                <w:color w:val="auto"/>
              </w:rPr>
            </w:pPr>
            <w:r>
              <w:rPr>
                <w:rFonts w:hint="eastAsia"/>
                <w:color w:val="auto"/>
              </w:rPr>
              <w:t>（5）支持医生仅需用鼠标点选各项内容（如感染诊断、切口等级、易感因素等），操作方便快捷；</w:t>
            </w:r>
          </w:p>
          <w:p w14:paraId="54A98C11">
            <w:pPr>
              <w:pStyle w:val="18"/>
              <w:rPr>
                <w:color w:val="auto"/>
              </w:rPr>
            </w:pPr>
            <w:r>
              <w:rPr>
                <w:rFonts w:hint="eastAsia"/>
                <w:color w:val="auto"/>
              </w:rPr>
              <w:t>支持自动提示院感科报告情况。</w:t>
            </w:r>
          </w:p>
        </w:tc>
      </w:tr>
      <w:tr w14:paraId="2643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55D95BDE">
            <w:pPr>
              <w:pStyle w:val="18"/>
              <w:jc w:val="center"/>
              <w:rPr>
                <w:b w:val="0"/>
                <w:color w:val="auto"/>
              </w:rPr>
            </w:pPr>
            <w:r>
              <w:rPr>
                <w:rFonts w:hint="eastAsia"/>
                <w:b w:val="0"/>
                <w:color w:val="auto"/>
              </w:rPr>
              <w:t>资料分享</w:t>
            </w:r>
          </w:p>
        </w:tc>
        <w:tc>
          <w:tcPr>
            <w:tcW w:w="3973" w:type="pct"/>
            <w:vAlign w:val="center"/>
          </w:tcPr>
          <w:p w14:paraId="0EA64924">
            <w:pPr>
              <w:pStyle w:val="18"/>
              <w:rPr>
                <w:color w:val="auto"/>
              </w:rPr>
            </w:pPr>
            <w:r>
              <w:rPr>
                <w:rFonts w:hint="eastAsia"/>
                <w:color w:val="auto"/>
              </w:rPr>
              <w:t>（1）支持感控专职人员对本院感控相关资料分类进行新建、停用；</w:t>
            </w:r>
          </w:p>
          <w:p w14:paraId="1C50965D">
            <w:pPr>
              <w:pStyle w:val="18"/>
              <w:rPr>
                <w:color w:val="auto"/>
              </w:rPr>
            </w:pPr>
            <w:r>
              <w:rPr>
                <w:rFonts w:hint="eastAsia"/>
                <w:color w:val="auto"/>
              </w:rPr>
              <w:t>（2）支持对资料进行上传，归类操作，以便临床人员的下载学习；</w:t>
            </w:r>
          </w:p>
          <w:p w14:paraId="5AA52EAC">
            <w:pPr>
              <w:pStyle w:val="18"/>
              <w:rPr>
                <w:color w:val="auto"/>
              </w:rPr>
            </w:pPr>
            <w:r>
              <w:rPr>
                <w:rFonts w:hint="eastAsia"/>
                <w:color w:val="auto"/>
              </w:rPr>
              <w:t>（3）院内网用户均可登录后下载本院内的感控相关资讯；</w:t>
            </w:r>
          </w:p>
          <w:p w14:paraId="0DFC61DE">
            <w:pPr>
              <w:pStyle w:val="18"/>
              <w:rPr>
                <w:color w:val="auto"/>
              </w:rPr>
            </w:pPr>
            <w:r>
              <w:rPr>
                <w:rFonts w:hint="eastAsia"/>
                <w:color w:val="auto"/>
              </w:rPr>
              <w:t>支持多种格式文件的上传（包括但不止ppt、word、excel、pdf）</w:t>
            </w:r>
          </w:p>
        </w:tc>
      </w:tr>
      <w:tr w14:paraId="31FB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79F84E33">
            <w:pPr>
              <w:pStyle w:val="18"/>
              <w:jc w:val="center"/>
              <w:rPr>
                <w:b w:val="0"/>
                <w:color w:val="auto"/>
              </w:rPr>
            </w:pPr>
            <w:r>
              <w:rPr>
                <w:rFonts w:hint="eastAsia"/>
                <w:b w:val="0"/>
                <w:color w:val="auto"/>
              </w:rPr>
              <w:t>病毒监测</w:t>
            </w:r>
          </w:p>
        </w:tc>
        <w:tc>
          <w:tcPr>
            <w:tcW w:w="3973" w:type="pct"/>
            <w:vAlign w:val="center"/>
          </w:tcPr>
          <w:p w14:paraId="45DD0272">
            <w:pPr>
              <w:pStyle w:val="18"/>
              <w:rPr>
                <w:color w:val="auto"/>
              </w:rPr>
            </w:pPr>
            <w:r>
              <w:rPr>
                <w:rFonts w:hint="eastAsia"/>
                <w:color w:val="auto"/>
              </w:rPr>
              <w:t>（1）提供病毒感染预警，主要通过检验结果。</w:t>
            </w:r>
          </w:p>
          <w:p w14:paraId="4AB3BC6F">
            <w:pPr>
              <w:pStyle w:val="18"/>
              <w:rPr>
                <w:color w:val="auto"/>
              </w:rPr>
            </w:pPr>
            <w:r>
              <w:rPr>
                <w:rFonts w:hint="eastAsia"/>
                <w:color w:val="auto"/>
              </w:rPr>
              <w:t>（2）可对病毒的潜伏期进行自定义，超过潜伏期检出的病毒预警为院感。</w:t>
            </w:r>
          </w:p>
          <w:p w14:paraId="6C50D32D">
            <w:pPr>
              <w:pStyle w:val="18"/>
              <w:rPr>
                <w:color w:val="auto"/>
              </w:rPr>
            </w:pPr>
            <w:r>
              <w:rPr>
                <w:rFonts w:hint="eastAsia"/>
                <w:color w:val="auto"/>
              </w:rPr>
              <w:t>（3）可对需要进行隔离监测的病毒进行隔离监测，监测表的内容包含：隔离状态、患者隔离的区域、病毒名称、住院号、患者姓名、房间号、床号、标本、送检日期、报告日期、送检科室、送检与入院的时间差、感染类型等。</w:t>
            </w:r>
          </w:p>
          <w:p w14:paraId="73C251EA">
            <w:pPr>
              <w:pStyle w:val="18"/>
              <w:rPr>
                <w:color w:val="auto"/>
              </w:rPr>
            </w:pPr>
            <w:r>
              <w:rPr>
                <w:rFonts w:hint="eastAsia"/>
                <w:color w:val="auto"/>
              </w:rPr>
              <w:t>（4）可根据在院状态、时间、患者、科室、病毒名称、是否隔离等信息进行查询</w:t>
            </w:r>
          </w:p>
          <w:p w14:paraId="00CD85DB">
            <w:pPr>
              <w:pStyle w:val="18"/>
              <w:rPr>
                <w:color w:val="auto"/>
              </w:rPr>
            </w:pPr>
            <w:r>
              <w:rPr>
                <w:rFonts w:hint="eastAsia"/>
                <w:color w:val="auto"/>
              </w:rPr>
              <w:t>（5）监测的病毒包含但不限于：诺如病毒、腺病毒、甲型流感病毒、乙型流感病毒、轮状病毒、副流感病毒、肠道病毒、EB病毒、呼吸道合胞病毒、疱疹病毒、支原体、衣原体等。</w:t>
            </w:r>
          </w:p>
          <w:p w14:paraId="6794E22C">
            <w:pPr>
              <w:pStyle w:val="18"/>
              <w:rPr>
                <w:color w:val="auto"/>
              </w:rPr>
            </w:pPr>
            <w:r>
              <w:rPr>
                <w:rFonts w:hint="eastAsia"/>
                <w:color w:val="auto"/>
              </w:rPr>
              <w:t>（6）可导出病毒列表数据。</w:t>
            </w:r>
          </w:p>
          <w:p w14:paraId="55B593FE">
            <w:pPr>
              <w:pStyle w:val="18"/>
              <w:rPr>
                <w:color w:val="auto"/>
              </w:rPr>
            </w:pPr>
            <w:r>
              <w:rPr>
                <w:rFonts w:hint="eastAsia"/>
                <w:color w:val="auto"/>
              </w:rPr>
              <w:t>可自动判断病毒是院感、社感还是其他。</w:t>
            </w:r>
          </w:p>
        </w:tc>
      </w:tr>
      <w:tr w14:paraId="6F32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10B9FED7">
            <w:pPr>
              <w:pStyle w:val="18"/>
              <w:jc w:val="center"/>
              <w:rPr>
                <w:b w:val="0"/>
                <w:color w:val="auto"/>
              </w:rPr>
            </w:pPr>
            <w:r>
              <w:rPr>
                <w:rFonts w:hint="eastAsia"/>
                <w:b w:val="0"/>
                <w:color w:val="auto"/>
              </w:rPr>
              <w:t>院感预警配置</w:t>
            </w:r>
          </w:p>
        </w:tc>
        <w:tc>
          <w:tcPr>
            <w:tcW w:w="3973" w:type="pct"/>
            <w:vAlign w:val="center"/>
          </w:tcPr>
          <w:p w14:paraId="4A723E18">
            <w:pPr>
              <w:pStyle w:val="18"/>
              <w:rPr>
                <w:color w:val="auto"/>
              </w:rPr>
            </w:pPr>
            <w:r>
              <w:rPr>
                <w:rFonts w:hint="eastAsia"/>
                <w:color w:val="auto"/>
              </w:rPr>
              <w:t>（1）针对每种医院感染的疾病，可根据用户个性化需求，灵活配置预警方案。包括预警关键词的增删改，关键词的同义词、权重值、预警规则等；</w:t>
            </w:r>
          </w:p>
          <w:p w14:paraId="1BC4FD35">
            <w:pPr>
              <w:pStyle w:val="18"/>
              <w:rPr>
                <w:color w:val="auto"/>
              </w:rPr>
            </w:pPr>
            <w:r>
              <w:rPr>
                <w:rFonts w:hint="eastAsia"/>
                <w:color w:val="auto"/>
              </w:rPr>
              <w:t>（2）预警方案配置：不同类型医院的特征（如：中医医院等）可配置不同的预警方案，针对预警五大依据来源：病例影响记录、检查信息、细菌培养、抗菌药物、特异性指标，分配不同的权重百分比配置预警方案。</w:t>
            </w:r>
          </w:p>
        </w:tc>
      </w:tr>
      <w:tr w14:paraId="578B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1BBED60">
            <w:pPr>
              <w:pStyle w:val="18"/>
              <w:jc w:val="center"/>
              <w:rPr>
                <w:b w:val="0"/>
                <w:color w:val="auto"/>
              </w:rPr>
            </w:pPr>
            <w:r>
              <w:rPr>
                <w:rFonts w:hint="eastAsia"/>
                <w:b w:val="0"/>
                <w:color w:val="auto"/>
              </w:rPr>
              <w:t>知识库</w:t>
            </w:r>
          </w:p>
          <w:p w14:paraId="218E3B0B">
            <w:pPr>
              <w:pStyle w:val="18"/>
              <w:jc w:val="center"/>
              <w:rPr>
                <w:b w:val="0"/>
                <w:color w:val="auto"/>
              </w:rPr>
            </w:pPr>
            <w:r>
              <w:rPr>
                <w:rFonts w:hint="eastAsia"/>
                <w:b w:val="0"/>
                <w:color w:val="auto"/>
              </w:rPr>
              <w:t>（考试系统）</w:t>
            </w:r>
          </w:p>
        </w:tc>
        <w:tc>
          <w:tcPr>
            <w:tcW w:w="3973" w:type="pct"/>
            <w:vAlign w:val="center"/>
          </w:tcPr>
          <w:p w14:paraId="687BCD31">
            <w:pPr>
              <w:pStyle w:val="18"/>
              <w:rPr>
                <w:color w:val="auto"/>
              </w:rPr>
            </w:pPr>
            <w:r>
              <w:rPr>
                <w:rFonts w:hint="eastAsia"/>
                <w:color w:val="auto"/>
              </w:rPr>
              <w:t>（1）提供在线考试平台管理模块；</w:t>
            </w:r>
          </w:p>
          <w:p w14:paraId="707BCA7B">
            <w:pPr>
              <w:pStyle w:val="18"/>
              <w:rPr>
                <w:color w:val="auto"/>
              </w:rPr>
            </w:pPr>
            <w:r>
              <w:rPr>
                <w:rFonts w:hint="eastAsia"/>
                <w:color w:val="auto"/>
              </w:rPr>
              <w:t>（2）多种文件格式学习材料提供上传和下载管理；</w:t>
            </w:r>
          </w:p>
          <w:p w14:paraId="5813D049">
            <w:pPr>
              <w:pStyle w:val="18"/>
              <w:rPr>
                <w:color w:val="auto"/>
              </w:rPr>
            </w:pPr>
            <w:r>
              <w:rPr>
                <w:rFonts w:hint="eastAsia"/>
                <w:color w:val="auto"/>
              </w:rPr>
              <w:t>（3）内置医院感染考试题库数达5400+，每个题目设有知识标签分类，包括行业标准、感染性疾病诊断、职业防护、医疗废物、手卫生、消毒灭菌、医院感染与暴发、织物清洗等；</w:t>
            </w:r>
          </w:p>
          <w:p w14:paraId="0B2A6740">
            <w:pPr>
              <w:pStyle w:val="18"/>
              <w:rPr>
                <w:color w:val="auto"/>
              </w:rPr>
            </w:pPr>
            <w:r>
              <w:rPr>
                <w:rFonts w:hint="eastAsia"/>
                <w:color w:val="auto"/>
              </w:rPr>
              <w:t>（4）支持考试题库新增、编辑、删除、统计功能；</w:t>
            </w:r>
          </w:p>
          <w:p w14:paraId="74C7B6D9">
            <w:pPr>
              <w:pStyle w:val="18"/>
              <w:rPr>
                <w:color w:val="auto"/>
              </w:rPr>
            </w:pPr>
            <w:r>
              <w:rPr>
                <w:rFonts w:hint="eastAsia"/>
                <w:color w:val="auto"/>
              </w:rPr>
              <w:t>(1)支持视频学习，可在线发布与查看视频，系统记录学员的有效学习时间，并对学员的学习效果进行评估。支持学习后，学员进行对应的考试测评，测评后记录保存学员的测评时间及分数；</w:t>
            </w:r>
          </w:p>
          <w:p w14:paraId="2CBE904E">
            <w:pPr>
              <w:pStyle w:val="18"/>
              <w:rPr>
                <w:color w:val="auto"/>
              </w:rPr>
            </w:pPr>
            <w:r>
              <w:rPr>
                <w:rFonts w:hint="eastAsia"/>
                <w:color w:val="auto"/>
              </w:rPr>
              <w:t>（5）批量导入题库及题目功能；</w:t>
            </w:r>
          </w:p>
          <w:p w14:paraId="25B2C25A">
            <w:pPr>
              <w:pStyle w:val="18"/>
              <w:rPr>
                <w:color w:val="auto"/>
              </w:rPr>
            </w:pPr>
            <w:r>
              <w:rPr>
                <w:rFonts w:hint="eastAsia"/>
                <w:color w:val="auto"/>
              </w:rPr>
              <w:t>（6）对题目进行编辑、删除、新增功能；</w:t>
            </w:r>
          </w:p>
          <w:p w14:paraId="55D6AB25">
            <w:pPr>
              <w:pStyle w:val="18"/>
              <w:rPr>
                <w:color w:val="auto"/>
              </w:rPr>
            </w:pPr>
            <w:r>
              <w:rPr>
                <w:rFonts w:hint="eastAsia"/>
                <w:color w:val="auto"/>
              </w:rPr>
              <w:t>（7）试卷新增 、删除、编辑、导出、统计分析功能；</w:t>
            </w:r>
          </w:p>
          <w:p w14:paraId="277089FA">
            <w:pPr>
              <w:pStyle w:val="18"/>
              <w:rPr>
                <w:color w:val="auto"/>
              </w:rPr>
            </w:pPr>
            <w:r>
              <w:rPr>
                <w:rFonts w:hint="eastAsia"/>
                <w:color w:val="auto"/>
              </w:rPr>
              <w:t>（8）系统自动随机试卷功能；</w:t>
            </w:r>
          </w:p>
          <w:p w14:paraId="236A0600">
            <w:pPr>
              <w:pStyle w:val="18"/>
              <w:rPr>
                <w:color w:val="auto"/>
              </w:rPr>
            </w:pPr>
            <w:r>
              <w:rPr>
                <w:rFonts w:hint="eastAsia"/>
                <w:color w:val="auto"/>
              </w:rPr>
              <w:t>（9）可以创建固定试卷功能；</w:t>
            </w:r>
          </w:p>
          <w:p w14:paraId="35750119">
            <w:pPr>
              <w:pStyle w:val="18"/>
              <w:rPr>
                <w:color w:val="auto"/>
              </w:rPr>
            </w:pPr>
            <w:r>
              <w:rPr>
                <w:rFonts w:hint="eastAsia"/>
                <w:color w:val="auto"/>
              </w:rPr>
              <w:t>（10）对单选、多选、判断等多种题型自动算分、自动解析功能；</w:t>
            </w:r>
          </w:p>
          <w:p w14:paraId="64B7E06A">
            <w:pPr>
              <w:pStyle w:val="18"/>
              <w:rPr>
                <w:color w:val="auto"/>
              </w:rPr>
            </w:pPr>
            <w:r>
              <w:rPr>
                <w:rFonts w:hint="eastAsia"/>
                <w:color w:val="auto"/>
              </w:rPr>
              <w:t>（11）对试题正确率详细分析；</w:t>
            </w:r>
          </w:p>
          <w:p w14:paraId="7D293585">
            <w:pPr>
              <w:pStyle w:val="18"/>
              <w:rPr>
                <w:color w:val="auto"/>
              </w:rPr>
            </w:pPr>
            <w:r>
              <w:rPr>
                <w:rFonts w:hint="eastAsia"/>
                <w:color w:val="auto"/>
              </w:rPr>
              <w:t>（12）对分数统计，包括最高分、最低分、低分人数、低分率、 平均分、及格人数、及格率、优分人数、优分率及参加人数、缺考人数等；</w:t>
            </w:r>
          </w:p>
          <w:p w14:paraId="30F7288D">
            <w:pPr>
              <w:pStyle w:val="18"/>
              <w:rPr>
                <w:color w:val="auto"/>
              </w:rPr>
            </w:pPr>
            <w:r>
              <w:rPr>
                <w:rFonts w:hint="eastAsia"/>
                <w:color w:val="auto"/>
              </w:rPr>
              <w:t>（13）可以按科室统计不同分数区间得分人数；</w:t>
            </w:r>
          </w:p>
          <w:p w14:paraId="14DB7F2B">
            <w:pPr>
              <w:pStyle w:val="18"/>
              <w:rPr>
                <w:color w:val="auto"/>
              </w:rPr>
            </w:pPr>
            <w:r>
              <w:rPr>
                <w:rFonts w:hint="eastAsia"/>
                <w:color w:val="auto"/>
              </w:rPr>
              <w:t>（14）用户自主选择在线考试时间，考试时自动时间提示；</w:t>
            </w:r>
          </w:p>
          <w:p w14:paraId="43AA5536">
            <w:pPr>
              <w:pStyle w:val="18"/>
              <w:rPr>
                <w:color w:val="auto"/>
              </w:rPr>
            </w:pPr>
            <w:r>
              <w:rPr>
                <w:rFonts w:hint="eastAsia"/>
                <w:color w:val="auto"/>
              </w:rPr>
              <w:t>（15）试卷对不同用户、用户组配置功能；</w:t>
            </w:r>
          </w:p>
          <w:p w14:paraId="7893C21E">
            <w:pPr>
              <w:pStyle w:val="18"/>
              <w:rPr>
                <w:color w:val="auto"/>
              </w:rPr>
            </w:pPr>
            <w:r>
              <w:rPr>
                <w:rFonts w:hint="eastAsia"/>
                <w:color w:val="auto"/>
              </w:rPr>
              <w:t>（16）提供在线专题练习、自动评分、自动解析功能；</w:t>
            </w:r>
          </w:p>
        </w:tc>
      </w:tr>
      <w:tr w14:paraId="505F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7" w:type="pct"/>
            <w:vAlign w:val="center"/>
          </w:tcPr>
          <w:p w14:paraId="0A99FF93">
            <w:pPr>
              <w:pStyle w:val="18"/>
              <w:jc w:val="center"/>
              <w:rPr>
                <w:b w:val="0"/>
                <w:color w:val="auto"/>
              </w:rPr>
            </w:pPr>
            <w:r>
              <w:rPr>
                <w:rFonts w:hint="eastAsia"/>
                <w:b w:val="0"/>
                <w:color w:val="auto"/>
              </w:rPr>
              <w:t>多院区管理</w:t>
            </w:r>
          </w:p>
        </w:tc>
        <w:tc>
          <w:tcPr>
            <w:tcW w:w="3973" w:type="pct"/>
            <w:vAlign w:val="center"/>
          </w:tcPr>
          <w:p w14:paraId="50EE73AE">
            <w:pPr>
              <w:pStyle w:val="18"/>
              <w:rPr>
                <w:color w:val="auto"/>
              </w:rPr>
            </w:pPr>
            <w:r>
              <w:rPr>
                <w:rFonts w:hint="eastAsia"/>
                <w:color w:val="auto"/>
              </w:rPr>
              <w:t>（1）院区管理：支持对医院进行分院区管理。可针对不同的院区用户，分配不同的权限（例如：用户只能查看本院区的数据情况，总管理员可查看所有院区的数据情况），分别进行监测管理。支持新增、删除、停用院区，编辑修改院区信息。</w:t>
            </w:r>
          </w:p>
          <w:p w14:paraId="66D8CCC6">
            <w:pPr>
              <w:pStyle w:val="18"/>
              <w:rPr>
                <w:color w:val="auto"/>
              </w:rPr>
            </w:pPr>
            <w:r>
              <w:rPr>
                <w:rFonts w:hint="eastAsia"/>
                <w:color w:val="auto"/>
              </w:rPr>
              <w:t>（2）科室管理：对院区下的科室进行管理。可设置科室的功能菜单和权限。支持新增、删除、停用院区，编辑修改科室信息。</w:t>
            </w:r>
          </w:p>
          <w:p w14:paraId="2634BDB8">
            <w:pPr>
              <w:pStyle w:val="18"/>
              <w:rPr>
                <w:color w:val="auto"/>
              </w:rPr>
            </w:pPr>
            <w:r>
              <w:rPr>
                <w:rFonts w:hint="eastAsia"/>
                <w:color w:val="auto"/>
              </w:rPr>
              <w:t>（3）职工管理：对医院的职工信息进行管理。可设置医院用户的角色和权限。支持新增、删除、编辑修改信息等操作</w:t>
            </w:r>
          </w:p>
        </w:tc>
      </w:tr>
      <w:bookmarkEnd w:id="141"/>
    </w:tbl>
    <w:p w14:paraId="68294AC4">
      <w:pPr>
        <w:pStyle w:val="4"/>
        <w:numPr>
          <w:ilvl w:val="1"/>
          <w:numId w:val="0"/>
        </w:numPr>
        <w:ind w:left="576" w:leftChars="0" w:hanging="576" w:firstLineChars="0"/>
        <w:rPr>
          <w:color w:val="auto"/>
        </w:rPr>
      </w:pPr>
      <w:bookmarkStart w:id="142" w:name="_Toc208646533"/>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.11</w:t>
      </w:r>
      <w:r>
        <w:rPr>
          <w:rFonts w:hint="eastAsia"/>
          <w:color w:val="auto"/>
        </w:rPr>
        <w:t>健康体检系统</w:t>
      </w:r>
      <w:bookmarkEnd w:id="142"/>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58C7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shd w:val="clear" w:color="auto" w:fill="BEBEBE" w:themeFill="background1" w:themeFillShade="BF"/>
            <w:vAlign w:val="center"/>
          </w:tcPr>
          <w:p w14:paraId="13262815">
            <w:pPr>
              <w:pStyle w:val="18"/>
              <w:jc w:val="center"/>
              <w:rPr>
                <w:b w:val="0"/>
                <w:color w:val="auto"/>
              </w:rPr>
            </w:pPr>
            <w:r>
              <w:rPr>
                <w:rFonts w:hint="eastAsia"/>
                <w:b/>
                <w:color w:val="auto"/>
              </w:rPr>
              <w:t>系统名称</w:t>
            </w:r>
          </w:p>
        </w:tc>
        <w:tc>
          <w:tcPr>
            <w:tcW w:w="6579" w:type="dxa"/>
            <w:shd w:val="clear" w:color="auto" w:fill="BEBEBE" w:themeFill="background1" w:themeFillShade="BF"/>
            <w:vAlign w:val="center"/>
          </w:tcPr>
          <w:p w14:paraId="39DC702A">
            <w:pPr>
              <w:pStyle w:val="18"/>
              <w:rPr>
                <w:b/>
                <w:color w:val="auto"/>
              </w:rPr>
            </w:pPr>
            <w:r>
              <w:rPr>
                <w:rFonts w:hint="eastAsia"/>
                <w:b/>
                <w:color w:val="auto"/>
              </w:rPr>
              <w:t>健康体检系统</w:t>
            </w:r>
          </w:p>
        </w:tc>
      </w:tr>
      <w:tr w14:paraId="757A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6FBDE1A">
            <w:pPr>
              <w:pStyle w:val="18"/>
              <w:jc w:val="center"/>
              <w:rPr>
                <w:b w:val="0"/>
                <w:color w:val="auto"/>
              </w:rPr>
            </w:pPr>
            <w:r>
              <w:rPr>
                <w:rFonts w:hint="eastAsia"/>
                <w:b w:val="0"/>
                <w:color w:val="auto"/>
              </w:rPr>
              <w:t>系统概述</w:t>
            </w:r>
          </w:p>
        </w:tc>
        <w:tc>
          <w:tcPr>
            <w:tcW w:w="6579" w:type="dxa"/>
            <w:vAlign w:val="center"/>
          </w:tcPr>
          <w:p w14:paraId="078431E3">
            <w:pPr>
              <w:pStyle w:val="18"/>
              <w:rPr>
                <w:color w:val="auto"/>
              </w:rPr>
            </w:pPr>
            <w:r>
              <w:rPr>
                <w:rFonts w:hint="eastAsia"/>
                <w:color w:val="auto"/>
              </w:rPr>
              <w:t>服务于医院体检中心，实现健康体检全流程管理，包括个人与团体体检人员档案建立、预约排检、检前提醒、体检报到、检前咨询、健康档案建立、健康评估、体检检区控制、分检报告、总检评价、报告发布等。</w:t>
            </w:r>
          </w:p>
        </w:tc>
      </w:tr>
      <w:tr w14:paraId="6ACD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9563731">
            <w:pPr>
              <w:pStyle w:val="18"/>
              <w:jc w:val="center"/>
              <w:rPr>
                <w:b/>
                <w:bCs/>
                <w:color w:val="auto"/>
              </w:rPr>
            </w:pPr>
            <w:bookmarkStart w:id="143" w:name="_Hlk204147953"/>
            <w:r>
              <w:rPr>
                <w:rFonts w:hint="eastAsia"/>
                <w:b/>
                <w:bCs/>
                <w:color w:val="auto"/>
              </w:rPr>
              <w:t>子项名称</w:t>
            </w:r>
          </w:p>
        </w:tc>
        <w:tc>
          <w:tcPr>
            <w:tcW w:w="6579" w:type="dxa"/>
            <w:vAlign w:val="center"/>
          </w:tcPr>
          <w:p w14:paraId="7B905300">
            <w:pPr>
              <w:pStyle w:val="18"/>
              <w:jc w:val="center"/>
              <w:rPr>
                <w:b/>
                <w:bCs/>
                <w:color w:val="auto"/>
              </w:rPr>
            </w:pPr>
            <w:r>
              <w:rPr>
                <w:rFonts w:hint="eastAsia"/>
                <w:b/>
                <w:bCs/>
                <w:color w:val="auto"/>
              </w:rPr>
              <w:t>技术和功能配置要求</w:t>
            </w:r>
          </w:p>
        </w:tc>
      </w:tr>
      <w:bookmarkEnd w:id="143"/>
      <w:tr w14:paraId="431A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5A2F559A">
            <w:pPr>
              <w:pStyle w:val="18"/>
              <w:jc w:val="center"/>
              <w:rPr>
                <w:rFonts w:ascii="宋体" w:hAnsi="宋体" w:cs="宋体"/>
                <w:b w:val="0"/>
                <w:color w:val="auto"/>
                <w:szCs w:val="21"/>
              </w:rPr>
            </w:pPr>
            <w:r>
              <w:rPr>
                <w:rFonts w:hint="eastAsia" w:ascii="宋体" w:hAnsi="宋体" w:cs="宋体"/>
                <w:b w:val="0"/>
                <w:color w:val="auto"/>
                <w:szCs w:val="21"/>
              </w:rPr>
              <w:t>个检登记</w:t>
            </w:r>
          </w:p>
        </w:tc>
        <w:tc>
          <w:tcPr>
            <w:tcW w:w="6579" w:type="dxa"/>
            <w:vAlign w:val="center"/>
          </w:tcPr>
          <w:p w14:paraId="64F3EC74">
            <w:pPr>
              <w:pStyle w:val="18"/>
              <w:rPr>
                <w:rFonts w:ascii="宋体" w:hAnsi="宋体" w:cs="宋体"/>
                <w:color w:val="auto"/>
                <w:szCs w:val="21"/>
              </w:rPr>
            </w:pPr>
            <w:r>
              <w:rPr>
                <w:rFonts w:hint="eastAsia" w:ascii="宋体" w:hAnsi="宋体" w:cs="宋体"/>
                <w:color w:val="auto"/>
                <w:szCs w:val="21"/>
              </w:rPr>
              <w:t>个检的登记包括支持身份证读卡器，或体检中心VIP卡片式管理。实现身份证读卡器一次性刷卡自动读取出生日日期、照片等信息；</w:t>
            </w:r>
          </w:p>
          <w:p w14:paraId="7CC3137A">
            <w:pPr>
              <w:pStyle w:val="18"/>
              <w:rPr>
                <w:rFonts w:ascii="宋体" w:hAnsi="宋体" w:cs="宋体"/>
                <w:color w:val="auto"/>
                <w:szCs w:val="21"/>
              </w:rPr>
            </w:pPr>
            <w:r>
              <w:rPr>
                <w:rFonts w:hint="eastAsia" w:ascii="宋体" w:hAnsi="宋体" w:cs="宋体"/>
                <w:color w:val="auto"/>
                <w:szCs w:val="21"/>
              </w:rPr>
              <w:t>支持现场摄像头拍照及重拍功能，可采用单位、ID号、身份证号、工号、VIP号等多种方式进行快速调入基本信息进行登记；</w:t>
            </w:r>
          </w:p>
          <w:p w14:paraId="62CF1A64">
            <w:pPr>
              <w:pStyle w:val="18"/>
              <w:rPr>
                <w:rFonts w:ascii="宋体" w:hAnsi="宋体" w:cs="宋体"/>
                <w:color w:val="auto"/>
                <w:szCs w:val="21"/>
              </w:rPr>
            </w:pPr>
            <w:r>
              <w:rPr>
                <w:rFonts w:hint="eastAsia" w:ascii="宋体" w:hAnsi="宋体" w:cs="宋体"/>
                <w:color w:val="auto"/>
                <w:szCs w:val="21"/>
              </w:rPr>
              <w:t>具有维持体检档案号“一号制”的功能，防止同一个人的多次体检使用不同的体检档案号；</w:t>
            </w:r>
          </w:p>
          <w:p w14:paraId="3E345DE6">
            <w:pPr>
              <w:pStyle w:val="18"/>
              <w:rPr>
                <w:rFonts w:ascii="宋体" w:hAnsi="宋体" w:cs="宋体"/>
                <w:color w:val="auto"/>
                <w:szCs w:val="21"/>
              </w:rPr>
            </w:pPr>
            <w:r>
              <w:rPr>
                <w:rFonts w:hint="eastAsia" w:ascii="宋体" w:hAnsi="宋体" w:cs="宋体"/>
                <w:color w:val="auto"/>
                <w:szCs w:val="21"/>
              </w:rPr>
              <w:t>支持体检项目的纠错与排它功能，即选择了肝功能后就不能再选择肝功能2项；</w:t>
            </w:r>
          </w:p>
          <w:p w14:paraId="7A0305C9">
            <w:pPr>
              <w:pStyle w:val="18"/>
              <w:rPr>
                <w:rFonts w:ascii="宋体" w:hAnsi="宋体" w:cs="宋体"/>
                <w:color w:val="auto"/>
                <w:szCs w:val="21"/>
              </w:rPr>
            </w:pPr>
            <w:r>
              <w:rPr>
                <w:rFonts w:hint="eastAsia" w:ascii="宋体" w:hAnsi="宋体" w:cs="宋体"/>
                <w:color w:val="auto"/>
                <w:szCs w:val="21"/>
              </w:rPr>
              <w:t>体检人员登记时支持对该体检套餐的加项及退项功能；</w:t>
            </w:r>
          </w:p>
          <w:p w14:paraId="6101E9ED">
            <w:pPr>
              <w:pStyle w:val="18"/>
              <w:rPr>
                <w:rFonts w:ascii="宋体" w:hAnsi="宋体" w:cs="宋体"/>
                <w:color w:val="auto"/>
                <w:szCs w:val="21"/>
              </w:rPr>
            </w:pPr>
            <w:r>
              <w:rPr>
                <w:rFonts w:hint="eastAsia" w:ascii="宋体" w:hAnsi="宋体" w:cs="宋体"/>
                <w:color w:val="auto"/>
                <w:szCs w:val="21"/>
              </w:rPr>
              <w:t>支持基础套餐外多选辅助套餐的功能并能自动排除重复项目；</w:t>
            </w:r>
          </w:p>
          <w:p w14:paraId="21781752">
            <w:pPr>
              <w:pStyle w:val="18"/>
              <w:rPr>
                <w:rFonts w:ascii="宋体" w:hAnsi="宋体" w:cs="宋体"/>
                <w:color w:val="auto"/>
                <w:szCs w:val="21"/>
              </w:rPr>
            </w:pPr>
            <w:r>
              <w:rPr>
                <w:rFonts w:hint="eastAsia" w:ascii="宋体" w:hAnsi="宋体" w:cs="宋体"/>
                <w:color w:val="auto"/>
                <w:szCs w:val="21"/>
              </w:rPr>
              <w:t>前台体检登记可支持自动打印体检指引单、检验条码及科室分检条码，支持加项指引单打印、指引单补打功能；</w:t>
            </w:r>
          </w:p>
          <w:p w14:paraId="17235FAF">
            <w:pPr>
              <w:pStyle w:val="18"/>
              <w:rPr>
                <w:rFonts w:ascii="宋体" w:hAnsi="宋体" w:cs="宋体"/>
                <w:color w:val="auto"/>
                <w:szCs w:val="21"/>
              </w:rPr>
            </w:pPr>
            <w:r>
              <w:rPr>
                <w:rFonts w:hint="eastAsia" w:ascii="宋体" w:hAnsi="宋体" w:cs="宋体"/>
                <w:color w:val="auto"/>
                <w:szCs w:val="21"/>
              </w:rPr>
              <w:t>支持体检项目的单项折扣及体检套餐的整体折扣。</w:t>
            </w:r>
          </w:p>
        </w:tc>
      </w:tr>
      <w:tr w14:paraId="1287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CB60170">
            <w:pPr>
              <w:pStyle w:val="18"/>
              <w:jc w:val="center"/>
              <w:rPr>
                <w:rFonts w:ascii="宋体" w:hAnsi="宋体" w:cs="宋体"/>
                <w:b w:val="0"/>
                <w:color w:val="auto"/>
                <w:szCs w:val="21"/>
              </w:rPr>
            </w:pPr>
            <w:r>
              <w:rPr>
                <w:rFonts w:hint="eastAsia" w:ascii="宋体" w:hAnsi="宋体" w:cs="宋体"/>
                <w:b w:val="0"/>
                <w:color w:val="auto"/>
                <w:szCs w:val="21"/>
              </w:rPr>
              <w:t>团检预约导入</w:t>
            </w:r>
          </w:p>
        </w:tc>
        <w:tc>
          <w:tcPr>
            <w:tcW w:w="6579" w:type="dxa"/>
            <w:vAlign w:val="center"/>
          </w:tcPr>
          <w:p w14:paraId="1D621901">
            <w:pPr>
              <w:pStyle w:val="18"/>
              <w:rPr>
                <w:rFonts w:ascii="宋体" w:hAnsi="宋体" w:cs="宋体"/>
                <w:color w:val="auto"/>
                <w:szCs w:val="21"/>
              </w:rPr>
            </w:pPr>
            <w:r>
              <w:rPr>
                <w:rFonts w:hint="eastAsia" w:ascii="宋体" w:hAnsi="宋体" w:cs="宋体"/>
                <w:color w:val="auto"/>
                <w:szCs w:val="21"/>
              </w:rPr>
              <w:t>支持多级化单位设定管理，具备上级单位、下级单位管理；</w:t>
            </w:r>
          </w:p>
          <w:p w14:paraId="576603D1">
            <w:pPr>
              <w:pStyle w:val="18"/>
              <w:rPr>
                <w:rFonts w:ascii="宋体" w:hAnsi="宋体" w:cs="宋体"/>
                <w:color w:val="auto"/>
                <w:szCs w:val="21"/>
              </w:rPr>
            </w:pPr>
            <w:r>
              <w:rPr>
                <w:rFonts w:hint="eastAsia" w:ascii="宋体" w:hAnsi="宋体" w:cs="宋体"/>
                <w:color w:val="auto"/>
                <w:szCs w:val="21"/>
              </w:rPr>
              <w:t>支持单位名单以EXCEL格式导入，以实现快速登记功能；</w:t>
            </w:r>
          </w:p>
          <w:p w14:paraId="7FAD5B90">
            <w:pPr>
              <w:pStyle w:val="18"/>
              <w:rPr>
                <w:rFonts w:ascii="宋体" w:hAnsi="宋体" w:cs="宋体"/>
                <w:color w:val="auto"/>
                <w:szCs w:val="21"/>
              </w:rPr>
            </w:pPr>
            <w:r>
              <w:rPr>
                <w:rFonts w:hint="eastAsia" w:ascii="宋体" w:hAnsi="宋体" w:cs="宋体"/>
                <w:color w:val="auto"/>
                <w:szCs w:val="21"/>
              </w:rPr>
              <w:t>系统可对导入人员信息进行自动校验并标识错误记录；</w:t>
            </w:r>
          </w:p>
          <w:p w14:paraId="389EA012">
            <w:pPr>
              <w:pStyle w:val="18"/>
              <w:rPr>
                <w:rFonts w:ascii="宋体" w:hAnsi="宋体" w:cs="宋体"/>
                <w:color w:val="auto"/>
                <w:szCs w:val="21"/>
              </w:rPr>
            </w:pPr>
            <w:r>
              <w:rPr>
                <w:rFonts w:hint="eastAsia" w:ascii="宋体" w:hAnsi="宋体" w:cs="宋体"/>
                <w:color w:val="auto"/>
                <w:szCs w:val="21"/>
              </w:rPr>
              <w:t>支持设定分组项目信息、根据各分组条件能将名单人员自动分组并提供了强制分组功能。备单完成后，可对人员进行项目调整及删除；</w:t>
            </w:r>
          </w:p>
          <w:p w14:paraId="386F96A6">
            <w:pPr>
              <w:pStyle w:val="18"/>
              <w:rPr>
                <w:rFonts w:ascii="宋体" w:hAnsi="宋体" w:cs="宋体"/>
                <w:color w:val="auto"/>
                <w:szCs w:val="21"/>
              </w:rPr>
            </w:pPr>
            <w:r>
              <w:rPr>
                <w:rFonts w:hint="eastAsia" w:ascii="宋体" w:hAnsi="宋体" w:cs="宋体"/>
                <w:color w:val="auto"/>
                <w:szCs w:val="21"/>
              </w:rPr>
              <w:t>支持体检导引单、条码提前批量打印；</w:t>
            </w:r>
          </w:p>
          <w:p w14:paraId="2BF33C6B">
            <w:pPr>
              <w:pStyle w:val="18"/>
              <w:rPr>
                <w:rFonts w:ascii="宋体" w:hAnsi="宋体" w:cs="宋体"/>
                <w:color w:val="auto"/>
                <w:szCs w:val="21"/>
              </w:rPr>
            </w:pPr>
            <w:r>
              <w:rPr>
                <w:rFonts w:hint="eastAsia" w:ascii="宋体" w:hAnsi="宋体" w:cs="宋体"/>
                <w:color w:val="auto"/>
                <w:szCs w:val="21"/>
              </w:rPr>
              <w:t>支持修改个人基本信息；</w:t>
            </w:r>
          </w:p>
          <w:p w14:paraId="2D618DBE">
            <w:pPr>
              <w:pStyle w:val="18"/>
              <w:rPr>
                <w:rFonts w:ascii="宋体" w:hAnsi="宋体" w:cs="宋体"/>
                <w:color w:val="auto"/>
                <w:szCs w:val="21"/>
              </w:rPr>
            </w:pPr>
            <w:r>
              <w:rPr>
                <w:rFonts w:hint="eastAsia" w:ascii="宋体" w:hAnsi="宋体" w:cs="宋体"/>
                <w:color w:val="auto"/>
                <w:szCs w:val="21"/>
              </w:rPr>
              <w:t>单位体检可根据团体单位情况，支持统一结算或前台结算模式。</w:t>
            </w:r>
          </w:p>
        </w:tc>
      </w:tr>
      <w:tr w14:paraId="35EC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44717E1">
            <w:pPr>
              <w:pStyle w:val="18"/>
              <w:jc w:val="center"/>
              <w:rPr>
                <w:rFonts w:ascii="宋体" w:hAnsi="宋体" w:cs="宋体"/>
                <w:b w:val="0"/>
                <w:color w:val="auto"/>
                <w:szCs w:val="21"/>
              </w:rPr>
            </w:pPr>
            <w:r>
              <w:rPr>
                <w:rFonts w:hint="eastAsia" w:ascii="宋体" w:hAnsi="宋体" w:cs="宋体"/>
                <w:b w:val="0"/>
                <w:color w:val="auto"/>
                <w:szCs w:val="21"/>
              </w:rPr>
              <w:t>财务管理</w:t>
            </w:r>
          </w:p>
        </w:tc>
        <w:tc>
          <w:tcPr>
            <w:tcW w:w="6579" w:type="dxa"/>
            <w:vAlign w:val="center"/>
          </w:tcPr>
          <w:p w14:paraId="666BFBF0">
            <w:pPr>
              <w:pStyle w:val="18"/>
              <w:rPr>
                <w:rFonts w:ascii="宋体" w:hAnsi="宋体" w:cs="宋体"/>
                <w:color w:val="auto"/>
                <w:szCs w:val="21"/>
              </w:rPr>
            </w:pPr>
            <w:r>
              <w:rPr>
                <w:rFonts w:hint="eastAsia" w:ascii="宋体" w:hAnsi="宋体" w:cs="宋体"/>
                <w:color w:val="auto"/>
                <w:szCs w:val="21"/>
              </w:rPr>
              <w:t>系统遵循先交费后体检流程，严格控制漏费情况，个人体检在选定体检项目并完成交费后才能进行后续科室的检查，否则会提示未交费；</w:t>
            </w:r>
          </w:p>
          <w:p w14:paraId="57AD00ED">
            <w:pPr>
              <w:pStyle w:val="18"/>
              <w:rPr>
                <w:rFonts w:ascii="宋体" w:hAnsi="宋体" w:cs="宋体"/>
                <w:color w:val="auto"/>
                <w:szCs w:val="21"/>
              </w:rPr>
            </w:pPr>
            <w:r>
              <w:rPr>
                <w:rFonts w:hint="eastAsia" w:ascii="宋体" w:hAnsi="宋体" w:cs="宋体"/>
                <w:color w:val="auto"/>
                <w:szCs w:val="21"/>
              </w:rPr>
              <w:t>可通过扫描体检导引单快速定位缴费人员，支持总体打折、单项打折及自定义金额（硬折）功能，可打印收费小条、收费明细、收费发票；</w:t>
            </w:r>
          </w:p>
          <w:p w14:paraId="23095CAA">
            <w:pPr>
              <w:pStyle w:val="18"/>
              <w:rPr>
                <w:rFonts w:ascii="宋体" w:hAnsi="宋体" w:cs="宋体"/>
                <w:color w:val="auto"/>
                <w:szCs w:val="21"/>
              </w:rPr>
            </w:pPr>
            <w:r>
              <w:rPr>
                <w:rFonts w:hint="eastAsia" w:ascii="宋体" w:hAnsi="宋体" w:cs="宋体"/>
                <w:color w:val="auto"/>
                <w:szCs w:val="21"/>
              </w:rPr>
              <w:t>可通过权限设定收款员拥有的折扣范围；</w:t>
            </w:r>
          </w:p>
          <w:p w14:paraId="3934B40F">
            <w:pPr>
              <w:pStyle w:val="18"/>
              <w:rPr>
                <w:rFonts w:ascii="宋体" w:hAnsi="宋体" w:cs="宋体"/>
                <w:color w:val="auto"/>
                <w:szCs w:val="21"/>
              </w:rPr>
            </w:pPr>
            <w:r>
              <w:rPr>
                <w:rFonts w:hint="eastAsia" w:ascii="宋体" w:hAnsi="宋体" w:cs="宋体"/>
                <w:color w:val="auto"/>
                <w:szCs w:val="21"/>
              </w:rPr>
              <w:t>系统支持收费员的财务日结流程，打印日结结账单。</w:t>
            </w:r>
          </w:p>
        </w:tc>
      </w:tr>
      <w:tr w14:paraId="5BB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4B7E3DD7">
            <w:pPr>
              <w:pStyle w:val="18"/>
              <w:jc w:val="center"/>
              <w:rPr>
                <w:rFonts w:ascii="宋体" w:hAnsi="宋体" w:cs="宋体"/>
                <w:b w:val="0"/>
                <w:color w:val="auto"/>
                <w:szCs w:val="21"/>
              </w:rPr>
            </w:pPr>
            <w:r>
              <w:rPr>
                <w:rFonts w:hint="eastAsia" w:ascii="宋体" w:hAnsi="宋体" w:cs="宋体"/>
                <w:b w:val="0"/>
                <w:color w:val="auto"/>
                <w:szCs w:val="21"/>
              </w:rPr>
              <w:t>分诊科室检查</w:t>
            </w:r>
          </w:p>
        </w:tc>
        <w:tc>
          <w:tcPr>
            <w:tcW w:w="6579" w:type="dxa"/>
            <w:vAlign w:val="center"/>
          </w:tcPr>
          <w:p w14:paraId="4517425D">
            <w:pPr>
              <w:pStyle w:val="18"/>
              <w:rPr>
                <w:rFonts w:ascii="宋体" w:hAnsi="宋体" w:cs="宋体"/>
                <w:color w:val="auto"/>
                <w:szCs w:val="21"/>
              </w:rPr>
            </w:pPr>
            <w:r>
              <w:rPr>
                <w:rFonts w:hint="eastAsia" w:ascii="宋体" w:hAnsi="宋体" w:cs="宋体"/>
                <w:color w:val="auto"/>
                <w:szCs w:val="21"/>
              </w:rPr>
              <w:t>各常规科室客户端支持医生自定义维护知识库，通过异常结果选择、正常结果默认值方式，实现医生零输入、快速输入的功能；可通过设置“添加条件判断结果”，自动生成科室小结；</w:t>
            </w:r>
          </w:p>
          <w:p w14:paraId="2859BAC9">
            <w:pPr>
              <w:pStyle w:val="18"/>
              <w:rPr>
                <w:rFonts w:ascii="宋体" w:hAnsi="宋体" w:cs="宋体"/>
                <w:color w:val="auto"/>
                <w:szCs w:val="21"/>
              </w:rPr>
            </w:pPr>
            <w:r>
              <w:rPr>
                <w:rFonts w:hint="eastAsia" w:ascii="宋体" w:hAnsi="宋体" w:cs="宋体"/>
                <w:color w:val="auto"/>
                <w:szCs w:val="21"/>
              </w:rPr>
              <w:t>各科室支持结果二次修改或取消检查；</w:t>
            </w:r>
          </w:p>
          <w:p w14:paraId="155F720F">
            <w:pPr>
              <w:pStyle w:val="18"/>
              <w:rPr>
                <w:rFonts w:ascii="宋体" w:hAnsi="宋体" w:cs="宋体"/>
                <w:color w:val="auto"/>
                <w:szCs w:val="21"/>
              </w:rPr>
            </w:pPr>
            <w:r>
              <w:rPr>
                <w:rFonts w:hint="eastAsia" w:ascii="宋体" w:hAnsi="宋体" w:cs="宋体"/>
                <w:color w:val="auto"/>
                <w:szCs w:val="21"/>
              </w:rPr>
              <w:t>通过设置特别关注科室，提醒相关检查科室关注本科室检查结果；</w:t>
            </w:r>
          </w:p>
          <w:p w14:paraId="09A77667">
            <w:pPr>
              <w:pStyle w:val="18"/>
              <w:rPr>
                <w:rFonts w:ascii="宋体" w:hAnsi="宋体" w:cs="宋体"/>
                <w:color w:val="auto"/>
                <w:szCs w:val="21"/>
              </w:rPr>
            </w:pPr>
            <w:r>
              <w:rPr>
                <w:rFonts w:hint="eastAsia" w:ascii="宋体" w:hAnsi="宋体" w:cs="宋体"/>
                <w:color w:val="auto"/>
                <w:szCs w:val="21"/>
              </w:rPr>
              <w:t>支持分诊科室取消检查状态，退回到未检状态；</w:t>
            </w:r>
          </w:p>
          <w:p w14:paraId="787615CC">
            <w:pPr>
              <w:pStyle w:val="18"/>
              <w:rPr>
                <w:rFonts w:ascii="宋体" w:hAnsi="宋体" w:cs="宋体"/>
                <w:color w:val="auto"/>
                <w:szCs w:val="21"/>
              </w:rPr>
            </w:pPr>
            <w:r>
              <w:rPr>
                <w:rFonts w:hint="eastAsia" w:ascii="宋体" w:hAnsi="宋体" w:cs="宋体"/>
                <w:color w:val="auto"/>
                <w:szCs w:val="21"/>
              </w:rPr>
              <w:t>支持查看历次对比的体检信息；</w:t>
            </w:r>
          </w:p>
          <w:p w14:paraId="652F1EC8">
            <w:pPr>
              <w:pStyle w:val="18"/>
              <w:rPr>
                <w:rFonts w:ascii="宋体" w:hAnsi="宋体" w:cs="宋体"/>
                <w:color w:val="auto"/>
                <w:szCs w:val="21"/>
              </w:rPr>
            </w:pPr>
            <w:r>
              <w:rPr>
                <w:rFonts w:hint="eastAsia" w:ascii="宋体" w:hAnsi="宋体" w:cs="宋体"/>
                <w:color w:val="auto"/>
                <w:szCs w:val="21"/>
              </w:rPr>
              <w:t>各科室可相互查看检查结果，实现信息共享。</w:t>
            </w:r>
          </w:p>
        </w:tc>
      </w:tr>
      <w:tr w14:paraId="6D4D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21B7083">
            <w:pPr>
              <w:pStyle w:val="18"/>
              <w:jc w:val="center"/>
              <w:rPr>
                <w:rFonts w:ascii="宋体" w:hAnsi="宋体" w:cs="宋体"/>
                <w:b w:val="0"/>
                <w:color w:val="auto"/>
                <w:szCs w:val="21"/>
              </w:rPr>
            </w:pPr>
            <w:r>
              <w:rPr>
                <w:rFonts w:hint="eastAsia" w:ascii="宋体" w:hAnsi="宋体" w:cs="宋体"/>
                <w:b w:val="0"/>
                <w:color w:val="auto"/>
                <w:szCs w:val="21"/>
              </w:rPr>
              <w:t>与院内系统</w:t>
            </w:r>
          </w:p>
          <w:p w14:paraId="21B84E7F">
            <w:pPr>
              <w:pStyle w:val="18"/>
              <w:jc w:val="center"/>
              <w:rPr>
                <w:rFonts w:ascii="宋体" w:hAnsi="宋体" w:cs="宋体"/>
                <w:b w:val="0"/>
                <w:color w:val="auto"/>
                <w:szCs w:val="21"/>
              </w:rPr>
            </w:pPr>
            <w:r>
              <w:rPr>
                <w:rFonts w:hint="eastAsia" w:ascii="宋体" w:hAnsi="宋体" w:cs="宋体"/>
                <w:b w:val="0"/>
                <w:color w:val="auto"/>
                <w:szCs w:val="21"/>
              </w:rPr>
              <w:t>接口</w:t>
            </w:r>
          </w:p>
        </w:tc>
        <w:tc>
          <w:tcPr>
            <w:tcW w:w="6579" w:type="dxa"/>
            <w:vAlign w:val="center"/>
          </w:tcPr>
          <w:p w14:paraId="36A8302F">
            <w:pPr>
              <w:pStyle w:val="18"/>
              <w:rPr>
                <w:rFonts w:ascii="宋体" w:hAnsi="宋体" w:cs="宋体"/>
                <w:color w:val="auto"/>
                <w:szCs w:val="21"/>
              </w:rPr>
            </w:pPr>
            <w:r>
              <w:rPr>
                <w:rFonts w:hint="eastAsia" w:ascii="宋体" w:hAnsi="宋体" w:cs="宋体"/>
                <w:color w:val="auto"/>
                <w:szCs w:val="21"/>
              </w:rPr>
              <w:t>支持与院内现有HIS系统、LIS系统、PACS系统、心电网络系统接口</w:t>
            </w:r>
          </w:p>
        </w:tc>
      </w:tr>
      <w:tr w14:paraId="291A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4A270D89">
            <w:pPr>
              <w:pStyle w:val="18"/>
              <w:jc w:val="center"/>
              <w:rPr>
                <w:rFonts w:ascii="宋体" w:hAnsi="宋体" w:cs="宋体"/>
                <w:b w:val="0"/>
                <w:color w:val="auto"/>
                <w:szCs w:val="21"/>
              </w:rPr>
            </w:pPr>
            <w:r>
              <w:rPr>
                <w:rFonts w:hint="eastAsia" w:ascii="宋体" w:hAnsi="宋体" w:cs="宋体"/>
                <w:b w:val="0"/>
                <w:color w:val="auto"/>
                <w:szCs w:val="21"/>
              </w:rPr>
              <w:t>设备接口</w:t>
            </w:r>
          </w:p>
        </w:tc>
        <w:tc>
          <w:tcPr>
            <w:tcW w:w="6579" w:type="dxa"/>
            <w:vAlign w:val="center"/>
          </w:tcPr>
          <w:p w14:paraId="573F0E78">
            <w:pPr>
              <w:pStyle w:val="18"/>
              <w:rPr>
                <w:rFonts w:ascii="宋体" w:hAnsi="宋体" w:cs="宋体"/>
                <w:color w:val="auto"/>
                <w:szCs w:val="21"/>
              </w:rPr>
            </w:pPr>
            <w:r>
              <w:rPr>
                <w:rFonts w:hint="eastAsia" w:ascii="宋体" w:hAnsi="宋体" w:cs="宋体"/>
                <w:color w:val="auto"/>
                <w:szCs w:val="21"/>
              </w:rPr>
              <w:t>支持体检中心辅助功能检查设备接口，将仪器工作站生成的图文报告回传到体检系统，设备如：动脉硬化、人体成分、骨密度、C13等</w:t>
            </w:r>
          </w:p>
        </w:tc>
      </w:tr>
      <w:tr w14:paraId="564F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ADA9B13">
            <w:pPr>
              <w:pStyle w:val="18"/>
              <w:jc w:val="center"/>
              <w:rPr>
                <w:rFonts w:ascii="宋体" w:hAnsi="宋体" w:cs="宋体"/>
                <w:b w:val="0"/>
                <w:color w:val="auto"/>
                <w:szCs w:val="21"/>
              </w:rPr>
            </w:pPr>
            <w:r>
              <w:rPr>
                <w:rFonts w:hint="eastAsia" w:ascii="宋体" w:hAnsi="宋体" w:cs="宋体"/>
                <w:b w:val="0"/>
                <w:color w:val="auto"/>
                <w:szCs w:val="21"/>
              </w:rPr>
              <w:t>终检管理</w:t>
            </w:r>
          </w:p>
        </w:tc>
        <w:tc>
          <w:tcPr>
            <w:tcW w:w="6579" w:type="dxa"/>
            <w:vAlign w:val="center"/>
          </w:tcPr>
          <w:p w14:paraId="7F7BDFCC">
            <w:pPr>
              <w:pStyle w:val="18"/>
              <w:rPr>
                <w:rFonts w:ascii="宋体" w:hAnsi="宋体" w:cs="宋体"/>
                <w:color w:val="auto"/>
                <w:szCs w:val="21"/>
              </w:rPr>
            </w:pPr>
            <w:r>
              <w:rPr>
                <w:rFonts w:hint="eastAsia" w:ascii="宋体" w:hAnsi="宋体" w:cs="宋体"/>
                <w:color w:val="auto"/>
                <w:szCs w:val="21"/>
              </w:rPr>
              <w:t>可对体检中的异常指标以显著的标示予以提示，系统自动产生综合诊断和防治意见；总检建议能够对结论词从重到轻自动排序；</w:t>
            </w:r>
          </w:p>
          <w:p w14:paraId="4E458248">
            <w:pPr>
              <w:pStyle w:val="18"/>
              <w:rPr>
                <w:rFonts w:ascii="宋体" w:hAnsi="宋体" w:cs="宋体"/>
                <w:color w:val="auto"/>
                <w:szCs w:val="21"/>
              </w:rPr>
            </w:pPr>
            <w:r>
              <w:rPr>
                <w:rFonts w:hint="eastAsia" w:ascii="宋体" w:hAnsi="宋体" w:cs="宋体"/>
                <w:color w:val="auto"/>
                <w:szCs w:val="21"/>
              </w:rPr>
              <w:t>可通过助记符快速查找引用疾病库知识库内的疾病名称，助于快速完成总检；</w:t>
            </w:r>
          </w:p>
          <w:p w14:paraId="5BA3D0A8">
            <w:pPr>
              <w:pStyle w:val="18"/>
              <w:rPr>
                <w:rFonts w:ascii="宋体" w:hAnsi="宋体" w:cs="宋体"/>
                <w:color w:val="auto"/>
                <w:szCs w:val="21"/>
              </w:rPr>
            </w:pPr>
            <w:r>
              <w:rPr>
                <w:rFonts w:hint="eastAsia" w:ascii="宋体" w:hAnsi="宋体" w:cs="宋体"/>
                <w:color w:val="auto"/>
                <w:szCs w:val="21"/>
              </w:rPr>
              <w:t>可查看各科室的检查结果及相关医学图像报告；</w:t>
            </w:r>
          </w:p>
          <w:p w14:paraId="3688A854">
            <w:pPr>
              <w:pStyle w:val="18"/>
              <w:rPr>
                <w:rFonts w:ascii="宋体" w:hAnsi="宋体" w:cs="宋体"/>
                <w:color w:val="auto"/>
                <w:szCs w:val="21"/>
              </w:rPr>
            </w:pPr>
            <w:r>
              <w:rPr>
                <w:rFonts w:hint="eastAsia" w:ascii="宋体" w:hAnsi="宋体" w:cs="宋体"/>
                <w:color w:val="auto"/>
                <w:szCs w:val="21"/>
              </w:rPr>
              <w:t>可实时动态查看历次体检结果；</w:t>
            </w:r>
          </w:p>
          <w:p w14:paraId="33AE7C8D">
            <w:pPr>
              <w:pStyle w:val="18"/>
              <w:rPr>
                <w:rFonts w:ascii="宋体" w:hAnsi="宋体" w:cs="宋体"/>
                <w:color w:val="auto"/>
                <w:szCs w:val="21"/>
              </w:rPr>
            </w:pPr>
            <w:r>
              <w:rPr>
                <w:rFonts w:hint="eastAsia" w:ascii="宋体" w:hAnsi="宋体" w:cs="宋体"/>
                <w:color w:val="auto"/>
                <w:szCs w:val="21"/>
              </w:rPr>
              <w:t>具有完备的总检撤销和重做功能，在总检未撤销前，阻止体检明细项目结果值的随意修改；</w:t>
            </w:r>
          </w:p>
          <w:p w14:paraId="47ED057D">
            <w:pPr>
              <w:pStyle w:val="18"/>
              <w:rPr>
                <w:rFonts w:ascii="宋体" w:hAnsi="宋体" w:cs="宋体"/>
                <w:color w:val="auto"/>
                <w:szCs w:val="21"/>
              </w:rPr>
            </w:pPr>
            <w:r>
              <w:rPr>
                <w:rFonts w:hint="eastAsia" w:ascii="宋体" w:hAnsi="宋体" w:cs="宋体"/>
                <w:color w:val="auto"/>
                <w:szCs w:val="21"/>
              </w:rPr>
              <w:t>总检医生根据体检者情况制定复检计划及项目并可生成报表，到复检日期时，系统登录后会自动弹框提醒需复检人员记录；</w:t>
            </w:r>
          </w:p>
          <w:p w14:paraId="6AF86533">
            <w:pPr>
              <w:pStyle w:val="18"/>
              <w:rPr>
                <w:rFonts w:ascii="宋体" w:hAnsi="宋体" w:cs="宋体"/>
                <w:color w:val="auto"/>
                <w:szCs w:val="21"/>
              </w:rPr>
            </w:pPr>
            <w:r>
              <w:rPr>
                <w:rFonts w:hint="eastAsia" w:ascii="宋体" w:hAnsi="宋体" w:cs="宋体"/>
                <w:color w:val="auto"/>
                <w:szCs w:val="21"/>
              </w:rPr>
              <w:t>专家词库管理：有知识型、智能型的专家词库，实现专家用词的统一及规范；为体检中心老专家提供了汉字零输入的操作便利。</w:t>
            </w:r>
          </w:p>
        </w:tc>
      </w:tr>
      <w:tr w14:paraId="41B4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38404AA8">
            <w:pPr>
              <w:pStyle w:val="18"/>
              <w:jc w:val="center"/>
              <w:rPr>
                <w:rFonts w:ascii="宋体" w:hAnsi="宋体" w:cs="宋体"/>
                <w:b w:val="0"/>
                <w:color w:val="auto"/>
                <w:szCs w:val="21"/>
              </w:rPr>
            </w:pPr>
            <w:r>
              <w:rPr>
                <w:rFonts w:hint="eastAsia" w:ascii="宋体" w:hAnsi="宋体" w:cs="宋体"/>
                <w:b w:val="0"/>
                <w:color w:val="auto"/>
                <w:szCs w:val="21"/>
              </w:rPr>
              <w:t>报告管理</w:t>
            </w:r>
          </w:p>
        </w:tc>
        <w:tc>
          <w:tcPr>
            <w:tcW w:w="6579" w:type="dxa"/>
            <w:vAlign w:val="center"/>
          </w:tcPr>
          <w:p w14:paraId="157CD804">
            <w:pPr>
              <w:pStyle w:val="18"/>
              <w:rPr>
                <w:rFonts w:ascii="宋体" w:hAnsi="宋体" w:cs="宋体"/>
                <w:color w:val="auto"/>
                <w:szCs w:val="21"/>
              </w:rPr>
            </w:pPr>
            <w:r>
              <w:rPr>
                <w:rFonts w:hint="eastAsia" w:ascii="宋体" w:hAnsi="宋体" w:cs="宋体"/>
                <w:color w:val="auto"/>
                <w:szCs w:val="21"/>
              </w:rPr>
              <w:t>支持多类型个检报告管理及团体报告管理；</w:t>
            </w:r>
          </w:p>
          <w:p w14:paraId="7177C1C7">
            <w:pPr>
              <w:pStyle w:val="18"/>
              <w:rPr>
                <w:rFonts w:ascii="宋体" w:hAnsi="宋体" w:cs="宋体"/>
                <w:color w:val="auto"/>
                <w:szCs w:val="21"/>
              </w:rPr>
            </w:pPr>
            <w:r>
              <w:rPr>
                <w:rFonts w:hint="eastAsia" w:ascii="宋体" w:hAnsi="宋体" w:cs="宋体"/>
                <w:color w:val="auto"/>
                <w:szCs w:val="21"/>
              </w:rPr>
              <w:t>能够实现单个打印及批量打印，并记录打印次数；</w:t>
            </w:r>
          </w:p>
          <w:p w14:paraId="1A51F591">
            <w:pPr>
              <w:pStyle w:val="18"/>
              <w:rPr>
                <w:rFonts w:ascii="宋体" w:hAnsi="宋体" w:cs="宋体"/>
                <w:color w:val="auto"/>
                <w:szCs w:val="21"/>
              </w:rPr>
            </w:pPr>
            <w:r>
              <w:rPr>
                <w:rFonts w:hint="eastAsia" w:ascii="宋体" w:hAnsi="宋体" w:cs="宋体"/>
                <w:color w:val="auto"/>
                <w:szCs w:val="21"/>
              </w:rPr>
              <w:t>可支持导出PDF以及自定义研发等格式的电子报告；</w:t>
            </w:r>
          </w:p>
          <w:p w14:paraId="55468255">
            <w:pPr>
              <w:pStyle w:val="18"/>
              <w:rPr>
                <w:rFonts w:ascii="宋体" w:hAnsi="宋体" w:cs="宋体"/>
                <w:color w:val="auto"/>
                <w:szCs w:val="21"/>
              </w:rPr>
            </w:pPr>
            <w:r>
              <w:rPr>
                <w:rFonts w:hint="eastAsia" w:ascii="宋体" w:hAnsi="宋体" w:cs="宋体"/>
                <w:color w:val="auto"/>
                <w:szCs w:val="21"/>
              </w:rPr>
              <w:t>打印报告管理：总审完毕后，可以打印体检者的体检报告，可支持两种类型的历次对比报告：文字对比报告和对比曲线图；</w:t>
            </w:r>
          </w:p>
          <w:p w14:paraId="0D02DBBC">
            <w:pPr>
              <w:pStyle w:val="18"/>
              <w:rPr>
                <w:rFonts w:ascii="宋体" w:hAnsi="宋体" w:cs="宋体"/>
                <w:color w:val="auto"/>
                <w:szCs w:val="21"/>
              </w:rPr>
            </w:pPr>
            <w:r>
              <w:rPr>
                <w:rFonts w:hint="eastAsia" w:ascii="宋体" w:hAnsi="宋体" w:cs="宋体"/>
                <w:color w:val="auto"/>
                <w:szCs w:val="21"/>
              </w:rPr>
              <w:t>报告模板编辑器可灵活方便的设置各种模式的体检报告单。</w:t>
            </w:r>
          </w:p>
        </w:tc>
      </w:tr>
      <w:tr w14:paraId="523B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44D91345">
            <w:pPr>
              <w:pStyle w:val="18"/>
              <w:jc w:val="center"/>
              <w:rPr>
                <w:rFonts w:ascii="宋体" w:hAnsi="宋体" w:cs="宋体"/>
                <w:b w:val="0"/>
                <w:color w:val="auto"/>
                <w:szCs w:val="21"/>
              </w:rPr>
            </w:pPr>
            <w:r>
              <w:rPr>
                <w:rFonts w:hint="eastAsia" w:ascii="宋体" w:hAnsi="宋体" w:cs="宋体"/>
                <w:b w:val="0"/>
                <w:color w:val="auto"/>
                <w:szCs w:val="21"/>
              </w:rPr>
              <w:t>VIP会员管理</w:t>
            </w:r>
          </w:p>
        </w:tc>
        <w:tc>
          <w:tcPr>
            <w:tcW w:w="6579" w:type="dxa"/>
            <w:vAlign w:val="center"/>
          </w:tcPr>
          <w:p w14:paraId="56C51D00">
            <w:pPr>
              <w:pStyle w:val="18"/>
              <w:rPr>
                <w:rFonts w:ascii="宋体" w:hAnsi="宋体" w:cs="宋体"/>
                <w:color w:val="auto"/>
                <w:szCs w:val="21"/>
              </w:rPr>
            </w:pPr>
            <w:r>
              <w:rPr>
                <w:rFonts w:hint="eastAsia" w:ascii="宋体" w:hAnsi="宋体" w:cs="宋体"/>
                <w:color w:val="auto"/>
                <w:szCs w:val="21"/>
              </w:rPr>
              <w:t>系统支持体检人员类别的建立，依据权限对特殊人员类别检查过程中的基础信息查看、体检结果查看以及报告打印等进行管理；</w:t>
            </w:r>
          </w:p>
          <w:p w14:paraId="62F66828">
            <w:pPr>
              <w:pStyle w:val="18"/>
              <w:rPr>
                <w:rFonts w:ascii="宋体" w:hAnsi="宋体" w:cs="宋体"/>
                <w:color w:val="auto"/>
                <w:szCs w:val="21"/>
              </w:rPr>
            </w:pPr>
            <w:r>
              <w:rPr>
                <w:rFonts w:hint="eastAsia" w:ascii="宋体" w:hAnsi="宋体" w:cs="宋体"/>
                <w:color w:val="auto"/>
                <w:szCs w:val="21"/>
              </w:rPr>
              <w:t>支持VIP会员信息的建立，支持会员卡的建立；</w:t>
            </w:r>
          </w:p>
          <w:p w14:paraId="2206BA99">
            <w:pPr>
              <w:pStyle w:val="18"/>
              <w:rPr>
                <w:rFonts w:ascii="宋体" w:hAnsi="宋体" w:cs="宋体"/>
                <w:color w:val="auto"/>
                <w:szCs w:val="21"/>
              </w:rPr>
            </w:pPr>
            <w:r>
              <w:rPr>
                <w:rFonts w:hint="eastAsia" w:ascii="宋体" w:hAnsi="宋体" w:cs="宋体"/>
                <w:color w:val="auto"/>
                <w:szCs w:val="21"/>
              </w:rPr>
              <w:t>支持批量建卡、卡充值、批量充值、负充值、作废及卡充值消费信息查询；</w:t>
            </w:r>
          </w:p>
          <w:p w14:paraId="773140EB">
            <w:pPr>
              <w:pStyle w:val="18"/>
              <w:rPr>
                <w:rFonts w:ascii="宋体" w:hAnsi="宋体" w:cs="宋体"/>
                <w:color w:val="auto"/>
                <w:szCs w:val="21"/>
              </w:rPr>
            </w:pPr>
            <w:r>
              <w:rPr>
                <w:rFonts w:hint="eastAsia" w:ascii="宋体" w:hAnsi="宋体" w:cs="宋体"/>
                <w:color w:val="auto"/>
                <w:szCs w:val="21"/>
              </w:rPr>
              <w:t>支持VIP客户自动打印不同类别的指引单；</w:t>
            </w:r>
          </w:p>
          <w:p w14:paraId="37946032">
            <w:pPr>
              <w:pStyle w:val="18"/>
              <w:rPr>
                <w:rFonts w:ascii="宋体" w:hAnsi="宋体" w:cs="宋体"/>
                <w:color w:val="auto"/>
                <w:szCs w:val="21"/>
              </w:rPr>
            </w:pPr>
            <w:r>
              <w:rPr>
                <w:rFonts w:hint="eastAsia" w:ascii="宋体" w:hAnsi="宋体" w:cs="宋体"/>
                <w:color w:val="auto"/>
                <w:szCs w:val="21"/>
              </w:rPr>
              <w:t>支持VIP会员卡级别的设定及卡积分的管理。</w:t>
            </w:r>
          </w:p>
        </w:tc>
      </w:tr>
      <w:tr w14:paraId="2FCB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458CC847">
            <w:pPr>
              <w:pStyle w:val="18"/>
              <w:jc w:val="center"/>
              <w:rPr>
                <w:rFonts w:ascii="宋体" w:hAnsi="宋体" w:cs="宋体"/>
                <w:b w:val="0"/>
                <w:color w:val="auto"/>
                <w:szCs w:val="21"/>
              </w:rPr>
            </w:pPr>
            <w:r>
              <w:rPr>
                <w:rFonts w:hint="eastAsia" w:ascii="宋体" w:hAnsi="宋体" w:cs="宋体"/>
                <w:b w:val="0"/>
                <w:color w:val="auto"/>
                <w:szCs w:val="21"/>
              </w:rPr>
              <w:t>知识库管理</w:t>
            </w:r>
          </w:p>
        </w:tc>
        <w:tc>
          <w:tcPr>
            <w:tcW w:w="6579" w:type="dxa"/>
            <w:vAlign w:val="center"/>
          </w:tcPr>
          <w:p w14:paraId="44EC1419">
            <w:pPr>
              <w:pStyle w:val="18"/>
              <w:rPr>
                <w:rFonts w:ascii="宋体" w:hAnsi="宋体" w:cs="宋体"/>
                <w:color w:val="auto"/>
                <w:szCs w:val="21"/>
              </w:rPr>
            </w:pPr>
            <w:r>
              <w:rPr>
                <w:rFonts w:hint="eastAsia" w:ascii="宋体" w:hAnsi="宋体" w:cs="宋体"/>
                <w:color w:val="auto"/>
                <w:szCs w:val="21"/>
              </w:rPr>
              <w:t>疾病诊断条件定义：依托ICD-10进行标准化管理疾病的判定条件，支持对于符合重大疾病的定义及管理，疾病诊断库参照《中华健康管理学名词》筛选路径表（高血压组定稿会修改稿）维护管理健康建议指导库：包含全面的健康建议指导。</w:t>
            </w:r>
          </w:p>
        </w:tc>
      </w:tr>
      <w:tr w14:paraId="69A8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3C87E8A8">
            <w:pPr>
              <w:pStyle w:val="18"/>
              <w:jc w:val="center"/>
              <w:rPr>
                <w:rFonts w:ascii="宋体" w:hAnsi="宋体" w:cs="宋体"/>
                <w:b w:val="0"/>
                <w:color w:val="auto"/>
                <w:szCs w:val="21"/>
              </w:rPr>
            </w:pPr>
            <w:r>
              <w:rPr>
                <w:rFonts w:hint="eastAsia" w:ascii="宋体" w:hAnsi="宋体" w:cs="宋体"/>
                <w:b w:val="0"/>
                <w:color w:val="auto"/>
                <w:szCs w:val="21"/>
              </w:rPr>
              <w:t>体检过程</w:t>
            </w:r>
          </w:p>
          <w:p w14:paraId="44F53851">
            <w:pPr>
              <w:pStyle w:val="18"/>
              <w:jc w:val="center"/>
              <w:rPr>
                <w:rFonts w:ascii="宋体" w:hAnsi="宋体" w:cs="宋体"/>
                <w:b w:val="0"/>
                <w:color w:val="auto"/>
                <w:szCs w:val="21"/>
              </w:rPr>
            </w:pPr>
            <w:r>
              <w:rPr>
                <w:rFonts w:hint="eastAsia" w:ascii="宋体" w:hAnsi="宋体" w:cs="宋体"/>
                <w:b w:val="0"/>
                <w:color w:val="auto"/>
                <w:szCs w:val="21"/>
              </w:rPr>
              <w:t>跟踪控制</w:t>
            </w:r>
          </w:p>
        </w:tc>
        <w:tc>
          <w:tcPr>
            <w:tcW w:w="6579" w:type="dxa"/>
            <w:vAlign w:val="center"/>
          </w:tcPr>
          <w:p w14:paraId="0E7E599D">
            <w:pPr>
              <w:pStyle w:val="18"/>
              <w:rPr>
                <w:rFonts w:ascii="宋体" w:hAnsi="宋体" w:cs="宋体"/>
                <w:color w:val="auto"/>
                <w:szCs w:val="21"/>
              </w:rPr>
            </w:pPr>
            <w:r>
              <w:rPr>
                <w:rFonts w:hint="eastAsia" w:ascii="宋体" w:hAnsi="宋体" w:cs="宋体"/>
                <w:color w:val="auto"/>
                <w:szCs w:val="21"/>
              </w:rPr>
              <w:t>支持体检导引单回收功能检查项目完成情况，提醒客户漏检项目并做项目拒检或改期操作；</w:t>
            </w:r>
          </w:p>
          <w:p w14:paraId="20409BE0">
            <w:pPr>
              <w:pStyle w:val="18"/>
              <w:rPr>
                <w:rFonts w:ascii="宋体" w:hAnsi="宋体" w:cs="宋体"/>
                <w:color w:val="auto"/>
                <w:szCs w:val="21"/>
              </w:rPr>
            </w:pPr>
            <w:r>
              <w:rPr>
                <w:rFonts w:hint="eastAsia" w:ascii="宋体" w:hAnsi="宋体" w:cs="宋体"/>
                <w:color w:val="auto"/>
                <w:szCs w:val="21"/>
              </w:rPr>
              <w:t>一键式查询体检者在体检中心各科室的体检状态，如已检项目、未检项目、检查医生、检查时间、缴费、改期等。</w:t>
            </w:r>
          </w:p>
        </w:tc>
      </w:tr>
      <w:tr w14:paraId="576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79831B1">
            <w:pPr>
              <w:pStyle w:val="18"/>
              <w:jc w:val="center"/>
              <w:rPr>
                <w:rFonts w:ascii="宋体" w:hAnsi="宋体" w:cs="宋体"/>
                <w:b w:val="0"/>
                <w:color w:val="auto"/>
                <w:szCs w:val="21"/>
              </w:rPr>
            </w:pPr>
            <w:r>
              <w:rPr>
                <w:rFonts w:hint="eastAsia" w:ascii="宋体" w:hAnsi="宋体" w:cs="宋体"/>
                <w:b w:val="0"/>
                <w:color w:val="auto"/>
                <w:szCs w:val="21"/>
              </w:rPr>
              <w:t>系统配置</w:t>
            </w:r>
          </w:p>
        </w:tc>
        <w:tc>
          <w:tcPr>
            <w:tcW w:w="6579" w:type="dxa"/>
            <w:vAlign w:val="center"/>
          </w:tcPr>
          <w:p w14:paraId="74B7129D">
            <w:pPr>
              <w:pStyle w:val="18"/>
              <w:rPr>
                <w:rFonts w:ascii="宋体" w:hAnsi="宋体" w:cs="宋体"/>
                <w:color w:val="auto"/>
                <w:szCs w:val="21"/>
              </w:rPr>
            </w:pPr>
            <w:r>
              <w:rPr>
                <w:rFonts w:hint="eastAsia" w:ascii="宋体" w:hAnsi="宋体" w:cs="宋体"/>
                <w:color w:val="auto"/>
                <w:szCs w:val="21"/>
              </w:rPr>
              <w:t>支持健康体检、干部体检、证件体检、职业病体检、妇女专项体检等多种体检类型</w:t>
            </w:r>
          </w:p>
          <w:p w14:paraId="2E51FD88">
            <w:pPr>
              <w:pStyle w:val="18"/>
              <w:rPr>
                <w:rFonts w:ascii="宋体" w:hAnsi="宋体" w:cs="宋体"/>
                <w:color w:val="auto"/>
                <w:szCs w:val="21"/>
              </w:rPr>
            </w:pPr>
            <w:r>
              <w:rPr>
                <w:rFonts w:hint="eastAsia" w:ascii="宋体" w:hAnsi="宋体" w:cs="宋体"/>
                <w:color w:val="auto"/>
                <w:szCs w:val="21"/>
              </w:rPr>
              <w:t>支持导检单自定义功能，体检中心可自由定义导引单样式，大小、显示位置等</w:t>
            </w:r>
          </w:p>
          <w:p w14:paraId="1A7824D9">
            <w:pPr>
              <w:pStyle w:val="18"/>
              <w:rPr>
                <w:rFonts w:ascii="宋体" w:hAnsi="宋体" w:cs="宋体"/>
                <w:color w:val="auto"/>
                <w:szCs w:val="21"/>
              </w:rPr>
            </w:pPr>
            <w:r>
              <w:rPr>
                <w:rFonts w:hint="eastAsia" w:ascii="宋体" w:hAnsi="宋体" w:cs="宋体"/>
                <w:color w:val="auto"/>
                <w:szCs w:val="21"/>
              </w:rPr>
              <w:t>系统支持灵活选择分诊科室指引单的打印功能</w:t>
            </w:r>
          </w:p>
          <w:p w14:paraId="0E2A5587">
            <w:pPr>
              <w:pStyle w:val="18"/>
              <w:rPr>
                <w:rFonts w:ascii="宋体" w:hAnsi="宋体" w:cs="宋体"/>
                <w:color w:val="auto"/>
                <w:szCs w:val="21"/>
              </w:rPr>
            </w:pPr>
            <w:r>
              <w:rPr>
                <w:rFonts w:hint="eastAsia" w:ascii="宋体" w:hAnsi="宋体" w:cs="宋体"/>
                <w:color w:val="auto"/>
                <w:szCs w:val="21"/>
              </w:rPr>
              <w:t>系统支持精细化的权限管理分配，对医护人员进行细化的权限分配</w:t>
            </w:r>
          </w:p>
          <w:p w14:paraId="091FD478">
            <w:pPr>
              <w:pStyle w:val="18"/>
              <w:rPr>
                <w:rFonts w:ascii="宋体" w:hAnsi="宋体" w:cs="宋体"/>
                <w:color w:val="auto"/>
                <w:szCs w:val="21"/>
              </w:rPr>
            </w:pPr>
            <w:r>
              <w:rPr>
                <w:rFonts w:hint="eastAsia" w:ascii="宋体" w:hAnsi="宋体" w:cs="宋体"/>
                <w:color w:val="auto"/>
                <w:szCs w:val="21"/>
              </w:rPr>
              <w:t>支持应用参数列表配置管理，支持对外接硬件设备及相关打印输出等进行配置管理</w:t>
            </w:r>
          </w:p>
          <w:p w14:paraId="2526AA74">
            <w:pPr>
              <w:pStyle w:val="18"/>
              <w:rPr>
                <w:rFonts w:ascii="宋体" w:hAnsi="宋体" w:cs="宋体"/>
                <w:color w:val="auto"/>
                <w:szCs w:val="21"/>
              </w:rPr>
            </w:pPr>
            <w:r>
              <w:rPr>
                <w:rFonts w:hint="eastAsia" w:ascii="宋体" w:hAnsi="宋体" w:cs="宋体"/>
                <w:color w:val="auto"/>
                <w:szCs w:val="21"/>
              </w:rPr>
              <w:t>支持加密配置文件管理，提供加密规则及加密配置管理工具</w:t>
            </w:r>
          </w:p>
        </w:tc>
      </w:tr>
      <w:tr w14:paraId="27F7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E37DE94">
            <w:pPr>
              <w:pStyle w:val="18"/>
              <w:jc w:val="center"/>
              <w:rPr>
                <w:rFonts w:ascii="宋体" w:hAnsi="宋体" w:cs="宋体"/>
                <w:b w:val="0"/>
                <w:color w:val="auto"/>
                <w:szCs w:val="21"/>
              </w:rPr>
            </w:pPr>
            <w:r>
              <w:rPr>
                <w:rFonts w:hint="eastAsia" w:ascii="宋体" w:hAnsi="宋体" w:cs="宋体"/>
                <w:b w:val="0"/>
                <w:color w:val="auto"/>
                <w:szCs w:val="21"/>
              </w:rPr>
              <w:t>统计分析管理</w:t>
            </w:r>
          </w:p>
        </w:tc>
        <w:tc>
          <w:tcPr>
            <w:tcW w:w="6579" w:type="dxa"/>
            <w:vAlign w:val="center"/>
          </w:tcPr>
          <w:p w14:paraId="4062C3A2">
            <w:pPr>
              <w:pStyle w:val="18"/>
              <w:rPr>
                <w:rFonts w:ascii="宋体" w:hAnsi="宋体" w:cs="宋体"/>
                <w:color w:val="auto"/>
                <w:szCs w:val="21"/>
              </w:rPr>
            </w:pPr>
            <w:r>
              <w:rPr>
                <w:rFonts w:hint="eastAsia" w:ascii="宋体" w:hAnsi="宋体" w:cs="宋体"/>
                <w:color w:val="auto"/>
                <w:szCs w:val="21"/>
              </w:rPr>
              <w:t>体检数据查询统计管理：个人数据查询能实现名字、编号、身份证、收集等信息查询个人所有记录。能根据多种查询条件查询科室工作量、医生工作量、疾病统计信息等，用于中心管理、考核、科研。</w:t>
            </w:r>
          </w:p>
        </w:tc>
      </w:tr>
      <w:tr w14:paraId="688C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FFFC64C">
            <w:pPr>
              <w:pStyle w:val="18"/>
              <w:jc w:val="center"/>
              <w:rPr>
                <w:rFonts w:ascii="宋体" w:hAnsi="宋体" w:cs="宋体"/>
                <w:b w:val="0"/>
                <w:color w:val="auto"/>
                <w:szCs w:val="21"/>
              </w:rPr>
            </w:pPr>
            <w:r>
              <w:rPr>
                <w:rFonts w:hint="eastAsia" w:ascii="宋体" w:hAnsi="宋体" w:cs="宋体"/>
                <w:b w:val="0"/>
                <w:color w:val="auto"/>
                <w:szCs w:val="21"/>
              </w:rPr>
              <w:t>基础信息管理</w:t>
            </w:r>
          </w:p>
        </w:tc>
        <w:tc>
          <w:tcPr>
            <w:tcW w:w="6579" w:type="dxa"/>
            <w:vAlign w:val="center"/>
          </w:tcPr>
          <w:p w14:paraId="42673D22">
            <w:pPr>
              <w:pStyle w:val="18"/>
              <w:rPr>
                <w:rFonts w:ascii="宋体" w:hAnsi="宋体" w:cs="宋体"/>
                <w:color w:val="auto"/>
                <w:szCs w:val="21"/>
              </w:rPr>
            </w:pPr>
            <w:r>
              <w:rPr>
                <w:rFonts w:hint="eastAsia" w:ascii="宋体" w:hAnsi="宋体" w:cs="宋体"/>
                <w:color w:val="auto"/>
                <w:szCs w:val="21"/>
              </w:rPr>
              <w:t>支持功能科室、体检套餐、收费项目、检查项目设定；</w:t>
            </w:r>
          </w:p>
          <w:p w14:paraId="0DA10E02">
            <w:pPr>
              <w:pStyle w:val="18"/>
              <w:rPr>
                <w:rFonts w:ascii="宋体" w:hAnsi="宋体" w:cs="宋体"/>
                <w:color w:val="auto"/>
                <w:szCs w:val="21"/>
              </w:rPr>
            </w:pPr>
            <w:r>
              <w:rPr>
                <w:rFonts w:hint="eastAsia" w:ascii="宋体" w:hAnsi="宋体" w:cs="宋体"/>
                <w:color w:val="auto"/>
                <w:szCs w:val="21"/>
              </w:rPr>
              <w:t>支持单位、部门、工种、职业、体检类别、样本类型、项目归类等设定；</w:t>
            </w:r>
          </w:p>
          <w:p w14:paraId="76A30F3B">
            <w:pPr>
              <w:pStyle w:val="18"/>
              <w:rPr>
                <w:rFonts w:ascii="宋体" w:hAnsi="宋体" w:cs="宋体"/>
                <w:color w:val="auto"/>
                <w:szCs w:val="21"/>
              </w:rPr>
            </w:pPr>
            <w:r>
              <w:rPr>
                <w:rFonts w:hint="eastAsia" w:ascii="宋体" w:hAnsi="宋体" w:cs="宋体"/>
                <w:color w:val="auto"/>
                <w:szCs w:val="21"/>
              </w:rPr>
              <w:t>支持收费方式、职能科室、输入法等设定。</w:t>
            </w:r>
          </w:p>
        </w:tc>
      </w:tr>
      <w:tr w14:paraId="2476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87CE7F1">
            <w:pPr>
              <w:pStyle w:val="18"/>
              <w:jc w:val="center"/>
              <w:rPr>
                <w:rFonts w:ascii="宋体" w:hAnsi="宋体" w:cs="宋体"/>
                <w:b w:val="0"/>
                <w:color w:val="auto"/>
                <w:szCs w:val="21"/>
              </w:rPr>
            </w:pPr>
            <w:r>
              <w:rPr>
                <w:rFonts w:hint="eastAsia" w:ascii="宋体" w:hAnsi="宋体" w:cs="宋体"/>
                <w:b w:val="0"/>
                <w:color w:val="auto"/>
                <w:szCs w:val="21"/>
              </w:rPr>
              <w:t>微信平台</w:t>
            </w:r>
          </w:p>
        </w:tc>
        <w:tc>
          <w:tcPr>
            <w:tcW w:w="6579" w:type="dxa"/>
            <w:vAlign w:val="center"/>
          </w:tcPr>
          <w:p w14:paraId="1ADB07A2">
            <w:pPr>
              <w:pStyle w:val="18"/>
              <w:rPr>
                <w:rFonts w:ascii="宋体" w:hAnsi="宋体" w:cs="宋体"/>
                <w:color w:val="auto"/>
                <w:szCs w:val="21"/>
              </w:rPr>
            </w:pPr>
            <w:r>
              <w:rPr>
                <w:rFonts w:hint="eastAsia" w:ascii="宋体" w:hAnsi="宋体" w:cs="宋体"/>
                <w:color w:val="auto"/>
                <w:szCs w:val="21"/>
              </w:rPr>
              <w:t>体检中心介绍、体检指南、专家介绍、设备介绍、特色科室、路线导航等；</w:t>
            </w:r>
          </w:p>
          <w:p w14:paraId="5FC087B9">
            <w:pPr>
              <w:pStyle w:val="18"/>
              <w:rPr>
                <w:rFonts w:ascii="宋体" w:hAnsi="宋体" w:cs="宋体"/>
                <w:color w:val="auto"/>
                <w:szCs w:val="21"/>
              </w:rPr>
            </w:pPr>
            <w:r>
              <w:rPr>
                <w:rFonts w:hint="eastAsia" w:ascii="宋体" w:hAnsi="宋体" w:cs="宋体"/>
                <w:color w:val="auto"/>
                <w:szCs w:val="21"/>
              </w:rPr>
              <w:t>支持个检及团检客户在微信专属平台完成体检预约；</w:t>
            </w:r>
          </w:p>
          <w:p w14:paraId="7823B50C">
            <w:pPr>
              <w:pStyle w:val="18"/>
              <w:rPr>
                <w:rFonts w:ascii="宋体" w:hAnsi="宋体" w:cs="宋体"/>
                <w:color w:val="auto"/>
                <w:szCs w:val="21"/>
              </w:rPr>
            </w:pPr>
            <w:r>
              <w:rPr>
                <w:rFonts w:hint="eastAsia" w:ascii="宋体" w:hAnsi="宋体" w:cs="宋体"/>
                <w:color w:val="auto"/>
                <w:szCs w:val="21"/>
              </w:rPr>
              <w:t>采用身份证号及手机发动短信动态验证码进行登录报告查询；</w:t>
            </w:r>
          </w:p>
          <w:p w14:paraId="0CE57C55">
            <w:pPr>
              <w:pStyle w:val="18"/>
              <w:rPr>
                <w:rFonts w:ascii="宋体" w:hAnsi="宋体" w:cs="宋体"/>
                <w:color w:val="auto"/>
                <w:szCs w:val="21"/>
              </w:rPr>
            </w:pPr>
            <w:r>
              <w:rPr>
                <w:rFonts w:hint="eastAsia" w:ascii="宋体" w:hAnsi="宋体" w:cs="宋体"/>
                <w:color w:val="auto"/>
                <w:szCs w:val="21"/>
              </w:rPr>
              <w:t>支持图文报告的查看；</w:t>
            </w:r>
          </w:p>
          <w:p w14:paraId="5ADF7CCE">
            <w:pPr>
              <w:pStyle w:val="18"/>
              <w:rPr>
                <w:rFonts w:ascii="宋体" w:hAnsi="宋体" w:cs="宋体"/>
                <w:color w:val="auto"/>
                <w:szCs w:val="21"/>
              </w:rPr>
            </w:pPr>
            <w:r>
              <w:rPr>
                <w:rFonts w:hint="eastAsia" w:ascii="宋体" w:hAnsi="宋体" w:cs="宋体"/>
                <w:color w:val="auto"/>
                <w:szCs w:val="21"/>
              </w:rPr>
              <w:t>支持结构化PDF版的报告E-Mail发送至相应的邮箱</w:t>
            </w:r>
          </w:p>
          <w:p w14:paraId="4AC3BFF4">
            <w:pPr>
              <w:pStyle w:val="18"/>
              <w:rPr>
                <w:rFonts w:ascii="宋体" w:hAnsi="宋体" w:cs="宋体"/>
                <w:color w:val="auto"/>
                <w:szCs w:val="21"/>
              </w:rPr>
            </w:pPr>
            <w:r>
              <w:rPr>
                <w:rFonts w:hint="eastAsia" w:ascii="宋体" w:hAnsi="宋体" w:cs="宋体"/>
                <w:color w:val="auto"/>
                <w:szCs w:val="21"/>
              </w:rPr>
              <w:t>支持亲友报告关联可对亲友的体检报告进行管理或者查询。</w:t>
            </w:r>
          </w:p>
          <w:p w14:paraId="52A7DAAB">
            <w:pPr>
              <w:pStyle w:val="18"/>
              <w:rPr>
                <w:rFonts w:ascii="宋体" w:hAnsi="宋体" w:cs="宋体"/>
                <w:color w:val="auto"/>
                <w:szCs w:val="21"/>
              </w:rPr>
            </w:pPr>
            <w:r>
              <w:rPr>
                <w:rFonts w:hint="eastAsia" w:ascii="宋体" w:hAnsi="宋体" w:cs="宋体"/>
                <w:color w:val="auto"/>
                <w:szCs w:val="21"/>
              </w:rPr>
              <w:t>支持报告异常项解读，可方便定位某一个有异常结果的科室查看相关信息；也可通过异常结果获取体检报告的所有异常项并支持对异常项进行解读，异常项的正常范围及指标、异常产生的原因、专家的建议；</w:t>
            </w:r>
          </w:p>
          <w:p w14:paraId="0C7CA299">
            <w:pPr>
              <w:pStyle w:val="18"/>
              <w:rPr>
                <w:color w:val="auto"/>
              </w:rPr>
            </w:pPr>
            <w:r>
              <w:rPr>
                <w:rFonts w:hint="eastAsia" w:ascii="宋体" w:hAnsi="宋体" w:cs="宋体"/>
                <w:color w:val="auto"/>
                <w:szCs w:val="21"/>
              </w:rPr>
              <w:t>实现与医院微信公众号/小程序对接。</w:t>
            </w:r>
          </w:p>
        </w:tc>
      </w:tr>
    </w:tbl>
    <w:p w14:paraId="70D47AB0">
      <w:pPr>
        <w:pStyle w:val="4"/>
        <w:numPr>
          <w:ilvl w:val="1"/>
          <w:numId w:val="0"/>
        </w:numPr>
        <w:ind w:left="576" w:leftChars="0" w:hanging="576" w:firstLineChars="0"/>
        <w:rPr>
          <w:color w:val="auto"/>
        </w:rPr>
      </w:pPr>
      <w:bookmarkStart w:id="144" w:name="_Toc208646534"/>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.12</w:t>
      </w:r>
      <w:r>
        <w:rPr>
          <w:rFonts w:hint="eastAsia"/>
          <w:color w:val="auto"/>
        </w:rPr>
        <w:t>移动护理系统</w:t>
      </w:r>
      <w:bookmarkEnd w:id="144"/>
    </w:p>
    <w:tbl>
      <w:tblPr>
        <w:tblStyle w:val="9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63"/>
      </w:tblGrid>
      <w:tr w14:paraId="7858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shd w:val="clear" w:color="auto" w:fill="BEBEBE" w:themeFill="background1" w:themeFillShade="BF"/>
            <w:vAlign w:val="center"/>
          </w:tcPr>
          <w:p w14:paraId="22739E10">
            <w:pPr>
              <w:pStyle w:val="18"/>
              <w:jc w:val="center"/>
              <w:rPr>
                <w:b w:val="0"/>
                <w:color w:val="auto"/>
              </w:rPr>
            </w:pPr>
            <w:r>
              <w:rPr>
                <w:rFonts w:hint="eastAsia"/>
                <w:b/>
                <w:color w:val="auto"/>
              </w:rPr>
              <w:t>系统名称</w:t>
            </w:r>
          </w:p>
        </w:tc>
        <w:tc>
          <w:tcPr>
            <w:tcW w:w="6600" w:type="dxa"/>
            <w:shd w:val="clear" w:color="auto" w:fill="BEBEBE" w:themeFill="background1" w:themeFillShade="BF"/>
            <w:vAlign w:val="center"/>
          </w:tcPr>
          <w:p w14:paraId="4883837C">
            <w:pPr>
              <w:pStyle w:val="18"/>
              <w:rPr>
                <w:b/>
                <w:color w:val="auto"/>
              </w:rPr>
            </w:pPr>
            <w:r>
              <w:rPr>
                <w:rFonts w:hint="eastAsia"/>
                <w:b/>
                <w:color w:val="auto"/>
              </w:rPr>
              <w:t>移动护理系统</w:t>
            </w:r>
          </w:p>
        </w:tc>
      </w:tr>
      <w:tr w14:paraId="2D57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3AA49DA">
            <w:pPr>
              <w:pStyle w:val="18"/>
              <w:jc w:val="center"/>
              <w:rPr>
                <w:b/>
                <w:bCs/>
                <w:color w:val="auto"/>
              </w:rPr>
            </w:pPr>
            <w:r>
              <w:rPr>
                <w:rFonts w:hint="eastAsia"/>
                <w:b/>
                <w:bCs/>
                <w:color w:val="auto"/>
              </w:rPr>
              <w:t>系统概述</w:t>
            </w:r>
          </w:p>
        </w:tc>
        <w:tc>
          <w:tcPr>
            <w:tcW w:w="6600" w:type="dxa"/>
            <w:vAlign w:val="center"/>
          </w:tcPr>
          <w:p w14:paraId="16E0137A">
            <w:pPr>
              <w:pStyle w:val="18"/>
              <w:rPr>
                <w:color w:val="auto"/>
              </w:rPr>
            </w:pPr>
            <w:r>
              <w:rPr>
                <w:rFonts w:hint="eastAsia"/>
                <w:color w:val="auto"/>
              </w:rPr>
              <w:t>基于医院核心业务系统，满足协同应用、支持医嘱全生命周期的有效管理，满足护理人员随时随地获取病人的病情信息、执行医嘱、记录护理内容、控制输液过程和与相关人员沟通及获取知识的需求，满足管理者随时随地得到管理信息、处理事件、监管状态、安排计划、执行任务的需求。</w:t>
            </w:r>
          </w:p>
        </w:tc>
      </w:tr>
      <w:tr w14:paraId="521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384312A">
            <w:pPr>
              <w:pStyle w:val="18"/>
              <w:jc w:val="center"/>
              <w:rPr>
                <w:b/>
                <w:bCs/>
                <w:color w:val="auto"/>
              </w:rPr>
            </w:pPr>
            <w:r>
              <w:rPr>
                <w:rFonts w:hint="eastAsia"/>
                <w:b/>
                <w:bCs/>
                <w:color w:val="auto"/>
              </w:rPr>
              <w:t>子项名称</w:t>
            </w:r>
          </w:p>
        </w:tc>
        <w:tc>
          <w:tcPr>
            <w:tcW w:w="6600" w:type="dxa"/>
            <w:vAlign w:val="center"/>
          </w:tcPr>
          <w:p w14:paraId="215EEF54">
            <w:pPr>
              <w:pStyle w:val="18"/>
              <w:jc w:val="center"/>
              <w:rPr>
                <w:b/>
                <w:bCs/>
                <w:color w:val="auto"/>
              </w:rPr>
            </w:pPr>
            <w:r>
              <w:rPr>
                <w:rFonts w:hint="eastAsia"/>
                <w:b/>
                <w:bCs/>
                <w:color w:val="auto"/>
              </w:rPr>
              <w:t>技术和功能配置要求</w:t>
            </w:r>
          </w:p>
        </w:tc>
      </w:tr>
      <w:tr w14:paraId="44A0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4F96C98C">
            <w:pPr>
              <w:pStyle w:val="18"/>
              <w:jc w:val="center"/>
              <w:rPr>
                <w:b w:val="0"/>
                <w:color w:val="auto"/>
              </w:rPr>
            </w:pPr>
            <w:r>
              <w:rPr>
                <w:rFonts w:hint="eastAsia"/>
                <w:b w:val="0"/>
                <w:color w:val="auto"/>
              </w:rPr>
              <w:t>权限管理</w:t>
            </w:r>
          </w:p>
        </w:tc>
        <w:tc>
          <w:tcPr>
            <w:tcW w:w="6600" w:type="dxa"/>
            <w:vAlign w:val="center"/>
          </w:tcPr>
          <w:p w14:paraId="66BEE696">
            <w:pPr>
              <w:pStyle w:val="18"/>
              <w:rPr>
                <w:color w:val="auto"/>
              </w:rPr>
            </w:pPr>
            <w:r>
              <w:rPr>
                <w:rFonts w:hint="eastAsia"/>
                <w:color w:val="auto"/>
              </w:rPr>
              <w:t>权限管理主要用于对登录护士权限进行验证和切换。需支持用户登录用户名、密码与HIS系统保持一致；登录后可根据用户权限选择相对应的病区。</w:t>
            </w:r>
          </w:p>
        </w:tc>
      </w:tr>
      <w:tr w14:paraId="17A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B42C69C">
            <w:pPr>
              <w:pStyle w:val="18"/>
              <w:jc w:val="center"/>
              <w:rPr>
                <w:b w:val="0"/>
                <w:color w:val="auto"/>
              </w:rPr>
            </w:pPr>
            <w:r>
              <w:rPr>
                <w:rFonts w:hint="eastAsia"/>
                <w:b w:val="0"/>
                <w:color w:val="auto"/>
              </w:rPr>
              <w:t>条码管理</w:t>
            </w:r>
          </w:p>
        </w:tc>
        <w:tc>
          <w:tcPr>
            <w:tcW w:w="6600" w:type="dxa"/>
            <w:vAlign w:val="center"/>
          </w:tcPr>
          <w:p w14:paraId="7BCA36F8">
            <w:pPr>
              <w:pStyle w:val="18"/>
              <w:rPr>
                <w:color w:val="auto"/>
              </w:rPr>
            </w:pPr>
            <w:r>
              <w:rPr>
                <w:rFonts w:hint="eastAsia"/>
                <w:color w:val="auto"/>
              </w:rPr>
              <w:t>条码管理主要用于护士工牌的二维码管理功能，需支持护士自助打印用于扫描登录系统的二维码工牌。</w:t>
            </w:r>
          </w:p>
        </w:tc>
      </w:tr>
      <w:tr w14:paraId="0E14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3349E7B4">
            <w:pPr>
              <w:pStyle w:val="18"/>
              <w:jc w:val="center"/>
              <w:rPr>
                <w:b w:val="0"/>
                <w:color w:val="auto"/>
              </w:rPr>
            </w:pPr>
            <w:r>
              <w:rPr>
                <w:rFonts w:hint="eastAsia"/>
                <w:b w:val="0"/>
                <w:color w:val="auto"/>
              </w:rPr>
              <w:t>病区患者管理</w:t>
            </w:r>
          </w:p>
        </w:tc>
        <w:tc>
          <w:tcPr>
            <w:tcW w:w="6600" w:type="dxa"/>
            <w:vAlign w:val="center"/>
          </w:tcPr>
          <w:p w14:paraId="354AB52A">
            <w:pPr>
              <w:pStyle w:val="18"/>
              <w:rPr>
                <w:color w:val="auto"/>
              </w:rPr>
            </w:pPr>
            <w:r>
              <w:rPr>
                <w:rFonts w:hint="eastAsia"/>
                <w:color w:val="auto"/>
              </w:rPr>
              <w:t>病区患者管理主要用于对在院患者重要信息展示、患者的查看和筛选，使护士可以直观查看到病区患者情况。系统需支持列表形式查看病区患者；需支持根据责任组来筛选患者；需支持护士根据情况设置自己的关注患者，通过关注患者筛选患者；需支持显示患者的姓名、性别、护理等级、患者状态、年龄、诊断、医保类型；需支持显示患者状态包括：是否新患者、是否是危重患者、是否手术患者、是否过敏患者、是否正在输液、是否欠费；需支持根据患者的基本信息筛选患者；需支持通过扫描患者的腕带，快速选中目标患者。</w:t>
            </w:r>
          </w:p>
        </w:tc>
      </w:tr>
      <w:tr w14:paraId="7FB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51B26B6D">
            <w:pPr>
              <w:pStyle w:val="18"/>
              <w:jc w:val="center"/>
              <w:rPr>
                <w:b w:val="0"/>
                <w:color w:val="auto"/>
              </w:rPr>
            </w:pPr>
            <w:r>
              <w:rPr>
                <w:rFonts w:hint="eastAsia"/>
                <w:b w:val="0"/>
                <w:color w:val="auto"/>
              </w:rPr>
              <w:t>医嘱执行</w:t>
            </w:r>
          </w:p>
        </w:tc>
        <w:tc>
          <w:tcPr>
            <w:tcW w:w="6600" w:type="dxa"/>
            <w:vAlign w:val="center"/>
          </w:tcPr>
          <w:p w14:paraId="44D02238">
            <w:pPr>
              <w:pStyle w:val="18"/>
              <w:rPr>
                <w:color w:val="auto"/>
              </w:rPr>
            </w:pPr>
            <w:r>
              <w:rPr>
                <w:rFonts w:hint="eastAsia"/>
                <w:color w:val="auto"/>
              </w:rPr>
              <w:t>医嘱执行主要用于病区护士对患者可执行医嘱的查看和筛选、定位和执行，且对于高危药品和特殊药品可对护士起到重点提醒作用，提升护理工作安全性。系统需支持提供可执行的长期医嘱，包括输液医嘱、注射医嘱、口服药医嘱、雾化医嘱；需支持提供可执行的临时医嘱，包括输液医嘱、注射医嘱、口服药医嘱、雾化医嘱、检验医嘱；需支持护士通过扫描患者腕带及医嘱执行单条码完成患者身份确认及医嘱执行工作；需支持记录医嘱执行信息，信息包括：医嘱名称、医嘱状态、执行人、执行时间、执行类别；需支持医嘱的执行记录可以选择是否同步到患者的护理记录中；需支持高危药品、特殊药品在扫描执行时进行提醒。</w:t>
            </w:r>
          </w:p>
        </w:tc>
      </w:tr>
      <w:tr w14:paraId="5FE0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605C5F3">
            <w:pPr>
              <w:pStyle w:val="18"/>
              <w:jc w:val="center"/>
              <w:rPr>
                <w:b w:val="0"/>
                <w:color w:val="auto"/>
              </w:rPr>
            </w:pPr>
            <w:r>
              <w:rPr>
                <w:rFonts w:hint="eastAsia"/>
                <w:b w:val="0"/>
                <w:color w:val="auto"/>
              </w:rPr>
              <w:t>皮试管理</w:t>
            </w:r>
          </w:p>
        </w:tc>
        <w:tc>
          <w:tcPr>
            <w:tcW w:w="6600" w:type="dxa"/>
            <w:vAlign w:val="center"/>
          </w:tcPr>
          <w:p w14:paraId="4687B965">
            <w:pPr>
              <w:pStyle w:val="18"/>
              <w:rPr>
                <w:color w:val="auto"/>
              </w:rPr>
            </w:pPr>
            <w:r>
              <w:rPr>
                <w:rFonts w:hint="eastAsia"/>
                <w:color w:val="auto"/>
              </w:rPr>
              <w:t>皮试管理主要用于病区护士对患者皮试医嘱的查看和执行、皮试结果的准确核对和录入，应辅助提醒护士对于皮试结果的及时查看。系统需支持可扫码执行患者的皮试医嘱；需支持执行后可设定皮试的结果查看时间；需支持皮试到时PDA自动提醒；需支持皮试结果双签确认，特殊情况下，复核确认支持由医生代签；需支持皮试结果可回写HIS系统。</w:t>
            </w:r>
          </w:p>
        </w:tc>
      </w:tr>
      <w:tr w14:paraId="4A41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346EFBE2">
            <w:pPr>
              <w:pStyle w:val="18"/>
              <w:jc w:val="center"/>
              <w:rPr>
                <w:b w:val="0"/>
                <w:color w:val="auto"/>
              </w:rPr>
            </w:pPr>
            <w:r>
              <w:rPr>
                <w:rFonts w:hint="eastAsia"/>
                <w:b w:val="0"/>
                <w:color w:val="auto"/>
              </w:rPr>
              <w:t>体征信息录入</w:t>
            </w:r>
          </w:p>
        </w:tc>
        <w:tc>
          <w:tcPr>
            <w:tcW w:w="6600" w:type="dxa"/>
            <w:vAlign w:val="center"/>
          </w:tcPr>
          <w:p w14:paraId="20C1EA2A">
            <w:pPr>
              <w:pStyle w:val="18"/>
              <w:rPr>
                <w:color w:val="auto"/>
              </w:rPr>
            </w:pPr>
            <w:r>
              <w:rPr>
                <w:rFonts w:hint="eastAsia"/>
                <w:color w:val="auto"/>
              </w:rPr>
              <w:t>体征信息录入主要用于病区护士对患者生命体征的床旁采集和录入。系统需支持在患者床边通过PDA录入患者体征数据，包括体温、呼吸、脉搏、血压等体征信息；需支持PDA录入的体征信息可实时同步到患者体温单中，并自动生成相应的体征曲线。支持录入异常体征时，可启动护理计划。</w:t>
            </w:r>
          </w:p>
        </w:tc>
      </w:tr>
      <w:tr w14:paraId="6E30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3E359665">
            <w:pPr>
              <w:pStyle w:val="18"/>
              <w:jc w:val="center"/>
              <w:rPr>
                <w:b w:val="0"/>
                <w:color w:val="auto"/>
              </w:rPr>
            </w:pPr>
            <w:r>
              <w:rPr>
                <w:rFonts w:hint="eastAsia"/>
                <w:b w:val="0"/>
                <w:color w:val="auto"/>
              </w:rPr>
              <w:t>床旁护理记录</w:t>
            </w:r>
          </w:p>
        </w:tc>
        <w:tc>
          <w:tcPr>
            <w:tcW w:w="6600" w:type="dxa"/>
            <w:vAlign w:val="center"/>
          </w:tcPr>
          <w:p w14:paraId="28D77F07">
            <w:pPr>
              <w:pStyle w:val="18"/>
              <w:rPr>
                <w:color w:val="auto"/>
              </w:rPr>
            </w:pPr>
            <w:r>
              <w:rPr>
                <w:rFonts w:hint="eastAsia"/>
                <w:color w:val="auto"/>
              </w:rPr>
              <w:t>床旁护理记录主要用于病区护士在床旁对患者实际病情情况进行及时记载，减少回溯性操作，使护理记录信息更加及时和准确。系统需支持护士使用PDA在床旁进行护理记录录入，录入的信息实时同步至患者一般护理记录单或危重患者护理记录单。需支持床旁创建表单。需支持随时查看护理记录内容。</w:t>
            </w:r>
          </w:p>
        </w:tc>
      </w:tr>
      <w:tr w14:paraId="0D41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872FB18">
            <w:pPr>
              <w:pStyle w:val="18"/>
              <w:jc w:val="center"/>
              <w:rPr>
                <w:b w:val="0"/>
                <w:color w:val="auto"/>
              </w:rPr>
            </w:pPr>
            <w:r>
              <w:rPr>
                <w:rFonts w:hint="eastAsia"/>
                <w:b w:val="0"/>
                <w:color w:val="auto"/>
              </w:rPr>
              <w:t>病区配药管理</w:t>
            </w:r>
          </w:p>
        </w:tc>
        <w:tc>
          <w:tcPr>
            <w:tcW w:w="6600" w:type="dxa"/>
            <w:vAlign w:val="center"/>
          </w:tcPr>
          <w:p w14:paraId="1E17AC80">
            <w:pPr>
              <w:pStyle w:val="18"/>
              <w:rPr>
                <w:color w:val="auto"/>
              </w:rPr>
            </w:pPr>
            <w:r>
              <w:rPr>
                <w:rFonts w:hint="eastAsia"/>
                <w:color w:val="auto"/>
              </w:rPr>
              <w:t>病区配药管理主要用于病区护士对治疗室药品进行摆药、核对、配置、配置核的操作。系统需支持在病区治疗室配药操作的核对和记录；操作包括摆药、核对、配置、配置核对。记录信息包括药品信息、操作时间、操作人。需支持通过报表查询药品配置全流程信息。</w:t>
            </w:r>
          </w:p>
        </w:tc>
      </w:tr>
      <w:tr w14:paraId="5CBA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1825D31">
            <w:pPr>
              <w:pStyle w:val="18"/>
              <w:jc w:val="center"/>
              <w:rPr>
                <w:b w:val="0"/>
                <w:color w:val="auto"/>
              </w:rPr>
            </w:pPr>
            <w:r>
              <w:rPr>
                <w:rFonts w:hint="eastAsia"/>
                <w:b w:val="0"/>
                <w:color w:val="auto"/>
              </w:rPr>
              <w:t>巡回管理</w:t>
            </w:r>
          </w:p>
        </w:tc>
        <w:tc>
          <w:tcPr>
            <w:tcW w:w="6600" w:type="dxa"/>
            <w:vAlign w:val="center"/>
          </w:tcPr>
          <w:p w14:paraId="213DD900">
            <w:pPr>
              <w:pStyle w:val="18"/>
              <w:rPr>
                <w:color w:val="auto"/>
              </w:rPr>
            </w:pPr>
            <w:r>
              <w:rPr>
                <w:rFonts w:hint="eastAsia"/>
                <w:color w:val="auto"/>
              </w:rPr>
              <w:t>巡回管理主要用于病区护士对患者常规巡回和输液巡回的及时记录。系统需支持记录常规护理巡回和输液巡回过程；需支持常规护理巡视时，记录巡视时间、巡视人、巡视病区、巡视患者、患者护理级别、巡视患者状态。需支持输液患者巡视时，记录输液药品的输液通畅情况、输液滴速及单位、输液剩余量信息、巡视时间、巡视人、巡视患者；需提供巡回记录报表。</w:t>
            </w:r>
          </w:p>
        </w:tc>
      </w:tr>
      <w:tr w14:paraId="1A2C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C65B2BA">
            <w:pPr>
              <w:pStyle w:val="18"/>
              <w:jc w:val="center"/>
              <w:rPr>
                <w:b w:val="0"/>
                <w:color w:val="auto"/>
              </w:rPr>
            </w:pPr>
            <w:r>
              <w:rPr>
                <w:rFonts w:hint="eastAsia"/>
                <w:b w:val="0"/>
                <w:color w:val="auto"/>
              </w:rPr>
              <w:t>用血管理</w:t>
            </w:r>
          </w:p>
        </w:tc>
        <w:tc>
          <w:tcPr>
            <w:tcW w:w="6600" w:type="dxa"/>
            <w:vAlign w:val="center"/>
          </w:tcPr>
          <w:p w14:paraId="648695C2">
            <w:pPr>
              <w:pStyle w:val="18"/>
              <w:rPr>
                <w:color w:val="auto"/>
              </w:rPr>
            </w:pPr>
            <w:r>
              <w:rPr>
                <w:rFonts w:hint="eastAsia"/>
                <w:color w:val="auto"/>
              </w:rPr>
              <w:t>用血管理主要用于病区护士从血袋签收到输血到血袋回收的全过程记录。系统需支持护士通过使用PDA扫描血袋条码记录血袋病区签收记录信息；需支持输血执行时，通过核对（ABO血型核对、RH血型核对、有效时间核对等），保证输血过程的安全和可靠；需支持输血结束后进行血袋回收操作。需支持用血过程信息可实时同步至患者普通护理记录单或危重患者护理记录单。</w:t>
            </w:r>
          </w:p>
        </w:tc>
      </w:tr>
      <w:tr w14:paraId="272C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BECF5B7">
            <w:pPr>
              <w:pStyle w:val="18"/>
              <w:jc w:val="center"/>
              <w:rPr>
                <w:b w:val="0"/>
                <w:color w:val="auto"/>
              </w:rPr>
            </w:pPr>
            <w:r>
              <w:rPr>
                <w:rFonts w:hint="eastAsia"/>
                <w:b w:val="0"/>
                <w:color w:val="auto"/>
              </w:rPr>
              <w:t>手术患者交接管理</w:t>
            </w:r>
          </w:p>
        </w:tc>
        <w:tc>
          <w:tcPr>
            <w:tcW w:w="6600" w:type="dxa"/>
            <w:vAlign w:val="center"/>
          </w:tcPr>
          <w:p w14:paraId="3C9B26CD">
            <w:pPr>
              <w:pStyle w:val="18"/>
              <w:rPr>
                <w:color w:val="auto"/>
              </w:rPr>
            </w:pPr>
            <w:r>
              <w:rPr>
                <w:rFonts w:hint="eastAsia"/>
                <w:color w:val="auto"/>
              </w:rPr>
              <w:t>手术患者交接管理主要用于病区（包括ICU）护士、手术室护士、麻苏室护士对患者进行流转的全过程记录。系统需支持对手术患者流转过程的管理；需支持手术患者流转过程中，患者每次交接均通过PDA完成患者身份核对及交接人、交接时间的记录；患者交接过程包含患者进出病区、手术室、复苏室、ICU的交接操作。</w:t>
            </w:r>
          </w:p>
        </w:tc>
      </w:tr>
      <w:tr w14:paraId="1B5E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C3591B5">
            <w:pPr>
              <w:pStyle w:val="18"/>
              <w:jc w:val="center"/>
              <w:rPr>
                <w:b w:val="0"/>
                <w:color w:val="auto"/>
              </w:rPr>
            </w:pPr>
            <w:r>
              <w:rPr>
                <w:rFonts w:hint="eastAsia"/>
                <w:b w:val="0"/>
                <w:color w:val="auto"/>
              </w:rPr>
              <w:t>待办任务管理</w:t>
            </w:r>
          </w:p>
        </w:tc>
        <w:tc>
          <w:tcPr>
            <w:tcW w:w="6600" w:type="dxa"/>
            <w:vAlign w:val="center"/>
          </w:tcPr>
          <w:p w14:paraId="5E23B833">
            <w:pPr>
              <w:pStyle w:val="18"/>
              <w:rPr>
                <w:color w:val="auto"/>
              </w:rPr>
            </w:pPr>
            <w:r>
              <w:rPr>
                <w:rFonts w:hint="eastAsia"/>
                <w:color w:val="auto"/>
              </w:rPr>
              <w:t>待办任务管理主要用于提醒责任护士当日关注患者的待处理事务清单。系统需支持显示护士关注患者的待办任务清单，包括：新医嘱提醒、待诊断提醒、尚未确认结果的皮试、尚未完成的输血，手术流转中的患者等。需支持通过待办任务列表直达任务执行界面执行任务。</w:t>
            </w:r>
          </w:p>
        </w:tc>
      </w:tr>
      <w:tr w14:paraId="4EB4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FE18645">
            <w:pPr>
              <w:pStyle w:val="18"/>
              <w:jc w:val="center"/>
              <w:rPr>
                <w:b w:val="0"/>
                <w:color w:val="auto"/>
              </w:rPr>
            </w:pPr>
            <w:r>
              <w:rPr>
                <w:rFonts w:hint="eastAsia"/>
                <w:b w:val="0"/>
                <w:color w:val="auto"/>
              </w:rPr>
              <w:t>医嘱查询</w:t>
            </w:r>
          </w:p>
        </w:tc>
        <w:tc>
          <w:tcPr>
            <w:tcW w:w="6600" w:type="dxa"/>
            <w:vAlign w:val="center"/>
          </w:tcPr>
          <w:p w14:paraId="59E8B000">
            <w:pPr>
              <w:pStyle w:val="18"/>
              <w:rPr>
                <w:color w:val="auto"/>
              </w:rPr>
            </w:pPr>
            <w:r>
              <w:rPr>
                <w:rFonts w:hint="eastAsia"/>
                <w:color w:val="auto"/>
              </w:rPr>
              <w:t>医嘱查询主要用于病区护士对在院患者全部医嘱的查看和过滤。系统需支持在院期间全部医嘱的浏览和查看；需支持按照医嘱类别过滤查看分类医嘱数据；需支持按照条件过滤相关医嘱数据；需支持能够醒目</w:t>
            </w:r>
            <w:r>
              <w:rPr>
                <w:color w:val="auto"/>
              </w:rPr>
              <w:t>地</w:t>
            </w:r>
            <w:r>
              <w:rPr>
                <w:rFonts w:hint="eastAsia"/>
                <w:color w:val="auto"/>
              </w:rPr>
              <w:t>区别</w:t>
            </w:r>
            <w:r>
              <w:rPr>
                <w:color w:val="auto"/>
              </w:rPr>
              <w:t>临时医嘱和长期医嘱；</w:t>
            </w:r>
            <w:r>
              <w:rPr>
                <w:rFonts w:hint="eastAsia"/>
                <w:color w:val="auto"/>
              </w:rPr>
              <w:t>需支持通过</w:t>
            </w:r>
            <w:r>
              <w:rPr>
                <w:color w:val="auto"/>
              </w:rPr>
              <w:t>颜色区分</w:t>
            </w:r>
            <w:r>
              <w:rPr>
                <w:rFonts w:hint="eastAsia"/>
                <w:color w:val="auto"/>
              </w:rPr>
              <w:t>医嘱</w:t>
            </w:r>
            <w:r>
              <w:rPr>
                <w:color w:val="auto"/>
              </w:rPr>
              <w:t>状态。</w:t>
            </w:r>
          </w:p>
        </w:tc>
      </w:tr>
      <w:tr w14:paraId="14D2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925E97B">
            <w:pPr>
              <w:pStyle w:val="18"/>
              <w:jc w:val="center"/>
              <w:rPr>
                <w:b w:val="0"/>
                <w:color w:val="auto"/>
              </w:rPr>
            </w:pPr>
            <w:r>
              <w:rPr>
                <w:rFonts w:hint="eastAsia"/>
                <w:b w:val="0"/>
                <w:color w:val="auto"/>
              </w:rPr>
              <w:t>患者信息查询</w:t>
            </w:r>
          </w:p>
        </w:tc>
        <w:tc>
          <w:tcPr>
            <w:tcW w:w="6600" w:type="dxa"/>
            <w:vAlign w:val="center"/>
          </w:tcPr>
          <w:p w14:paraId="0E7AB734">
            <w:pPr>
              <w:pStyle w:val="18"/>
              <w:rPr>
                <w:color w:val="auto"/>
              </w:rPr>
            </w:pPr>
            <w:r>
              <w:rPr>
                <w:rFonts w:hint="eastAsia"/>
                <w:color w:val="auto"/>
              </w:rPr>
              <w:t>患者信息查询主要用于病区护士对患者更加详尽的信息的查阅。系统需支持查询患者信息，包含姓名、性别、年龄、入院日期、过敏药物等信息；需支持查询费用信息、及时对未付清费用，或超过警戒线患者费用进行警示。</w:t>
            </w:r>
          </w:p>
        </w:tc>
      </w:tr>
      <w:tr w14:paraId="267F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D45165A">
            <w:pPr>
              <w:pStyle w:val="18"/>
              <w:jc w:val="center"/>
              <w:rPr>
                <w:b w:val="0"/>
                <w:color w:val="auto"/>
              </w:rPr>
            </w:pPr>
            <w:r>
              <w:rPr>
                <w:rFonts w:hint="eastAsia"/>
                <w:b w:val="0"/>
                <w:color w:val="auto"/>
              </w:rPr>
              <w:t>检验结果查询</w:t>
            </w:r>
          </w:p>
        </w:tc>
        <w:tc>
          <w:tcPr>
            <w:tcW w:w="6600" w:type="dxa"/>
            <w:vAlign w:val="center"/>
          </w:tcPr>
          <w:p w14:paraId="5E776C36">
            <w:pPr>
              <w:pStyle w:val="18"/>
              <w:rPr>
                <w:color w:val="auto"/>
              </w:rPr>
            </w:pPr>
            <w:r>
              <w:rPr>
                <w:rFonts w:hint="eastAsia"/>
                <w:color w:val="auto"/>
              </w:rPr>
              <w:t>检验结果查询主要用于病区护士对患者检验结果进行查看。系统需支持查询患者最新及历史检验结果；需支持可按照时间段过滤患者所作的检验信息；需支持显示患者各项检验的异常项目数量；需支持超出参考值范围项目可通过特殊标识列出。</w:t>
            </w:r>
          </w:p>
        </w:tc>
      </w:tr>
      <w:tr w14:paraId="2239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913A6C2">
            <w:pPr>
              <w:pStyle w:val="18"/>
              <w:jc w:val="center"/>
              <w:rPr>
                <w:b w:val="0"/>
                <w:color w:val="auto"/>
              </w:rPr>
            </w:pPr>
            <w:r>
              <w:rPr>
                <w:rFonts w:hint="eastAsia"/>
                <w:b w:val="0"/>
                <w:color w:val="auto"/>
              </w:rPr>
              <w:t>标本交接</w:t>
            </w:r>
          </w:p>
        </w:tc>
        <w:tc>
          <w:tcPr>
            <w:tcW w:w="6600" w:type="dxa"/>
            <w:vAlign w:val="center"/>
          </w:tcPr>
          <w:p w14:paraId="01F1543F">
            <w:pPr>
              <w:pStyle w:val="18"/>
              <w:rPr>
                <w:color w:val="auto"/>
              </w:rPr>
            </w:pPr>
            <w:r>
              <w:rPr>
                <w:rFonts w:hint="eastAsia"/>
                <w:color w:val="auto"/>
              </w:rPr>
              <w:t>标本交接主要用于病区护士对患者血液标本、尿便痰标本的交接。系统需支持记录交接人和交接时间。</w:t>
            </w:r>
          </w:p>
        </w:tc>
      </w:tr>
      <w:tr w14:paraId="4B7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16E62184">
            <w:pPr>
              <w:pStyle w:val="18"/>
              <w:jc w:val="center"/>
              <w:rPr>
                <w:b w:val="0"/>
                <w:color w:val="auto"/>
              </w:rPr>
            </w:pPr>
            <w:r>
              <w:rPr>
                <w:rFonts w:hint="eastAsia"/>
                <w:b w:val="0"/>
                <w:color w:val="auto"/>
              </w:rPr>
              <w:t>关注患者设置</w:t>
            </w:r>
          </w:p>
        </w:tc>
        <w:tc>
          <w:tcPr>
            <w:tcW w:w="6600" w:type="dxa"/>
            <w:vAlign w:val="center"/>
          </w:tcPr>
          <w:p w14:paraId="15A08E3C">
            <w:pPr>
              <w:pStyle w:val="18"/>
              <w:rPr>
                <w:color w:val="auto"/>
              </w:rPr>
            </w:pPr>
            <w:r>
              <w:rPr>
                <w:rFonts w:hint="eastAsia"/>
                <w:color w:val="auto"/>
              </w:rPr>
              <w:t>关注患者设置主要用于病区责护主动选择当日负责照顾的患者。系统需支持护士可自定义自己的关注患者名单。</w:t>
            </w:r>
          </w:p>
        </w:tc>
      </w:tr>
      <w:tr w14:paraId="765F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3D8AF6D">
            <w:pPr>
              <w:pStyle w:val="18"/>
              <w:jc w:val="center"/>
              <w:rPr>
                <w:b w:val="0"/>
                <w:color w:val="auto"/>
              </w:rPr>
            </w:pPr>
            <w:r>
              <w:rPr>
                <w:rFonts w:hint="eastAsia"/>
                <w:b w:val="0"/>
                <w:color w:val="auto"/>
              </w:rPr>
              <w:t>静配药品核收</w:t>
            </w:r>
          </w:p>
        </w:tc>
        <w:tc>
          <w:tcPr>
            <w:tcW w:w="6600" w:type="dxa"/>
            <w:vAlign w:val="center"/>
          </w:tcPr>
          <w:p w14:paraId="4ACEB0C1">
            <w:pPr>
              <w:pStyle w:val="18"/>
              <w:rPr>
                <w:color w:val="auto"/>
              </w:rPr>
            </w:pPr>
            <w:r>
              <w:rPr>
                <w:rFonts w:hint="eastAsia"/>
                <w:color w:val="auto"/>
              </w:rPr>
              <w:t>静配药品核收主要用于病区护士对静配中心配送药品进行核对和签收。系统需支持对这部分药品做信息核对、签收及记录。</w:t>
            </w:r>
          </w:p>
        </w:tc>
      </w:tr>
      <w:tr w14:paraId="4D18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505E489D">
            <w:pPr>
              <w:pStyle w:val="18"/>
              <w:jc w:val="center"/>
              <w:rPr>
                <w:b w:val="0"/>
                <w:color w:val="auto"/>
              </w:rPr>
            </w:pPr>
            <w:r>
              <w:rPr>
                <w:rFonts w:hint="eastAsia"/>
                <w:b w:val="0"/>
                <w:color w:val="auto"/>
              </w:rPr>
              <w:t>体征待测</w:t>
            </w:r>
          </w:p>
        </w:tc>
        <w:tc>
          <w:tcPr>
            <w:tcW w:w="6600" w:type="dxa"/>
            <w:vAlign w:val="center"/>
          </w:tcPr>
          <w:p w14:paraId="4C149802">
            <w:pPr>
              <w:pStyle w:val="18"/>
              <w:rPr>
                <w:color w:val="auto"/>
              </w:rPr>
            </w:pPr>
            <w:r>
              <w:rPr>
                <w:rFonts w:hint="eastAsia"/>
                <w:color w:val="auto"/>
              </w:rPr>
              <w:t>体征待测主要用于病区护士对在院患者体征待测任务进行查看并执行。系统需支持查看体征待测患者列表；需支持选择相应的体征类型和患者，进行连续的体征录入操作，且结果可同步到体温单</w:t>
            </w:r>
          </w:p>
        </w:tc>
      </w:tr>
      <w:tr w14:paraId="4714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3DB0F2AA">
            <w:pPr>
              <w:pStyle w:val="18"/>
              <w:jc w:val="center"/>
              <w:rPr>
                <w:b w:val="0"/>
                <w:color w:val="auto"/>
              </w:rPr>
            </w:pPr>
            <w:r>
              <w:rPr>
                <w:rFonts w:hint="eastAsia"/>
                <w:b w:val="0"/>
                <w:color w:val="auto"/>
              </w:rPr>
              <w:t>离线管理</w:t>
            </w:r>
          </w:p>
        </w:tc>
        <w:tc>
          <w:tcPr>
            <w:tcW w:w="6600" w:type="dxa"/>
            <w:vAlign w:val="center"/>
          </w:tcPr>
          <w:p w14:paraId="485A30EF">
            <w:pPr>
              <w:pStyle w:val="18"/>
              <w:rPr>
                <w:color w:val="auto"/>
              </w:rPr>
            </w:pPr>
            <w:r>
              <w:rPr>
                <w:rFonts w:hint="eastAsia"/>
                <w:color w:val="auto"/>
              </w:rPr>
              <w:t>离线管理主要用于病区护士在网络状态差的情况下，仍可完成床旁生命体征采集、护理评估或护理记录的工作，做到真正的实时采集。系统需支持离线状态时可对生命体征数据、评估数据和护理记录数据进行保存。需支持待网络恢复后可手动再次提交。</w:t>
            </w:r>
          </w:p>
        </w:tc>
      </w:tr>
      <w:tr w14:paraId="783A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69D3F77A">
            <w:pPr>
              <w:pStyle w:val="18"/>
              <w:jc w:val="center"/>
              <w:rPr>
                <w:b w:val="0"/>
                <w:color w:val="auto"/>
              </w:rPr>
            </w:pPr>
            <w:r>
              <w:rPr>
                <w:rFonts w:hint="eastAsia"/>
                <w:b w:val="0"/>
                <w:color w:val="auto"/>
              </w:rPr>
              <w:t>检查结果查询</w:t>
            </w:r>
          </w:p>
        </w:tc>
        <w:tc>
          <w:tcPr>
            <w:tcW w:w="6600" w:type="dxa"/>
            <w:vAlign w:val="center"/>
          </w:tcPr>
          <w:p w14:paraId="03CA0553">
            <w:pPr>
              <w:pStyle w:val="18"/>
              <w:rPr>
                <w:color w:val="auto"/>
              </w:rPr>
            </w:pPr>
            <w:r>
              <w:rPr>
                <w:rFonts w:hint="eastAsia"/>
                <w:color w:val="auto"/>
              </w:rPr>
              <w:t>检查结果查询主要用于病区护士对患者检查结果进行查看。系统需支持查询患者最新及历史检查的文字报告；应包括检查所见、检查结果、诊断结果信息。</w:t>
            </w:r>
          </w:p>
        </w:tc>
      </w:tr>
    </w:tbl>
    <w:p w14:paraId="099F2C77">
      <w:pPr>
        <w:pStyle w:val="4"/>
        <w:numPr>
          <w:ilvl w:val="1"/>
          <w:numId w:val="0"/>
        </w:numPr>
        <w:ind w:left="576" w:leftChars="0" w:hanging="576" w:firstLineChars="0"/>
        <w:rPr>
          <w:color w:val="auto"/>
        </w:rPr>
      </w:pPr>
      <w:bookmarkStart w:id="145" w:name="_Toc208646535"/>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.13</w:t>
      </w:r>
      <w:r>
        <w:rPr>
          <w:rFonts w:hint="eastAsia"/>
          <w:color w:val="auto"/>
        </w:rPr>
        <w:t>智慧护理大屏信息系统</w:t>
      </w:r>
      <w:bookmarkEnd w:id="145"/>
    </w:p>
    <w:tbl>
      <w:tblPr>
        <w:tblStyle w:val="96"/>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093"/>
      </w:tblGrid>
      <w:tr w14:paraId="5CE8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shd w:val="clear" w:color="auto" w:fill="BEBEBE" w:themeFill="background1" w:themeFillShade="BF"/>
            <w:vAlign w:val="center"/>
          </w:tcPr>
          <w:p w14:paraId="3A798229">
            <w:pPr>
              <w:pStyle w:val="18"/>
              <w:jc w:val="center"/>
              <w:rPr>
                <w:b w:val="0"/>
                <w:color w:val="auto"/>
              </w:rPr>
            </w:pPr>
            <w:r>
              <w:rPr>
                <w:rFonts w:hint="eastAsia"/>
                <w:b/>
                <w:color w:val="auto"/>
              </w:rPr>
              <w:t>系统名称</w:t>
            </w:r>
          </w:p>
        </w:tc>
        <w:tc>
          <w:tcPr>
            <w:tcW w:w="6535" w:type="dxa"/>
            <w:shd w:val="clear" w:color="auto" w:fill="BEBEBE" w:themeFill="background1" w:themeFillShade="BF"/>
            <w:vAlign w:val="center"/>
          </w:tcPr>
          <w:p w14:paraId="628329D2">
            <w:pPr>
              <w:pStyle w:val="18"/>
              <w:rPr>
                <w:b/>
                <w:color w:val="auto"/>
              </w:rPr>
            </w:pPr>
            <w:r>
              <w:rPr>
                <w:rFonts w:hint="eastAsia"/>
                <w:b/>
                <w:color w:val="auto"/>
              </w:rPr>
              <w:t>智慧护理大屏信息系统</w:t>
            </w:r>
          </w:p>
        </w:tc>
      </w:tr>
      <w:tr w14:paraId="47C1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5746943D">
            <w:pPr>
              <w:pStyle w:val="18"/>
              <w:jc w:val="center"/>
              <w:rPr>
                <w:b/>
                <w:bCs/>
                <w:color w:val="auto"/>
              </w:rPr>
            </w:pPr>
            <w:r>
              <w:rPr>
                <w:rFonts w:hint="eastAsia"/>
                <w:b/>
                <w:bCs/>
                <w:color w:val="auto"/>
              </w:rPr>
              <w:t>系统概述</w:t>
            </w:r>
          </w:p>
        </w:tc>
        <w:tc>
          <w:tcPr>
            <w:tcW w:w="6535" w:type="dxa"/>
            <w:vAlign w:val="center"/>
          </w:tcPr>
          <w:p w14:paraId="49B1DEEC">
            <w:pPr>
              <w:pStyle w:val="18"/>
              <w:rPr>
                <w:color w:val="auto"/>
              </w:rPr>
            </w:pPr>
            <w:r>
              <w:rPr>
                <w:color w:val="auto"/>
              </w:rPr>
              <w:t>以护士站为核心的智能交互平台，通过整合医疗数据和物联设备，实现病区信息可视化与流程数字化</w:t>
            </w:r>
            <w:r>
              <w:rPr>
                <w:rFonts w:hint="eastAsia"/>
                <w:color w:val="auto"/>
              </w:rPr>
              <w:t>，</w:t>
            </w:r>
            <w:r>
              <w:rPr>
                <w:color w:val="auto"/>
              </w:rPr>
              <w:t>集成患者监护、护理管理与医患交互功能，替代传统</w:t>
            </w:r>
            <w:r>
              <w:rPr>
                <w:rFonts w:hint="eastAsia"/>
                <w:color w:val="auto"/>
              </w:rPr>
              <w:t>护理</w:t>
            </w:r>
            <w:r>
              <w:rPr>
                <w:color w:val="auto"/>
              </w:rPr>
              <w:t>白板与手工记录‌</w:t>
            </w:r>
            <w:r>
              <w:rPr>
                <w:rFonts w:hint="eastAsia"/>
                <w:color w:val="auto"/>
              </w:rPr>
              <w:t>，</w:t>
            </w:r>
            <w:r>
              <w:rPr>
                <w:color w:val="auto"/>
              </w:rPr>
              <w:t>动态显示患者护理级别、高危预警、医嘱执行进度，自动推送待办任务</w:t>
            </w:r>
            <w:r>
              <w:rPr>
                <w:rFonts w:hint="eastAsia"/>
                <w:color w:val="auto"/>
              </w:rPr>
              <w:t>，</w:t>
            </w:r>
            <w:r>
              <w:rPr>
                <w:color w:val="auto"/>
              </w:rPr>
              <w:t>减少手写错误并</w:t>
            </w:r>
            <w:r>
              <w:rPr>
                <w:rFonts w:hint="eastAsia"/>
                <w:color w:val="auto"/>
              </w:rPr>
              <w:t>提升工作效率。系统需能适配市场主流硬件。</w:t>
            </w:r>
          </w:p>
        </w:tc>
      </w:tr>
      <w:tr w14:paraId="0E06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2CB88AB">
            <w:pPr>
              <w:pStyle w:val="18"/>
              <w:jc w:val="center"/>
              <w:rPr>
                <w:rFonts w:hAnsi="宋体" w:cs="宋体"/>
                <w:b/>
                <w:bCs/>
                <w:color w:val="auto"/>
              </w:rPr>
            </w:pPr>
            <w:r>
              <w:rPr>
                <w:rFonts w:hint="eastAsia"/>
                <w:b/>
                <w:bCs/>
                <w:color w:val="auto"/>
              </w:rPr>
              <w:t>子项名称</w:t>
            </w:r>
          </w:p>
        </w:tc>
        <w:tc>
          <w:tcPr>
            <w:tcW w:w="6535" w:type="dxa"/>
            <w:vAlign w:val="center"/>
          </w:tcPr>
          <w:p w14:paraId="0546F3DF">
            <w:pPr>
              <w:pStyle w:val="18"/>
              <w:jc w:val="center"/>
              <w:rPr>
                <w:rFonts w:hAnsi="宋体" w:cs="宋体"/>
                <w:b/>
                <w:bCs/>
                <w:color w:val="auto"/>
              </w:rPr>
            </w:pPr>
            <w:r>
              <w:rPr>
                <w:rFonts w:hint="eastAsia"/>
                <w:b/>
                <w:bCs/>
                <w:color w:val="auto"/>
              </w:rPr>
              <w:t>技术和功能配置要求</w:t>
            </w:r>
          </w:p>
        </w:tc>
      </w:tr>
      <w:tr w14:paraId="749E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79B30A2">
            <w:pPr>
              <w:pStyle w:val="18"/>
              <w:jc w:val="center"/>
              <w:rPr>
                <w:rFonts w:ascii="宋体" w:hAnsi="宋体" w:cs="宋体"/>
                <w:b w:val="0"/>
                <w:color w:val="auto"/>
              </w:rPr>
            </w:pPr>
            <w:r>
              <w:rPr>
                <w:rFonts w:hint="eastAsia" w:ascii="宋体" w:hAnsi="宋体" w:cs="宋体"/>
                <w:b w:val="0"/>
                <w:color w:val="auto"/>
              </w:rPr>
              <w:t>病区概览</w:t>
            </w:r>
          </w:p>
        </w:tc>
        <w:tc>
          <w:tcPr>
            <w:tcW w:w="6535" w:type="dxa"/>
            <w:vAlign w:val="center"/>
          </w:tcPr>
          <w:p w14:paraId="07A589A7">
            <w:pPr>
              <w:pStyle w:val="18"/>
              <w:rPr>
                <w:rFonts w:ascii="宋体" w:hAnsi="宋体" w:cs="宋体"/>
                <w:color w:val="auto"/>
              </w:rPr>
            </w:pPr>
            <w:r>
              <w:rPr>
                <w:rFonts w:hint="eastAsia" w:ascii="宋体" w:hAnsi="宋体" w:cs="宋体"/>
                <w:color w:val="auto"/>
              </w:rPr>
              <w:t>智能统计并展示，快速了解病区情况，包括病区动态（今日入院、今日出院、病重、病危、今日转入、今日转出以及欠费信息），护理级别，护理信息，调床信息，手术安排，检查安排，护理备注、重要通知等信息。</w:t>
            </w:r>
          </w:p>
        </w:tc>
      </w:tr>
      <w:tr w14:paraId="134A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DD9F31F">
            <w:pPr>
              <w:pStyle w:val="18"/>
              <w:jc w:val="center"/>
              <w:rPr>
                <w:rFonts w:ascii="宋体" w:hAnsi="宋体" w:cs="宋体"/>
                <w:b w:val="0"/>
                <w:color w:val="auto"/>
              </w:rPr>
            </w:pPr>
            <w:r>
              <w:rPr>
                <w:rFonts w:hint="eastAsia" w:ascii="宋体" w:hAnsi="宋体" w:cs="宋体"/>
                <w:b w:val="0"/>
                <w:color w:val="auto"/>
              </w:rPr>
              <w:t>床位一览</w:t>
            </w:r>
          </w:p>
        </w:tc>
        <w:tc>
          <w:tcPr>
            <w:tcW w:w="6535" w:type="dxa"/>
            <w:vAlign w:val="center"/>
          </w:tcPr>
          <w:p w14:paraId="2D50E413">
            <w:pPr>
              <w:pStyle w:val="18"/>
              <w:rPr>
                <w:rFonts w:ascii="宋体" w:hAnsi="宋体" w:cs="宋体"/>
                <w:color w:val="auto"/>
              </w:rPr>
            </w:pPr>
            <w:r>
              <w:rPr>
                <w:rFonts w:hint="eastAsia" w:ascii="宋体" w:hAnsi="宋体" w:cs="宋体"/>
                <w:color w:val="auto"/>
              </w:rPr>
              <w:t>支持生成床位一览表，查看科室所有患者的信息，以及床位信息，床位一览功能以卡片形式展示病区患者床号、姓名、性别、住院号、护理等级、医保类型、主管医生、责任护士、入院日期等信息。</w:t>
            </w:r>
          </w:p>
        </w:tc>
      </w:tr>
      <w:tr w14:paraId="3DD7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29EF9D6D">
            <w:pPr>
              <w:pStyle w:val="18"/>
              <w:jc w:val="center"/>
              <w:rPr>
                <w:rFonts w:ascii="宋体" w:hAnsi="宋体" w:cs="宋体"/>
                <w:b w:val="0"/>
                <w:color w:val="auto"/>
              </w:rPr>
            </w:pPr>
            <w:bookmarkStart w:id="146" w:name="_Toc134635056"/>
            <w:r>
              <w:rPr>
                <w:rFonts w:hint="eastAsia" w:ascii="宋体" w:hAnsi="宋体" w:cs="宋体"/>
                <w:b w:val="0"/>
                <w:color w:val="auto"/>
              </w:rPr>
              <w:t>患者详情</w:t>
            </w:r>
            <w:bookmarkEnd w:id="146"/>
          </w:p>
        </w:tc>
        <w:tc>
          <w:tcPr>
            <w:tcW w:w="6535" w:type="dxa"/>
            <w:vAlign w:val="center"/>
          </w:tcPr>
          <w:p w14:paraId="6877251A">
            <w:pPr>
              <w:pStyle w:val="18"/>
              <w:rPr>
                <w:rFonts w:ascii="宋体" w:hAnsi="宋体" w:cs="宋体"/>
                <w:color w:val="auto"/>
              </w:rPr>
            </w:pPr>
            <w:r>
              <w:rPr>
                <w:rFonts w:hint="eastAsia" w:ascii="宋体" w:hAnsi="宋体" w:cs="宋体"/>
                <w:color w:val="auto"/>
              </w:rPr>
              <w:t>查看该患者基本信息,花费信息以及医嘱信息等。</w:t>
            </w:r>
          </w:p>
        </w:tc>
      </w:tr>
      <w:tr w14:paraId="7945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8B3D506">
            <w:pPr>
              <w:pStyle w:val="18"/>
              <w:jc w:val="center"/>
              <w:rPr>
                <w:rFonts w:ascii="宋体" w:hAnsi="宋体" w:cs="宋体"/>
                <w:b w:val="0"/>
                <w:color w:val="auto"/>
              </w:rPr>
            </w:pPr>
            <w:bookmarkStart w:id="147" w:name="_Toc134635057"/>
            <w:r>
              <w:rPr>
                <w:rFonts w:hint="eastAsia" w:ascii="宋体" w:hAnsi="宋体" w:cs="宋体"/>
                <w:b w:val="0"/>
                <w:color w:val="auto"/>
              </w:rPr>
              <w:t>护士排班</w:t>
            </w:r>
            <w:bookmarkEnd w:id="147"/>
          </w:p>
        </w:tc>
        <w:tc>
          <w:tcPr>
            <w:tcW w:w="6535" w:type="dxa"/>
            <w:vAlign w:val="center"/>
          </w:tcPr>
          <w:p w14:paraId="76000179">
            <w:pPr>
              <w:pStyle w:val="18"/>
              <w:rPr>
                <w:rFonts w:ascii="宋体" w:hAnsi="宋体" w:cs="宋体"/>
                <w:color w:val="auto"/>
              </w:rPr>
            </w:pPr>
            <w:r>
              <w:rPr>
                <w:rFonts w:hint="eastAsia" w:ascii="宋体" w:hAnsi="宋体" w:cs="宋体"/>
                <w:color w:val="auto"/>
              </w:rPr>
              <w:t>支持对接系统，展示护士排班信息。</w:t>
            </w:r>
          </w:p>
        </w:tc>
      </w:tr>
      <w:tr w14:paraId="269F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63E06E7">
            <w:pPr>
              <w:pStyle w:val="18"/>
              <w:jc w:val="center"/>
              <w:rPr>
                <w:rFonts w:ascii="宋体" w:hAnsi="宋体" w:cs="宋体"/>
                <w:b w:val="0"/>
                <w:color w:val="auto"/>
              </w:rPr>
            </w:pPr>
            <w:bookmarkStart w:id="148" w:name="_Toc134635058"/>
            <w:r>
              <w:rPr>
                <w:rFonts w:hint="eastAsia" w:ascii="宋体" w:hAnsi="宋体" w:cs="宋体"/>
                <w:b w:val="0"/>
                <w:color w:val="auto"/>
              </w:rPr>
              <w:t>教育学习</w:t>
            </w:r>
            <w:bookmarkEnd w:id="148"/>
          </w:p>
        </w:tc>
        <w:tc>
          <w:tcPr>
            <w:tcW w:w="6535" w:type="dxa"/>
            <w:vAlign w:val="center"/>
          </w:tcPr>
          <w:p w14:paraId="449BC347">
            <w:pPr>
              <w:pStyle w:val="18"/>
              <w:rPr>
                <w:rFonts w:ascii="宋体" w:hAnsi="宋体" w:cs="宋体"/>
                <w:color w:val="auto"/>
              </w:rPr>
            </w:pPr>
            <w:r>
              <w:rPr>
                <w:rFonts w:hint="eastAsia" w:ascii="宋体" w:hAnsi="宋体" w:cs="宋体"/>
                <w:color w:val="auto"/>
              </w:rPr>
              <w:t>支持按照科室上传学习内容，护理大屏支持全屏查看PPT、视频、Word、PDF类型的教育资源或文件，为患者提供健康宣教或者供护士教学。</w:t>
            </w:r>
          </w:p>
        </w:tc>
      </w:tr>
      <w:tr w14:paraId="432F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4B89C4FC">
            <w:pPr>
              <w:pStyle w:val="18"/>
              <w:jc w:val="center"/>
              <w:rPr>
                <w:rFonts w:ascii="宋体" w:hAnsi="宋体" w:cs="宋体"/>
                <w:b w:val="0"/>
                <w:color w:val="auto"/>
              </w:rPr>
            </w:pPr>
            <w:bookmarkStart w:id="149" w:name="_Toc134635059"/>
            <w:r>
              <w:rPr>
                <w:rFonts w:hint="eastAsia" w:ascii="宋体" w:hAnsi="宋体" w:cs="宋体"/>
                <w:b w:val="0"/>
                <w:color w:val="auto"/>
              </w:rPr>
              <w:t>电话簿</w:t>
            </w:r>
            <w:bookmarkEnd w:id="149"/>
          </w:p>
        </w:tc>
        <w:tc>
          <w:tcPr>
            <w:tcW w:w="6535" w:type="dxa"/>
            <w:vAlign w:val="center"/>
          </w:tcPr>
          <w:p w14:paraId="7F56E22B">
            <w:pPr>
              <w:pStyle w:val="18"/>
              <w:rPr>
                <w:rFonts w:ascii="宋体" w:hAnsi="宋体" w:cs="宋体"/>
                <w:color w:val="auto"/>
              </w:rPr>
            </w:pPr>
            <w:r>
              <w:rPr>
                <w:rFonts w:hint="eastAsia" w:ascii="宋体" w:hAnsi="宋体" w:cs="宋体"/>
                <w:color w:val="auto"/>
              </w:rPr>
              <w:t>维护展示医院科室电话信息，例如信息科、门诊办等部门电话，支持新增、编辑操作。支持用户随时查看。</w:t>
            </w:r>
          </w:p>
        </w:tc>
      </w:tr>
      <w:tr w14:paraId="56DD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0F0EB244">
            <w:pPr>
              <w:pStyle w:val="18"/>
              <w:jc w:val="center"/>
              <w:rPr>
                <w:rFonts w:ascii="宋体" w:hAnsi="宋体" w:cs="宋体"/>
                <w:b w:val="0"/>
                <w:color w:val="auto"/>
              </w:rPr>
            </w:pPr>
            <w:bookmarkStart w:id="150" w:name="_Toc134635060"/>
            <w:r>
              <w:rPr>
                <w:rFonts w:hint="eastAsia" w:ascii="宋体" w:hAnsi="宋体" w:cs="宋体"/>
                <w:b w:val="0"/>
                <w:color w:val="auto"/>
              </w:rPr>
              <w:t>患者</w:t>
            </w:r>
          </w:p>
          <w:p w14:paraId="41D997B2">
            <w:pPr>
              <w:pStyle w:val="18"/>
              <w:jc w:val="center"/>
              <w:rPr>
                <w:rFonts w:ascii="宋体" w:hAnsi="宋体" w:cs="宋体"/>
                <w:b w:val="0"/>
                <w:color w:val="auto"/>
              </w:rPr>
            </w:pPr>
            <w:r>
              <w:rPr>
                <w:rFonts w:hint="eastAsia" w:ascii="宋体" w:hAnsi="宋体" w:cs="宋体"/>
                <w:b w:val="0"/>
                <w:color w:val="auto"/>
              </w:rPr>
              <w:t>紧急联系人</w:t>
            </w:r>
            <w:bookmarkEnd w:id="150"/>
          </w:p>
        </w:tc>
        <w:tc>
          <w:tcPr>
            <w:tcW w:w="6535" w:type="dxa"/>
            <w:vAlign w:val="center"/>
          </w:tcPr>
          <w:p w14:paraId="539D5BF5">
            <w:pPr>
              <w:pStyle w:val="18"/>
              <w:rPr>
                <w:rFonts w:ascii="宋体" w:hAnsi="宋体" w:cs="宋体"/>
                <w:color w:val="auto"/>
              </w:rPr>
            </w:pPr>
            <w:r>
              <w:rPr>
                <w:rFonts w:hint="eastAsia" w:ascii="宋体" w:hAnsi="宋体" w:cs="宋体"/>
                <w:color w:val="auto"/>
              </w:rPr>
              <w:t>系统自动获取展示患者，联系人、联系方式，方便工作人员随时查看。</w:t>
            </w:r>
          </w:p>
        </w:tc>
      </w:tr>
      <w:tr w14:paraId="542D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1146BC41">
            <w:pPr>
              <w:pStyle w:val="18"/>
              <w:jc w:val="center"/>
              <w:rPr>
                <w:rFonts w:ascii="宋体" w:hAnsi="宋体" w:cs="宋体"/>
                <w:b w:val="0"/>
                <w:color w:val="auto"/>
              </w:rPr>
            </w:pPr>
            <w:bookmarkStart w:id="151" w:name="_Toc134635061"/>
            <w:r>
              <w:rPr>
                <w:rFonts w:hint="eastAsia" w:ascii="宋体" w:hAnsi="宋体" w:cs="宋体"/>
                <w:b w:val="0"/>
                <w:color w:val="auto"/>
              </w:rPr>
              <w:t>通知公告</w:t>
            </w:r>
            <w:bookmarkEnd w:id="151"/>
          </w:p>
        </w:tc>
        <w:tc>
          <w:tcPr>
            <w:tcW w:w="6535" w:type="dxa"/>
            <w:vAlign w:val="center"/>
          </w:tcPr>
          <w:p w14:paraId="61B0BC1D">
            <w:pPr>
              <w:pStyle w:val="18"/>
              <w:rPr>
                <w:rFonts w:ascii="宋体" w:hAnsi="宋体" w:cs="宋体"/>
                <w:color w:val="auto"/>
              </w:rPr>
            </w:pPr>
            <w:r>
              <w:rPr>
                <w:rFonts w:hint="eastAsia" w:ascii="宋体" w:hAnsi="宋体" w:cs="宋体"/>
                <w:color w:val="auto"/>
              </w:rPr>
              <w:t>护理部统一发送正式通知消息或者科室发布消息，通过大屏查看已发布通知信息。</w:t>
            </w:r>
          </w:p>
        </w:tc>
      </w:tr>
      <w:tr w14:paraId="7DE7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72C89E5A">
            <w:pPr>
              <w:pStyle w:val="18"/>
              <w:jc w:val="center"/>
              <w:rPr>
                <w:rFonts w:ascii="宋体" w:hAnsi="宋体" w:cs="宋体"/>
                <w:b w:val="0"/>
                <w:color w:val="auto"/>
              </w:rPr>
            </w:pPr>
            <w:bookmarkStart w:id="152" w:name="_Toc134635062"/>
            <w:r>
              <w:rPr>
                <w:rFonts w:hint="eastAsia" w:ascii="宋体" w:hAnsi="宋体" w:cs="宋体"/>
                <w:b w:val="0"/>
                <w:color w:val="auto"/>
              </w:rPr>
              <w:t>大屏设置</w:t>
            </w:r>
            <w:bookmarkEnd w:id="152"/>
          </w:p>
        </w:tc>
        <w:tc>
          <w:tcPr>
            <w:tcW w:w="6535" w:type="dxa"/>
            <w:vAlign w:val="center"/>
          </w:tcPr>
          <w:p w14:paraId="156FD26B">
            <w:pPr>
              <w:pStyle w:val="18"/>
              <w:rPr>
                <w:rFonts w:ascii="宋体" w:hAnsi="宋体" w:cs="宋体"/>
                <w:color w:val="auto"/>
              </w:rPr>
            </w:pPr>
            <w:r>
              <w:rPr>
                <w:rFonts w:hint="eastAsia" w:ascii="宋体" w:hAnsi="宋体" w:cs="宋体"/>
                <w:color w:val="auto"/>
              </w:rPr>
              <w:t>支持按照科室实际关注内容，科室自主配置病区一览展示模块。。</w:t>
            </w:r>
          </w:p>
        </w:tc>
      </w:tr>
      <w:tr w14:paraId="55D0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Align w:val="center"/>
          </w:tcPr>
          <w:p w14:paraId="484B6162">
            <w:pPr>
              <w:pStyle w:val="18"/>
              <w:jc w:val="center"/>
              <w:rPr>
                <w:rFonts w:ascii="宋体" w:hAnsi="宋体" w:cs="宋体"/>
                <w:b w:val="0"/>
                <w:color w:val="auto"/>
              </w:rPr>
            </w:pPr>
            <w:r>
              <w:rPr>
                <w:rFonts w:hint="eastAsia" w:ascii="宋体" w:hAnsi="宋体" w:cs="宋体"/>
                <w:b w:val="0"/>
                <w:color w:val="auto"/>
              </w:rPr>
              <w:t>大屏配置</w:t>
            </w:r>
          </w:p>
        </w:tc>
        <w:tc>
          <w:tcPr>
            <w:tcW w:w="6535" w:type="dxa"/>
            <w:vAlign w:val="center"/>
          </w:tcPr>
          <w:p w14:paraId="0EE3D787">
            <w:pPr>
              <w:pStyle w:val="18"/>
              <w:rPr>
                <w:rFonts w:ascii="宋体" w:hAnsi="宋体" w:cs="宋体"/>
                <w:color w:val="auto"/>
              </w:rPr>
            </w:pPr>
            <w:r>
              <w:rPr>
                <w:rFonts w:hint="eastAsia" w:ascii="宋体" w:hAnsi="宋体" w:cs="宋体"/>
                <w:color w:val="auto"/>
              </w:rPr>
              <w:t>根据医院病区实际情况，配置大屏数据以及大屏所展示的病区数据。</w:t>
            </w:r>
          </w:p>
        </w:tc>
      </w:tr>
    </w:tbl>
    <w:p w14:paraId="2A3217AB">
      <w:pPr>
        <w:pStyle w:val="4"/>
        <w:numPr>
          <w:ilvl w:val="1"/>
          <w:numId w:val="0"/>
        </w:numPr>
        <w:ind w:left="576" w:leftChars="0" w:hanging="576" w:firstLineChars="0"/>
        <w:rPr>
          <w:color w:val="auto"/>
        </w:rPr>
      </w:pPr>
      <w:bookmarkStart w:id="153" w:name="_Toc208646536"/>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.14</w:t>
      </w:r>
      <w:r>
        <w:rPr>
          <w:rFonts w:hint="eastAsia"/>
          <w:color w:val="auto"/>
        </w:rPr>
        <w:t>心电信息系统</w:t>
      </w:r>
      <w:bookmarkEnd w:id="153"/>
    </w:p>
    <w:tbl>
      <w:tblPr>
        <w:tblStyle w:val="96"/>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010"/>
      </w:tblGrid>
      <w:tr w14:paraId="78D7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42" w:type="pct"/>
            <w:shd w:val="clear" w:color="auto" w:fill="BEBEBE" w:themeFill="background1" w:themeFillShade="BF"/>
            <w:vAlign w:val="center"/>
          </w:tcPr>
          <w:p w14:paraId="5EC2D209">
            <w:pPr>
              <w:pStyle w:val="18"/>
              <w:jc w:val="center"/>
              <w:rPr>
                <w:b/>
                <w:color w:val="auto"/>
              </w:rPr>
            </w:pPr>
            <w:r>
              <w:rPr>
                <w:rFonts w:hint="eastAsia"/>
                <w:b/>
                <w:color w:val="auto"/>
              </w:rPr>
              <w:t>系统名称</w:t>
            </w:r>
          </w:p>
        </w:tc>
        <w:tc>
          <w:tcPr>
            <w:tcW w:w="3958" w:type="pct"/>
            <w:shd w:val="clear" w:color="auto" w:fill="BEBEBE" w:themeFill="background1" w:themeFillShade="BF"/>
            <w:vAlign w:val="center"/>
          </w:tcPr>
          <w:p w14:paraId="73009814">
            <w:pPr>
              <w:pStyle w:val="18"/>
              <w:rPr>
                <w:b/>
                <w:color w:val="auto"/>
              </w:rPr>
            </w:pPr>
            <w:r>
              <w:rPr>
                <w:rFonts w:hint="eastAsia"/>
                <w:b/>
                <w:color w:val="auto"/>
              </w:rPr>
              <w:t>心电信息系统</w:t>
            </w:r>
          </w:p>
        </w:tc>
      </w:tr>
      <w:tr w14:paraId="1A68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42" w:type="pct"/>
            <w:vAlign w:val="center"/>
          </w:tcPr>
          <w:p w14:paraId="747D5CA5">
            <w:pPr>
              <w:pStyle w:val="18"/>
              <w:jc w:val="center"/>
              <w:rPr>
                <w:b/>
                <w:bCs/>
                <w:color w:val="auto"/>
              </w:rPr>
            </w:pPr>
            <w:r>
              <w:rPr>
                <w:rFonts w:hint="eastAsia"/>
                <w:b/>
                <w:bCs/>
                <w:color w:val="auto"/>
              </w:rPr>
              <w:t>系统概述</w:t>
            </w:r>
          </w:p>
        </w:tc>
        <w:tc>
          <w:tcPr>
            <w:tcW w:w="3958" w:type="pct"/>
            <w:vAlign w:val="center"/>
          </w:tcPr>
          <w:p w14:paraId="364F4720">
            <w:pPr>
              <w:pStyle w:val="18"/>
              <w:rPr>
                <w:color w:val="auto"/>
              </w:rPr>
            </w:pPr>
            <w:r>
              <w:rPr>
                <w:rFonts w:hint="eastAsia"/>
                <w:color w:val="auto"/>
              </w:rPr>
              <w:t>全院心电电生理网络平台，需将医院的静息心电、动态心电、动态血压等心电电生理数据整合在同一平台，完成门诊、急诊、病区、体检等各科室检查的全面接入，实现院内各科室分散检查、统一诊断。为心电医生提供专业的心电分析工作站，实现静息心电、动态心电、动态血压统一诊断，并与HIS、电子病历、体检等系统进行接口对接,实现数据共享交互，完善院内信息化系统，提高院内心电电生理的工作效率和管理水平。</w:t>
            </w:r>
          </w:p>
        </w:tc>
      </w:tr>
      <w:tr w14:paraId="1578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42" w:type="pct"/>
            <w:vAlign w:val="center"/>
          </w:tcPr>
          <w:p w14:paraId="3014A06B">
            <w:pPr>
              <w:pStyle w:val="18"/>
              <w:jc w:val="center"/>
              <w:rPr>
                <w:b w:val="0"/>
                <w:color w:val="auto"/>
              </w:rPr>
            </w:pPr>
            <w:r>
              <w:rPr>
                <w:rFonts w:hint="eastAsia"/>
                <w:b/>
                <w:bCs/>
                <w:color w:val="auto"/>
              </w:rPr>
              <w:t>子项名称</w:t>
            </w:r>
          </w:p>
        </w:tc>
        <w:tc>
          <w:tcPr>
            <w:tcW w:w="3958" w:type="pct"/>
            <w:vAlign w:val="center"/>
          </w:tcPr>
          <w:p w14:paraId="225AEE68">
            <w:pPr>
              <w:pStyle w:val="18"/>
              <w:jc w:val="center"/>
              <w:rPr>
                <w:color w:val="auto"/>
              </w:rPr>
            </w:pPr>
            <w:r>
              <w:rPr>
                <w:rFonts w:hint="eastAsia"/>
                <w:b/>
                <w:bCs/>
                <w:color w:val="auto"/>
              </w:rPr>
              <w:t>技术和功能配置要求</w:t>
            </w:r>
          </w:p>
        </w:tc>
      </w:tr>
      <w:tr w14:paraId="5620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42" w:type="pct"/>
            <w:vAlign w:val="center"/>
          </w:tcPr>
          <w:p w14:paraId="5789F367">
            <w:pPr>
              <w:pStyle w:val="18"/>
              <w:jc w:val="center"/>
              <w:rPr>
                <w:b w:val="0"/>
                <w:color w:val="auto"/>
              </w:rPr>
            </w:pPr>
            <w:r>
              <w:rPr>
                <w:rFonts w:hint="eastAsia"/>
                <w:b w:val="0"/>
                <w:color w:val="auto"/>
              </w:rPr>
              <w:t>整体需求</w:t>
            </w:r>
          </w:p>
        </w:tc>
        <w:tc>
          <w:tcPr>
            <w:tcW w:w="3958" w:type="pct"/>
            <w:vAlign w:val="center"/>
          </w:tcPr>
          <w:p w14:paraId="624B9234">
            <w:pPr>
              <w:pStyle w:val="18"/>
              <w:rPr>
                <w:color w:val="auto"/>
                <w:szCs w:val="21"/>
              </w:rPr>
            </w:pPr>
            <w:r>
              <w:rPr>
                <w:rFonts w:hint="eastAsia"/>
                <w:color w:val="auto"/>
                <w:szCs w:val="21"/>
              </w:rPr>
              <w:t>系统建设遵循先进性、实用性、安全性、开放性与标准化等原则，保证系统建设维护使用的低成本、可靠性、易用性和易于维护，并要求系统具有良好的扩展性。</w:t>
            </w:r>
          </w:p>
          <w:p w14:paraId="6B0E4BD9">
            <w:pPr>
              <w:pStyle w:val="18"/>
              <w:rPr>
                <w:color w:val="auto"/>
                <w:szCs w:val="21"/>
              </w:rPr>
            </w:pPr>
            <w:r>
              <w:rPr>
                <w:rFonts w:hint="eastAsia"/>
                <w:color w:val="auto"/>
                <w:szCs w:val="21"/>
              </w:rPr>
              <w:t>系统采用微服务技术架构，各服务之间高度自治，支持独立部署或集中部署，满足医院业务高并发的需求。</w:t>
            </w:r>
          </w:p>
          <w:p w14:paraId="1E80C22A">
            <w:pPr>
              <w:pStyle w:val="18"/>
              <w:rPr>
                <w:color w:val="auto"/>
                <w:szCs w:val="21"/>
              </w:rPr>
            </w:pPr>
            <w:r>
              <w:rPr>
                <w:rFonts w:hint="eastAsia"/>
                <w:color w:val="auto"/>
                <w:szCs w:val="21"/>
              </w:rPr>
              <w:t>系统需支持C/S和B/S混合模式。</w:t>
            </w:r>
          </w:p>
          <w:p w14:paraId="4CA58253">
            <w:pPr>
              <w:pStyle w:val="18"/>
              <w:rPr>
                <w:color w:val="auto"/>
                <w:szCs w:val="21"/>
              </w:rPr>
            </w:pPr>
            <w:r>
              <w:rPr>
                <w:rFonts w:hint="eastAsia"/>
                <w:color w:val="auto"/>
                <w:szCs w:val="21"/>
              </w:rPr>
              <w:t>系统采用业务和管理分离的方式。在业务处理上，提供独立的医生工作站，供临床处理心电的检查、诊断、数据分析等业务；在管理上，提供独立的管理后台，实现对人员、设备等基础数据的统一管理，支持创建、修改、删除、查询各通行证功能。通过业务口和管理口从物理上分离,使业务数据和管理数据相互间不会产生干扰，提升系统稳定性和可靠性。</w:t>
            </w:r>
          </w:p>
          <w:p w14:paraId="0485856B">
            <w:pPr>
              <w:pStyle w:val="18"/>
              <w:rPr>
                <w:color w:val="auto"/>
                <w:szCs w:val="21"/>
              </w:rPr>
            </w:pPr>
            <w:r>
              <w:rPr>
                <w:rFonts w:hint="eastAsia"/>
                <w:color w:val="auto"/>
                <w:szCs w:val="21"/>
              </w:rPr>
              <w:t>支持心电数据的采集、传输、诊断和数据归档的全流程跟踪管理，记录每一份心电报告的生成过程，为功能调试、问题排查、问题定位等提供技术支撑和可靠保障。</w:t>
            </w:r>
          </w:p>
          <w:p w14:paraId="115C167E">
            <w:pPr>
              <w:pStyle w:val="18"/>
              <w:rPr>
                <w:color w:val="auto"/>
                <w:szCs w:val="21"/>
              </w:rPr>
            </w:pPr>
            <w:r>
              <w:rPr>
                <w:rFonts w:hint="eastAsia"/>
                <w:color w:val="auto"/>
                <w:szCs w:val="21"/>
              </w:rPr>
              <w:t>系统提供接口服务，支持对接第三方信息平台，支持采用视图、存储过程、Webservice、DICOM、HL7等方式实现接口功能。</w:t>
            </w:r>
          </w:p>
          <w:p w14:paraId="14D7913B">
            <w:pPr>
              <w:pStyle w:val="18"/>
              <w:rPr>
                <w:color w:val="auto"/>
                <w:szCs w:val="21"/>
              </w:rPr>
            </w:pPr>
            <w:r>
              <w:rPr>
                <w:rFonts w:hint="eastAsia"/>
                <w:color w:val="auto"/>
                <w:szCs w:val="21"/>
              </w:rPr>
              <w:t>系统有经过IHE数字心电诊断系统集成模式和功能角色的专项测试，可以满足与医疗卫生机构信息系统和设备之间的信息互联、互通、集成共享的要求。</w:t>
            </w:r>
          </w:p>
          <w:p w14:paraId="2CEB336A">
            <w:pPr>
              <w:pStyle w:val="18"/>
              <w:rPr>
                <w:color w:val="auto"/>
              </w:rPr>
            </w:pPr>
            <w:r>
              <w:rPr>
                <w:rFonts w:hint="eastAsia"/>
                <w:color w:val="auto"/>
                <w:szCs w:val="21"/>
              </w:rPr>
              <w:t>系统具有自动正时功能，支持与医院时间服务器同步，实现联网心电图机、工作站时间统一。</w:t>
            </w:r>
          </w:p>
        </w:tc>
      </w:tr>
      <w:tr w14:paraId="1660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42" w:type="pct"/>
            <w:vAlign w:val="center"/>
          </w:tcPr>
          <w:p w14:paraId="2E20A660">
            <w:pPr>
              <w:pStyle w:val="18"/>
              <w:jc w:val="center"/>
              <w:rPr>
                <w:b w:val="0"/>
                <w:color w:val="auto"/>
              </w:rPr>
            </w:pPr>
            <w:r>
              <w:rPr>
                <w:b w:val="0"/>
                <w:color w:val="auto"/>
              </w:rPr>
              <w:t>预约</w:t>
            </w:r>
            <w:r>
              <w:rPr>
                <w:rFonts w:hint="eastAsia"/>
                <w:b w:val="0"/>
                <w:color w:val="auto"/>
              </w:rPr>
              <w:t>排队叫号</w:t>
            </w:r>
          </w:p>
        </w:tc>
        <w:tc>
          <w:tcPr>
            <w:tcW w:w="3958" w:type="pct"/>
            <w:vAlign w:val="center"/>
          </w:tcPr>
          <w:p w14:paraId="359B8EFC">
            <w:pPr>
              <w:pStyle w:val="18"/>
              <w:rPr>
                <w:color w:val="auto"/>
                <w:szCs w:val="21"/>
              </w:rPr>
            </w:pPr>
            <w:r>
              <w:rPr>
                <w:rFonts w:hint="eastAsia"/>
                <w:color w:val="auto"/>
                <w:szCs w:val="21"/>
              </w:rPr>
              <w:t>预约管理配置实现科室排班、时段配置和病人预约管理。支持诊室配置功能，如诊室名称、排序编号、默认诊室等，可对诊室进行添加或删除，支持设置规则模板。</w:t>
            </w:r>
          </w:p>
          <w:p w14:paraId="2BC938C8">
            <w:pPr>
              <w:pStyle w:val="18"/>
              <w:rPr>
                <w:color w:val="auto"/>
                <w:szCs w:val="21"/>
              </w:rPr>
            </w:pPr>
            <w:r>
              <w:rPr>
                <w:rFonts w:hint="eastAsia"/>
                <w:color w:val="auto"/>
                <w:szCs w:val="21"/>
              </w:rPr>
              <w:t>支持</w:t>
            </w:r>
            <w:r>
              <w:rPr>
                <w:color w:val="auto"/>
                <w:szCs w:val="21"/>
              </w:rPr>
              <w:t>通过HIS接口获得申请单进行登记和预约，</w:t>
            </w:r>
            <w:r>
              <w:rPr>
                <w:rFonts w:hint="eastAsia"/>
                <w:color w:val="auto"/>
                <w:szCs w:val="21"/>
              </w:rPr>
              <w:t>也可手动创建检查申请单，</w:t>
            </w:r>
            <w:r>
              <w:rPr>
                <w:color w:val="auto"/>
                <w:szCs w:val="21"/>
              </w:rPr>
              <w:t>并生成排队号的条形码，患者按照排队号在检查室等待检查。</w:t>
            </w:r>
            <w:r>
              <w:rPr>
                <w:rFonts w:hint="eastAsia"/>
                <w:color w:val="auto"/>
                <w:szCs w:val="21"/>
              </w:rPr>
              <w:t>支持静息心电、动态心电、动态血压的统一预约在预约列表中，支持新建、修改、删除、加急、激活等功能。</w:t>
            </w:r>
          </w:p>
          <w:p w14:paraId="61942553">
            <w:pPr>
              <w:pStyle w:val="18"/>
              <w:rPr>
                <w:color w:val="auto"/>
                <w:szCs w:val="21"/>
              </w:rPr>
            </w:pPr>
            <w:r>
              <w:rPr>
                <w:rFonts w:hint="eastAsia"/>
                <w:color w:val="auto"/>
                <w:szCs w:val="21"/>
              </w:rPr>
              <w:t>通过预约排队叫号系统实现静息心电、动态心电、动态血压、电生理等</w:t>
            </w:r>
            <w:r>
              <w:rPr>
                <w:color w:val="auto"/>
                <w:szCs w:val="21"/>
              </w:rPr>
              <w:t>多种业务类型统一预约</w:t>
            </w:r>
            <w:r>
              <w:rPr>
                <w:rFonts w:hint="eastAsia"/>
                <w:color w:val="auto"/>
                <w:szCs w:val="21"/>
              </w:rPr>
              <w:t>。</w:t>
            </w:r>
          </w:p>
          <w:p w14:paraId="0B68C4BC">
            <w:pPr>
              <w:pStyle w:val="18"/>
              <w:rPr>
                <w:color w:val="auto"/>
                <w:szCs w:val="21"/>
              </w:rPr>
            </w:pPr>
            <w:r>
              <w:rPr>
                <w:rFonts w:hint="eastAsia"/>
                <w:color w:val="auto"/>
                <w:szCs w:val="21"/>
              </w:rPr>
              <w:t>通过与自助机系统对接，支持患者通过自助机自助签到。</w:t>
            </w:r>
          </w:p>
          <w:p w14:paraId="4D502322">
            <w:pPr>
              <w:pStyle w:val="18"/>
              <w:rPr>
                <w:color w:val="auto"/>
                <w:szCs w:val="21"/>
              </w:rPr>
            </w:pPr>
            <w:r>
              <w:rPr>
                <w:color w:val="auto"/>
                <w:szCs w:val="21"/>
              </w:rPr>
              <w:t>检查医生</w:t>
            </w:r>
            <w:r>
              <w:rPr>
                <w:rFonts w:hint="eastAsia"/>
                <w:color w:val="auto"/>
                <w:szCs w:val="21"/>
              </w:rPr>
              <w:t>通过叫号器系统</w:t>
            </w:r>
            <w:r>
              <w:rPr>
                <w:color w:val="auto"/>
                <w:szCs w:val="21"/>
              </w:rPr>
              <w:t>依序叫号，</w:t>
            </w:r>
            <w:r>
              <w:rPr>
                <w:rFonts w:hint="eastAsia"/>
                <w:color w:val="auto"/>
                <w:szCs w:val="21"/>
              </w:rPr>
              <w:t>支持呼叫、重呼、过号、查看预约信息等操作，</w:t>
            </w:r>
            <w:r>
              <w:rPr>
                <w:color w:val="auto"/>
                <w:szCs w:val="21"/>
              </w:rPr>
              <w:t>系统会自动语音呼叫，并在叫号屏上显示。</w:t>
            </w:r>
            <w:r>
              <w:rPr>
                <w:rFonts w:hint="eastAsia"/>
                <w:color w:val="auto"/>
                <w:szCs w:val="21"/>
              </w:rPr>
              <w:t>叫号大屏支持队列和检查类型灵活组合，支持叫号大屏配置显示内容，包括叫号队列、候诊队列、过号队列、姓名、排队号、检查诊室、检查项目等内容配置显示。叫号系统</w:t>
            </w:r>
            <w:r>
              <w:rPr>
                <w:color w:val="auto"/>
                <w:szCs w:val="21"/>
              </w:rPr>
              <w:t>支持多语言播报</w:t>
            </w:r>
            <w:r>
              <w:rPr>
                <w:rFonts w:hint="eastAsia"/>
                <w:color w:val="auto"/>
                <w:szCs w:val="21"/>
              </w:rPr>
              <w:t>。</w:t>
            </w:r>
          </w:p>
        </w:tc>
      </w:tr>
      <w:tr w14:paraId="60F6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156A0CEC">
            <w:pPr>
              <w:pStyle w:val="18"/>
              <w:jc w:val="center"/>
              <w:rPr>
                <w:rFonts w:cs="宋体"/>
                <w:b w:val="0"/>
                <w:color w:val="auto"/>
              </w:rPr>
            </w:pPr>
            <w:r>
              <w:rPr>
                <w:rFonts w:hint="eastAsia"/>
                <w:b w:val="0"/>
                <w:color w:val="auto"/>
              </w:rPr>
              <w:t>心电检查管理</w:t>
            </w:r>
          </w:p>
        </w:tc>
        <w:tc>
          <w:tcPr>
            <w:tcW w:w="3958" w:type="pct"/>
            <w:vAlign w:val="center"/>
          </w:tcPr>
          <w:p w14:paraId="207E8809">
            <w:pPr>
              <w:pStyle w:val="18"/>
              <w:rPr>
                <w:color w:val="auto"/>
              </w:rPr>
            </w:pPr>
            <w:r>
              <w:rPr>
                <w:rFonts w:hint="eastAsia"/>
                <w:color w:val="auto"/>
              </w:rPr>
              <w:t>充分利用现有设备，系统需支持连接医院现有不同品牌与型号的心电图设备完成受检者的心电检查。</w:t>
            </w:r>
          </w:p>
          <w:p w14:paraId="313593FE">
            <w:pPr>
              <w:pStyle w:val="18"/>
              <w:rPr>
                <w:color w:val="auto"/>
              </w:rPr>
            </w:pPr>
            <w:r>
              <w:rPr>
                <w:rFonts w:hint="eastAsia"/>
                <w:color w:val="auto"/>
              </w:rPr>
              <w:t xml:space="preserve">支持配置检查模式，可选常规十二导、常规十五导、常规十八导、心向量、心率变异、QT离散度、频谱心电、阿托品等。 </w:t>
            </w:r>
          </w:p>
          <w:p w14:paraId="6F7B3F21">
            <w:pPr>
              <w:pStyle w:val="18"/>
              <w:rPr>
                <w:color w:val="auto"/>
              </w:rPr>
            </w:pPr>
            <w:r>
              <w:rPr>
                <w:rFonts w:hint="eastAsia"/>
                <w:color w:val="auto"/>
              </w:rPr>
              <w:t>支持手动创建、扫码、读卡、输入卡号、下载预约记录等多种方式获取受检者信息。</w:t>
            </w:r>
          </w:p>
          <w:p w14:paraId="6631B63E">
            <w:pPr>
              <w:pStyle w:val="18"/>
              <w:rPr>
                <w:color w:val="auto"/>
              </w:rPr>
            </w:pPr>
            <w:r>
              <w:rPr>
                <w:rFonts w:hint="eastAsia"/>
                <w:color w:val="auto"/>
              </w:rPr>
              <w:t>支持离线状态下为受检者检查。</w:t>
            </w:r>
          </w:p>
          <w:p w14:paraId="1C296009">
            <w:pPr>
              <w:pStyle w:val="18"/>
              <w:rPr>
                <w:color w:val="auto"/>
              </w:rPr>
            </w:pPr>
            <w:r>
              <w:rPr>
                <w:rFonts w:hint="eastAsia"/>
                <w:color w:val="auto"/>
              </w:rPr>
              <w:t>支持采集质量检测，在心电检查过程中实时提醒采集质量是否合格，伪差、导联脱落、左右手接反等实时提醒。</w:t>
            </w:r>
          </w:p>
          <w:p w14:paraId="7A56083E">
            <w:pPr>
              <w:pStyle w:val="18"/>
              <w:rPr>
                <w:color w:val="auto"/>
              </w:rPr>
            </w:pPr>
            <w:r>
              <w:rPr>
                <w:rFonts w:hint="eastAsia"/>
                <w:color w:val="auto"/>
              </w:rPr>
              <w:t>支持图谱采集完成后预览，支持加采、重采功能；支持为严重病人申请加急诊断，加急的报告列表有加急的状态标记。</w:t>
            </w:r>
          </w:p>
          <w:p w14:paraId="51871D98">
            <w:pPr>
              <w:pStyle w:val="18"/>
              <w:rPr>
                <w:color w:val="auto"/>
              </w:rPr>
            </w:pPr>
            <w:r>
              <w:rPr>
                <w:rFonts w:hint="eastAsia"/>
                <w:color w:val="auto"/>
              </w:rPr>
              <w:t>支持列表显示报告各阶段状态：待受理、已受理、已诊断，待审核、已审核，且支持查看报告是否打印。</w:t>
            </w:r>
          </w:p>
          <w:p w14:paraId="47873FC9">
            <w:pPr>
              <w:pStyle w:val="18"/>
              <w:rPr>
                <w:color w:val="auto"/>
              </w:rPr>
            </w:pPr>
            <w:r>
              <w:rPr>
                <w:rFonts w:hint="eastAsia"/>
                <w:color w:val="auto"/>
              </w:rPr>
              <w:t>采集完成后支持自动分析危急值，分析结果包括以下几种类型：危急、阳性、正常、采集不良、未分析。</w:t>
            </w:r>
          </w:p>
          <w:p w14:paraId="2AA6ED9E">
            <w:pPr>
              <w:pStyle w:val="18"/>
              <w:rPr>
                <w:color w:val="auto"/>
              </w:rPr>
            </w:pPr>
            <w:r>
              <w:rPr>
                <w:rFonts w:hint="eastAsia"/>
                <w:color w:val="auto"/>
              </w:rPr>
              <w:t>支持为严重病人申请加急诊断，加急的报告列表有加急的状态标记。</w:t>
            </w:r>
          </w:p>
        </w:tc>
      </w:tr>
      <w:tr w14:paraId="29EF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6F7CA0B1">
            <w:pPr>
              <w:pStyle w:val="18"/>
              <w:jc w:val="center"/>
              <w:rPr>
                <w:b w:val="0"/>
                <w:color w:val="auto"/>
              </w:rPr>
            </w:pPr>
            <w:r>
              <w:rPr>
                <w:rFonts w:hint="eastAsia"/>
                <w:b w:val="0"/>
                <w:color w:val="auto"/>
              </w:rPr>
              <w:t>心电医生</w:t>
            </w:r>
          </w:p>
          <w:p w14:paraId="1B2DA6F5">
            <w:pPr>
              <w:pStyle w:val="18"/>
              <w:jc w:val="center"/>
              <w:rPr>
                <w:rFonts w:cs="宋体"/>
                <w:b w:val="0"/>
                <w:color w:val="auto"/>
              </w:rPr>
            </w:pPr>
            <w:r>
              <w:rPr>
                <w:rFonts w:hint="eastAsia"/>
                <w:b w:val="0"/>
                <w:color w:val="auto"/>
              </w:rPr>
              <w:t>工作站</w:t>
            </w:r>
          </w:p>
        </w:tc>
        <w:tc>
          <w:tcPr>
            <w:tcW w:w="3958" w:type="pct"/>
            <w:vAlign w:val="center"/>
          </w:tcPr>
          <w:p w14:paraId="416AB3D6">
            <w:pPr>
              <w:pStyle w:val="18"/>
              <w:rPr>
                <w:color w:val="auto"/>
              </w:rPr>
            </w:pPr>
            <w:r>
              <w:rPr>
                <w:rFonts w:hint="eastAsia"/>
                <w:color w:val="auto"/>
              </w:rPr>
              <w:t>为满足医院业务发展需要，医生工作站须提供静息心电、动态心电、动态血压综合分析功能：一套软件即可以进行静息心电、动态心电、动态血压三种检查的分析会诊工作，支持具有对应检查特点的专业分析工具。</w:t>
            </w:r>
          </w:p>
          <w:p w14:paraId="3581E060">
            <w:pPr>
              <w:pStyle w:val="18"/>
              <w:rPr>
                <w:color w:val="auto"/>
              </w:rPr>
            </w:pPr>
            <w:r>
              <w:rPr>
                <w:rFonts w:hint="eastAsia"/>
                <w:color w:val="auto"/>
              </w:rPr>
              <w:t>报告列表支持显示字段自定义配置及字段显示顺序自定义配置；若报告为加急报告，支持显示加急状态图标；支持列表显示报告危急值等级标识；支持已完成诊断的报告显示是否已打印标识。</w:t>
            </w:r>
          </w:p>
          <w:p w14:paraId="52898F3A">
            <w:pPr>
              <w:pStyle w:val="18"/>
              <w:rPr>
                <w:color w:val="auto"/>
              </w:rPr>
            </w:pPr>
            <w:bookmarkStart w:id="154" w:name="_Hlk99014806"/>
            <w:r>
              <w:rPr>
                <w:rFonts w:hint="eastAsia"/>
                <w:color w:val="auto"/>
              </w:rPr>
              <w:t>支持通过多种方式查询报告；可支持根据报告完成状态待处理、处理中和已处理查看报告，并且直观看出待处理和处理中的报告数量。对于待处理的报告，支持通过分组、检查机构、检查科室、受检者来源、检查时间、受检者标识、受检者姓名快速检索。对于已处理的报告，支持通过检查机构、检查科室、受检者来源、检查时间、审核医生、受检者标识、受检者姓名、诊断结论快速检索。支持根据姓名、标识、诊断结论模糊检索。</w:t>
            </w:r>
          </w:p>
          <w:p w14:paraId="0248816F">
            <w:pPr>
              <w:pStyle w:val="18"/>
              <w:rPr>
                <w:color w:val="auto"/>
              </w:rPr>
            </w:pPr>
            <w:r>
              <w:rPr>
                <w:rFonts w:hint="eastAsia"/>
                <w:color w:val="auto"/>
              </w:rPr>
              <w:t>支持设置分组条件，将心电报告分配给不同的诊断医生。诊断医生只能查看自己所在分组和未分组的报告，其他分组报告查看不了，实现诊断组工作量的动态平衡，亦可实现数据隔离，提高医生的工作效率。</w:t>
            </w:r>
          </w:p>
          <w:p w14:paraId="329A3F3D">
            <w:pPr>
              <w:pStyle w:val="18"/>
              <w:rPr>
                <w:color w:val="auto"/>
              </w:rPr>
            </w:pPr>
            <w:r>
              <w:rPr>
                <w:rFonts w:hint="eastAsia"/>
                <w:color w:val="auto"/>
              </w:rPr>
              <w:t>支持诊断权限配置。对简单报告可直接提交诊断，遇到疑难报告可申请机构内部老师审核。支持修改自己的诊断结论。支持报告复审功能，审核医生审核所有诊断医生报告。</w:t>
            </w:r>
          </w:p>
          <w:p w14:paraId="6278DEAD">
            <w:pPr>
              <w:pStyle w:val="18"/>
              <w:rPr>
                <w:color w:val="auto"/>
              </w:rPr>
            </w:pPr>
            <w:r>
              <w:rPr>
                <w:rFonts w:hint="eastAsia"/>
                <w:color w:val="auto"/>
              </w:rPr>
              <w:t>系统支持设置强制审核模式，一份报告诊断完成之后设置为强制审核模式，必须要双签之后才能发布，例如可设置规培生提交诊断的报告必须代教老师审核之后才能发布。以满足医院多业务形态的需要。</w:t>
            </w:r>
          </w:p>
          <w:p w14:paraId="520389AF">
            <w:pPr>
              <w:pStyle w:val="18"/>
              <w:rPr>
                <w:color w:val="auto"/>
              </w:rPr>
            </w:pPr>
            <w:r>
              <w:rPr>
                <w:rFonts w:hint="eastAsia"/>
                <w:color w:val="auto"/>
              </w:rPr>
              <w:t>为提高医生工作效率，系统支持沉浸式看报告模式，可同屏显示报告列表和看图界面。可直接在看图页中查看列表数据，无需在列表页和详情页中来回切换。</w:t>
            </w:r>
          </w:p>
          <w:p w14:paraId="6CC5DB8F">
            <w:pPr>
              <w:pStyle w:val="18"/>
              <w:rPr>
                <w:color w:val="auto"/>
              </w:rPr>
            </w:pPr>
            <w:r>
              <w:rPr>
                <w:rFonts w:hint="eastAsia"/>
                <w:color w:val="auto"/>
              </w:rPr>
              <w:t>系统支持进入快速诊断模式，诊断完成一份报告直接打开下一份报告，不需要返回列表选择报告。</w:t>
            </w:r>
          </w:p>
          <w:bookmarkEnd w:id="154"/>
          <w:p w14:paraId="7D84E6BF">
            <w:pPr>
              <w:pStyle w:val="18"/>
              <w:rPr>
                <w:color w:val="auto"/>
              </w:rPr>
            </w:pPr>
            <w:r>
              <w:rPr>
                <w:rFonts w:hint="eastAsia"/>
                <w:color w:val="auto"/>
              </w:rPr>
              <w:t>支持支持全屏查看图谱；支持导联布局、走速、增益、滤波调整等操作；支持心搏放大功能，通过心搏放大查看某个心搏，调整波形形态识别后重新发送测值。</w:t>
            </w:r>
          </w:p>
          <w:p w14:paraId="6E951981">
            <w:pPr>
              <w:pStyle w:val="18"/>
              <w:rPr>
                <w:color w:val="auto"/>
              </w:rPr>
            </w:pPr>
            <w:r>
              <w:rPr>
                <w:rFonts w:hint="eastAsia"/>
                <w:color w:val="auto"/>
              </w:rPr>
              <w:t>系统具备并行分规功能。通过并行分规可以快速定位心拍与心拍直接的关系。</w:t>
            </w:r>
          </w:p>
          <w:p w14:paraId="69006E42">
            <w:pPr>
              <w:pStyle w:val="18"/>
              <w:rPr>
                <w:color w:val="auto"/>
              </w:rPr>
            </w:pPr>
            <w:r>
              <w:rPr>
                <w:rFonts w:hint="eastAsia"/>
                <w:color w:val="auto"/>
              </w:rPr>
              <w:t>支持诊断医生对不符合要求的图谱进行退回、加采、重采等操作；支持退回加采/重采报告加注原因。</w:t>
            </w:r>
          </w:p>
          <w:p w14:paraId="5092D8AE">
            <w:pPr>
              <w:pStyle w:val="18"/>
              <w:rPr>
                <w:color w:val="auto"/>
              </w:rPr>
            </w:pPr>
            <w:bookmarkStart w:id="155" w:name="_Hlk99014821"/>
            <w:r>
              <w:rPr>
                <w:rFonts w:hint="eastAsia"/>
                <w:color w:val="auto"/>
              </w:rPr>
              <w:t>支持在心电图波形区域的异常位置做标记，提供图像注释说明记录。</w:t>
            </w:r>
          </w:p>
          <w:bookmarkEnd w:id="155"/>
          <w:p w14:paraId="2C8F6AF9">
            <w:pPr>
              <w:pStyle w:val="18"/>
              <w:rPr>
                <w:color w:val="auto"/>
              </w:rPr>
            </w:pPr>
            <w:r>
              <w:rPr>
                <w:rFonts w:hint="eastAsia"/>
                <w:color w:val="auto"/>
              </w:rPr>
              <w:t>支持组合导联功能：使用十二导设备采集两份十二导数据合并为十八导数据，满足附加导联的检查要求。</w:t>
            </w:r>
          </w:p>
          <w:p w14:paraId="15078B2E">
            <w:pPr>
              <w:pStyle w:val="18"/>
              <w:rPr>
                <w:color w:val="auto"/>
              </w:rPr>
            </w:pPr>
            <w:r>
              <w:rPr>
                <w:rFonts w:hint="eastAsia"/>
                <w:color w:val="auto"/>
              </w:rPr>
              <w:t>提供典型病例收藏功能，支持医生自定义收藏分类，为医生后期培训和进行科研提供素材。</w:t>
            </w:r>
          </w:p>
          <w:p w14:paraId="5D732A71">
            <w:pPr>
              <w:pStyle w:val="18"/>
              <w:rPr>
                <w:color w:val="auto"/>
              </w:rPr>
            </w:pPr>
            <w:r>
              <w:rPr>
                <w:rFonts w:hint="eastAsia"/>
                <w:color w:val="auto"/>
              </w:rPr>
              <w:t>支持导联纠错功能，在肢体导联接反或胸导联接错的情况下，可以通过软件直接修正，无需重新采集。</w:t>
            </w:r>
          </w:p>
          <w:p w14:paraId="26301CE0">
            <w:pPr>
              <w:pStyle w:val="18"/>
              <w:rPr>
                <w:color w:val="auto"/>
              </w:rPr>
            </w:pPr>
            <w:r>
              <w:rPr>
                <w:rFonts w:hint="eastAsia"/>
                <w:color w:val="auto"/>
              </w:rPr>
              <w:t>支持漏诊提示，对心电图因显示分辨率问题导致的可能被疏忽的细节异常进行提示，防止造成漏诊。</w:t>
            </w:r>
          </w:p>
          <w:p w14:paraId="1ED07F77">
            <w:pPr>
              <w:pStyle w:val="18"/>
              <w:rPr>
                <w:color w:val="auto"/>
              </w:rPr>
            </w:pPr>
            <w:r>
              <w:rPr>
                <w:rFonts w:hint="eastAsia"/>
                <w:color w:val="auto"/>
              </w:rPr>
              <w:t>支持图谱对比功能。支持查看该受检者所有历史报告。支持将该受检者历史报告加入对比。支持根据卡号、性别、检查机构检索其他报告加入对比。支持将</w:t>
            </w:r>
            <w:r>
              <w:rPr>
                <w:color w:val="auto"/>
              </w:rPr>
              <w:t>5份</w:t>
            </w:r>
            <w:r>
              <w:rPr>
                <w:rFonts w:hint="eastAsia"/>
                <w:color w:val="auto"/>
              </w:rPr>
              <w:t>及</w:t>
            </w:r>
            <w:r>
              <w:rPr>
                <w:color w:val="auto"/>
              </w:rPr>
              <w:t>以上历史报告加入对比，可引用对比报告的诊断结论。</w:t>
            </w:r>
          </w:p>
          <w:p w14:paraId="3FB6B3A6">
            <w:pPr>
              <w:pStyle w:val="18"/>
              <w:rPr>
                <w:color w:val="auto"/>
              </w:rPr>
            </w:pPr>
            <w:r>
              <w:rPr>
                <w:rFonts w:hint="eastAsia"/>
                <w:color w:val="auto"/>
              </w:rPr>
              <w:t>支持叠加波分析，可对所有导联心搏进行叠加趋势分析。</w:t>
            </w:r>
          </w:p>
          <w:p w14:paraId="5F16C2B7">
            <w:pPr>
              <w:pStyle w:val="18"/>
              <w:rPr>
                <w:color w:val="auto"/>
              </w:rPr>
            </w:pPr>
            <w:bookmarkStart w:id="156" w:name="_Hlk99014828"/>
            <w:r>
              <w:rPr>
                <w:rFonts w:hint="eastAsia"/>
                <w:color w:val="auto"/>
              </w:rPr>
              <w:t xml:space="preserve">支持胸痛加急功能，诊断界面有胸痛加急按钮，点击之后有胸痛加急的提示弹窗并可将检查完成消息推送到手机微信端。 </w:t>
            </w:r>
          </w:p>
          <w:bookmarkEnd w:id="156"/>
          <w:p w14:paraId="0738D767">
            <w:pPr>
              <w:pStyle w:val="18"/>
              <w:rPr>
                <w:color w:val="auto"/>
              </w:rPr>
            </w:pPr>
            <w:r>
              <w:rPr>
                <w:rFonts w:hint="eastAsia"/>
                <w:color w:val="auto"/>
              </w:rPr>
              <w:t>提供标准的心电图诊断词条，辅助医生快速进行报告编辑，在编辑过程中支持词条模糊查询及词条与测值的联动。</w:t>
            </w:r>
          </w:p>
          <w:p w14:paraId="2AAC33A1">
            <w:pPr>
              <w:pStyle w:val="18"/>
              <w:rPr>
                <w:color w:val="auto"/>
              </w:rPr>
            </w:pPr>
            <w:r>
              <w:rPr>
                <w:rFonts w:hint="eastAsia"/>
                <w:color w:val="auto"/>
              </w:rPr>
              <w:t>支持梯形图生成技术。</w:t>
            </w:r>
          </w:p>
          <w:p w14:paraId="2B457D95">
            <w:pPr>
              <w:pStyle w:val="18"/>
              <w:rPr>
                <w:color w:val="auto"/>
              </w:rPr>
            </w:pPr>
            <w:r>
              <w:rPr>
                <w:rFonts w:hint="eastAsia"/>
                <w:color w:val="auto"/>
              </w:rPr>
              <w:t>支持批量打印已诊断完成的报告。支持多项目诊断及打印，包括常规十二导、十五导、十八导、心向量、心率变异、QT离散度、频谱心电、心室晚电位、高频心电、心率震荡、心电事件、阿托品等。</w:t>
            </w:r>
          </w:p>
          <w:p w14:paraId="23EF8BA8">
            <w:pPr>
              <w:pStyle w:val="18"/>
              <w:rPr>
                <w:color w:val="auto"/>
              </w:rPr>
            </w:pPr>
            <w:r>
              <w:rPr>
                <w:rFonts w:hint="eastAsia"/>
                <w:color w:val="auto"/>
              </w:rPr>
              <w:t>支持导出pdf、XML、图片格式的图谱。</w:t>
            </w:r>
          </w:p>
          <w:p w14:paraId="37CD6D4B">
            <w:pPr>
              <w:pStyle w:val="18"/>
              <w:rPr>
                <w:color w:val="auto"/>
              </w:rPr>
            </w:pPr>
            <w:r>
              <w:rPr>
                <w:rFonts w:hint="eastAsia"/>
                <w:color w:val="auto"/>
              </w:rPr>
              <w:t>支持阿托品等药物试验功能，可显示药物试验条件下的数据、绘制心率变化曲线以及导联波形。</w:t>
            </w:r>
          </w:p>
          <w:p w14:paraId="5EE6B81A">
            <w:pPr>
              <w:pStyle w:val="18"/>
              <w:rPr>
                <w:color w:val="auto"/>
              </w:rPr>
            </w:pPr>
            <w:r>
              <w:rPr>
                <w:rFonts w:hint="eastAsia"/>
                <w:color w:val="auto"/>
              </w:rPr>
              <w:t>支持心电自动诊断技术，对心电报告进行自动化分析和诊断，辅助诊断医生进行报告诊断，提高诊断效率和质量。</w:t>
            </w:r>
          </w:p>
          <w:p w14:paraId="54319FD3">
            <w:pPr>
              <w:pStyle w:val="18"/>
              <w:rPr>
                <w:color w:val="auto"/>
              </w:rPr>
            </w:pPr>
            <w:r>
              <w:rPr>
                <w:rFonts w:hint="eastAsia"/>
                <w:color w:val="auto"/>
              </w:rPr>
              <w:t>客户端、</w:t>
            </w:r>
            <w:r>
              <w:rPr>
                <w:color w:val="auto"/>
              </w:rPr>
              <w:t>Web端、移动端支持自动诊断分析结论，可手动选择是否引用自动诊断结论。</w:t>
            </w:r>
          </w:p>
          <w:p w14:paraId="0ECD4E74">
            <w:pPr>
              <w:pStyle w:val="18"/>
              <w:rPr>
                <w:color w:val="auto"/>
              </w:rPr>
            </w:pPr>
            <w:bookmarkStart w:id="157" w:name="_Hlk99014836"/>
            <w:r>
              <w:rPr>
                <w:rFonts w:hint="eastAsia"/>
                <w:color w:val="auto"/>
              </w:rPr>
              <w:t>支持在诊断界面将心电图原始数据生成二维码，并通过手机端微信小程序进行扫码查看、诊断和分享，通过手机扫码方式实现内网到外网的数据传输，物理隔离保障网络安全。</w:t>
            </w:r>
          </w:p>
          <w:bookmarkEnd w:id="157"/>
          <w:p w14:paraId="754761B9">
            <w:pPr>
              <w:pStyle w:val="18"/>
              <w:rPr>
                <w:color w:val="auto"/>
              </w:rPr>
            </w:pPr>
            <w:r>
              <w:rPr>
                <w:rFonts w:hint="eastAsia"/>
                <w:color w:val="auto"/>
              </w:rPr>
              <w:t>为保护受检者信息安全，报告分享支持脱敏显示。</w:t>
            </w:r>
          </w:p>
          <w:p w14:paraId="4E7CEF24">
            <w:pPr>
              <w:pStyle w:val="18"/>
              <w:rPr>
                <w:color w:val="auto"/>
              </w:rPr>
            </w:pPr>
            <w:r>
              <w:rPr>
                <w:rFonts w:hint="eastAsia"/>
                <w:color w:val="auto"/>
              </w:rPr>
              <w:t>支持修改系统名称及系统logo，实现个性化订制。</w:t>
            </w:r>
          </w:p>
        </w:tc>
      </w:tr>
      <w:tr w14:paraId="76F7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548C2AA9">
            <w:pPr>
              <w:pStyle w:val="18"/>
              <w:jc w:val="center"/>
              <w:rPr>
                <w:b w:val="0"/>
                <w:color w:val="auto"/>
              </w:rPr>
            </w:pPr>
            <w:r>
              <w:rPr>
                <w:rFonts w:hint="eastAsia"/>
                <w:b w:val="0"/>
                <w:color w:val="auto"/>
              </w:rPr>
              <w:t>移动会诊</w:t>
            </w:r>
          </w:p>
        </w:tc>
        <w:tc>
          <w:tcPr>
            <w:tcW w:w="3958" w:type="pct"/>
            <w:vAlign w:val="center"/>
          </w:tcPr>
          <w:p w14:paraId="204D83C4">
            <w:pPr>
              <w:pStyle w:val="18"/>
              <w:rPr>
                <w:color w:val="auto"/>
              </w:rPr>
            </w:pPr>
            <w:r>
              <w:rPr>
                <w:rFonts w:hint="eastAsia"/>
                <w:color w:val="auto"/>
              </w:rPr>
              <w:t>移动会诊支持手机端H5的方式实现原始心电图数据的查看，支持Android和iOS系统等各种品牌终端，满足出差、居家等不同场景下的远程会诊需求。</w:t>
            </w:r>
          </w:p>
          <w:p w14:paraId="58C4BF08">
            <w:pPr>
              <w:pStyle w:val="18"/>
              <w:rPr>
                <w:color w:val="auto"/>
              </w:rPr>
            </w:pPr>
            <w:r>
              <w:rPr>
                <w:rFonts w:hint="eastAsia"/>
                <w:color w:val="auto"/>
              </w:rPr>
              <w:t>支持手机端报告任务列表刷新功能，可实时查看待处理报告的数量。支持报告编辑功能，提供标准的心电图诊断词条选择或者手动输入诊断词条，辅助医生快速的进行报告编辑。</w:t>
            </w:r>
          </w:p>
          <w:p w14:paraId="0EE18507">
            <w:pPr>
              <w:pStyle w:val="18"/>
              <w:rPr>
                <w:color w:val="auto"/>
              </w:rPr>
            </w:pPr>
            <w:r>
              <w:rPr>
                <w:rFonts w:hint="eastAsia"/>
                <w:color w:val="auto"/>
              </w:rPr>
              <w:t>支持手机端浏览器访问登录功能；支持记录最近一次登录用户。</w:t>
            </w:r>
          </w:p>
          <w:p w14:paraId="7CB91F54">
            <w:pPr>
              <w:pStyle w:val="18"/>
              <w:rPr>
                <w:color w:val="auto"/>
              </w:rPr>
            </w:pPr>
            <w:r>
              <w:rPr>
                <w:rFonts w:hint="eastAsia"/>
                <w:color w:val="auto"/>
              </w:rPr>
              <w:t>支持iPad端诊断，方便医生值班时使用。支持报告列表功能、支持多份心电图切换功能、支持报告编辑功能；支持通过扫描二维码的方式连接服务器地址，免去繁杂的网址输入过程，防止服务器地址外泄，提高系统安全性。</w:t>
            </w:r>
          </w:p>
          <w:p w14:paraId="64F3C5C9">
            <w:pPr>
              <w:pStyle w:val="18"/>
              <w:rPr>
                <w:color w:val="auto"/>
              </w:rPr>
            </w:pPr>
            <w:r>
              <w:rPr>
                <w:rFonts w:hint="eastAsia"/>
                <w:color w:val="auto"/>
              </w:rPr>
              <w:t>系统支持将心电数据通过网络分享到微信群或者专家的微信，寻求技术指导或典型数据分享。会诊专家可在微信端查看原始心电数据，支持走速、增益的调整，支持导联布局的切换，支持心电波形的滤波。</w:t>
            </w:r>
          </w:p>
        </w:tc>
      </w:tr>
      <w:tr w14:paraId="3557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14282F4D">
            <w:pPr>
              <w:pStyle w:val="18"/>
              <w:jc w:val="center"/>
              <w:rPr>
                <w:b w:val="0"/>
                <w:color w:val="auto"/>
              </w:rPr>
            </w:pPr>
            <w:r>
              <w:rPr>
                <w:rFonts w:hint="eastAsia"/>
                <w:b w:val="0"/>
                <w:color w:val="auto"/>
              </w:rPr>
              <w:t>临床WEB端</w:t>
            </w:r>
          </w:p>
          <w:p w14:paraId="64AB5026">
            <w:pPr>
              <w:pStyle w:val="18"/>
              <w:jc w:val="center"/>
              <w:rPr>
                <w:rFonts w:cs="宋体"/>
                <w:b w:val="0"/>
                <w:color w:val="auto"/>
              </w:rPr>
            </w:pPr>
            <w:r>
              <w:rPr>
                <w:rFonts w:hint="eastAsia"/>
                <w:b w:val="0"/>
                <w:color w:val="auto"/>
              </w:rPr>
              <w:t>调阅</w:t>
            </w:r>
          </w:p>
        </w:tc>
        <w:tc>
          <w:tcPr>
            <w:tcW w:w="3958" w:type="pct"/>
            <w:vAlign w:val="center"/>
          </w:tcPr>
          <w:p w14:paraId="1B2E9DF8">
            <w:pPr>
              <w:pStyle w:val="18"/>
              <w:rPr>
                <w:color w:val="auto"/>
              </w:rPr>
            </w:pPr>
            <w:r>
              <w:rPr>
                <w:rFonts w:hint="eastAsia"/>
                <w:color w:val="auto"/>
              </w:rPr>
              <w:t>支持在</w:t>
            </w:r>
            <w:r>
              <w:rPr>
                <w:color w:val="auto"/>
              </w:rPr>
              <w:t>Web端</w:t>
            </w:r>
            <w:r>
              <w:rPr>
                <w:rFonts w:hint="eastAsia"/>
                <w:color w:val="auto"/>
              </w:rPr>
              <w:t>查看、</w:t>
            </w:r>
            <w:r>
              <w:rPr>
                <w:color w:val="auto"/>
              </w:rPr>
              <w:t>诊断、发布</w:t>
            </w:r>
            <w:r>
              <w:rPr>
                <w:rFonts w:hint="eastAsia"/>
                <w:color w:val="auto"/>
              </w:rPr>
              <w:t>心电图报告。满足不同场景的业务需求。</w:t>
            </w:r>
          </w:p>
          <w:p w14:paraId="666EF69A">
            <w:pPr>
              <w:pStyle w:val="18"/>
              <w:rPr>
                <w:color w:val="auto"/>
              </w:rPr>
            </w:pPr>
            <w:r>
              <w:rPr>
                <w:rFonts w:hint="eastAsia"/>
                <w:color w:val="auto"/>
              </w:rPr>
              <w:t>支持根据报告完成状态待诊断、已诊断查看报告，并且直观看出待诊断的报告数量。</w:t>
            </w:r>
          </w:p>
          <w:p w14:paraId="49F76509">
            <w:pPr>
              <w:pStyle w:val="18"/>
              <w:rPr>
                <w:color w:val="auto"/>
              </w:rPr>
            </w:pPr>
            <w:r>
              <w:rPr>
                <w:rFonts w:hint="eastAsia"/>
                <w:color w:val="auto"/>
              </w:rPr>
              <w:t>支持通过检查科室、受检者来源、检查时间、受检者标识、受检者姓名快速检索报告。</w:t>
            </w:r>
          </w:p>
          <w:p w14:paraId="32EBE41C">
            <w:pPr>
              <w:pStyle w:val="18"/>
              <w:rPr>
                <w:color w:val="auto"/>
              </w:rPr>
            </w:pPr>
            <w:r>
              <w:rPr>
                <w:rFonts w:hint="eastAsia"/>
                <w:color w:val="auto"/>
              </w:rPr>
              <w:t>支持产生新报告到达即时提醒功能。当检查端采集的病历发送过来时，web端自动弹出提示窗口并语音提醒，提示医生有新报告到达。</w:t>
            </w:r>
          </w:p>
          <w:p w14:paraId="1E9AD7D9">
            <w:pPr>
              <w:pStyle w:val="18"/>
              <w:rPr>
                <w:color w:val="auto"/>
                <w:szCs w:val="21"/>
              </w:rPr>
            </w:pPr>
            <w:r>
              <w:rPr>
                <w:color w:val="auto"/>
              </w:rPr>
              <w:t>Web终端可查看原始数据，支持调整导联布局、增益、走速及；支持心电波形的滤波，包括肌电滤波、工频滤波、高频滤波；提供标准的心电图诊断</w:t>
            </w:r>
            <w:r>
              <w:rPr>
                <w:rFonts w:hint="eastAsia"/>
                <w:color w:val="auto"/>
              </w:rPr>
              <w:t>词条选择或者手动输入</w:t>
            </w:r>
            <w:r>
              <w:rPr>
                <w:color w:val="auto"/>
              </w:rPr>
              <w:t>；支持修改受检者部分信息；支持全院数据共享。</w:t>
            </w:r>
          </w:p>
        </w:tc>
      </w:tr>
      <w:tr w14:paraId="59C6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42" w:type="pct"/>
            <w:vAlign w:val="center"/>
          </w:tcPr>
          <w:p w14:paraId="72129025">
            <w:pPr>
              <w:pStyle w:val="18"/>
              <w:jc w:val="center"/>
              <w:rPr>
                <w:b w:val="0"/>
                <w:color w:val="auto"/>
              </w:rPr>
            </w:pPr>
            <w:r>
              <w:rPr>
                <w:rFonts w:hint="eastAsia"/>
                <w:b w:val="0"/>
                <w:color w:val="auto"/>
              </w:rPr>
              <w:t>心电AI</w:t>
            </w:r>
          </w:p>
          <w:p w14:paraId="4D30CD8F">
            <w:pPr>
              <w:pStyle w:val="18"/>
              <w:jc w:val="center"/>
              <w:rPr>
                <w:rFonts w:cs="宋体"/>
                <w:b w:val="0"/>
                <w:color w:val="auto"/>
              </w:rPr>
            </w:pPr>
            <w:r>
              <w:rPr>
                <w:rFonts w:hint="eastAsia"/>
                <w:b w:val="0"/>
                <w:color w:val="auto"/>
              </w:rPr>
              <w:t>智能分析</w:t>
            </w:r>
          </w:p>
        </w:tc>
        <w:tc>
          <w:tcPr>
            <w:tcW w:w="3958" w:type="pct"/>
            <w:vAlign w:val="center"/>
          </w:tcPr>
          <w:p w14:paraId="644AB300">
            <w:pPr>
              <w:pStyle w:val="18"/>
              <w:rPr>
                <w:color w:val="auto"/>
              </w:rPr>
            </w:pPr>
            <w:r>
              <w:rPr>
                <w:color w:val="auto"/>
              </w:rPr>
              <w:t>1）通过</w:t>
            </w:r>
            <w:r>
              <w:rPr>
                <w:rFonts w:hint="eastAsia"/>
                <w:color w:val="auto"/>
              </w:rPr>
              <w:t>AI</w:t>
            </w:r>
            <w:r>
              <w:rPr>
                <w:color w:val="auto"/>
              </w:rPr>
              <w:t>智能分析技术与心电业务的深度融合，优化心电业务流程、提高心电诊断效率、提升心电业务服务质量和管理水平，将人工智能分析技术应用在心电图采集、诊断、监测、预警、质控等业务场景。</w:t>
            </w:r>
          </w:p>
          <w:p w14:paraId="20C1EEDA">
            <w:pPr>
              <w:pStyle w:val="18"/>
              <w:rPr>
                <w:color w:val="auto"/>
              </w:rPr>
            </w:pPr>
            <w:r>
              <w:rPr>
                <w:color w:val="auto"/>
              </w:rPr>
              <w:t>2）具备深度学习心电分析模块可不断自我迭代升级，支持成人心律失常、心肌梗塞、ST-T异常、房室肥大等四大类异常心电图的自动识别。</w:t>
            </w:r>
          </w:p>
          <w:p w14:paraId="4AF4F198">
            <w:pPr>
              <w:pStyle w:val="18"/>
              <w:rPr>
                <w:color w:val="auto"/>
              </w:rPr>
            </w:pPr>
            <w:r>
              <w:rPr>
                <w:color w:val="auto"/>
              </w:rPr>
              <w:t>3）支持包括窦性心律、房性心律、室上性心动过速、心房颤动、心房扑动、停搏、起搏心律、短PR间期、预激综合征、传导阻滞等心律失常异常心电图的自动识别功能。</w:t>
            </w:r>
          </w:p>
          <w:p w14:paraId="31E52A3D">
            <w:pPr>
              <w:pStyle w:val="18"/>
              <w:rPr>
                <w:color w:val="auto"/>
              </w:rPr>
            </w:pPr>
            <w:r>
              <w:rPr>
                <w:color w:val="auto"/>
              </w:rPr>
              <w:t>4）支持急性心肌梗塞和陈旧性心肌梗塞等心肌梗塞异常心电图的自动识别。</w:t>
            </w:r>
          </w:p>
          <w:p w14:paraId="3F922DB8">
            <w:pPr>
              <w:pStyle w:val="18"/>
              <w:rPr>
                <w:color w:val="auto"/>
              </w:rPr>
            </w:pPr>
            <w:r>
              <w:rPr>
                <w:color w:val="auto"/>
              </w:rPr>
              <w:t>5）支持ST压低、ST抬高、T波异常、ST_T改变、QTc间期等ST-T异常心电图的自动识别。准确定位ST-T改变，协助医生快速定位心肌缺血、急性梗死等心电事件。</w:t>
            </w:r>
          </w:p>
          <w:p w14:paraId="65F0B13A">
            <w:pPr>
              <w:pStyle w:val="18"/>
              <w:rPr>
                <w:color w:val="auto"/>
              </w:rPr>
            </w:pPr>
            <w:r>
              <w:rPr>
                <w:color w:val="auto"/>
              </w:rPr>
              <w:t>6）支持右室肥大、左室肥大、右房增大、左房增大等房室肥大异常心电图的自动识别。</w:t>
            </w:r>
          </w:p>
          <w:p w14:paraId="5DCBDF8D">
            <w:pPr>
              <w:pStyle w:val="18"/>
              <w:rPr>
                <w:color w:val="auto"/>
              </w:rPr>
            </w:pPr>
            <w:r>
              <w:rPr>
                <w:color w:val="auto"/>
              </w:rPr>
              <w:t>7）AI可自动识别心电图的采集质量，如是否有左右手接反、伪差、导联脱落、起搏信号等情况；</w:t>
            </w:r>
          </w:p>
          <w:p w14:paraId="714C0A1F">
            <w:pPr>
              <w:pStyle w:val="18"/>
              <w:rPr>
                <w:color w:val="auto"/>
              </w:rPr>
            </w:pPr>
            <w:r>
              <w:rPr>
                <w:color w:val="auto"/>
              </w:rPr>
              <w:t>8）支持识别特定类型病人并提醒采集人员补充完善临床信息，如患者是否佩戴了起搏器，从源头上规避影响诊断的重采问题；</w:t>
            </w:r>
          </w:p>
          <w:p w14:paraId="0D2D48AB">
            <w:pPr>
              <w:pStyle w:val="18"/>
              <w:rPr>
                <w:color w:val="auto"/>
              </w:rPr>
            </w:pPr>
            <w:r>
              <w:rPr>
                <w:color w:val="auto"/>
              </w:rPr>
              <w:t>9）支持以消息弹窗和语音提醒的方式提醒诊断医生危急值数据，支持急性心肌梗塞、严重过速型心律失常、严重过缓型心律失常等类型。并支持危急数据通过微信推送给指定专家，精准判读，缩短患者救治时间。</w:t>
            </w:r>
          </w:p>
          <w:p w14:paraId="1D496FE9">
            <w:pPr>
              <w:pStyle w:val="18"/>
              <w:rPr>
                <w:color w:val="auto"/>
              </w:rPr>
            </w:pPr>
            <w:r>
              <w:rPr>
                <w:color w:val="auto"/>
              </w:rPr>
              <w:t>10）辅助诊断：采用深度学习心电分析模块自动诊断心电图，并将诊断结论引用至诊断报告中。在提交诊断时，后台对医生的诊断词条进行审核，自动匹配AI诊断结论和医生诊断结论，若出现漏诊情况，系统将有弹窗提示，提醒诊断医师漏诊项。</w:t>
            </w:r>
          </w:p>
          <w:p w14:paraId="2557026E">
            <w:pPr>
              <w:pStyle w:val="18"/>
              <w:rPr>
                <w:color w:val="auto"/>
              </w:rPr>
            </w:pPr>
            <w:r>
              <w:rPr>
                <w:color w:val="auto"/>
              </w:rPr>
              <w:t>11）特征标记：AI诊断后，点击AI特征标记可跳转到对应波形位置，标记诊断依据。支持类型窦性心律不齐、房性早搏、室性心动过速、心动过缓、长RR间期、急性心梗等疾病类型心电波形特征的标记。</w:t>
            </w:r>
          </w:p>
          <w:p w14:paraId="16050610">
            <w:pPr>
              <w:pStyle w:val="18"/>
              <w:rPr>
                <w:color w:val="auto"/>
              </w:rPr>
            </w:pPr>
            <w:r>
              <w:rPr>
                <w:color w:val="auto"/>
              </w:rPr>
              <w:t>12）起搏信号智能标识：通过AI帮助医生快速识别出微弱的起搏信号，避免漏诊误诊。</w:t>
            </w:r>
          </w:p>
        </w:tc>
      </w:tr>
      <w:tr w14:paraId="7ADE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42" w:type="pct"/>
            <w:vAlign w:val="center"/>
          </w:tcPr>
          <w:p w14:paraId="27A9880C">
            <w:pPr>
              <w:pStyle w:val="18"/>
              <w:jc w:val="center"/>
              <w:rPr>
                <w:b w:val="0"/>
                <w:color w:val="auto"/>
              </w:rPr>
            </w:pPr>
            <w:r>
              <w:rPr>
                <w:rFonts w:hint="eastAsia"/>
                <w:b w:val="0"/>
                <w:color w:val="auto"/>
              </w:rPr>
              <w:t>数据统计与</w:t>
            </w:r>
          </w:p>
          <w:p w14:paraId="2DD4F83F">
            <w:pPr>
              <w:pStyle w:val="18"/>
              <w:jc w:val="center"/>
              <w:rPr>
                <w:rFonts w:cs="宋体"/>
                <w:b w:val="0"/>
                <w:color w:val="auto"/>
              </w:rPr>
            </w:pPr>
            <w:r>
              <w:rPr>
                <w:rFonts w:hint="eastAsia"/>
                <w:b w:val="0"/>
                <w:color w:val="auto"/>
              </w:rPr>
              <w:t>质控管理</w:t>
            </w:r>
          </w:p>
        </w:tc>
        <w:tc>
          <w:tcPr>
            <w:tcW w:w="3958" w:type="pct"/>
            <w:vAlign w:val="center"/>
          </w:tcPr>
          <w:p w14:paraId="5E445217">
            <w:pPr>
              <w:pStyle w:val="18"/>
              <w:rPr>
                <w:color w:val="auto"/>
              </w:rPr>
            </w:pPr>
            <w:r>
              <w:rPr>
                <w:rFonts w:hint="eastAsia"/>
                <w:color w:val="auto"/>
              </w:rPr>
              <w:t>支持GIS技术，展示区域内的诊断资源和检查量分布。利用大数据可视化系统，通过对医院心电检查、诊断、资源分布等数据的分析挖掘，为院内的业务开展和资源分配提供数据支撑。</w:t>
            </w:r>
          </w:p>
          <w:p w14:paraId="7E0E27F3">
            <w:pPr>
              <w:pStyle w:val="18"/>
              <w:rPr>
                <w:color w:val="auto"/>
              </w:rPr>
            </w:pPr>
            <w:r>
              <w:rPr>
                <w:rFonts w:hint="eastAsia"/>
                <w:color w:val="auto"/>
              </w:rPr>
              <w:t>统计分析：实现管理部门对病种、医生、检查报告的统计分析。</w:t>
            </w:r>
          </w:p>
          <w:p w14:paraId="001F8F31">
            <w:pPr>
              <w:pStyle w:val="18"/>
              <w:rPr>
                <w:color w:val="auto"/>
              </w:rPr>
            </w:pPr>
            <w:r>
              <w:rPr>
                <w:rFonts w:hint="eastAsia"/>
                <w:color w:val="auto"/>
              </w:rPr>
              <w:t>支持根据机构、诊断中心查看报告检查量、诊断量。</w:t>
            </w:r>
          </w:p>
          <w:p w14:paraId="55C4EC4B">
            <w:pPr>
              <w:pStyle w:val="18"/>
              <w:rPr>
                <w:color w:val="auto"/>
              </w:rPr>
            </w:pPr>
            <w:r>
              <w:rPr>
                <w:rFonts w:hint="eastAsia"/>
                <w:color w:val="auto"/>
              </w:rPr>
              <w:t>支持诊断来源分布统计。</w:t>
            </w:r>
          </w:p>
          <w:p w14:paraId="7EA9DA80">
            <w:pPr>
              <w:pStyle w:val="18"/>
              <w:rPr>
                <w:color w:val="auto"/>
              </w:rPr>
            </w:pPr>
            <w:r>
              <w:rPr>
                <w:rFonts w:hint="eastAsia"/>
                <w:color w:val="auto"/>
              </w:rPr>
              <w:t>支持危急值统计分析，支持列表和柱状图展示。</w:t>
            </w:r>
          </w:p>
          <w:p w14:paraId="5530663F">
            <w:pPr>
              <w:pStyle w:val="18"/>
              <w:rPr>
                <w:color w:val="auto"/>
              </w:rPr>
            </w:pPr>
            <w:r>
              <w:rPr>
                <w:rFonts w:hint="eastAsia"/>
                <w:color w:val="auto"/>
              </w:rPr>
              <w:t>基于平台建设，成立心电质控中心，组建质控团队，支持从采集质量、病人信息完整度、诊断报告质量、报告规范、诊断时效、疑难病例、危急值数据等不同维度建立心电质控指标，对心电检查诊断业务进行全面的质控分析。</w:t>
            </w:r>
          </w:p>
          <w:p w14:paraId="3CCF6191">
            <w:pPr>
              <w:pStyle w:val="18"/>
              <w:rPr>
                <w:color w:val="auto"/>
              </w:rPr>
            </w:pPr>
            <w:r>
              <w:rPr>
                <w:rFonts w:hint="eastAsia"/>
                <w:color w:val="auto"/>
              </w:rPr>
              <w:t>支持通过心电人工智能进行质控分析，评估诊断医生和诊断组的诊断质量，进一步明确后续的培训方向和提高培训效果。</w:t>
            </w:r>
          </w:p>
        </w:tc>
      </w:tr>
      <w:tr w14:paraId="6B4E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525D5803">
            <w:pPr>
              <w:pStyle w:val="18"/>
              <w:jc w:val="center"/>
              <w:rPr>
                <w:b w:val="0"/>
                <w:color w:val="auto"/>
              </w:rPr>
            </w:pPr>
            <w:r>
              <w:rPr>
                <w:rFonts w:hint="eastAsia" w:cs="宋体"/>
                <w:b w:val="0"/>
                <w:color w:val="auto"/>
              </w:rPr>
              <w:t>电生理工作站</w:t>
            </w:r>
          </w:p>
        </w:tc>
        <w:tc>
          <w:tcPr>
            <w:tcW w:w="3958" w:type="pct"/>
            <w:vAlign w:val="center"/>
          </w:tcPr>
          <w:p w14:paraId="62063F3C">
            <w:pPr>
              <w:pStyle w:val="18"/>
              <w:rPr>
                <w:color w:val="auto"/>
              </w:rPr>
            </w:pPr>
            <w:r>
              <w:rPr>
                <w:rFonts w:hint="eastAsia"/>
                <w:color w:val="auto"/>
              </w:rPr>
              <w:t>将分散在各个科室、分院的动态心电图、动态血压、动态脑电图、肌电图、TCD、肺功能、骨密度等多种电生理设备联网，无缝连接医院HIS、EMR等系统，电生理检查可完全实现在网上申请、收费、预约和登记，优化电生理检查流程，实现电生理检查报告共享，检查数据备份、还原及会诊等功能,提高院内电生理检查的工作效率和管理水平。</w:t>
            </w:r>
          </w:p>
          <w:p w14:paraId="24B4B9F7">
            <w:pPr>
              <w:pStyle w:val="18"/>
              <w:rPr>
                <w:color w:val="auto"/>
              </w:rPr>
            </w:pPr>
            <w:r>
              <w:rPr>
                <w:rFonts w:hint="eastAsia"/>
                <w:color w:val="auto"/>
              </w:rPr>
              <w:t>支持对电生理软件工作站输出的PDF报告文件进行接收、传输和处理，电生理设备软件分析数据并通过打印输出报告后，所投产品须支持获取输出的最终文档，可以把文件保存为BMP (JPG) 、PDF等格式。</w:t>
            </w:r>
          </w:p>
          <w:p w14:paraId="444EF20D">
            <w:pPr>
              <w:pStyle w:val="18"/>
              <w:rPr>
                <w:color w:val="auto"/>
              </w:rPr>
            </w:pPr>
            <w:r>
              <w:rPr>
                <w:rFonts w:hint="eastAsia"/>
                <w:color w:val="auto"/>
              </w:rPr>
              <w:t>支持电生理报告的自动归档和自动签名。</w:t>
            </w:r>
          </w:p>
          <w:p w14:paraId="23A8B4D7">
            <w:pPr>
              <w:pStyle w:val="18"/>
              <w:rPr>
                <w:color w:val="auto"/>
              </w:rPr>
            </w:pPr>
            <w:r>
              <w:rPr>
                <w:rFonts w:hint="eastAsia"/>
                <w:color w:val="auto"/>
              </w:rPr>
              <w:t>根据临床医生实际需要，支持通过OCR图片识别或PDF文字提取等方式对电生理报告参数进行提取，提取的信息可以根据用户的需要重新组合并按照医院要求重新定义报告格式，定制报告首页，统一报告风格。</w:t>
            </w:r>
          </w:p>
          <w:p w14:paraId="1A2E66F6">
            <w:pPr>
              <w:pStyle w:val="18"/>
              <w:rPr>
                <w:color w:val="auto"/>
              </w:rPr>
            </w:pPr>
            <w:r>
              <w:rPr>
                <w:rFonts w:hint="eastAsia"/>
                <w:color w:val="auto"/>
              </w:rPr>
              <w:t xml:space="preserve">针对部分无法联网的电生理设备，目前还在使用word、excel 等自制模版写报告方式的电生理设备，支持提供定制报告模板，可以在软件端出报告并提交； </w:t>
            </w:r>
          </w:p>
          <w:p w14:paraId="0130B075">
            <w:pPr>
              <w:pStyle w:val="18"/>
              <w:rPr>
                <w:color w:val="auto"/>
              </w:rPr>
            </w:pPr>
            <w:r>
              <w:rPr>
                <w:rFonts w:hint="eastAsia"/>
                <w:color w:val="auto"/>
              </w:rPr>
              <w:t>支持报告标记功能，针对特殊病历进行报告标记，方便后期随访。</w:t>
            </w:r>
          </w:p>
          <w:p w14:paraId="43EE17C0">
            <w:pPr>
              <w:pStyle w:val="18"/>
              <w:rPr>
                <w:color w:val="auto"/>
              </w:rPr>
            </w:pPr>
            <w:r>
              <w:rPr>
                <w:rFonts w:hint="eastAsia"/>
                <w:color w:val="auto"/>
              </w:rPr>
              <w:t>电生理报告的数字化归档存储；对获取的数据进行归档后，在科室内实现数字化管理，在院内实现共享。在需要的时候支持电生理的远程会诊。</w:t>
            </w:r>
          </w:p>
          <w:p w14:paraId="2011F0C7">
            <w:pPr>
              <w:pStyle w:val="18"/>
              <w:rPr>
                <w:color w:val="auto"/>
              </w:rPr>
            </w:pPr>
            <w:r>
              <w:rPr>
                <w:rFonts w:hint="eastAsia"/>
                <w:color w:val="auto"/>
              </w:rPr>
              <w:t>数据查询：可查询患者信息，仪器使用量，工作量费用统计，阳性查询，低值查询，数据范围查询等。</w:t>
            </w:r>
          </w:p>
        </w:tc>
      </w:tr>
      <w:tr w14:paraId="79AE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474C64F8">
            <w:pPr>
              <w:pStyle w:val="18"/>
              <w:jc w:val="center"/>
              <w:rPr>
                <w:b w:val="0"/>
                <w:color w:val="auto"/>
              </w:rPr>
            </w:pPr>
            <w:r>
              <w:rPr>
                <w:rFonts w:hint="eastAsia"/>
                <w:b w:val="0"/>
                <w:color w:val="auto"/>
              </w:rPr>
              <w:t>心电设备接入</w:t>
            </w:r>
          </w:p>
        </w:tc>
        <w:tc>
          <w:tcPr>
            <w:tcW w:w="3958" w:type="pct"/>
            <w:vAlign w:val="center"/>
          </w:tcPr>
          <w:p w14:paraId="58CA5755">
            <w:pPr>
              <w:pStyle w:val="18"/>
              <w:rPr>
                <w:color w:val="auto"/>
              </w:rPr>
            </w:pPr>
            <w:r>
              <w:rPr>
                <w:rFonts w:hint="eastAsia"/>
                <w:color w:val="auto"/>
              </w:rPr>
              <w:t>为充分利用现有设备，系统需支持连接医院现有不同品牌与型号的心电图设备，支持采集原始数据，不能以截屏、拷贝、拍照等方式获取数据，并以标准的数据格式存储，实现心电数据分析，支持接入心电图设备的数据归档和管理。</w:t>
            </w:r>
          </w:p>
          <w:p w14:paraId="65853E87">
            <w:pPr>
              <w:pStyle w:val="18"/>
              <w:rPr>
                <w:color w:val="auto"/>
              </w:rPr>
            </w:pPr>
            <w:r>
              <w:rPr>
                <w:rFonts w:hint="eastAsia"/>
                <w:color w:val="auto"/>
              </w:rPr>
              <w:t>系统支持连接第三方心电图机完成受检者的心电检查。支持解析hl7、mfer、scp、fda-xml、dicom、anb、dat、ecg、eco、ekg等第三方心电图机数据格式并以统一的格式进行存储。</w:t>
            </w:r>
          </w:p>
          <w:p w14:paraId="43BCBB67">
            <w:pPr>
              <w:pStyle w:val="18"/>
              <w:rPr>
                <w:color w:val="auto"/>
              </w:rPr>
            </w:pPr>
            <w:r>
              <w:rPr>
                <w:rFonts w:hint="eastAsia"/>
                <w:color w:val="auto"/>
              </w:rPr>
              <w:t>支持针对门诊（固定检查）、病房（移动检查）等不同的检查场景，按照所接设备类型，可以提供不同的设备接入和改造方案。满足不同场景下的设备接入和采集需求。</w:t>
            </w:r>
          </w:p>
          <w:p w14:paraId="3A6E29A6">
            <w:pPr>
              <w:pStyle w:val="18"/>
              <w:rPr>
                <w:color w:val="auto"/>
              </w:rPr>
            </w:pPr>
            <w:r>
              <w:rPr>
                <w:rFonts w:hint="eastAsia"/>
                <w:color w:val="auto"/>
              </w:rPr>
              <w:t>具备网络传输功能的心电图机，数据采集完成后可通过无线或有线方式直接发送至心电中心服务器，由诊断中心进行集中诊断。</w:t>
            </w:r>
          </w:p>
          <w:p w14:paraId="2F4086DE">
            <w:pPr>
              <w:pStyle w:val="18"/>
              <w:rPr>
                <w:color w:val="auto"/>
              </w:rPr>
            </w:pPr>
            <w:r>
              <w:rPr>
                <w:rFonts w:hint="eastAsia"/>
                <w:color w:val="auto"/>
              </w:rPr>
              <w:t>支持对不具备网络传输功能的心电图机进行数字化改造，可兼容不同品牌型号的心电图机、采集盒以及其他检查设备。</w:t>
            </w:r>
          </w:p>
          <w:p w14:paraId="5982CA03">
            <w:pPr>
              <w:pStyle w:val="18"/>
              <w:rPr>
                <w:color w:val="auto"/>
              </w:rPr>
            </w:pPr>
            <w:r>
              <w:rPr>
                <w:rFonts w:hint="eastAsia"/>
                <w:color w:val="auto"/>
              </w:rPr>
              <w:t>移动场景下，支持第三方心电图机先离线采集再集中上传，无需借助PC、平板等即可通过网络直传诊断中心。</w:t>
            </w:r>
          </w:p>
          <w:p w14:paraId="098CCD5A">
            <w:pPr>
              <w:pStyle w:val="18"/>
              <w:rPr>
                <w:color w:val="auto"/>
              </w:rPr>
            </w:pPr>
            <w:r>
              <w:rPr>
                <w:rFonts w:hint="eastAsia"/>
                <w:color w:val="auto"/>
              </w:rPr>
              <w:t>固定场景下，支持将现有心电设备直接连接电脑来实现心电数据接收，支持手动创建、扫码、读卡、输入卡号、下载预约记录等多种方式获取检查信息，支持设置加急和隐私患者处理。</w:t>
            </w:r>
          </w:p>
        </w:tc>
      </w:tr>
      <w:tr w14:paraId="382E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3FAD8B5A">
            <w:pPr>
              <w:pStyle w:val="18"/>
              <w:jc w:val="center"/>
              <w:rPr>
                <w:b w:val="0"/>
                <w:color w:val="auto"/>
              </w:rPr>
            </w:pPr>
            <w:r>
              <w:rPr>
                <w:rFonts w:hint="eastAsia"/>
                <w:b w:val="0"/>
                <w:color w:val="auto"/>
              </w:rPr>
              <w:t>电生理</w:t>
            </w:r>
          </w:p>
          <w:p w14:paraId="7FC7C8A5">
            <w:pPr>
              <w:pStyle w:val="18"/>
              <w:jc w:val="center"/>
              <w:rPr>
                <w:b w:val="0"/>
                <w:color w:val="auto"/>
              </w:rPr>
            </w:pPr>
            <w:r>
              <w:rPr>
                <w:rFonts w:hint="eastAsia"/>
                <w:b w:val="0"/>
                <w:color w:val="auto"/>
              </w:rPr>
              <w:t>设备接入</w:t>
            </w:r>
          </w:p>
        </w:tc>
        <w:tc>
          <w:tcPr>
            <w:tcW w:w="3958" w:type="pct"/>
            <w:vAlign w:val="center"/>
          </w:tcPr>
          <w:p w14:paraId="2E6950B0">
            <w:pPr>
              <w:pStyle w:val="18"/>
              <w:rPr>
                <w:color w:val="auto"/>
              </w:rPr>
            </w:pPr>
            <w:r>
              <w:rPr>
                <w:rFonts w:hint="eastAsia"/>
                <w:color w:val="auto"/>
              </w:rPr>
              <w:t>电生理设备</w:t>
            </w:r>
            <w:r>
              <w:rPr>
                <w:color w:val="auto"/>
              </w:rPr>
              <w:t>包括Holter、运动平板、动态血压、脑电图、肌电图、TCD，听力检查、眼科检查、神经电生理检查等</w:t>
            </w:r>
            <w:r>
              <w:rPr>
                <w:rFonts w:hint="eastAsia"/>
                <w:color w:val="auto"/>
              </w:rPr>
              <w:t>，实现数据获取、归档、生成电生理报告，报告可院内共享。</w:t>
            </w:r>
          </w:p>
          <w:p w14:paraId="19493566">
            <w:pPr>
              <w:pStyle w:val="18"/>
              <w:rPr>
                <w:color w:val="auto"/>
              </w:rPr>
            </w:pPr>
            <w:r>
              <w:rPr>
                <w:rFonts w:hint="eastAsia"/>
                <w:color w:val="auto"/>
              </w:rPr>
              <w:t>对待接入的电生理设备进行全面调研，评估是否支持接入系统，计算设备接入数量和点位；</w:t>
            </w:r>
          </w:p>
          <w:p w14:paraId="28924C25">
            <w:pPr>
              <w:pStyle w:val="18"/>
              <w:rPr>
                <w:color w:val="auto"/>
              </w:rPr>
            </w:pPr>
            <w:r>
              <w:rPr>
                <w:rFonts w:hint="eastAsia"/>
                <w:color w:val="auto"/>
              </w:rPr>
              <w:t>针对不同类型的电生理设备提供定制化的接入方案；</w:t>
            </w:r>
          </w:p>
          <w:p w14:paraId="0F7FE2DD">
            <w:pPr>
              <w:pStyle w:val="18"/>
              <w:rPr>
                <w:color w:val="auto"/>
              </w:rPr>
            </w:pPr>
            <w:r>
              <w:rPr>
                <w:rFonts w:hint="eastAsia"/>
                <w:color w:val="auto"/>
              </w:rPr>
              <w:t>支持对医院现有的动态心电、动态血压、脑电图、肌电图等电设备进行统一管理，包括设备型号、设备ID、生产厂家、所属科室、设备有效期等信息，可进行设备的新增、查询、删除等操作，建立有效的设备管理机制。</w:t>
            </w:r>
          </w:p>
        </w:tc>
      </w:tr>
      <w:tr w14:paraId="6469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7B53C6CB">
            <w:pPr>
              <w:pStyle w:val="18"/>
              <w:jc w:val="center"/>
              <w:rPr>
                <w:b w:val="0"/>
                <w:color w:val="auto"/>
              </w:rPr>
            </w:pPr>
            <w:r>
              <w:rPr>
                <w:rFonts w:hint="eastAsia"/>
                <w:b w:val="0"/>
                <w:color w:val="auto"/>
              </w:rPr>
              <w:t>系统对接/集成</w:t>
            </w:r>
          </w:p>
        </w:tc>
        <w:tc>
          <w:tcPr>
            <w:tcW w:w="3958" w:type="pct"/>
            <w:vAlign w:val="center"/>
          </w:tcPr>
          <w:p w14:paraId="57FE4FAF">
            <w:pPr>
              <w:pStyle w:val="18"/>
              <w:rPr>
                <w:color w:val="auto"/>
              </w:rPr>
            </w:pPr>
            <w:r>
              <w:rPr>
                <w:rFonts w:hint="eastAsia"/>
                <w:color w:val="auto"/>
              </w:rPr>
              <w:t>支持与医院相关系统对接，可对接系统中自动获取检查患者基本信息、交费信息、诊断信息、检查要求等。</w:t>
            </w:r>
          </w:p>
          <w:p w14:paraId="5243C2D1">
            <w:pPr>
              <w:pStyle w:val="18"/>
              <w:rPr>
                <w:color w:val="auto"/>
              </w:rPr>
            </w:pPr>
            <w:r>
              <w:rPr>
                <w:rFonts w:hint="eastAsia"/>
                <w:color w:val="auto"/>
              </w:rPr>
              <w:t>支持与其他信息系统(HIS、电子病历)心电图相关的信息(检查申请单、检查状态回写、报告状态回写、结论回写)交互。</w:t>
            </w:r>
          </w:p>
          <w:p w14:paraId="0C95A864">
            <w:pPr>
              <w:pStyle w:val="18"/>
              <w:rPr>
                <w:color w:val="auto"/>
              </w:rPr>
            </w:pPr>
            <w:r>
              <w:rPr>
                <w:rFonts w:hint="eastAsia"/>
                <w:color w:val="auto"/>
              </w:rPr>
              <w:t>支持第三方系统调阅心电图报告，可浏览并打印心电图报告。</w:t>
            </w:r>
          </w:p>
        </w:tc>
      </w:tr>
      <w:tr w14:paraId="1DE2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42" w:type="pct"/>
            <w:vAlign w:val="center"/>
          </w:tcPr>
          <w:p w14:paraId="4791E1F0">
            <w:pPr>
              <w:pStyle w:val="18"/>
              <w:jc w:val="center"/>
              <w:rPr>
                <w:rFonts w:cs="宋体"/>
                <w:b w:val="0"/>
                <w:color w:val="auto"/>
              </w:rPr>
            </w:pPr>
            <w:r>
              <w:rPr>
                <w:rFonts w:hint="eastAsia" w:cs="宋体"/>
                <w:b w:val="0"/>
                <w:color w:val="auto"/>
              </w:rPr>
              <w:t>数字式心电图机（含工作站）</w:t>
            </w:r>
          </w:p>
        </w:tc>
        <w:tc>
          <w:tcPr>
            <w:tcW w:w="3958" w:type="pct"/>
            <w:vAlign w:val="center"/>
          </w:tcPr>
          <w:p w14:paraId="42958F86">
            <w:pPr>
              <w:pStyle w:val="18"/>
              <w:rPr>
                <w:rFonts w:cs="宋体"/>
                <w:color w:val="auto"/>
              </w:rPr>
            </w:pPr>
            <w:r>
              <w:rPr>
                <w:rFonts w:hint="eastAsia" w:cs="宋体"/>
                <w:color w:val="auto"/>
              </w:rPr>
              <w:t>需提供</w:t>
            </w:r>
            <w:r>
              <w:rPr>
                <w:rFonts w:cs="宋体"/>
                <w:color w:val="auto"/>
              </w:rPr>
              <w:t>1</w:t>
            </w:r>
            <w:r>
              <w:rPr>
                <w:rFonts w:hint="eastAsia" w:cs="宋体"/>
                <w:color w:val="auto"/>
              </w:rPr>
              <w:t>台数字式心电图机，支持12导心电图采集；</w:t>
            </w:r>
          </w:p>
          <w:p w14:paraId="7EAFF1A0">
            <w:pPr>
              <w:pStyle w:val="18"/>
              <w:rPr>
                <w:rFonts w:cs="宋体"/>
                <w:color w:val="auto"/>
              </w:rPr>
            </w:pPr>
            <w:r>
              <w:rPr>
                <w:rFonts w:hint="eastAsia" w:cs="宋体"/>
                <w:color w:val="auto"/>
              </w:rPr>
              <w:t>输入阻抗：≥100MΩ</w:t>
            </w:r>
          </w:p>
          <w:p w14:paraId="3ED5812F">
            <w:pPr>
              <w:pStyle w:val="18"/>
              <w:rPr>
                <w:rFonts w:cs="宋体"/>
                <w:color w:val="auto"/>
              </w:rPr>
            </w:pPr>
            <w:r>
              <w:rPr>
                <w:rFonts w:hint="eastAsia" w:cs="宋体"/>
                <w:color w:val="auto"/>
              </w:rPr>
              <w:t>内部噪声：≤10μVP-P</w:t>
            </w:r>
          </w:p>
          <w:p w14:paraId="1FC9BDDF">
            <w:pPr>
              <w:pStyle w:val="18"/>
              <w:rPr>
                <w:rFonts w:cs="宋体"/>
                <w:color w:val="auto"/>
              </w:rPr>
            </w:pPr>
            <w:r>
              <w:rPr>
                <w:rFonts w:hint="eastAsia" w:cs="宋体"/>
                <w:color w:val="auto"/>
              </w:rPr>
              <w:t>定标电压：1mV±1%</w:t>
            </w:r>
          </w:p>
          <w:p w14:paraId="1985C6AA">
            <w:pPr>
              <w:pStyle w:val="18"/>
              <w:rPr>
                <w:rFonts w:cs="宋体"/>
                <w:color w:val="auto"/>
              </w:rPr>
            </w:pPr>
            <w:r>
              <w:rPr>
                <w:rFonts w:hint="eastAsia" w:cs="宋体"/>
                <w:color w:val="auto"/>
              </w:rPr>
              <w:t>共模抑制比：＞125dB（默认交流滤波关闭）</w:t>
            </w:r>
          </w:p>
          <w:p w14:paraId="3C233981">
            <w:pPr>
              <w:pStyle w:val="18"/>
              <w:rPr>
                <w:rFonts w:cs="宋体"/>
                <w:color w:val="auto"/>
              </w:rPr>
            </w:pPr>
            <w:r>
              <w:rPr>
                <w:rFonts w:hint="eastAsia" w:cs="宋体"/>
                <w:color w:val="auto"/>
              </w:rPr>
              <w:t>耐极化电压：≥±940mV</w:t>
            </w:r>
          </w:p>
          <w:p w14:paraId="2E61EA39">
            <w:pPr>
              <w:pStyle w:val="18"/>
              <w:rPr>
                <w:rFonts w:cs="宋体"/>
                <w:color w:val="auto"/>
              </w:rPr>
            </w:pPr>
            <w:r>
              <w:rPr>
                <w:rFonts w:hint="eastAsia" w:cs="宋体"/>
                <w:color w:val="auto"/>
              </w:rPr>
              <w:t>频响范围：0.01-350Hz全频滤波</w:t>
            </w:r>
          </w:p>
          <w:p w14:paraId="7D6356CF">
            <w:pPr>
              <w:pStyle w:val="18"/>
              <w:rPr>
                <w:rFonts w:cs="宋体"/>
                <w:color w:val="auto"/>
              </w:rPr>
            </w:pPr>
            <w:r>
              <w:rPr>
                <w:rFonts w:hint="eastAsia" w:cs="宋体"/>
                <w:color w:val="auto"/>
              </w:rPr>
              <w:t>时间常数：＞5s</w:t>
            </w:r>
          </w:p>
          <w:p w14:paraId="670635B0">
            <w:pPr>
              <w:pStyle w:val="18"/>
              <w:rPr>
                <w:rFonts w:cs="宋体"/>
                <w:color w:val="auto"/>
              </w:rPr>
            </w:pPr>
            <w:r>
              <w:rPr>
                <w:rFonts w:hint="eastAsia" w:cs="宋体"/>
                <w:color w:val="auto"/>
              </w:rPr>
              <w:t>支持新建检查时选择加急心电图检查；支持患者隐私模式；</w:t>
            </w:r>
          </w:p>
          <w:p w14:paraId="74468FC1">
            <w:pPr>
              <w:pStyle w:val="18"/>
              <w:rPr>
                <w:rFonts w:cs="宋体"/>
                <w:color w:val="auto"/>
              </w:rPr>
            </w:pPr>
            <w:r>
              <w:rPr>
                <w:rFonts w:hint="eastAsia" w:cs="宋体"/>
                <w:color w:val="auto"/>
              </w:rPr>
              <w:t>支持导联连接示意图；</w:t>
            </w:r>
          </w:p>
          <w:p w14:paraId="5205D1C1">
            <w:pPr>
              <w:pStyle w:val="18"/>
              <w:rPr>
                <w:rFonts w:cs="宋体"/>
                <w:color w:val="auto"/>
              </w:rPr>
            </w:pPr>
            <w:r>
              <w:rPr>
                <w:rFonts w:hint="eastAsia" w:cs="宋体"/>
                <w:color w:val="auto"/>
              </w:rPr>
              <w:t>支持起搏信号检测和提醒；</w:t>
            </w:r>
          </w:p>
          <w:p w14:paraId="444CAFA8">
            <w:pPr>
              <w:pStyle w:val="18"/>
              <w:rPr>
                <w:rFonts w:cs="宋体"/>
                <w:color w:val="auto"/>
              </w:rPr>
            </w:pPr>
            <w:r>
              <w:rPr>
                <w:rFonts w:hint="eastAsia" w:cs="宋体"/>
                <w:color w:val="auto"/>
              </w:rPr>
              <w:t>支持导联脱落检测和提醒；</w:t>
            </w:r>
          </w:p>
          <w:p w14:paraId="4CFB9201">
            <w:pPr>
              <w:pStyle w:val="18"/>
              <w:rPr>
                <w:rFonts w:cs="宋体"/>
                <w:color w:val="auto"/>
              </w:rPr>
            </w:pPr>
            <w:r>
              <w:rPr>
                <w:rFonts w:hint="eastAsia" w:cs="宋体"/>
                <w:color w:val="auto"/>
              </w:rPr>
              <w:t>支持伪差心电图提醒；</w:t>
            </w:r>
          </w:p>
          <w:p w14:paraId="6A1CFF43">
            <w:pPr>
              <w:pStyle w:val="18"/>
              <w:rPr>
                <w:rFonts w:cs="宋体"/>
                <w:color w:val="auto"/>
              </w:rPr>
            </w:pPr>
            <w:r>
              <w:rPr>
                <w:rFonts w:hint="eastAsia" w:cs="宋体"/>
                <w:color w:val="auto"/>
              </w:rPr>
              <w:t>支持左右手接反提醒；</w:t>
            </w:r>
          </w:p>
          <w:p w14:paraId="75799171">
            <w:pPr>
              <w:pStyle w:val="18"/>
              <w:rPr>
                <w:rFonts w:cs="宋体"/>
                <w:color w:val="auto"/>
              </w:rPr>
            </w:pPr>
            <w:r>
              <w:rPr>
                <w:rFonts w:hint="eastAsia" w:cs="宋体"/>
                <w:color w:val="auto"/>
              </w:rPr>
              <w:t>支持识别特定类型病人并提醒采集人员补充完善临床信息，如患者是否佩戴了起搏器，从源头上规避影响诊断的重采问题。</w:t>
            </w:r>
          </w:p>
          <w:p w14:paraId="53CD8FAA">
            <w:pPr>
              <w:pStyle w:val="18"/>
              <w:rPr>
                <w:rFonts w:cs="宋体"/>
                <w:color w:val="auto"/>
              </w:rPr>
            </w:pPr>
            <w:r>
              <w:rPr>
                <w:rFonts w:hint="eastAsia" w:cs="宋体"/>
                <w:color w:val="auto"/>
              </w:rPr>
              <w:t>设备需支持CF型防除颤类型。</w:t>
            </w:r>
          </w:p>
          <w:p w14:paraId="100D5117">
            <w:pPr>
              <w:pStyle w:val="18"/>
              <w:rPr>
                <w:rFonts w:cs="宋体"/>
                <w:color w:val="auto"/>
              </w:rPr>
            </w:pPr>
            <w:r>
              <w:rPr>
                <w:rFonts w:hint="eastAsia" w:cs="宋体"/>
                <w:color w:val="auto"/>
              </w:rPr>
              <w:t>具有采集前五秒的数据回顾功能，方便捕捉偶发心率失常数据</w:t>
            </w:r>
          </w:p>
          <w:p w14:paraId="69EC9B25">
            <w:pPr>
              <w:pStyle w:val="18"/>
              <w:rPr>
                <w:rFonts w:cs="宋体"/>
                <w:color w:val="auto"/>
              </w:rPr>
            </w:pPr>
            <w:r>
              <w:rPr>
                <w:rFonts w:hint="eastAsia" w:cs="宋体"/>
                <w:color w:val="auto"/>
              </w:rPr>
              <w:t>支持外接A4打印，支持常规10s、节律60s心电图自动打印；具备在无网格纸上打印网格功能；支持横板或竖版打印模板；</w:t>
            </w:r>
          </w:p>
          <w:p w14:paraId="3508D8B2">
            <w:pPr>
              <w:pStyle w:val="18"/>
              <w:rPr>
                <w:rFonts w:cs="宋体"/>
                <w:color w:val="auto"/>
              </w:rPr>
            </w:pPr>
            <w:r>
              <w:rPr>
                <w:rFonts w:hint="eastAsia" w:cs="宋体"/>
                <w:color w:val="auto"/>
              </w:rPr>
              <w:t>支持将心电图原始数据生成二维码，并通过手机端微信分享形式将心电图原始波形从内网传输至外网，物理隔离保障网络安全，可应对因网络异常、系统异常导致心电图无法上传至心电诊断中心等情况；</w:t>
            </w:r>
          </w:p>
          <w:p w14:paraId="2F6E00FA">
            <w:pPr>
              <w:pStyle w:val="18"/>
              <w:rPr>
                <w:rFonts w:cs="宋体"/>
                <w:color w:val="auto"/>
              </w:rPr>
            </w:pPr>
            <w:r>
              <w:rPr>
                <w:rFonts w:hint="eastAsia" w:cs="宋体"/>
                <w:color w:val="auto"/>
              </w:rPr>
              <w:t>QTc参数测量：内置4种及以上测量算法，QTc计算方法可通过系统设置调阅并设置；</w:t>
            </w:r>
          </w:p>
          <w:p w14:paraId="2A284845">
            <w:pPr>
              <w:pStyle w:val="18"/>
              <w:rPr>
                <w:rFonts w:cs="宋体"/>
                <w:color w:val="auto"/>
              </w:rPr>
            </w:pPr>
            <w:r>
              <w:rPr>
                <w:rFonts w:hint="eastAsia" w:cs="宋体"/>
                <w:color w:val="auto"/>
              </w:rPr>
              <w:t>支持本地写报告和报告托管；</w:t>
            </w:r>
          </w:p>
          <w:p w14:paraId="6669438D">
            <w:pPr>
              <w:pStyle w:val="18"/>
              <w:rPr>
                <w:rFonts w:cs="宋体"/>
                <w:color w:val="auto"/>
              </w:rPr>
            </w:pPr>
            <w:r>
              <w:rPr>
                <w:rFonts w:hint="eastAsia" w:cs="宋体"/>
                <w:color w:val="auto"/>
              </w:rPr>
              <w:t>记录测值包括：心率、电轴、P波时限、P-R间期、QRS时限、Q-T间期、QTc、T波、Rv5、Sv1等；</w:t>
            </w:r>
          </w:p>
          <w:p w14:paraId="6F5152CF">
            <w:pPr>
              <w:pStyle w:val="18"/>
              <w:rPr>
                <w:rFonts w:cs="宋体"/>
                <w:color w:val="auto"/>
              </w:rPr>
            </w:pPr>
            <w:r>
              <w:rPr>
                <w:rFonts w:hint="eastAsia" w:cs="宋体"/>
                <w:color w:val="auto"/>
              </w:rPr>
              <w:t>支持用户访问控制功能，具有用户身份鉴别方法，保证操作安全。</w:t>
            </w:r>
          </w:p>
        </w:tc>
      </w:tr>
    </w:tbl>
    <w:p w14:paraId="1EF3EE58">
      <w:pPr>
        <w:pStyle w:val="4"/>
        <w:numPr>
          <w:ilvl w:val="1"/>
          <w:numId w:val="0"/>
        </w:numPr>
        <w:ind w:left="576" w:leftChars="0" w:hanging="576" w:firstLineChars="0"/>
        <w:rPr>
          <w:color w:val="auto"/>
        </w:rPr>
      </w:pPr>
      <w:bookmarkStart w:id="158" w:name="_Toc208646537"/>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.15</w:t>
      </w:r>
      <w:r>
        <w:rPr>
          <w:rFonts w:hint="eastAsia"/>
          <w:color w:val="auto"/>
        </w:rPr>
        <w:t>手术麻醉信息管理系统</w:t>
      </w:r>
      <w:bookmarkEnd w:id="158"/>
    </w:p>
    <w:tbl>
      <w:tblPr>
        <w:tblStyle w:val="96"/>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010"/>
      </w:tblGrid>
      <w:tr w14:paraId="4EC7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0F0B77F2">
            <w:pPr>
              <w:pStyle w:val="18"/>
              <w:jc w:val="center"/>
              <w:rPr>
                <w:b/>
                <w:color w:val="auto"/>
              </w:rPr>
            </w:pPr>
            <w:r>
              <w:rPr>
                <w:rFonts w:hint="eastAsia"/>
                <w:b/>
                <w:color w:val="auto"/>
              </w:rPr>
              <w:t>系统名称</w:t>
            </w:r>
          </w:p>
        </w:tc>
        <w:tc>
          <w:tcPr>
            <w:tcW w:w="6459" w:type="dxa"/>
            <w:shd w:val="clear" w:color="auto" w:fill="BEBEBE" w:themeFill="background1" w:themeFillShade="BF"/>
            <w:vAlign w:val="center"/>
          </w:tcPr>
          <w:p w14:paraId="46052773">
            <w:pPr>
              <w:pStyle w:val="18"/>
              <w:rPr>
                <w:b/>
                <w:color w:val="auto"/>
              </w:rPr>
            </w:pPr>
            <w:r>
              <w:rPr>
                <w:rFonts w:hint="eastAsia"/>
                <w:b/>
                <w:color w:val="auto"/>
              </w:rPr>
              <w:t>手术麻醉信息管理系统</w:t>
            </w:r>
          </w:p>
        </w:tc>
      </w:tr>
      <w:tr w14:paraId="789D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E908D5A">
            <w:pPr>
              <w:pStyle w:val="18"/>
              <w:jc w:val="center"/>
              <w:rPr>
                <w:b/>
                <w:bCs/>
                <w:color w:val="auto"/>
              </w:rPr>
            </w:pPr>
            <w:r>
              <w:rPr>
                <w:rFonts w:hint="eastAsia"/>
                <w:b/>
                <w:bCs/>
                <w:color w:val="auto"/>
              </w:rPr>
              <w:t>系统概述</w:t>
            </w:r>
          </w:p>
        </w:tc>
        <w:tc>
          <w:tcPr>
            <w:tcW w:w="6459" w:type="dxa"/>
            <w:vAlign w:val="center"/>
          </w:tcPr>
          <w:p w14:paraId="1A8B99F4">
            <w:pPr>
              <w:pStyle w:val="18"/>
              <w:rPr>
                <w:color w:val="auto"/>
              </w:rPr>
            </w:pPr>
            <w:r>
              <w:rPr>
                <w:rFonts w:hint="eastAsia"/>
                <w:color w:val="auto"/>
              </w:rPr>
              <w:t>以患者围手术期临床数据为核心，以病人智能化服务为中心，以手术部自动化管控为导向，服务于麻醉医生、手术护士和手术室相关的科室医生，覆盖手术部全数据、全业务流程管理。需实施覆盖6间手术室，1间复苏室。</w:t>
            </w:r>
          </w:p>
        </w:tc>
      </w:tr>
      <w:tr w14:paraId="19F9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AD2E33E">
            <w:pPr>
              <w:pStyle w:val="18"/>
              <w:jc w:val="center"/>
              <w:rPr>
                <w:b/>
                <w:bCs/>
                <w:color w:val="auto"/>
              </w:rPr>
            </w:pPr>
            <w:r>
              <w:rPr>
                <w:rFonts w:hint="eastAsia"/>
                <w:b/>
                <w:bCs/>
                <w:color w:val="auto"/>
              </w:rPr>
              <w:t>子项名称</w:t>
            </w:r>
          </w:p>
        </w:tc>
        <w:tc>
          <w:tcPr>
            <w:tcW w:w="6459" w:type="dxa"/>
            <w:vAlign w:val="center"/>
          </w:tcPr>
          <w:p w14:paraId="67649D75">
            <w:pPr>
              <w:pStyle w:val="18"/>
              <w:jc w:val="center"/>
              <w:rPr>
                <w:color w:val="auto"/>
              </w:rPr>
            </w:pPr>
            <w:r>
              <w:rPr>
                <w:rFonts w:hint="eastAsia"/>
                <w:b/>
                <w:bCs/>
                <w:color w:val="auto"/>
              </w:rPr>
              <w:t>技术和功能配置要求</w:t>
            </w:r>
          </w:p>
        </w:tc>
      </w:tr>
      <w:tr w14:paraId="15F9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59CC6D6">
            <w:pPr>
              <w:pStyle w:val="18"/>
              <w:jc w:val="center"/>
              <w:rPr>
                <w:b w:val="0"/>
                <w:color w:val="auto"/>
              </w:rPr>
            </w:pPr>
            <w:r>
              <w:rPr>
                <w:rFonts w:hint="eastAsia"/>
                <w:b w:val="0"/>
                <w:color w:val="auto"/>
              </w:rPr>
              <w:t>麻醉医生</w:t>
            </w:r>
          </w:p>
          <w:p w14:paraId="3A84B218">
            <w:pPr>
              <w:pStyle w:val="18"/>
              <w:jc w:val="center"/>
              <w:rPr>
                <w:b w:val="0"/>
                <w:color w:val="auto"/>
              </w:rPr>
            </w:pPr>
            <w:r>
              <w:rPr>
                <w:rFonts w:hint="eastAsia"/>
                <w:b w:val="0"/>
                <w:color w:val="auto"/>
              </w:rPr>
              <w:t>工作站</w:t>
            </w:r>
          </w:p>
        </w:tc>
        <w:tc>
          <w:tcPr>
            <w:tcW w:w="6459" w:type="dxa"/>
            <w:vAlign w:val="center"/>
          </w:tcPr>
          <w:p w14:paraId="0FB11EF5">
            <w:pPr>
              <w:pStyle w:val="18"/>
              <w:rPr>
                <w:color w:val="auto"/>
              </w:rPr>
            </w:pPr>
            <w:r>
              <w:rPr>
                <w:rFonts w:hint="eastAsia"/>
                <w:color w:val="auto"/>
              </w:rPr>
              <w:t>1.术前访视</w:t>
            </w:r>
          </w:p>
          <w:p w14:paraId="18FD677C">
            <w:pPr>
              <w:pStyle w:val="18"/>
              <w:rPr>
                <w:color w:val="auto"/>
              </w:rPr>
            </w:pPr>
            <w:r>
              <w:rPr>
                <w:rFonts w:hint="eastAsia"/>
                <w:color w:val="auto"/>
              </w:rPr>
              <w:t>需支持从HIS系统中获取患者信息。</w:t>
            </w:r>
          </w:p>
          <w:p w14:paraId="4C77C8A7">
            <w:pPr>
              <w:pStyle w:val="18"/>
              <w:rPr>
                <w:color w:val="auto"/>
              </w:rPr>
            </w:pPr>
            <w:r>
              <w:rPr>
                <w:rFonts w:hint="eastAsia"/>
                <w:color w:val="auto"/>
              </w:rPr>
              <w:t>需支持记录患者术前检查、麻醉方法、计划用药、术中困难及防范措施等。</w:t>
            </w:r>
          </w:p>
          <w:p w14:paraId="2A5988E2">
            <w:pPr>
              <w:pStyle w:val="18"/>
              <w:rPr>
                <w:color w:val="auto"/>
              </w:rPr>
            </w:pPr>
            <w:r>
              <w:rPr>
                <w:rFonts w:hint="eastAsia"/>
                <w:color w:val="auto"/>
              </w:rPr>
              <w:t>需支持自动提取病人的病史、检验信息、影像信息、既往史、手术史、药物过敏史、入手术室前的生命体征、术前检查检验情况、术前诊断等</w:t>
            </w:r>
          </w:p>
          <w:p w14:paraId="47E51440">
            <w:pPr>
              <w:pStyle w:val="18"/>
              <w:rPr>
                <w:color w:val="auto"/>
              </w:rPr>
            </w:pPr>
            <w:r>
              <w:rPr>
                <w:rFonts w:hint="eastAsia"/>
                <w:color w:val="auto"/>
              </w:rPr>
              <w:t>系统需提供ASA分级、Goldman多因素心脏危险指数、心/肝/脾/肺/肾功能评级、昏迷程度评级、创伤评分，支持提供评分报表。</w:t>
            </w:r>
          </w:p>
          <w:p w14:paraId="3A46C666">
            <w:pPr>
              <w:pStyle w:val="18"/>
              <w:rPr>
                <w:color w:val="auto"/>
              </w:rPr>
            </w:pPr>
            <w:r>
              <w:rPr>
                <w:rFonts w:hint="eastAsia"/>
                <w:color w:val="auto"/>
              </w:rPr>
              <w:t>需支持所见即所得的输入、展示、输出。</w:t>
            </w:r>
          </w:p>
          <w:p w14:paraId="48360727">
            <w:pPr>
              <w:pStyle w:val="18"/>
              <w:rPr>
                <w:color w:val="auto"/>
              </w:rPr>
            </w:pPr>
            <w:r>
              <w:rPr>
                <w:rFonts w:hint="eastAsia"/>
                <w:color w:val="auto"/>
              </w:rPr>
              <w:t>2.麻醉知情同意书</w:t>
            </w:r>
          </w:p>
          <w:p w14:paraId="5BBD43AD">
            <w:pPr>
              <w:pStyle w:val="18"/>
              <w:rPr>
                <w:color w:val="auto"/>
              </w:rPr>
            </w:pPr>
            <w:r>
              <w:rPr>
                <w:rFonts w:hint="eastAsia"/>
                <w:color w:val="auto"/>
              </w:rPr>
              <w:t>系统需提供麻醉方案计划，麻醉知情同意书，麻醉药品、第一类精神药品使用知情同意书，术后镇痛知情同意书。</w:t>
            </w:r>
          </w:p>
          <w:p w14:paraId="06DA1BE4">
            <w:pPr>
              <w:pStyle w:val="18"/>
              <w:rPr>
                <w:color w:val="auto"/>
              </w:rPr>
            </w:pPr>
            <w:r>
              <w:rPr>
                <w:rFonts w:hint="eastAsia"/>
                <w:color w:val="auto"/>
              </w:rPr>
              <w:t>系统需提供常用语模板的维护和快速录入，模板可分为公用模板和个人模板。</w:t>
            </w:r>
          </w:p>
          <w:p w14:paraId="786CBDB6">
            <w:pPr>
              <w:pStyle w:val="18"/>
              <w:rPr>
                <w:color w:val="auto"/>
              </w:rPr>
            </w:pPr>
            <w:r>
              <w:rPr>
                <w:rFonts w:hint="eastAsia"/>
                <w:color w:val="auto"/>
              </w:rPr>
              <w:t>3.麻醉评级</w:t>
            </w:r>
          </w:p>
          <w:p w14:paraId="7EB6DEAF">
            <w:pPr>
              <w:pStyle w:val="18"/>
              <w:rPr>
                <w:color w:val="auto"/>
              </w:rPr>
            </w:pPr>
            <w:r>
              <w:rPr>
                <w:rFonts w:hint="eastAsia"/>
                <w:color w:val="auto"/>
              </w:rPr>
              <w:t>系统需提供各类术前评分录入，如：ASA分级、困难气道分级、steward评分等，能够自动计算ASA分级、steward评分等，能够提供评分报表，统计指定日期范围内患者术后麻醉复苏评分情况。</w:t>
            </w:r>
          </w:p>
          <w:p w14:paraId="4889CB3F">
            <w:pPr>
              <w:pStyle w:val="18"/>
              <w:rPr>
                <w:color w:val="auto"/>
              </w:rPr>
            </w:pPr>
            <w:r>
              <w:rPr>
                <w:rFonts w:hint="eastAsia"/>
                <w:color w:val="auto"/>
              </w:rPr>
              <w:t>4.麻醉记录</w:t>
            </w:r>
          </w:p>
          <w:p w14:paraId="69470A79">
            <w:pPr>
              <w:pStyle w:val="18"/>
              <w:rPr>
                <w:color w:val="auto"/>
              </w:rPr>
            </w:pPr>
            <w:r>
              <w:rPr>
                <w:rFonts w:hint="eastAsia"/>
                <w:color w:val="auto"/>
              </w:rPr>
              <w:t>需支持包括麻醉药物使用时间、剂量及总量、生命体征数据及趋势图、术中用药物、出入量记载功能。</w:t>
            </w:r>
          </w:p>
          <w:p w14:paraId="6569B4F2">
            <w:pPr>
              <w:pStyle w:val="18"/>
              <w:rPr>
                <w:color w:val="auto"/>
              </w:rPr>
            </w:pPr>
            <w:r>
              <w:rPr>
                <w:rFonts w:hint="eastAsia"/>
                <w:color w:val="auto"/>
              </w:rPr>
              <w:t>系统需提供病人术中出入量、用药、输血补液的自动合计功能。</w:t>
            </w:r>
          </w:p>
          <w:p w14:paraId="234FA4D2">
            <w:pPr>
              <w:pStyle w:val="18"/>
              <w:rPr>
                <w:color w:val="auto"/>
              </w:rPr>
            </w:pPr>
            <w:r>
              <w:rPr>
                <w:rFonts w:hint="eastAsia"/>
                <w:color w:val="auto"/>
              </w:rPr>
              <w:t>根据医院要求定制麻醉记录单，并以时间为轴线，对设备产生数据进行自动采集、存储和展现，支持图形和数据表格的两种记录、展现方式。</w:t>
            </w:r>
          </w:p>
          <w:p w14:paraId="4172DE43">
            <w:pPr>
              <w:pStyle w:val="18"/>
              <w:rPr>
                <w:color w:val="auto"/>
              </w:rPr>
            </w:pPr>
            <w:r>
              <w:rPr>
                <w:rFonts w:hint="eastAsia"/>
                <w:color w:val="auto"/>
              </w:rPr>
              <w:t>需支持对体外循环开始与结束时间进行记录，并可进行患者生命体征联动。</w:t>
            </w:r>
          </w:p>
          <w:p w14:paraId="6EC57F3D">
            <w:pPr>
              <w:pStyle w:val="18"/>
              <w:rPr>
                <w:color w:val="auto"/>
              </w:rPr>
            </w:pPr>
            <w:r>
              <w:rPr>
                <w:rFonts w:hint="eastAsia"/>
                <w:color w:val="auto"/>
              </w:rPr>
              <w:t>需支持药品常用量、输血补液常用量、麻醉组套（可建立个人或科室组套）、麻醉方法模板、麻醉前用药模板、术中事件模板、常用语模板等快速录入方式。</w:t>
            </w:r>
          </w:p>
          <w:p w14:paraId="29AF2B44">
            <w:pPr>
              <w:pStyle w:val="18"/>
              <w:rPr>
                <w:color w:val="auto"/>
              </w:rPr>
            </w:pPr>
            <w:r>
              <w:rPr>
                <w:rFonts w:hint="eastAsia"/>
                <w:color w:val="auto"/>
              </w:rPr>
              <w:t>需支持麻醉记录单自动实现分页功能。</w:t>
            </w:r>
          </w:p>
          <w:p w14:paraId="401B9CF4">
            <w:pPr>
              <w:pStyle w:val="18"/>
              <w:rPr>
                <w:color w:val="auto"/>
              </w:rPr>
            </w:pPr>
            <w:r>
              <w:rPr>
                <w:rFonts w:hint="eastAsia"/>
                <w:color w:val="auto"/>
              </w:rPr>
              <w:t>需支持用户根据使用者的个人需求和习惯，自定义配置个人的常用药品的排列顺序。</w:t>
            </w:r>
          </w:p>
          <w:p w14:paraId="7E6120E4">
            <w:pPr>
              <w:pStyle w:val="18"/>
              <w:rPr>
                <w:color w:val="auto"/>
              </w:rPr>
            </w:pPr>
            <w:r>
              <w:rPr>
                <w:rFonts w:hint="eastAsia"/>
                <w:color w:val="auto"/>
              </w:rPr>
              <w:t>需支持智能提示文书必填项，识别填入数值的医学逻辑类型等。</w:t>
            </w:r>
          </w:p>
          <w:p w14:paraId="6F37CC60">
            <w:pPr>
              <w:pStyle w:val="18"/>
              <w:rPr>
                <w:color w:val="auto"/>
              </w:rPr>
            </w:pPr>
            <w:r>
              <w:rPr>
                <w:rFonts w:hint="eastAsia"/>
                <w:color w:val="auto"/>
              </w:rPr>
              <w:t>需支持对生命体征参数报警阀值的设定，并通过阀值系统即时报警。</w:t>
            </w:r>
          </w:p>
          <w:p w14:paraId="4AA88153">
            <w:pPr>
              <w:pStyle w:val="18"/>
              <w:rPr>
                <w:color w:val="auto"/>
              </w:rPr>
            </w:pPr>
            <w:r>
              <w:rPr>
                <w:rFonts w:hint="eastAsia"/>
                <w:color w:val="auto"/>
              </w:rPr>
              <w:t>需支持将麻醉记录单所有内容以快照的方式保存，同类型手术，一键快速应用，完成麻醉录。</w:t>
            </w:r>
          </w:p>
          <w:p w14:paraId="3D763022">
            <w:pPr>
              <w:pStyle w:val="18"/>
              <w:rPr>
                <w:color w:val="auto"/>
              </w:rPr>
            </w:pPr>
            <w:r>
              <w:rPr>
                <w:rFonts w:hint="eastAsia"/>
                <w:color w:val="auto"/>
              </w:rPr>
              <w:t>需支持数据采集间隔自由变更，支持无限变频。</w:t>
            </w:r>
          </w:p>
          <w:p w14:paraId="7A21602A">
            <w:pPr>
              <w:pStyle w:val="18"/>
              <w:rPr>
                <w:color w:val="auto"/>
              </w:rPr>
            </w:pPr>
            <w:r>
              <w:rPr>
                <w:rFonts w:hint="eastAsia"/>
                <w:color w:val="auto"/>
              </w:rPr>
              <w:t>需支持在麻醉记录单上用鼠标痕迹绘制或擦除生命体征波形数据。</w:t>
            </w:r>
          </w:p>
          <w:p w14:paraId="6D7326F6">
            <w:pPr>
              <w:pStyle w:val="18"/>
              <w:rPr>
                <w:color w:val="auto"/>
              </w:rPr>
            </w:pPr>
            <w:r>
              <w:rPr>
                <w:rFonts w:hint="eastAsia"/>
                <w:color w:val="auto"/>
              </w:rPr>
              <w:t>需支持在插拔管操作时，插拔管的时间、方式、类型同呼吸模式随之改变。</w:t>
            </w:r>
          </w:p>
          <w:p w14:paraId="75AAA75F">
            <w:pPr>
              <w:pStyle w:val="18"/>
              <w:rPr>
                <w:color w:val="auto"/>
              </w:rPr>
            </w:pPr>
            <w:r>
              <w:rPr>
                <w:rFonts w:hint="eastAsia"/>
                <w:color w:val="auto"/>
              </w:rPr>
              <w:t>电子麻醉记录单用户使用界面和打印界面分离，最大程度贴合麻醉医生工作习惯，满足系统易用性、交互性以及数据利用，同时保证打印文书符合医疗文书规范，同时操作界面最大程度满足麻醉医生的操作习惯。</w:t>
            </w:r>
          </w:p>
          <w:p w14:paraId="2EE3D908">
            <w:pPr>
              <w:pStyle w:val="18"/>
              <w:rPr>
                <w:color w:val="auto"/>
              </w:rPr>
            </w:pPr>
            <w:r>
              <w:rPr>
                <w:rFonts w:hint="eastAsia"/>
                <w:color w:val="auto"/>
              </w:rPr>
              <w:t>5.术中血气分析</w:t>
            </w:r>
          </w:p>
          <w:p w14:paraId="7609C292">
            <w:pPr>
              <w:pStyle w:val="18"/>
              <w:rPr>
                <w:color w:val="auto"/>
              </w:rPr>
            </w:pPr>
            <w:r>
              <w:rPr>
                <w:rFonts w:hint="eastAsia"/>
                <w:color w:val="auto"/>
              </w:rPr>
              <w:t>系统可以连接血气分析仪，并自动提取血气分析结果生成到系统中，可对异常结果进行自动标注，支持结果修改、删除等。可以在麻醉记录单中集成显示血气分析结果，也可通过系统单独打印出血气分析报告。</w:t>
            </w:r>
          </w:p>
          <w:p w14:paraId="6F7A63DB">
            <w:pPr>
              <w:pStyle w:val="18"/>
              <w:rPr>
                <w:color w:val="auto"/>
              </w:rPr>
            </w:pPr>
            <w:r>
              <w:rPr>
                <w:rFonts w:hint="eastAsia"/>
                <w:color w:val="auto"/>
              </w:rPr>
              <w:t>6.术中抢救</w:t>
            </w:r>
          </w:p>
          <w:p w14:paraId="4555BC79">
            <w:pPr>
              <w:pStyle w:val="18"/>
              <w:rPr>
                <w:color w:val="auto"/>
              </w:rPr>
            </w:pPr>
            <w:r>
              <w:rPr>
                <w:rFonts w:hint="eastAsia"/>
                <w:color w:val="auto"/>
              </w:rPr>
              <w:t>支持需支持一键报警功能，能够支持患者抢救呼叫模式，点击后可对所有客户端进行紧急情况报警，其他客户端收到报警时，界面支持显示发出抢救呼叫的术间号等信息。</w:t>
            </w:r>
          </w:p>
          <w:p w14:paraId="052C47CD">
            <w:pPr>
              <w:pStyle w:val="18"/>
              <w:rPr>
                <w:color w:val="auto"/>
              </w:rPr>
            </w:pPr>
            <w:r>
              <w:rPr>
                <w:rFonts w:hint="eastAsia"/>
                <w:color w:val="auto"/>
              </w:rPr>
              <w:t>7.病人去向登记</w:t>
            </w:r>
          </w:p>
          <w:p w14:paraId="0ECB2EC9">
            <w:pPr>
              <w:pStyle w:val="18"/>
              <w:rPr>
                <w:color w:val="auto"/>
              </w:rPr>
            </w:pPr>
            <w:r>
              <w:rPr>
                <w:rFonts w:hint="eastAsia"/>
                <w:color w:val="auto"/>
              </w:rPr>
              <w:t>需支持选择病人去向，包括转入复苏室、转入ICU、转入病房等选项。</w:t>
            </w:r>
          </w:p>
          <w:p w14:paraId="23CE880C">
            <w:pPr>
              <w:pStyle w:val="18"/>
              <w:rPr>
                <w:color w:val="auto"/>
              </w:rPr>
            </w:pPr>
            <w:r>
              <w:rPr>
                <w:rFonts w:hint="eastAsia"/>
                <w:color w:val="auto"/>
              </w:rPr>
              <w:t>8.术后镇痛与术后随访</w:t>
            </w:r>
          </w:p>
          <w:p w14:paraId="45460296">
            <w:pPr>
              <w:pStyle w:val="18"/>
              <w:rPr>
                <w:color w:val="auto"/>
              </w:rPr>
            </w:pPr>
            <w:r>
              <w:rPr>
                <w:rFonts w:hint="eastAsia"/>
                <w:color w:val="auto"/>
              </w:rPr>
              <w:t>需支持生成术后随访单，记录患者术后随访信息。</w:t>
            </w:r>
          </w:p>
          <w:p w14:paraId="29DE003F">
            <w:pPr>
              <w:pStyle w:val="18"/>
              <w:rPr>
                <w:color w:val="auto"/>
              </w:rPr>
            </w:pPr>
            <w:r>
              <w:rPr>
                <w:rFonts w:hint="eastAsia"/>
                <w:color w:val="auto"/>
              </w:rPr>
              <w:t>需支持生成术后镇痛记录单，记录患者术后镇痛效果。</w:t>
            </w:r>
          </w:p>
          <w:p w14:paraId="44BC3CDD">
            <w:pPr>
              <w:pStyle w:val="18"/>
              <w:rPr>
                <w:color w:val="auto"/>
              </w:rPr>
            </w:pPr>
            <w:r>
              <w:rPr>
                <w:rFonts w:hint="eastAsia"/>
                <w:color w:val="auto"/>
              </w:rPr>
              <w:t>9.麻醉总结</w:t>
            </w:r>
          </w:p>
          <w:p w14:paraId="0477CB2C">
            <w:pPr>
              <w:pStyle w:val="18"/>
              <w:rPr>
                <w:color w:val="auto"/>
              </w:rPr>
            </w:pPr>
            <w:r>
              <w:rPr>
                <w:rFonts w:hint="eastAsia"/>
                <w:color w:val="auto"/>
              </w:rPr>
              <w:t>需支持对麻醉过程、麻醉效果进行总结，记录随访内容及麻醉不良事件报告。</w:t>
            </w:r>
          </w:p>
          <w:p w14:paraId="02BA0525">
            <w:pPr>
              <w:pStyle w:val="18"/>
              <w:rPr>
                <w:color w:val="auto"/>
              </w:rPr>
            </w:pPr>
            <w:r>
              <w:rPr>
                <w:rFonts w:hint="eastAsia"/>
                <w:color w:val="auto"/>
              </w:rPr>
              <w:t>10.不良事件上报</w:t>
            </w:r>
          </w:p>
          <w:p w14:paraId="35640BB9">
            <w:pPr>
              <w:pStyle w:val="18"/>
              <w:rPr>
                <w:color w:val="auto"/>
              </w:rPr>
            </w:pPr>
            <w:r>
              <w:rPr>
                <w:rFonts w:hint="eastAsia"/>
                <w:color w:val="auto"/>
              </w:rPr>
              <w:t>需支持对麻醉过程中的非预期相关事件及并发症等进行信息上报。</w:t>
            </w:r>
          </w:p>
          <w:p w14:paraId="5A228349">
            <w:pPr>
              <w:pStyle w:val="18"/>
              <w:rPr>
                <w:color w:val="auto"/>
              </w:rPr>
            </w:pPr>
            <w:r>
              <w:rPr>
                <w:rFonts w:hint="eastAsia"/>
                <w:color w:val="auto"/>
              </w:rPr>
              <w:t>11.患者360</w:t>
            </w:r>
          </w:p>
          <w:p w14:paraId="79137882">
            <w:pPr>
              <w:pStyle w:val="18"/>
              <w:rPr>
                <w:color w:val="auto"/>
              </w:rPr>
            </w:pPr>
            <w:r>
              <w:rPr>
                <w:rFonts w:hint="eastAsia"/>
                <w:color w:val="auto"/>
              </w:rPr>
              <w:t>需支持以不同颜色的人物图像方式展示患者的基本健康状况。</w:t>
            </w:r>
          </w:p>
          <w:p w14:paraId="7B031021">
            <w:pPr>
              <w:pStyle w:val="18"/>
              <w:rPr>
                <w:color w:val="auto"/>
              </w:rPr>
            </w:pPr>
            <w:r>
              <w:rPr>
                <w:rFonts w:hint="eastAsia"/>
                <w:color w:val="auto"/>
              </w:rPr>
              <w:t>需支持重点检验指标的数值和图形趋势图。支持用户自行选择重点的检验指标。</w:t>
            </w:r>
          </w:p>
          <w:p w14:paraId="3F8EBA66">
            <w:pPr>
              <w:pStyle w:val="18"/>
              <w:rPr>
                <w:color w:val="auto"/>
              </w:rPr>
            </w:pPr>
            <w:r>
              <w:rPr>
                <w:rFonts w:hint="eastAsia"/>
                <w:color w:val="auto"/>
              </w:rPr>
              <w:t>需支持高危指标的报警提示。如：ASA分级≥4时，患者低体温等。</w:t>
            </w:r>
          </w:p>
          <w:p w14:paraId="6191B0FF">
            <w:pPr>
              <w:pStyle w:val="18"/>
              <w:rPr>
                <w:color w:val="auto"/>
              </w:rPr>
            </w:pPr>
            <w:r>
              <w:rPr>
                <w:rFonts w:hint="eastAsia"/>
                <w:color w:val="auto"/>
              </w:rPr>
              <w:t>12.病历查看</w:t>
            </w:r>
          </w:p>
          <w:p w14:paraId="2D400D97">
            <w:pPr>
              <w:pStyle w:val="18"/>
              <w:rPr>
                <w:color w:val="auto"/>
              </w:rPr>
            </w:pPr>
            <w:r>
              <w:rPr>
                <w:rFonts w:hint="eastAsia"/>
                <w:color w:val="auto"/>
              </w:rPr>
              <w:t>需支持通过患者住院号、医护人员、手术间、手术名称等条件查询患者历史麻醉病案。</w:t>
            </w:r>
          </w:p>
          <w:p w14:paraId="0D56235D">
            <w:pPr>
              <w:pStyle w:val="18"/>
              <w:rPr>
                <w:color w:val="auto"/>
              </w:rPr>
            </w:pPr>
            <w:r>
              <w:rPr>
                <w:rFonts w:hint="eastAsia"/>
                <w:color w:val="auto"/>
              </w:rPr>
              <w:t>需支持通过患者人口学信息、生命体征、化验指标等在多个指标进行综合交叉检索相关病案。</w:t>
            </w:r>
          </w:p>
          <w:p w14:paraId="3C976188">
            <w:pPr>
              <w:pStyle w:val="18"/>
              <w:rPr>
                <w:color w:val="auto"/>
              </w:rPr>
            </w:pPr>
            <w:r>
              <w:rPr>
                <w:rFonts w:hint="eastAsia"/>
                <w:color w:val="auto"/>
              </w:rPr>
              <w:t>13.绿色通道</w:t>
            </w:r>
          </w:p>
          <w:p w14:paraId="16856178">
            <w:pPr>
              <w:pStyle w:val="18"/>
              <w:rPr>
                <w:color w:val="auto"/>
              </w:rPr>
            </w:pPr>
            <w:r>
              <w:rPr>
                <w:rFonts w:hint="eastAsia"/>
                <w:color w:val="auto"/>
              </w:rPr>
              <w:t>需支持对无临床手术申请的患者（如：绿色通道）快速建立急诊申请，快速开展手术治疗。可查看、修改患者相关手术信息。术后支持与HIS系统进行患者信息关联，以保证单据完整性，便于医疗文书统一归档。</w:t>
            </w:r>
          </w:p>
        </w:tc>
      </w:tr>
      <w:tr w14:paraId="708D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CC9BA95">
            <w:pPr>
              <w:pStyle w:val="18"/>
              <w:jc w:val="center"/>
              <w:rPr>
                <w:b w:val="0"/>
                <w:color w:val="auto"/>
              </w:rPr>
            </w:pPr>
            <w:r>
              <w:rPr>
                <w:rFonts w:hint="eastAsia"/>
                <w:b w:val="0"/>
                <w:color w:val="auto"/>
              </w:rPr>
              <w:t>护理工作站</w:t>
            </w:r>
          </w:p>
        </w:tc>
        <w:tc>
          <w:tcPr>
            <w:tcW w:w="6459" w:type="dxa"/>
            <w:vAlign w:val="center"/>
          </w:tcPr>
          <w:p w14:paraId="32078F31">
            <w:pPr>
              <w:pStyle w:val="18"/>
              <w:rPr>
                <w:color w:val="auto"/>
              </w:rPr>
            </w:pPr>
            <w:r>
              <w:rPr>
                <w:rFonts w:hint="eastAsia"/>
                <w:color w:val="auto"/>
              </w:rPr>
              <w:t>1.术前访视</w:t>
            </w:r>
          </w:p>
          <w:p w14:paraId="670D12F4">
            <w:pPr>
              <w:pStyle w:val="18"/>
              <w:rPr>
                <w:color w:val="auto"/>
              </w:rPr>
            </w:pPr>
            <w:r>
              <w:rPr>
                <w:rFonts w:hint="eastAsia"/>
                <w:color w:val="auto"/>
              </w:rPr>
              <w:t>需支持护士对患者进行术前访视，查看患者情况及告知患者术前注意事项。自动从HIS系统中获取患者术前信息、患者信息，支持对单据进行定制模板。</w:t>
            </w:r>
          </w:p>
          <w:p w14:paraId="7B9D17C4">
            <w:pPr>
              <w:pStyle w:val="18"/>
              <w:rPr>
                <w:color w:val="auto"/>
              </w:rPr>
            </w:pPr>
            <w:r>
              <w:rPr>
                <w:rFonts w:hint="eastAsia"/>
                <w:color w:val="auto"/>
              </w:rPr>
              <w:t>2.三方核查</w:t>
            </w:r>
          </w:p>
          <w:p w14:paraId="54A5C771">
            <w:pPr>
              <w:pStyle w:val="18"/>
              <w:rPr>
                <w:color w:val="auto"/>
              </w:rPr>
            </w:pPr>
            <w:r>
              <w:rPr>
                <w:rFonts w:hint="eastAsia"/>
                <w:color w:val="auto"/>
              </w:rPr>
              <w:t>系统需提供标准的手术安全核查单格式，在麻醉实施前、手术开始前和患者离开手术室前由手术医生、护士、麻醉医生三方确认。</w:t>
            </w:r>
          </w:p>
          <w:p w14:paraId="76E12306">
            <w:pPr>
              <w:pStyle w:val="18"/>
              <w:rPr>
                <w:color w:val="auto"/>
              </w:rPr>
            </w:pPr>
            <w:r>
              <w:rPr>
                <w:rFonts w:hint="eastAsia"/>
                <w:color w:val="auto"/>
              </w:rPr>
              <w:t>麻醉前检查，包括患者基本信息确认、麻醉方式、麻醉药品等检查项目确认。</w:t>
            </w:r>
          </w:p>
          <w:p w14:paraId="36098961">
            <w:pPr>
              <w:pStyle w:val="18"/>
              <w:rPr>
                <w:color w:val="auto"/>
              </w:rPr>
            </w:pPr>
            <w:r>
              <w:rPr>
                <w:rFonts w:hint="eastAsia"/>
                <w:color w:val="auto"/>
              </w:rPr>
              <w:t>术前检查，包括手术方式、手术部位确认、手术器械、监护设备等检查项目确认。</w:t>
            </w:r>
          </w:p>
          <w:p w14:paraId="26E80CCE">
            <w:pPr>
              <w:pStyle w:val="18"/>
              <w:rPr>
                <w:color w:val="auto"/>
              </w:rPr>
            </w:pPr>
            <w:r>
              <w:rPr>
                <w:rFonts w:hint="eastAsia"/>
                <w:color w:val="auto"/>
              </w:rPr>
              <w:t>出室检查，包括确认患者去向、术中用药、耗材情况确认等。</w:t>
            </w:r>
          </w:p>
          <w:p w14:paraId="2F400803">
            <w:pPr>
              <w:pStyle w:val="18"/>
              <w:rPr>
                <w:color w:val="auto"/>
              </w:rPr>
            </w:pPr>
            <w:r>
              <w:rPr>
                <w:rFonts w:hint="eastAsia"/>
                <w:color w:val="auto"/>
              </w:rPr>
              <w:t>需支持根据医院需求更改安全检查打印样式。</w:t>
            </w:r>
          </w:p>
          <w:p w14:paraId="46803860">
            <w:pPr>
              <w:pStyle w:val="18"/>
              <w:rPr>
                <w:color w:val="auto"/>
              </w:rPr>
            </w:pPr>
            <w:r>
              <w:rPr>
                <w:rFonts w:hint="eastAsia"/>
                <w:color w:val="auto"/>
              </w:rPr>
              <w:t>需支持自动化三方核查信息，当麻醉师、手术医生和手术室护士三方，有一方发起手术安全核查时，另外两方的电脑将同时弹出手术安全核查表，使医护三方必须同时进行三方核查。系统完成一致性验证后自动关闭，并生成三方核查单。</w:t>
            </w:r>
          </w:p>
          <w:p w14:paraId="3FFF9A2F">
            <w:pPr>
              <w:pStyle w:val="18"/>
              <w:rPr>
                <w:color w:val="auto"/>
              </w:rPr>
            </w:pPr>
            <w:r>
              <w:rPr>
                <w:rFonts w:hint="eastAsia"/>
                <w:color w:val="auto"/>
              </w:rPr>
              <w:t>3.护理记录</w:t>
            </w:r>
          </w:p>
          <w:p w14:paraId="4BCAD8B6">
            <w:pPr>
              <w:pStyle w:val="18"/>
              <w:rPr>
                <w:color w:val="auto"/>
              </w:rPr>
            </w:pPr>
            <w:r>
              <w:rPr>
                <w:rFonts w:hint="eastAsia"/>
                <w:color w:val="auto"/>
              </w:rPr>
              <w:t>需支持记录和查询患者手术过程中的护理记录，并与麻醉记录单共享病人手术信息。</w:t>
            </w:r>
          </w:p>
          <w:p w14:paraId="3FE89D93">
            <w:pPr>
              <w:pStyle w:val="18"/>
              <w:rPr>
                <w:color w:val="auto"/>
              </w:rPr>
            </w:pPr>
            <w:r>
              <w:rPr>
                <w:rFonts w:hint="eastAsia"/>
                <w:color w:val="auto"/>
              </w:rPr>
              <w:t>需支持对手术患者在术前、术中、术后进行压疮风险评估，支持多种评估方式。</w:t>
            </w:r>
          </w:p>
          <w:p w14:paraId="59F1F9FA">
            <w:pPr>
              <w:pStyle w:val="18"/>
              <w:rPr>
                <w:color w:val="auto"/>
              </w:rPr>
            </w:pPr>
            <w:r>
              <w:rPr>
                <w:rFonts w:hint="eastAsia"/>
                <w:color w:val="auto"/>
              </w:rPr>
              <w:t>需支持护士对压疮护理的记录。</w:t>
            </w:r>
          </w:p>
          <w:p w14:paraId="330FC30A">
            <w:pPr>
              <w:pStyle w:val="18"/>
              <w:rPr>
                <w:color w:val="auto"/>
              </w:rPr>
            </w:pPr>
            <w:r>
              <w:rPr>
                <w:rFonts w:hint="eastAsia"/>
                <w:color w:val="auto"/>
              </w:rPr>
              <w:t>4.手术器材核对</w:t>
            </w:r>
          </w:p>
          <w:p w14:paraId="7EBA1A97">
            <w:pPr>
              <w:pStyle w:val="18"/>
              <w:rPr>
                <w:color w:val="auto"/>
              </w:rPr>
            </w:pPr>
            <w:r>
              <w:rPr>
                <w:rFonts w:hint="eastAsia"/>
                <w:color w:val="auto"/>
              </w:rPr>
              <w:t>需支持术前、术后、术中增加、关腹前、关腹后等时刻的器材清点记录。</w:t>
            </w:r>
          </w:p>
          <w:p w14:paraId="449B0964">
            <w:pPr>
              <w:pStyle w:val="18"/>
              <w:rPr>
                <w:color w:val="auto"/>
              </w:rPr>
            </w:pPr>
            <w:r>
              <w:rPr>
                <w:rFonts w:hint="eastAsia"/>
                <w:color w:val="auto"/>
              </w:rPr>
              <w:t>需支持根据不同科室建立不同名称器材核对单，支持归档电子病历。</w:t>
            </w:r>
          </w:p>
          <w:p w14:paraId="0AC428F5">
            <w:pPr>
              <w:pStyle w:val="18"/>
              <w:rPr>
                <w:color w:val="auto"/>
              </w:rPr>
            </w:pPr>
            <w:r>
              <w:rPr>
                <w:rFonts w:hint="eastAsia"/>
                <w:color w:val="auto"/>
              </w:rPr>
              <w:t>5.术后访视</w:t>
            </w:r>
          </w:p>
          <w:p w14:paraId="2263FA80">
            <w:pPr>
              <w:pStyle w:val="18"/>
              <w:rPr>
                <w:color w:val="auto"/>
              </w:rPr>
            </w:pPr>
            <w:r>
              <w:rPr>
                <w:rFonts w:hint="eastAsia"/>
                <w:color w:val="auto"/>
              </w:rPr>
              <w:t>需支持生成护理术后访视单，并由护士填写访视结果。记录术后切口、受压部位、活动情况以及对护士的评价等。</w:t>
            </w:r>
          </w:p>
        </w:tc>
      </w:tr>
      <w:tr w14:paraId="0FE6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88600C1">
            <w:pPr>
              <w:pStyle w:val="18"/>
              <w:jc w:val="center"/>
              <w:rPr>
                <w:b w:val="0"/>
                <w:color w:val="auto"/>
              </w:rPr>
            </w:pPr>
            <w:r>
              <w:rPr>
                <w:rFonts w:hint="eastAsia"/>
                <w:b w:val="0"/>
                <w:color w:val="auto"/>
              </w:rPr>
              <w:t>PACU工作站</w:t>
            </w:r>
          </w:p>
        </w:tc>
        <w:tc>
          <w:tcPr>
            <w:tcW w:w="6459" w:type="dxa"/>
            <w:vAlign w:val="center"/>
          </w:tcPr>
          <w:p w14:paraId="17D795B4">
            <w:pPr>
              <w:pStyle w:val="18"/>
              <w:rPr>
                <w:color w:val="auto"/>
              </w:rPr>
            </w:pPr>
            <w:r>
              <w:rPr>
                <w:rFonts w:hint="eastAsia"/>
                <w:color w:val="auto"/>
              </w:rPr>
              <w:t>1.患者接收</w:t>
            </w:r>
          </w:p>
          <w:p w14:paraId="4496C699">
            <w:pPr>
              <w:pStyle w:val="18"/>
              <w:rPr>
                <w:color w:val="auto"/>
              </w:rPr>
            </w:pPr>
            <w:r>
              <w:rPr>
                <w:rFonts w:hint="eastAsia"/>
                <w:color w:val="auto"/>
              </w:rPr>
              <w:t>需支持在PACU系统中可以获取患者列表及麻醉过程相关信息。支持进行床位及医护人员的安排。</w:t>
            </w:r>
          </w:p>
          <w:p w14:paraId="674DBBDD">
            <w:pPr>
              <w:pStyle w:val="18"/>
              <w:rPr>
                <w:color w:val="auto"/>
              </w:rPr>
            </w:pPr>
            <w:r>
              <w:rPr>
                <w:rFonts w:hint="eastAsia"/>
                <w:color w:val="auto"/>
              </w:rPr>
              <w:t>2.复苏记录</w:t>
            </w:r>
          </w:p>
          <w:p w14:paraId="2C2CF6C9">
            <w:pPr>
              <w:pStyle w:val="18"/>
              <w:rPr>
                <w:color w:val="auto"/>
              </w:rPr>
            </w:pPr>
            <w:r>
              <w:rPr>
                <w:rFonts w:hint="eastAsia"/>
                <w:color w:val="auto"/>
              </w:rPr>
              <w:t>需支持多床位管理模式，支持多床位之间的快速切换管理，实现一台终端电脑对应多个床位的管理模式，多名患者的生命体征进行同步实时监测。</w:t>
            </w:r>
          </w:p>
          <w:p w14:paraId="54044D44">
            <w:pPr>
              <w:pStyle w:val="18"/>
              <w:rPr>
                <w:color w:val="auto"/>
              </w:rPr>
            </w:pPr>
            <w:r>
              <w:rPr>
                <w:rFonts w:hint="eastAsia"/>
                <w:color w:val="auto"/>
              </w:rPr>
              <w:t>需支持提供独立复苏文书格式，记录用药方式（单次或维持），用药量，补液量，补液时间、麻醉事件，等麻醉术后复苏期间相关信息。</w:t>
            </w:r>
          </w:p>
          <w:p w14:paraId="44151826">
            <w:pPr>
              <w:pStyle w:val="18"/>
              <w:rPr>
                <w:color w:val="auto"/>
              </w:rPr>
            </w:pPr>
            <w:r>
              <w:rPr>
                <w:rFonts w:hint="eastAsia"/>
                <w:color w:val="auto"/>
              </w:rPr>
              <w:t>需支持Steward、Aldrete、NRS等评分方法，自动计算苏醒评分。</w:t>
            </w:r>
          </w:p>
          <w:p w14:paraId="784C399A">
            <w:pPr>
              <w:pStyle w:val="18"/>
              <w:rPr>
                <w:color w:val="auto"/>
              </w:rPr>
            </w:pPr>
            <w:r>
              <w:rPr>
                <w:rFonts w:hint="eastAsia"/>
                <w:color w:val="auto"/>
              </w:rPr>
              <w:t>需支持通过颜色突出方式提醒用户患者入PACU时长。</w:t>
            </w:r>
          </w:p>
          <w:p w14:paraId="1F4AB3F2">
            <w:pPr>
              <w:pStyle w:val="18"/>
              <w:rPr>
                <w:color w:val="auto"/>
              </w:rPr>
            </w:pPr>
            <w:r>
              <w:rPr>
                <w:rFonts w:hint="eastAsia"/>
                <w:color w:val="auto"/>
              </w:rPr>
              <w:t>PACU记录单需支持独立打印或接续麻醉记录打印两种模式。</w:t>
            </w:r>
          </w:p>
        </w:tc>
      </w:tr>
      <w:tr w14:paraId="3469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7907AA8">
            <w:pPr>
              <w:pStyle w:val="18"/>
              <w:jc w:val="center"/>
              <w:rPr>
                <w:b w:val="0"/>
                <w:color w:val="auto"/>
              </w:rPr>
            </w:pPr>
            <w:r>
              <w:rPr>
                <w:rFonts w:hint="eastAsia"/>
                <w:b w:val="0"/>
                <w:color w:val="auto"/>
              </w:rPr>
              <w:t>护士长工作站</w:t>
            </w:r>
          </w:p>
        </w:tc>
        <w:tc>
          <w:tcPr>
            <w:tcW w:w="6459" w:type="dxa"/>
            <w:vAlign w:val="center"/>
          </w:tcPr>
          <w:p w14:paraId="4CBE2FF5">
            <w:pPr>
              <w:pStyle w:val="18"/>
              <w:rPr>
                <w:color w:val="auto"/>
              </w:rPr>
            </w:pPr>
            <w:r>
              <w:rPr>
                <w:rFonts w:hint="eastAsia"/>
                <w:color w:val="auto"/>
              </w:rPr>
              <w:t>1.择期手术安排</w:t>
            </w:r>
          </w:p>
          <w:p w14:paraId="3742BB4C">
            <w:pPr>
              <w:pStyle w:val="18"/>
              <w:rPr>
                <w:color w:val="auto"/>
              </w:rPr>
            </w:pPr>
            <w:r>
              <w:rPr>
                <w:rFonts w:hint="eastAsia"/>
                <w:color w:val="auto"/>
              </w:rPr>
              <w:t>支持按急诊手术、择期手术，麻醉方式（是否需麻醉医生参与），是否为感染手术、已安排手术、未安排手术、已撤销手术等查询条件查询手术申请信息。</w:t>
            </w:r>
          </w:p>
          <w:p w14:paraId="16181EAA">
            <w:pPr>
              <w:pStyle w:val="18"/>
              <w:rPr>
                <w:color w:val="auto"/>
              </w:rPr>
            </w:pPr>
            <w:r>
              <w:rPr>
                <w:rFonts w:hint="eastAsia"/>
                <w:color w:val="auto"/>
              </w:rPr>
              <w:t>支持自定义患者手术申请列表，如患者姓名、性别、年龄、申请科室、手术类型、手术方式、术前诊断、执行科室、主刀医生等。</w:t>
            </w:r>
          </w:p>
          <w:p w14:paraId="365D213F">
            <w:pPr>
              <w:pStyle w:val="18"/>
              <w:rPr>
                <w:color w:val="auto"/>
              </w:rPr>
            </w:pPr>
            <w:r>
              <w:rPr>
                <w:rFonts w:hint="eastAsia"/>
                <w:color w:val="auto"/>
              </w:rPr>
              <w:t>需支持对急诊手术、感染手术、不需要麻醉医生参与的手术申请信息进行特殊标识显示。</w:t>
            </w:r>
          </w:p>
          <w:p w14:paraId="2DD13E49">
            <w:pPr>
              <w:pStyle w:val="18"/>
              <w:rPr>
                <w:color w:val="auto"/>
              </w:rPr>
            </w:pPr>
            <w:r>
              <w:rPr>
                <w:rFonts w:hint="eastAsia"/>
                <w:color w:val="auto"/>
              </w:rPr>
              <w:t>需支持安排护士显示班次信息，并可根据班次、已安排、未安排信息对手术室护士进行过滤。</w:t>
            </w:r>
          </w:p>
          <w:p w14:paraId="4F4F4C89">
            <w:pPr>
              <w:pStyle w:val="18"/>
              <w:rPr>
                <w:color w:val="auto"/>
              </w:rPr>
            </w:pPr>
            <w:r>
              <w:rPr>
                <w:rFonts w:hint="eastAsia"/>
                <w:color w:val="auto"/>
              </w:rPr>
              <w:t>需支持已安排手术的护士进行显示标注，标注占用状态。</w:t>
            </w:r>
          </w:p>
          <w:p w14:paraId="303811B1">
            <w:pPr>
              <w:pStyle w:val="18"/>
              <w:rPr>
                <w:color w:val="auto"/>
              </w:rPr>
            </w:pPr>
            <w:r>
              <w:rPr>
                <w:rFonts w:hint="eastAsia"/>
                <w:color w:val="auto"/>
              </w:rPr>
              <w:t>需支持对护士的专长、职称、工作组等信息进行显示。</w:t>
            </w:r>
          </w:p>
          <w:p w14:paraId="720B78AF">
            <w:pPr>
              <w:pStyle w:val="18"/>
              <w:rPr>
                <w:color w:val="auto"/>
              </w:rPr>
            </w:pPr>
            <w:r>
              <w:rPr>
                <w:rFonts w:hint="eastAsia"/>
                <w:color w:val="auto"/>
              </w:rPr>
              <w:t>需支持对术间进行可视化显示，显示信息包括术间名称、特殊标识、已安排手术台数、洗手护士、巡回护士等信息。</w:t>
            </w:r>
          </w:p>
          <w:p w14:paraId="3D21B30E">
            <w:pPr>
              <w:pStyle w:val="18"/>
              <w:rPr>
                <w:color w:val="auto"/>
              </w:rPr>
            </w:pPr>
            <w:r>
              <w:rPr>
                <w:rFonts w:hint="eastAsia"/>
                <w:color w:val="auto"/>
              </w:rPr>
              <w:t>需支持以鼠标拖拽与鼠标选择两种方式对手术进行单个与批量安排，台序进行调整。支持已安排到术间的手术进行手术的互换与调间操作。</w:t>
            </w:r>
          </w:p>
          <w:p w14:paraId="50DF0610">
            <w:pPr>
              <w:pStyle w:val="18"/>
              <w:rPr>
                <w:color w:val="auto"/>
              </w:rPr>
            </w:pPr>
            <w:r>
              <w:rPr>
                <w:rFonts w:hint="eastAsia"/>
                <w:color w:val="auto"/>
              </w:rPr>
              <w:t>需支持以鼠标拖拽与鼠标选择两种方式对术间默认洗手护士、巡回护士等人员进行安排，需支持对手术申请进行撤销与取消撤销操作，并记录撤销原因。</w:t>
            </w:r>
          </w:p>
          <w:p w14:paraId="16F875D2">
            <w:pPr>
              <w:pStyle w:val="18"/>
              <w:rPr>
                <w:color w:val="auto"/>
              </w:rPr>
            </w:pPr>
            <w:r>
              <w:rPr>
                <w:rFonts w:hint="eastAsia"/>
                <w:color w:val="auto"/>
              </w:rPr>
              <w:t>需支持手术安排信息批量导出与打印，并可定制打印样式。</w:t>
            </w:r>
          </w:p>
          <w:p w14:paraId="54CCC33E">
            <w:pPr>
              <w:pStyle w:val="18"/>
              <w:rPr>
                <w:color w:val="auto"/>
              </w:rPr>
            </w:pPr>
            <w:r>
              <w:rPr>
                <w:rFonts w:hint="eastAsia"/>
                <w:color w:val="auto"/>
              </w:rPr>
              <w:t>2.急诊手术安排</w:t>
            </w:r>
          </w:p>
          <w:p w14:paraId="4E6B0614">
            <w:pPr>
              <w:pStyle w:val="18"/>
              <w:rPr>
                <w:color w:val="auto"/>
              </w:rPr>
            </w:pPr>
            <w:r>
              <w:rPr>
                <w:rFonts w:hint="eastAsia"/>
                <w:color w:val="auto"/>
              </w:rPr>
              <w:t>需支持对急诊手术申请消息发送至护士长或指定人员，支持对急诊手术的患者姓名、性别、年龄、申请科室、手术类型、手术方式、术前诊断、执行科室、主刀医生等信息以患者卡片的形式进行展现。</w:t>
            </w:r>
          </w:p>
          <w:p w14:paraId="7AD4FDF6">
            <w:pPr>
              <w:pStyle w:val="18"/>
              <w:rPr>
                <w:color w:val="auto"/>
              </w:rPr>
            </w:pPr>
            <w:r>
              <w:rPr>
                <w:rFonts w:hint="eastAsia"/>
                <w:color w:val="auto"/>
              </w:rPr>
              <w:t>需支持手术安排的洗手护士、巡回护士、麻醉医生等医护信息自动为术间默认人员，人员信息可调整。支持对急诊手术申请进行撤销与取消撤销操作，并记录撤销原因。</w:t>
            </w:r>
          </w:p>
          <w:p w14:paraId="581FB842">
            <w:pPr>
              <w:pStyle w:val="18"/>
              <w:rPr>
                <w:color w:val="auto"/>
              </w:rPr>
            </w:pPr>
            <w:r>
              <w:rPr>
                <w:rFonts w:hint="eastAsia"/>
                <w:color w:val="auto"/>
              </w:rPr>
              <w:t>系统支持发布急诊手术安排信息，可通过短信、微信等消息方式发送至临床与手术相关人员。</w:t>
            </w:r>
          </w:p>
          <w:p w14:paraId="53EC9969">
            <w:pPr>
              <w:pStyle w:val="18"/>
              <w:rPr>
                <w:color w:val="auto"/>
              </w:rPr>
            </w:pPr>
            <w:r>
              <w:rPr>
                <w:rFonts w:hint="eastAsia"/>
                <w:color w:val="auto"/>
              </w:rPr>
              <w:t>3.手术室资源中控</w:t>
            </w:r>
          </w:p>
          <w:p w14:paraId="36C63E64">
            <w:pPr>
              <w:pStyle w:val="18"/>
              <w:rPr>
                <w:color w:val="auto"/>
              </w:rPr>
            </w:pPr>
            <w:r>
              <w:rPr>
                <w:rFonts w:hint="eastAsia"/>
                <w:color w:val="auto"/>
              </w:rPr>
              <w:t>需支持中控各术间情况，术间卡片信息包括患者姓名、性别、年龄、手术方式、麻醉方式、ASA分级等，支持手术撤销。</w:t>
            </w:r>
          </w:p>
          <w:p w14:paraId="6E5455B9">
            <w:pPr>
              <w:pStyle w:val="18"/>
              <w:rPr>
                <w:color w:val="auto"/>
              </w:rPr>
            </w:pPr>
            <w:r>
              <w:rPr>
                <w:rFonts w:hint="eastAsia"/>
                <w:color w:val="auto"/>
              </w:rPr>
              <w:t>需支持术间情况有无使用的查询，支持术间人数的显示。</w:t>
            </w:r>
          </w:p>
        </w:tc>
      </w:tr>
      <w:tr w14:paraId="1CFD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D8A170A">
            <w:pPr>
              <w:pStyle w:val="18"/>
              <w:jc w:val="center"/>
              <w:rPr>
                <w:b w:val="0"/>
                <w:color w:val="auto"/>
              </w:rPr>
            </w:pPr>
            <w:r>
              <w:rPr>
                <w:rFonts w:hint="eastAsia"/>
                <w:b w:val="0"/>
                <w:color w:val="auto"/>
              </w:rPr>
              <w:t>主任工作站</w:t>
            </w:r>
          </w:p>
        </w:tc>
        <w:tc>
          <w:tcPr>
            <w:tcW w:w="6459" w:type="dxa"/>
            <w:vAlign w:val="center"/>
          </w:tcPr>
          <w:p w14:paraId="45A2AF01">
            <w:pPr>
              <w:pStyle w:val="18"/>
              <w:rPr>
                <w:color w:val="auto"/>
              </w:rPr>
            </w:pPr>
            <w:r>
              <w:rPr>
                <w:rFonts w:hint="eastAsia"/>
                <w:color w:val="auto"/>
              </w:rPr>
              <w:t>1.麻醉安排</w:t>
            </w:r>
          </w:p>
          <w:p w14:paraId="0D208113">
            <w:pPr>
              <w:pStyle w:val="18"/>
              <w:rPr>
                <w:color w:val="auto"/>
              </w:rPr>
            </w:pPr>
            <w:r>
              <w:rPr>
                <w:rFonts w:hint="eastAsia"/>
                <w:color w:val="auto"/>
              </w:rPr>
              <w:t>需支持按急诊手术、择期手术，麻醉方式（是否需麻醉医生参与），是否为感染手术、已安排手术、未安排手术、已撤销手术等查询条件查询已安排的手术申请信息，并显示满足条件的手术申请数量。</w:t>
            </w:r>
          </w:p>
          <w:p w14:paraId="330462DC">
            <w:pPr>
              <w:pStyle w:val="18"/>
              <w:rPr>
                <w:color w:val="auto"/>
              </w:rPr>
            </w:pPr>
            <w:r>
              <w:rPr>
                <w:rFonts w:hint="eastAsia"/>
                <w:color w:val="auto"/>
              </w:rPr>
              <w:t>需支持支持自定义手术申请列表项信息包括患者姓名、性别、年龄、申请科室、手术类型、手术方式、术前诊断、执行科室、主刀医生等。</w:t>
            </w:r>
          </w:p>
          <w:p w14:paraId="4A516B29">
            <w:pPr>
              <w:pStyle w:val="18"/>
              <w:rPr>
                <w:color w:val="auto"/>
              </w:rPr>
            </w:pPr>
            <w:r>
              <w:rPr>
                <w:rFonts w:hint="eastAsia"/>
                <w:color w:val="auto"/>
              </w:rPr>
              <w:t>需支持麻醉安排中自动过滤不需要麻醉医生参与的手术。支持安排麻醉医生显示班次信息，并可根据班次、已安排、未安排信息对手术室护士进行过滤。需支持已安排手术的护士进行显示标注，标注占用状态。</w:t>
            </w:r>
          </w:p>
          <w:p w14:paraId="3088EA8C">
            <w:pPr>
              <w:pStyle w:val="18"/>
              <w:rPr>
                <w:color w:val="auto"/>
              </w:rPr>
            </w:pPr>
            <w:r>
              <w:rPr>
                <w:rFonts w:hint="eastAsia"/>
                <w:color w:val="auto"/>
              </w:rPr>
              <w:t>需支持对术间进行可视化显示，显示信息包括术间名称、特殊标识、已安排手术台数、洗手护士、巡回护士、麻醉医生等信息。需支持对手术申请进行撤销与取消撤销操作，并记录撤销原因。</w:t>
            </w:r>
          </w:p>
          <w:p w14:paraId="0F9AD0DB">
            <w:pPr>
              <w:pStyle w:val="18"/>
              <w:rPr>
                <w:color w:val="auto"/>
              </w:rPr>
            </w:pPr>
            <w:r>
              <w:rPr>
                <w:rFonts w:hint="eastAsia"/>
                <w:color w:val="auto"/>
              </w:rPr>
              <w:t>2.手术室资源中控</w:t>
            </w:r>
          </w:p>
          <w:p w14:paraId="414B2CC9">
            <w:pPr>
              <w:pStyle w:val="18"/>
              <w:rPr>
                <w:color w:val="auto"/>
              </w:rPr>
            </w:pPr>
            <w:r>
              <w:rPr>
                <w:rFonts w:hint="eastAsia"/>
                <w:color w:val="auto"/>
              </w:rPr>
              <w:t>需支持为麻醉主任提供手术间麻醉期间实时情况查看，术间卡片信息包括患者姓名、性别、年龄、手术方式、麻醉方式、ASA分级等。</w:t>
            </w:r>
          </w:p>
          <w:p w14:paraId="7C0202F1">
            <w:pPr>
              <w:pStyle w:val="18"/>
              <w:rPr>
                <w:color w:val="auto"/>
              </w:rPr>
            </w:pPr>
            <w:r>
              <w:rPr>
                <w:rFonts w:hint="eastAsia"/>
                <w:color w:val="auto"/>
              </w:rPr>
              <w:t>需支持实时生命体征显示及体征全数据回顾。需支持模拟监护仪进行实时生命体征显示。支持数值与趋势图显示方式自由切换。</w:t>
            </w:r>
          </w:p>
          <w:p w14:paraId="7437D547">
            <w:pPr>
              <w:pStyle w:val="18"/>
              <w:rPr>
                <w:color w:val="auto"/>
              </w:rPr>
            </w:pPr>
            <w:r>
              <w:rPr>
                <w:rFonts w:hint="eastAsia"/>
                <w:color w:val="auto"/>
              </w:rPr>
              <w:t>需支持生命体征异常值标记和危急值预警，可一键切换术间麻醉记录单记录。</w:t>
            </w:r>
          </w:p>
        </w:tc>
      </w:tr>
      <w:tr w14:paraId="00F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6E789D5">
            <w:pPr>
              <w:pStyle w:val="18"/>
              <w:jc w:val="center"/>
              <w:rPr>
                <w:b w:val="0"/>
                <w:color w:val="auto"/>
              </w:rPr>
            </w:pPr>
            <w:r>
              <w:rPr>
                <w:rFonts w:hint="eastAsia"/>
                <w:b w:val="0"/>
                <w:color w:val="auto"/>
              </w:rPr>
              <w:t>科室运营管理</w:t>
            </w:r>
          </w:p>
        </w:tc>
        <w:tc>
          <w:tcPr>
            <w:tcW w:w="6459" w:type="dxa"/>
            <w:vAlign w:val="center"/>
          </w:tcPr>
          <w:p w14:paraId="0B9F9755">
            <w:pPr>
              <w:pStyle w:val="18"/>
              <w:rPr>
                <w:color w:val="auto"/>
              </w:rPr>
            </w:pPr>
            <w:r>
              <w:rPr>
                <w:rFonts w:hint="eastAsia"/>
                <w:color w:val="auto"/>
              </w:rPr>
              <w:t>1.手术排班大屏公告系统</w:t>
            </w:r>
          </w:p>
          <w:p w14:paraId="047D6163">
            <w:pPr>
              <w:pStyle w:val="18"/>
              <w:rPr>
                <w:color w:val="auto"/>
              </w:rPr>
            </w:pPr>
            <w:r>
              <w:rPr>
                <w:rFonts w:hint="eastAsia"/>
                <w:color w:val="auto"/>
              </w:rPr>
              <w:t>手术排班液晶大屏幕显示内容包括时间、手术状态、手术间、患者姓名、手术名称、手术医生、麻醉医生等，支持灵活调整显示字段。</w:t>
            </w:r>
          </w:p>
          <w:p w14:paraId="590DCDB5">
            <w:pPr>
              <w:pStyle w:val="18"/>
              <w:rPr>
                <w:color w:val="auto"/>
              </w:rPr>
            </w:pPr>
            <w:r>
              <w:rPr>
                <w:rFonts w:hint="eastAsia"/>
                <w:color w:val="auto"/>
              </w:rPr>
              <w:t>需支持显示进入手术间时间、麻醉时间、手术时间、出手术间时间。支持未完成手术、急诊手术、已完成手术，字体颜色区分显示。</w:t>
            </w:r>
          </w:p>
          <w:p w14:paraId="0199822F">
            <w:pPr>
              <w:pStyle w:val="18"/>
              <w:rPr>
                <w:color w:val="auto"/>
              </w:rPr>
            </w:pPr>
            <w:r>
              <w:rPr>
                <w:rFonts w:hint="eastAsia"/>
                <w:color w:val="auto"/>
              </w:rPr>
              <w:t>2.家属等待区信息公告系统</w:t>
            </w:r>
          </w:p>
          <w:p w14:paraId="7923E7FD">
            <w:pPr>
              <w:pStyle w:val="18"/>
              <w:rPr>
                <w:color w:val="auto"/>
              </w:rPr>
            </w:pPr>
            <w:r>
              <w:rPr>
                <w:rFonts w:hint="eastAsia"/>
                <w:color w:val="auto"/>
              </w:rPr>
              <w:t>需支持家属等待区安装液晶大屏，可以实时、动态显示手术进展情况。</w:t>
            </w:r>
          </w:p>
          <w:p w14:paraId="7187C779">
            <w:pPr>
              <w:pStyle w:val="18"/>
              <w:rPr>
                <w:color w:val="auto"/>
              </w:rPr>
            </w:pPr>
            <w:r>
              <w:rPr>
                <w:rFonts w:hint="eastAsia"/>
                <w:color w:val="auto"/>
              </w:rPr>
              <w:t>需支持通过文字、语音两种方式播报家属通知信息。</w:t>
            </w:r>
          </w:p>
        </w:tc>
      </w:tr>
      <w:tr w14:paraId="3B15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F228D92">
            <w:pPr>
              <w:pStyle w:val="18"/>
              <w:jc w:val="center"/>
              <w:rPr>
                <w:b w:val="0"/>
                <w:color w:val="auto"/>
              </w:rPr>
            </w:pPr>
            <w:r>
              <w:rPr>
                <w:rFonts w:hint="eastAsia"/>
                <w:b w:val="0"/>
                <w:color w:val="auto"/>
              </w:rPr>
              <w:t>病案管理</w:t>
            </w:r>
          </w:p>
        </w:tc>
        <w:tc>
          <w:tcPr>
            <w:tcW w:w="6459" w:type="dxa"/>
            <w:vAlign w:val="center"/>
          </w:tcPr>
          <w:p w14:paraId="1B9E0531">
            <w:pPr>
              <w:pStyle w:val="18"/>
              <w:rPr>
                <w:color w:val="auto"/>
              </w:rPr>
            </w:pPr>
            <w:r>
              <w:rPr>
                <w:rFonts w:hint="eastAsia"/>
                <w:color w:val="auto"/>
              </w:rPr>
              <w:t>1.文书录入</w:t>
            </w:r>
          </w:p>
          <w:p w14:paraId="1839DE14">
            <w:pPr>
              <w:pStyle w:val="18"/>
              <w:rPr>
                <w:color w:val="auto"/>
              </w:rPr>
            </w:pPr>
            <w:r>
              <w:rPr>
                <w:rFonts w:hint="eastAsia"/>
                <w:color w:val="auto"/>
              </w:rPr>
              <w:t>系统需提供常用语模板功能，语模板可针对科室共用及个人操作习惯进行分类维护使用。</w:t>
            </w:r>
          </w:p>
          <w:p w14:paraId="7F095E5C">
            <w:pPr>
              <w:pStyle w:val="18"/>
              <w:rPr>
                <w:color w:val="auto"/>
              </w:rPr>
            </w:pPr>
            <w:r>
              <w:rPr>
                <w:rFonts w:hint="eastAsia"/>
                <w:color w:val="auto"/>
              </w:rPr>
              <w:t>2.病案归档</w:t>
            </w:r>
          </w:p>
          <w:p w14:paraId="2575D8FF">
            <w:pPr>
              <w:pStyle w:val="18"/>
              <w:rPr>
                <w:color w:val="auto"/>
              </w:rPr>
            </w:pPr>
            <w:r>
              <w:rPr>
                <w:rFonts w:hint="eastAsia"/>
                <w:color w:val="auto"/>
              </w:rPr>
              <w:t>需支持单张或全部归档功能，并支持手动封单和自动归档（自定义封单时间）两种方式。</w:t>
            </w:r>
          </w:p>
          <w:p w14:paraId="351285EE">
            <w:pPr>
              <w:pStyle w:val="18"/>
              <w:rPr>
                <w:color w:val="auto"/>
              </w:rPr>
            </w:pPr>
            <w:r>
              <w:rPr>
                <w:rFonts w:hint="eastAsia"/>
                <w:color w:val="auto"/>
              </w:rPr>
              <w:t>麻醉主任或科室管理者支持对归档的医疗文书进行解封，从而实现再次编辑操作等。</w:t>
            </w:r>
          </w:p>
          <w:p w14:paraId="22A8C664">
            <w:pPr>
              <w:pStyle w:val="18"/>
              <w:rPr>
                <w:color w:val="auto"/>
              </w:rPr>
            </w:pPr>
            <w:r>
              <w:rPr>
                <w:rFonts w:hint="eastAsia"/>
                <w:color w:val="auto"/>
              </w:rPr>
              <w:t>需支持归档电子病历。</w:t>
            </w:r>
          </w:p>
          <w:p w14:paraId="3FCFB661">
            <w:pPr>
              <w:pStyle w:val="18"/>
              <w:rPr>
                <w:color w:val="auto"/>
              </w:rPr>
            </w:pPr>
            <w:r>
              <w:rPr>
                <w:rFonts w:hint="eastAsia"/>
                <w:color w:val="auto"/>
              </w:rPr>
              <w:t>需支持自动校验各医疗文书中数据的一致性，并进行消息提醒。</w:t>
            </w:r>
          </w:p>
          <w:p w14:paraId="1E948F17">
            <w:pPr>
              <w:pStyle w:val="18"/>
              <w:rPr>
                <w:color w:val="auto"/>
              </w:rPr>
            </w:pPr>
            <w:r>
              <w:rPr>
                <w:rFonts w:hint="eastAsia"/>
                <w:color w:val="auto"/>
              </w:rPr>
              <w:t>3.病案查询</w:t>
            </w:r>
          </w:p>
          <w:p w14:paraId="444235C1">
            <w:pPr>
              <w:pStyle w:val="18"/>
              <w:rPr>
                <w:color w:val="auto"/>
              </w:rPr>
            </w:pPr>
            <w:r>
              <w:rPr>
                <w:rFonts w:hint="eastAsia"/>
                <w:color w:val="auto"/>
              </w:rPr>
              <w:t>需支持浏览指定患者所有历史麻醉病案及打印麻醉病案。</w:t>
            </w:r>
          </w:p>
        </w:tc>
      </w:tr>
      <w:tr w14:paraId="3635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025F6E9">
            <w:pPr>
              <w:pStyle w:val="18"/>
              <w:jc w:val="center"/>
              <w:rPr>
                <w:b w:val="0"/>
                <w:color w:val="auto"/>
              </w:rPr>
            </w:pPr>
            <w:r>
              <w:rPr>
                <w:rFonts w:hint="eastAsia"/>
                <w:b w:val="0"/>
                <w:color w:val="auto"/>
              </w:rPr>
              <w:t>信息系统</w:t>
            </w:r>
          </w:p>
          <w:p w14:paraId="3B7E0E07">
            <w:pPr>
              <w:pStyle w:val="18"/>
              <w:jc w:val="center"/>
              <w:rPr>
                <w:b w:val="0"/>
                <w:color w:val="auto"/>
              </w:rPr>
            </w:pPr>
            <w:r>
              <w:rPr>
                <w:rFonts w:hint="eastAsia"/>
                <w:b w:val="0"/>
                <w:color w:val="auto"/>
              </w:rPr>
              <w:t>集成交互</w:t>
            </w:r>
          </w:p>
        </w:tc>
        <w:tc>
          <w:tcPr>
            <w:tcW w:w="6459" w:type="dxa"/>
            <w:vAlign w:val="center"/>
          </w:tcPr>
          <w:p w14:paraId="6DED0406">
            <w:pPr>
              <w:pStyle w:val="18"/>
              <w:rPr>
                <w:color w:val="auto"/>
              </w:rPr>
            </w:pPr>
            <w:r>
              <w:rPr>
                <w:rFonts w:hint="eastAsia"/>
                <w:color w:val="auto"/>
              </w:rPr>
              <w:t>1.信息系统接口支持功能</w:t>
            </w:r>
          </w:p>
          <w:p w14:paraId="38C04015">
            <w:pPr>
              <w:pStyle w:val="18"/>
              <w:rPr>
                <w:color w:val="auto"/>
              </w:rPr>
            </w:pPr>
            <w:r>
              <w:rPr>
                <w:rFonts w:hint="eastAsia"/>
                <w:color w:val="auto"/>
              </w:rPr>
              <w:t>系统需实现与医院信息系统无缝连接，与HIS、EMR，LIS、PACS等系统的高度融合。</w:t>
            </w:r>
          </w:p>
          <w:p w14:paraId="426740AB">
            <w:pPr>
              <w:pStyle w:val="18"/>
              <w:rPr>
                <w:color w:val="auto"/>
              </w:rPr>
            </w:pPr>
            <w:r>
              <w:rPr>
                <w:rFonts w:hint="eastAsia"/>
                <w:color w:val="auto"/>
              </w:rPr>
              <w:t>需支持调阅患者患者病历，病程记录信息。</w:t>
            </w:r>
          </w:p>
          <w:p w14:paraId="0E28AE33">
            <w:pPr>
              <w:pStyle w:val="18"/>
              <w:rPr>
                <w:color w:val="auto"/>
              </w:rPr>
            </w:pPr>
            <w:r>
              <w:rPr>
                <w:rFonts w:hint="eastAsia"/>
                <w:color w:val="auto"/>
              </w:rPr>
              <w:t>需支持调阅患者检验报告信息。</w:t>
            </w:r>
          </w:p>
          <w:p w14:paraId="49AF9858">
            <w:pPr>
              <w:pStyle w:val="18"/>
              <w:rPr>
                <w:color w:val="auto"/>
              </w:rPr>
            </w:pPr>
            <w:r>
              <w:rPr>
                <w:rFonts w:hint="eastAsia"/>
                <w:color w:val="auto"/>
              </w:rPr>
              <w:t>需支持调阅患者影像报告信息。</w:t>
            </w:r>
          </w:p>
          <w:p w14:paraId="70743C2F">
            <w:pPr>
              <w:pStyle w:val="18"/>
              <w:rPr>
                <w:color w:val="auto"/>
              </w:rPr>
            </w:pPr>
            <w:r>
              <w:rPr>
                <w:rFonts w:hint="eastAsia"/>
                <w:color w:val="auto"/>
              </w:rPr>
              <w:t>需提供手术安排和手术患者状态告知显示系统，同时提供信息告知大屏系统功能。</w:t>
            </w:r>
          </w:p>
        </w:tc>
      </w:tr>
      <w:tr w14:paraId="27D6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B8205AD">
            <w:pPr>
              <w:pStyle w:val="18"/>
              <w:jc w:val="center"/>
              <w:rPr>
                <w:b w:val="0"/>
                <w:color w:val="auto"/>
              </w:rPr>
            </w:pPr>
            <w:r>
              <w:rPr>
                <w:rFonts w:hint="eastAsia"/>
                <w:b w:val="0"/>
                <w:color w:val="auto"/>
              </w:rPr>
              <w:t>数据统计平台</w:t>
            </w:r>
          </w:p>
        </w:tc>
        <w:tc>
          <w:tcPr>
            <w:tcW w:w="6459" w:type="dxa"/>
            <w:vAlign w:val="center"/>
          </w:tcPr>
          <w:p w14:paraId="56209D4E">
            <w:pPr>
              <w:pStyle w:val="18"/>
              <w:rPr>
                <w:color w:val="auto"/>
              </w:rPr>
            </w:pPr>
            <w:r>
              <w:rPr>
                <w:rFonts w:hint="eastAsia"/>
                <w:color w:val="auto"/>
              </w:rPr>
              <w:t>1.麻醉专业医疗质量控制指标</w:t>
            </w:r>
          </w:p>
          <w:p w14:paraId="3C3FA2E9">
            <w:pPr>
              <w:pStyle w:val="18"/>
              <w:rPr>
                <w:color w:val="auto"/>
              </w:rPr>
            </w:pPr>
            <w:r>
              <w:rPr>
                <w:rFonts w:hint="eastAsia"/>
                <w:color w:val="auto"/>
              </w:rPr>
              <w:t>系统能够通过与HIS、LIS、PACS、电子病历系统联合来统计上级部门所提出的关于上报质控数据的要求，需要手术麻醉系统的具体各项数据指标如下：</w:t>
            </w:r>
          </w:p>
          <w:p w14:paraId="70599BDC">
            <w:pPr>
              <w:pStyle w:val="18"/>
              <w:rPr>
                <w:color w:val="auto"/>
              </w:rPr>
            </w:pPr>
            <w:r>
              <w:rPr>
                <w:rFonts w:hint="eastAsia"/>
                <w:color w:val="auto"/>
              </w:rPr>
              <w:t>指标1：麻醉科医护比；</w:t>
            </w:r>
          </w:p>
          <w:p w14:paraId="38BD313F">
            <w:pPr>
              <w:pStyle w:val="18"/>
              <w:rPr>
                <w:color w:val="auto"/>
              </w:rPr>
            </w:pPr>
            <w:r>
              <w:rPr>
                <w:rFonts w:hint="eastAsia"/>
                <w:color w:val="auto"/>
              </w:rPr>
              <w:t>指标2：麻醉科人均年麻醉例次；</w:t>
            </w:r>
          </w:p>
          <w:p w14:paraId="4D170E22">
            <w:pPr>
              <w:pStyle w:val="18"/>
              <w:rPr>
                <w:color w:val="auto"/>
              </w:rPr>
            </w:pPr>
            <w:r>
              <w:rPr>
                <w:rFonts w:hint="eastAsia"/>
                <w:color w:val="auto"/>
              </w:rPr>
              <w:t>指标3：手术室外麻醉占比；</w:t>
            </w:r>
          </w:p>
          <w:p w14:paraId="08861CCD">
            <w:pPr>
              <w:pStyle w:val="18"/>
              <w:rPr>
                <w:color w:val="auto"/>
              </w:rPr>
            </w:pPr>
            <w:r>
              <w:rPr>
                <w:rFonts w:hint="eastAsia"/>
                <w:color w:val="auto"/>
              </w:rPr>
              <w:t>指标4：择期手术麻醉前访视率；</w:t>
            </w:r>
          </w:p>
          <w:p w14:paraId="1C0B8DE9">
            <w:pPr>
              <w:pStyle w:val="18"/>
              <w:rPr>
                <w:color w:val="auto"/>
              </w:rPr>
            </w:pPr>
            <w:r>
              <w:rPr>
                <w:rFonts w:hint="eastAsia"/>
                <w:color w:val="auto"/>
              </w:rPr>
              <w:t>指标5：入室后手术麻醉取消率；</w:t>
            </w:r>
          </w:p>
          <w:p w14:paraId="024FE848">
            <w:pPr>
              <w:pStyle w:val="18"/>
              <w:rPr>
                <w:color w:val="auto"/>
              </w:rPr>
            </w:pPr>
            <w:r>
              <w:rPr>
                <w:rFonts w:hint="eastAsia"/>
                <w:color w:val="auto"/>
              </w:rPr>
              <w:t>指标6：麻醉开始后手术取消率；</w:t>
            </w:r>
          </w:p>
          <w:p w14:paraId="4E8ED451">
            <w:pPr>
              <w:pStyle w:val="18"/>
              <w:rPr>
                <w:color w:val="auto"/>
              </w:rPr>
            </w:pPr>
            <w:r>
              <w:rPr>
                <w:rFonts w:hint="eastAsia"/>
                <w:color w:val="auto"/>
              </w:rPr>
              <w:t>指标7：全身麻醉术中体温监测率</w:t>
            </w:r>
          </w:p>
          <w:p w14:paraId="5874102D">
            <w:pPr>
              <w:pStyle w:val="18"/>
              <w:rPr>
                <w:color w:val="auto"/>
              </w:rPr>
            </w:pPr>
            <w:r>
              <w:rPr>
                <w:rFonts w:hint="eastAsia"/>
                <w:color w:val="auto"/>
              </w:rPr>
              <w:t>指标8：术中主动保温率；</w:t>
            </w:r>
          </w:p>
          <w:p w14:paraId="779D7CA4">
            <w:pPr>
              <w:pStyle w:val="18"/>
              <w:rPr>
                <w:color w:val="auto"/>
              </w:rPr>
            </w:pPr>
            <w:r>
              <w:rPr>
                <w:rFonts w:hint="eastAsia"/>
                <w:color w:val="auto"/>
              </w:rPr>
              <w:t>指标9：术中自体血输注率；</w:t>
            </w:r>
          </w:p>
          <w:p w14:paraId="6FC387CD">
            <w:pPr>
              <w:pStyle w:val="18"/>
              <w:rPr>
                <w:color w:val="auto"/>
              </w:rPr>
            </w:pPr>
            <w:r>
              <w:rPr>
                <w:rFonts w:hint="eastAsia"/>
                <w:color w:val="auto"/>
              </w:rPr>
              <w:t>指标10：手术麻醉期间低体温发生率；</w:t>
            </w:r>
          </w:p>
          <w:p w14:paraId="3B3DB6CA">
            <w:pPr>
              <w:pStyle w:val="18"/>
              <w:rPr>
                <w:color w:val="auto"/>
              </w:rPr>
            </w:pPr>
            <w:r>
              <w:rPr>
                <w:rFonts w:hint="eastAsia"/>
                <w:color w:val="auto"/>
              </w:rPr>
              <w:t>指标11：术中牙齿损伤发生率。</w:t>
            </w:r>
          </w:p>
          <w:p w14:paraId="499A2BD7">
            <w:pPr>
              <w:pStyle w:val="18"/>
              <w:rPr>
                <w:color w:val="auto"/>
              </w:rPr>
            </w:pPr>
            <w:r>
              <w:rPr>
                <w:rFonts w:hint="eastAsia"/>
                <w:color w:val="auto"/>
              </w:rPr>
              <w:t>指标12麻醉期间严重反流误吸发生率</w:t>
            </w:r>
          </w:p>
          <w:p w14:paraId="3A90A362">
            <w:pPr>
              <w:pStyle w:val="18"/>
              <w:rPr>
                <w:color w:val="auto"/>
              </w:rPr>
            </w:pPr>
            <w:r>
              <w:rPr>
                <w:rFonts w:hint="eastAsia"/>
                <w:color w:val="auto"/>
              </w:rPr>
              <w:t>指标13：计划外建立人工气道发生率</w:t>
            </w:r>
          </w:p>
          <w:p w14:paraId="59D8BCFE">
            <w:pPr>
              <w:pStyle w:val="18"/>
              <w:rPr>
                <w:color w:val="auto"/>
              </w:rPr>
            </w:pPr>
            <w:r>
              <w:rPr>
                <w:rFonts w:hint="eastAsia"/>
                <w:color w:val="auto"/>
              </w:rPr>
              <w:t>指标14：术中呼吸心跳骤停率指标；</w:t>
            </w:r>
          </w:p>
          <w:p w14:paraId="6AD746AB">
            <w:pPr>
              <w:pStyle w:val="18"/>
              <w:rPr>
                <w:color w:val="auto"/>
              </w:rPr>
            </w:pPr>
            <w:r>
              <w:rPr>
                <w:rFonts w:hint="eastAsia"/>
                <w:color w:val="auto"/>
              </w:rPr>
              <w:t>指标15：麻醉期间严重过敏反应发生率；</w:t>
            </w:r>
          </w:p>
          <w:p w14:paraId="5FBF0BA0">
            <w:pPr>
              <w:pStyle w:val="18"/>
              <w:rPr>
                <w:color w:val="auto"/>
              </w:rPr>
            </w:pPr>
            <w:r>
              <w:rPr>
                <w:rFonts w:hint="eastAsia"/>
                <w:color w:val="auto"/>
              </w:rPr>
              <w:t>指标16：PACU入室低体温发生率；</w:t>
            </w:r>
          </w:p>
          <w:p w14:paraId="3F2DDC8E">
            <w:pPr>
              <w:pStyle w:val="18"/>
              <w:rPr>
                <w:color w:val="auto"/>
              </w:rPr>
            </w:pPr>
            <w:r>
              <w:rPr>
                <w:rFonts w:hint="eastAsia"/>
                <w:color w:val="auto"/>
              </w:rPr>
              <w:t>指标18：麻醉后恢复治疗室PACU转出延迟率；</w:t>
            </w:r>
          </w:p>
          <w:p w14:paraId="5D730ED9">
            <w:pPr>
              <w:pStyle w:val="18"/>
              <w:rPr>
                <w:color w:val="auto"/>
              </w:rPr>
            </w:pPr>
            <w:r>
              <w:rPr>
                <w:rFonts w:hint="eastAsia"/>
                <w:color w:val="auto"/>
              </w:rPr>
              <w:t>指标19：非计划二次气管插管率；</w:t>
            </w:r>
          </w:p>
          <w:p w14:paraId="220D7DD1">
            <w:pPr>
              <w:pStyle w:val="18"/>
              <w:rPr>
                <w:color w:val="auto"/>
              </w:rPr>
            </w:pPr>
            <w:r>
              <w:rPr>
                <w:rFonts w:hint="eastAsia"/>
                <w:color w:val="auto"/>
              </w:rPr>
              <w:t>指标20：非计划转入ICU率；</w:t>
            </w:r>
          </w:p>
          <w:p w14:paraId="7AA06C60">
            <w:pPr>
              <w:pStyle w:val="18"/>
              <w:rPr>
                <w:color w:val="auto"/>
              </w:rPr>
            </w:pPr>
            <w:r>
              <w:rPr>
                <w:rFonts w:hint="eastAsia"/>
                <w:color w:val="auto"/>
              </w:rPr>
              <w:t>指标21：术后镇痛满意率；</w:t>
            </w:r>
          </w:p>
          <w:p w14:paraId="776A9A94">
            <w:pPr>
              <w:pStyle w:val="18"/>
              <w:rPr>
                <w:color w:val="auto"/>
              </w:rPr>
            </w:pPr>
            <w:r>
              <w:rPr>
                <w:rFonts w:hint="eastAsia"/>
                <w:color w:val="auto"/>
              </w:rPr>
              <w:t>指标22：区域阻滞麻醉后严重神经并发症发生率；</w:t>
            </w:r>
          </w:p>
          <w:p w14:paraId="4FB91BC5">
            <w:pPr>
              <w:pStyle w:val="18"/>
              <w:rPr>
                <w:color w:val="auto"/>
              </w:rPr>
            </w:pPr>
            <w:r>
              <w:rPr>
                <w:rFonts w:hint="eastAsia"/>
                <w:color w:val="auto"/>
              </w:rPr>
              <w:t>指标23：全身麻醉气管插管拔管后声音嘶哑发生率；</w:t>
            </w:r>
          </w:p>
          <w:p w14:paraId="0B6B4616">
            <w:pPr>
              <w:pStyle w:val="18"/>
              <w:rPr>
                <w:color w:val="auto"/>
              </w:rPr>
            </w:pPr>
            <w:r>
              <w:rPr>
                <w:rFonts w:hint="eastAsia"/>
                <w:color w:val="auto"/>
              </w:rPr>
              <w:t>指标24：麻醉后新发昏迷发生率；</w:t>
            </w:r>
          </w:p>
          <w:p w14:paraId="2D6C7496">
            <w:pPr>
              <w:pStyle w:val="18"/>
              <w:rPr>
                <w:color w:val="auto"/>
              </w:rPr>
            </w:pPr>
            <w:r>
              <w:rPr>
                <w:rFonts w:hint="eastAsia"/>
                <w:color w:val="auto"/>
              </w:rPr>
              <w:t>指标25：麻醉后24小时内患者死亡率；</w:t>
            </w:r>
          </w:p>
          <w:p w14:paraId="34C179FB">
            <w:pPr>
              <w:pStyle w:val="18"/>
              <w:rPr>
                <w:color w:val="auto"/>
              </w:rPr>
            </w:pPr>
            <w:r>
              <w:rPr>
                <w:rFonts w:hint="eastAsia"/>
                <w:color w:val="auto"/>
              </w:rPr>
              <w:t>指标26：阴道分娩椎管内麻醉使用率。</w:t>
            </w:r>
          </w:p>
          <w:p w14:paraId="7D7163B4">
            <w:pPr>
              <w:pStyle w:val="18"/>
              <w:rPr>
                <w:color w:val="auto"/>
              </w:rPr>
            </w:pPr>
            <w:r>
              <w:rPr>
                <w:rFonts w:hint="eastAsia"/>
                <w:color w:val="auto"/>
              </w:rPr>
              <w:t>2.主任驾驶舱</w:t>
            </w:r>
          </w:p>
          <w:p w14:paraId="020AE236">
            <w:pPr>
              <w:pStyle w:val="18"/>
              <w:rPr>
                <w:color w:val="auto"/>
              </w:rPr>
            </w:pPr>
            <w:r>
              <w:rPr>
                <w:rFonts w:hint="eastAsia"/>
                <w:color w:val="auto"/>
              </w:rPr>
              <w:t>系统需提供多种统计报表，包括科室管理指标和三甲评审质控指标。</w:t>
            </w:r>
          </w:p>
          <w:p w14:paraId="7694E1CB">
            <w:pPr>
              <w:pStyle w:val="18"/>
              <w:rPr>
                <w:color w:val="auto"/>
              </w:rPr>
            </w:pPr>
            <w:r>
              <w:rPr>
                <w:rFonts w:hint="eastAsia"/>
                <w:color w:val="auto"/>
              </w:rPr>
              <w:t>科室管理指标：</w:t>
            </w:r>
          </w:p>
          <w:p w14:paraId="48A72115">
            <w:pPr>
              <w:pStyle w:val="18"/>
              <w:rPr>
                <w:color w:val="auto"/>
              </w:rPr>
            </w:pPr>
            <w:r>
              <w:rPr>
                <w:rFonts w:hint="eastAsia"/>
                <w:color w:val="auto"/>
              </w:rPr>
              <w:t>（1）麻醉医生工作量统计表；</w:t>
            </w:r>
          </w:p>
          <w:p w14:paraId="4EAD089B">
            <w:pPr>
              <w:pStyle w:val="18"/>
              <w:rPr>
                <w:color w:val="auto"/>
              </w:rPr>
            </w:pPr>
            <w:r>
              <w:rPr>
                <w:rFonts w:hint="eastAsia"/>
                <w:color w:val="auto"/>
              </w:rPr>
              <w:t>（2）护士工作量统计表；</w:t>
            </w:r>
          </w:p>
          <w:p w14:paraId="5F300450">
            <w:pPr>
              <w:pStyle w:val="18"/>
              <w:rPr>
                <w:color w:val="auto"/>
              </w:rPr>
            </w:pPr>
            <w:r>
              <w:rPr>
                <w:rFonts w:hint="eastAsia"/>
                <w:color w:val="auto"/>
              </w:rPr>
              <w:t>（3）患者信息统计表；</w:t>
            </w:r>
          </w:p>
          <w:p w14:paraId="50226161">
            <w:pPr>
              <w:pStyle w:val="18"/>
              <w:rPr>
                <w:color w:val="auto"/>
              </w:rPr>
            </w:pPr>
            <w:r>
              <w:rPr>
                <w:rFonts w:hint="eastAsia"/>
                <w:color w:val="auto"/>
              </w:rPr>
              <w:t>（4）手术查询统计表；</w:t>
            </w:r>
          </w:p>
          <w:p w14:paraId="51FEAACB">
            <w:pPr>
              <w:pStyle w:val="18"/>
              <w:rPr>
                <w:color w:val="auto"/>
              </w:rPr>
            </w:pPr>
            <w:r>
              <w:rPr>
                <w:rFonts w:hint="eastAsia"/>
                <w:color w:val="auto"/>
              </w:rPr>
              <w:t>（5）各个科室手术量统计表；</w:t>
            </w:r>
          </w:p>
          <w:p w14:paraId="31EAFE72">
            <w:pPr>
              <w:pStyle w:val="18"/>
              <w:rPr>
                <w:color w:val="auto"/>
              </w:rPr>
            </w:pPr>
            <w:r>
              <w:rPr>
                <w:rFonts w:hint="eastAsia"/>
                <w:color w:val="auto"/>
              </w:rPr>
              <w:t>（6）患者年龄段统计表；</w:t>
            </w:r>
          </w:p>
          <w:p w14:paraId="1F3026F2">
            <w:pPr>
              <w:pStyle w:val="18"/>
              <w:rPr>
                <w:color w:val="auto"/>
              </w:rPr>
            </w:pPr>
            <w:r>
              <w:rPr>
                <w:rFonts w:hint="eastAsia"/>
                <w:color w:val="auto"/>
              </w:rPr>
              <w:t>（7）患者离室去向统计表；</w:t>
            </w:r>
          </w:p>
          <w:p w14:paraId="1552C8FD">
            <w:pPr>
              <w:pStyle w:val="18"/>
              <w:rPr>
                <w:color w:val="auto"/>
              </w:rPr>
            </w:pPr>
            <w:r>
              <w:rPr>
                <w:rFonts w:hint="eastAsia"/>
                <w:color w:val="auto"/>
              </w:rPr>
              <w:t>（8）术后镇痛治疗统计表；</w:t>
            </w:r>
          </w:p>
          <w:p w14:paraId="23F558CB">
            <w:pPr>
              <w:pStyle w:val="18"/>
              <w:rPr>
                <w:color w:val="auto"/>
              </w:rPr>
            </w:pPr>
            <w:r>
              <w:rPr>
                <w:rFonts w:hint="eastAsia"/>
                <w:color w:val="auto"/>
              </w:rPr>
              <w:t>（9）术后镇痛治疗患者信息统计表；</w:t>
            </w:r>
          </w:p>
          <w:p w14:paraId="165C3725">
            <w:pPr>
              <w:pStyle w:val="18"/>
              <w:rPr>
                <w:color w:val="auto"/>
              </w:rPr>
            </w:pPr>
            <w:r>
              <w:rPr>
                <w:rFonts w:hint="eastAsia"/>
                <w:color w:val="auto"/>
              </w:rPr>
              <w:t>（10）首台手术开台时间统计表；</w:t>
            </w:r>
          </w:p>
          <w:p w14:paraId="6ABC4049">
            <w:pPr>
              <w:pStyle w:val="18"/>
              <w:rPr>
                <w:color w:val="auto"/>
              </w:rPr>
            </w:pPr>
            <w:r>
              <w:rPr>
                <w:rFonts w:hint="eastAsia"/>
                <w:color w:val="auto"/>
              </w:rPr>
              <w:t>（11）首台开台时间段统计表；</w:t>
            </w:r>
          </w:p>
          <w:p w14:paraId="52FB130D">
            <w:pPr>
              <w:pStyle w:val="18"/>
              <w:rPr>
                <w:color w:val="auto"/>
              </w:rPr>
            </w:pPr>
            <w:r>
              <w:rPr>
                <w:rFonts w:hint="eastAsia"/>
                <w:color w:val="auto"/>
              </w:rPr>
              <w:t>（12）手术间利用率统计表。</w:t>
            </w:r>
          </w:p>
          <w:p w14:paraId="0516AE19">
            <w:pPr>
              <w:pStyle w:val="18"/>
              <w:rPr>
                <w:color w:val="auto"/>
              </w:rPr>
            </w:pPr>
            <w:r>
              <w:rPr>
                <w:rFonts w:hint="eastAsia"/>
                <w:color w:val="auto"/>
              </w:rPr>
              <w:t>三甲评审质控指标：</w:t>
            </w:r>
          </w:p>
          <w:p w14:paraId="5221966D">
            <w:pPr>
              <w:pStyle w:val="18"/>
              <w:rPr>
                <w:color w:val="auto"/>
              </w:rPr>
            </w:pPr>
            <w:r>
              <w:rPr>
                <w:rFonts w:hint="eastAsia"/>
                <w:color w:val="auto"/>
              </w:rPr>
              <w:t>（1）各ASA分级麻醉患者比例统计表；</w:t>
            </w:r>
          </w:p>
          <w:p w14:paraId="6D94A6EA">
            <w:pPr>
              <w:pStyle w:val="18"/>
              <w:rPr>
                <w:color w:val="auto"/>
              </w:rPr>
            </w:pPr>
            <w:r>
              <w:rPr>
                <w:rFonts w:hint="eastAsia"/>
                <w:color w:val="auto"/>
              </w:rPr>
              <w:t>（2）科室工作量统计表；</w:t>
            </w:r>
          </w:p>
          <w:p w14:paraId="7AD45E9C">
            <w:pPr>
              <w:pStyle w:val="18"/>
              <w:rPr>
                <w:color w:val="auto"/>
              </w:rPr>
            </w:pPr>
            <w:r>
              <w:rPr>
                <w:rFonts w:hint="eastAsia"/>
                <w:color w:val="auto"/>
              </w:rPr>
              <w:t>（3）麻醉医师工作量统计表；</w:t>
            </w:r>
          </w:p>
          <w:p w14:paraId="403E6D66">
            <w:pPr>
              <w:pStyle w:val="18"/>
              <w:rPr>
                <w:color w:val="auto"/>
              </w:rPr>
            </w:pPr>
            <w:r>
              <w:rPr>
                <w:rFonts w:hint="eastAsia"/>
                <w:color w:val="auto"/>
              </w:rPr>
              <w:t>（4）护士工作量统计表；</w:t>
            </w:r>
          </w:p>
          <w:p w14:paraId="35F7BD18">
            <w:pPr>
              <w:pStyle w:val="18"/>
              <w:rPr>
                <w:color w:val="auto"/>
              </w:rPr>
            </w:pPr>
            <w:r>
              <w:rPr>
                <w:rFonts w:hint="eastAsia"/>
                <w:color w:val="auto"/>
              </w:rPr>
              <w:t>（5）手术医生工作量统计表；</w:t>
            </w:r>
          </w:p>
          <w:p w14:paraId="7C1E0FCA">
            <w:pPr>
              <w:pStyle w:val="18"/>
              <w:rPr>
                <w:color w:val="auto"/>
              </w:rPr>
            </w:pPr>
            <w:r>
              <w:rPr>
                <w:rFonts w:hint="eastAsia"/>
                <w:color w:val="auto"/>
              </w:rPr>
              <w:t>（6）各类麻醉方式比例统计表；</w:t>
            </w:r>
          </w:p>
          <w:p w14:paraId="2850C2ED">
            <w:pPr>
              <w:pStyle w:val="18"/>
              <w:rPr>
                <w:color w:val="auto"/>
              </w:rPr>
            </w:pPr>
            <w:r>
              <w:rPr>
                <w:rFonts w:hint="eastAsia"/>
                <w:color w:val="auto"/>
              </w:rPr>
              <w:t>（7）不良事件-麻醉非预期相关事件统计表；</w:t>
            </w:r>
          </w:p>
          <w:p w14:paraId="3D52D264">
            <w:pPr>
              <w:pStyle w:val="18"/>
              <w:rPr>
                <w:color w:val="auto"/>
              </w:rPr>
            </w:pPr>
            <w:r>
              <w:rPr>
                <w:rFonts w:hint="eastAsia"/>
                <w:color w:val="auto"/>
              </w:rPr>
              <w:t>（8）麻醉复苏Steward苏醒评分统计表；</w:t>
            </w:r>
          </w:p>
          <w:p w14:paraId="2D5E2D6E">
            <w:pPr>
              <w:pStyle w:val="18"/>
              <w:rPr>
                <w:color w:val="auto"/>
              </w:rPr>
            </w:pPr>
            <w:r>
              <w:rPr>
                <w:rFonts w:hint="eastAsia"/>
                <w:color w:val="auto"/>
              </w:rPr>
              <w:t>（9）麻醉总例数统计表；</w:t>
            </w:r>
          </w:p>
          <w:p w14:paraId="1101AC68">
            <w:pPr>
              <w:pStyle w:val="18"/>
              <w:rPr>
                <w:color w:val="auto"/>
              </w:rPr>
            </w:pPr>
            <w:r>
              <w:rPr>
                <w:rFonts w:hint="eastAsia"/>
                <w:color w:val="auto"/>
              </w:rPr>
              <w:t>（10）取消手术查询统计表；</w:t>
            </w:r>
          </w:p>
          <w:p w14:paraId="083FC449">
            <w:pPr>
              <w:pStyle w:val="18"/>
              <w:rPr>
                <w:color w:val="auto"/>
              </w:rPr>
            </w:pPr>
            <w:r>
              <w:rPr>
                <w:rFonts w:hint="eastAsia"/>
                <w:color w:val="auto"/>
              </w:rPr>
              <w:t>（11）手术查询统计表；</w:t>
            </w:r>
          </w:p>
          <w:p w14:paraId="1159E855">
            <w:pPr>
              <w:pStyle w:val="18"/>
              <w:rPr>
                <w:color w:val="auto"/>
              </w:rPr>
            </w:pPr>
            <w:r>
              <w:rPr>
                <w:rFonts w:hint="eastAsia"/>
                <w:color w:val="auto"/>
              </w:rPr>
              <w:t>（12）患者术中输血统计表；</w:t>
            </w:r>
          </w:p>
          <w:p w14:paraId="4132C71E">
            <w:pPr>
              <w:pStyle w:val="18"/>
              <w:rPr>
                <w:color w:val="auto"/>
              </w:rPr>
            </w:pPr>
            <w:r>
              <w:rPr>
                <w:rFonts w:hint="eastAsia"/>
                <w:color w:val="auto"/>
              </w:rPr>
              <w:t>（13）术中自体血输注率统计表；</w:t>
            </w:r>
          </w:p>
          <w:p w14:paraId="540D9341">
            <w:pPr>
              <w:pStyle w:val="18"/>
              <w:rPr>
                <w:color w:val="auto"/>
              </w:rPr>
            </w:pPr>
            <w:r>
              <w:rPr>
                <w:rFonts w:hint="eastAsia"/>
                <w:color w:val="auto"/>
              </w:rPr>
              <w:t>（14）术后镇痛治疗统计表。</w:t>
            </w:r>
          </w:p>
        </w:tc>
      </w:tr>
      <w:tr w14:paraId="192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CECA552">
            <w:pPr>
              <w:pStyle w:val="18"/>
              <w:jc w:val="center"/>
              <w:rPr>
                <w:b w:val="0"/>
                <w:color w:val="auto"/>
              </w:rPr>
            </w:pPr>
            <w:r>
              <w:rPr>
                <w:rFonts w:hint="eastAsia"/>
                <w:b w:val="0"/>
                <w:color w:val="auto"/>
              </w:rPr>
              <w:t>系统维护与</w:t>
            </w:r>
          </w:p>
          <w:p w14:paraId="1D8F29AF">
            <w:pPr>
              <w:pStyle w:val="18"/>
              <w:jc w:val="center"/>
              <w:rPr>
                <w:b w:val="0"/>
                <w:color w:val="auto"/>
              </w:rPr>
            </w:pPr>
            <w:r>
              <w:rPr>
                <w:rFonts w:hint="eastAsia"/>
                <w:b w:val="0"/>
                <w:color w:val="auto"/>
              </w:rPr>
              <w:t>用户权限管理</w:t>
            </w:r>
          </w:p>
        </w:tc>
        <w:tc>
          <w:tcPr>
            <w:tcW w:w="6459" w:type="dxa"/>
            <w:vAlign w:val="center"/>
          </w:tcPr>
          <w:p w14:paraId="183EF1D3">
            <w:pPr>
              <w:pStyle w:val="18"/>
              <w:rPr>
                <w:color w:val="auto"/>
              </w:rPr>
            </w:pPr>
            <w:r>
              <w:rPr>
                <w:rFonts w:hint="eastAsia"/>
                <w:color w:val="auto"/>
              </w:rPr>
              <w:t>1.系统维护</w:t>
            </w:r>
          </w:p>
          <w:p w14:paraId="41CFD78F">
            <w:pPr>
              <w:pStyle w:val="18"/>
              <w:rPr>
                <w:color w:val="auto"/>
              </w:rPr>
            </w:pPr>
            <w:r>
              <w:rPr>
                <w:rFonts w:hint="eastAsia"/>
                <w:color w:val="auto"/>
              </w:rPr>
              <w:t>具备全面快捷的数据库维护功能，如常用药品、麻醉事件、体征参数、麻醉方法、科室分类、人员组别等内容，医护人员能独立完成系统的维护。</w:t>
            </w:r>
          </w:p>
          <w:p w14:paraId="5D8D73B8">
            <w:pPr>
              <w:pStyle w:val="18"/>
              <w:rPr>
                <w:color w:val="auto"/>
              </w:rPr>
            </w:pPr>
            <w:r>
              <w:rPr>
                <w:rFonts w:hint="eastAsia"/>
                <w:color w:val="auto"/>
              </w:rPr>
              <w:t>2.权限管理</w:t>
            </w:r>
          </w:p>
          <w:p w14:paraId="169D53D4">
            <w:pPr>
              <w:pStyle w:val="18"/>
              <w:rPr>
                <w:color w:val="auto"/>
              </w:rPr>
            </w:pPr>
            <w:r>
              <w:rPr>
                <w:rFonts w:hint="eastAsia"/>
                <w:color w:val="auto"/>
              </w:rPr>
              <w:t>需支持根据医院信息化管理的要求创建用户，包括登陆用户名、密码及所在科室。</w:t>
            </w:r>
          </w:p>
          <w:p w14:paraId="2CA5BAC4">
            <w:pPr>
              <w:pStyle w:val="18"/>
              <w:rPr>
                <w:color w:val="auto"/>
              </w:rPr>
            </w:pPr>
            <w:r>
              <w:rPr>
                <w:rFonts w:hint="eastAsia"/>
                <w:color w:val="auto"/>
              </w:rPr>
              <w:t>需支持修改指定用户的登陆密码。</w:t>
            </w:r>
          </w:p>
          <w:p w14:paraId="6CFAC75E">
            <w:pPr>
              <w:pStyle w:val="18"/>
              <w:rPr>
                <w:color w:val="auto"/>
              </w:rPr>
            </w:pPr>
            <w:r>
              <w:rPr>
                <w:rFonts w:hint="eastAsia"/>
                <w:color w:val="auto"/>
              </w:rPr>
              <w:t>需支持为指定用户分配角色以获得相应的程序访问权限。</w:t>
            </w:r>
          </w:p>
          <w:p w14:paraId="6BBF5D01">
            <w:pPr>
              <w:pStyle w:val="18"/>
              <w:rPr>
                <w:color w:val="auto"/>
              </w:rPr>
            </w:pPr>
            <w:r>
              <w:rPr>
                <w:rFonts w:hint="eastAsia"/>
                <w:color w:val="auto"/>
              </w:rPr>
              <w:t>需支持编辑系统角色的名称，用于分配一系列的程序功能访问权限。</w:t>
            </w:r>
          </w:p>
          <w:p w14:paraId="275FD2F2">
            <w:pPr>
              <w:pStyle w:val="18"/>
              <w:rPr>
                <w:color w:val="auto"/>
              </w:rPr>
            </w:pPr>
            <w:r>
              <w:rPr>
                <w:rFonts w:hint="eastAsia"/>
                <w:color w:val="auto"/>
              </w:rPr>
              <w:t>需支持分配指定角色所具备的系统维护权限。</w:t>
            </w:r>
          </w:p>
          <w:p w14:paraId="222C50D4">
            <w:pPr>
              <w:pStyle w:val="18"/>
              <w:rPr>
                <w:color w:val="auto"/>
              </w:rPr>
            </w:pPr>
            <w:r>
              <w:rPr>
                <w:rFonts w:hint="eastAsia"/>
                <w:color w:val="auto"/>
              </w:rPr>
              <w:t>需支持限制只有参与手术的医护人员能对业务功能进行书写与修改操作，其它人员只能进行查看操作。</w:t>
            </w:r>
          </w:p>
        </w:tc>
      </w:tr>
    </w:tbl>
    <w:p w14:paraId="511FEDDE">
      <w:pPr>
        <w:pStyle w:val="4"/>
        <w:numPr>
          <w:ilvl w:val="1"/>
          <w:numId w:val="0"/>
        </w:numPr>
        <w:ind w:left="576" w:leftChars="0" w:hanging="576" w:firstLineChars="0"/>
        <w:rPr>
          <w:color w:val="auto"/>
        </w:rPr>
      </w:pPr>
      <w:bookmarkStart w:id="159" w:name="_Toc208646538"/>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.16</w:t>
      </w:r>
      <w:r>
        <w:rPr>
          <w:rFonts w:hint="eastAsia"/>
          <w:color w:val="auto"/>
        </w:rPr>
        <w:t>输血信息系统</w:t>
      </w:r>
      <w:bookmarkEnd w:id="159"/>
    </w:p>
    <w:tbl>
      <w:tblPr>
        <w:tblStyle w:val="96"/>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6958"/>
      </w:tblGrid>
      <w:tr w14:paraId="189B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50F52C53">
            <w:pPr>
              <w:pStyle w:val="18"/>
              <w:jc w:val="center"/>
              <w:rPr>
                <w:b/>
                <w:color w:val="auto"/>
              </w:rPr>
            </w:pPr>
            <w:r>
              <w:rPr>
                <w:rFonts w:hint="eastAsia"/>
                <w:b/>
                <w:color w:val="auto"/>
              </w:rPr>
              <w:t>系统名称</w:t>
            </w:r>
          </w:p>
        </w:tc>
        <w:tc>
          <w:tcPr>
            <w:tcW w:w="6411" w:type="dxa"/>
            <w:shd w:val="clear" w:color="auto" w:fill="BEBEBE" w:themeFill="background1" w:themeFillShade="BF"/>
            <w:vAlign w:val="center"/>
          </w:tcPr>
          <w:p w14:paraId="68B23B59">
            <w:pPr>
              <w:pStyle w:val="18"/>
              <w:rPr>
                <w:b/>
                <w:color w:val="auto"/>
              </w:rPr>
            </w:pPr>
            <w:r>
              <w:rPr>
                <w:rFonts w:hint="eastAsia"/>
                <w:b/>
                <w:color w:val="auto"/>
              </w:rPr>
              <w:t>输血管理系统</w:t>
            </w:r>
          </w:p>
        </w:tc>
      </w:tr>
      <w:tr w14:paraId="1DB8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AED4AD5">
            <w:pPr>
              <w:pStyle w:val="18"/>
              <w:jc w:val="center"/>
              <w:rPr>
                <w:b/>
                <w:bCs/>
                <w:color w:val="auto"/>
              </w:rPr>
            </w:pPr>
            <w:r>
              <w:rPr>
                <w:rFonts w:hint="eastAsia"/>
                <w:b/>
                <w:bCs/>
                <w:color w:val="auto"/>
              </w:rPr>
              <w:t>系统概述</w:t>
            </w:r>
          </w:p>
        </w:tc>
        <w:tc>
          <w:tcPr>
            <w:tcW w:w="6411" w:type="dxa"/>
            <w:vAlign w:val="center"/>
          </w:tcPr>
          <w:p w14:paraId="6C5C8CC4">
            <w:pPr>
              <w:pStyle w:val="18"/>
              <w:rPr>
                <w:color w:val="auto"/>
              </w:rPr>
            </w:pPr>
            <w:r>
              <w:rPr>
                <w:rFonts w:hint="eastAsia"/>
                <w:color w:val="auto"/>
              </w:rPr>
              <w:t>输血管理系统需遵循卫健委《医疗机构临床用血管理办法》和《临床输血技术规范》等临床用血管理规范，以智慧输血为建设目标，业务覆盖医院输血科医生、护士、血站、检验科、医务科等与输血业务相关的业务场景，为医院输血科提供血液库存管理、标本管理、用血审批、发血、收费、查询统计等业务功能，为医生提供用血申请、输血申请应用功能，为护士提供用血、输血、取血应用功能，实现输血业务全流程信息化办理。</w:t>
            </w:r>
          </w:p>
          <w:p w14:paraId="35912EAB">
            <w:pPr>
              <w:pStyle w:val="18"/>
              <w:rPr>
                <w:color w:val="auto"/>
              </w:rPr>
            </w:pPr>
            <w:r>
              <w:rPr>
                <w:rFonts w:hint="eastAsia"/>
                <w:color w:val="auto"/>
              </w:rPr>
              <w:t>系统需具备智能审核、智能输注、智能提醒等服务能力，通过对患者、血液、标本、不良反应的全方位管控，帮助医院实现门急诊及住院输血业务全闭环管理，帮助医院达到合理安全用血的管理目标。</w:t>
            </w:r>
          </w:p>
        </w:tc>
      </w:tr>
      <w:tr w14:paraId="4849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D9087FD">
            <w:pPr>
              <w:pStyle w:val="18"/>
              <w:jc w:val="center"/>
              <w:rPr>
                <w:b w:val="0"/>
                <w:color w:val="auto"/>
              </w:rPr>
            </w:pPr>
            <w:r>
              <w:rPr>
                <w:rFonts w:hint="eastAsia"/>
                <w:b/>
                <w:bCs/>
                <w:color w:val="auto"/>
              </w:rPr>
              <w:t>子项名称</w:t>
            </w:r>
          </w:p>
        </w:tc>
        <w:tc>
          <w:tcPr>
            <w:tcW w:w="6411" w:type="dxa"/>
            <w:vAlign w:val="center"/>
          </w:tcPr>
          <w:p w14:paraId="6CBDCC0D">
            <w:pPr>
              <w:pStyle w:val="18"/>
              <w:jc w:val="center"/>
              <w:rPr>
                <w:color w:val="auto"/>
              </w:rPr>
            </w:pPr>
            <w:r>
              <w:rPr>
                <w:rFonts w:hint="eastAsia"/>
                <w:b/>
                <w:bCs/>
                <w:color w:val="auto"/>
              </w:rPr>
              <w:t>技术和功能配置要求</w:t>
            </w:r>
          </w:p>
        </w:tc>
      </w:tr>
      <w:tr w14:paraId="040A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7D8BDB5">
            <w:pPr>
              <w:pStyle w:val="18"/>
              <w:jc w:val="center"/>
              <w:rPr>
                <w:b w:val="0"/>
                <w:color w:val="auto"/>
              </w:rPr>
            </w:pPr>
            <w:r>
              <w:rPr>
                <w:rFonts w:hint="eastAsia"/>
                <w:b w:val="0"/>
                <w:color w:val="auto"/>
              </w:rPr>
              <w:t>基础信息维护</w:t>
            </w:r>
          </w:p>
        </w:tc>
        <w:tc>
          <w:tcPr>
            <w:tcW w:w="6411" w:type="dxa"/>
            <w:vAlign w:val="center"/>
          </w:tcPr>
          <w:p w14:paraId="30F2BDCB">
            <w:pPr>
              <w:pStyle w:val="18"/>
              <w:rPr>
                <w:color w:val="auto"/>
              </w:rPr>
            </w:pPr>
            <w:r>
              <w:rPr>
                <w:rFonts w:hint="eastAsia"/>
                <w:color w:val="auto"/>
              </w:rPr>
              <w:t>基本信息维护功能模块需提供系统中常用参数信息的维护管理、对照功能，医院输血科可以根据医院实际业务情况维护相关信息，包括常数维护、血液成分维护、血液条码与血液成分对照、血液成分与收费项目对照、医生职级与血液成分维护功能。</w:t>
            </w:r>
          </w:p>
          <w:p w14:paraId="6B67E3F1">
            <w:pPr>
              <w:pStyle w:val="18"/>
              <w:rPr>
                <w:color w:val="auto"/>
              </w:rPr>
            </w:pPr>
            <w:r>
              <w:rPr>
                <w:rFonts w:hint="eastAsia"/>
                <w:color w:val="auto"/>
              </w:rPr>
              <w:t>1.常数维护</w:t>
            </w:r>
          </w:p>
          <w:p w14:paraId="0BA09488">
            <w:pPr>
              <w:pStyle w:val="18"/>
              <w:rPr>
                <w:color w:val="auto"/>
              </w:rPr>
            </w:pPr>
            <w:r>
              <w:rPr>
                <w:rFonts w:hint="eastAsia"/>
                <w:color w:val="auto"/>
              </w:rPr>
              <w:t>需支持维护输血相关业务常数信息，包括输血性质、血源、配血结果等。</w:t>
            </w:r>
          </w:p>
          <w:p w14:paraId="2A6EE22D">
            <w:pPr>
              <w:pStyle w:val="18"/>
              <w:rPr>
                <w:color w:val="auto"/>
              </w:rPr>
            </w:pPr>
            <w:r>
              <w:rPr>
                <w:rFonts w:hint="eastAsia"/>
                <w:color w:val="auto"/>
              </w:rPr>
              <w:t>2.血液成分维护</w:t>
            </w:r>
          </w:p>
          <w:p w14:paraId="7AE797BC">
            <w:pPr>
              <w:pStyle w:val="18"/>
              <w:rPr>
                <w:color w:val="auto"/>
              </w:rPr>
            </w:pPr>
            <w:r>
              <w:rPr>
                <w:rFonts w:hint="eastAsia"/>
                <w:color w:val="auto"/>
              </w:rPr>
              <w:t>需支持维护用于临床用血申请中可选择的血液成分，包括以下信息：</w:t>
            </w:r>
          </w:p>
          <w:p w14:paraId="21B4FAC3">
            <w:pPr>
              <w:pStyle w:val="18"/>
              <w:rPr>
                <w:color w:val="auto"/>
              </w:rPr>
            </w:pPr>
            <w:r>
              <w:rPr>
                <w:rFonts w:hint="eastAsia"/>
                <w:color w:val="auto"/>
              </w:rPr>
              <w:t>有效天数：用于库存管理中警戒线的提醒；</w:t>
            </w:r>
          </w:p>
          <w:p w14:paraId="3704E13C">
            <w:pPr>
              <w:pStyle w:val="18"/>
              <w:rPr>
                <w:color w:val="auto"/>
              </w:rPr>
            </w:pPr>
            <w:r>
              <w:rPr>
                <w:rFonts w:hint="eastAsia"/>
                <w:color w:val="auto"/>
              </w:rPr>
              <w:t>是否配血：用于血库发血时，是否走无需配血流程直接发血；</w:t>
            </w:r>
          </w:p>
          <w:p w14:paraId="51417ED5">
            <w:pPr>
              <w:pStyle w:val="18"/>
              <w:rPr>
                <w:color w:val="auto"/>
              </w:rPr>
            </w:pPr>
            <w:r>
              <w:rPr>
                <w:rFonts w:hint="eastAsia"/>
                <w:color w:val="auto"/>
              </w:rPr>
              <w:t>配血方法，配血结果：用于血库配血时，默认配血结果的设置；</w:t>
            </w:r>
          </w:p>
          <w:p w14:paraId="58AB8885">
            <w:pPr>
              <w:pStyle w:val="18"/>
              <w:rPr>
                <w:color w:val="auto"/>
              </w:rPr>
            </w:pPr>
            <w:r>
              <w:rPr>
                <w:rFonts w:hint="eastAsia"/>
                <w:color w:val="auto"/>
              </w:rPr>
              <w:t>ABC级审批量：用于大量用血审批时，血液量自动计算。</w:t>
            </w:r>
          </w:p>
          <w:p w14:paraId="47A139AC">
            <w:pPr>
              <w:pStyle w:val="18"/>
              <w:rPr>
                <w:color w:val="auto"/>
              </w:rPr>
            </w:pPr>
            <w:r>
              <w:rPr>
                <w:rFonts w:hint="eastAsia"/>
                <w:color w:val="auto"/>
              </w:rPr>
              <w:t>3.血液条码与血液成分对照</w:t>
            </w:r>
          </w:p>
          <w:p w14:paraId="0F2E4FC8">
            <w:pPr>
              <w:pStyle w:val="18"/>
              <w:rPr>
                <w:color w:val="auto"/>
              </w:rPr>
            </w:pPr>
            <w:r>
              <w:rPr>
                <w:rFonts w:hint="eastAsia"/>
                <w:color w:val="auto"/>
              </w:rPr>
              <w:t>需支持维护血站发血记录中产品条码、血液成分、血型等信息与输血系统的对照，用于血库入库时，自动转换批量入库。</w:t>
            </w:r>
          </w:p>
          <w:p w14:paraId="7EB76C64">
            <w:pPr>
              <w:pStyle w:val="18"/>
              <w:rPr>
                <w:color w:val="auto"/>
              </w:rPr>
            </w:pPr>
            <w:r>
              <w:rPr>
                <w:rFonts w:hint="eastAsia"/>
                <w:color w:val="auto"/>
              </w:rPr>
              <w:t>4.血液成分与收费项目对照</w:t>
            </w:r>
          </w:p>
          <w:p w14:paraId="5DC63622">
            <w:pPr>
              <w:pStyle w:val="18"/>
              <w:rPr>
                <w:color w:val="auto"/>
              </w:rPr>
            </w:pPr>
            <w:r>
              <w:rPr>
                <w:rFonts w:hint="eastAsia"/>
                <w:color w:val="auto"/>
              </w:rPr>
              <w:t>需支持维护血液成分与非药品收费项目的对照，用于血库配血时收取非血费，血库发血时收取血费。可根据收费方式进行按量收取、按袋收取、按次收取等；可维护收费时机，用于在血库配血、发血时自动进行费用收取。</w:t>
            </w:r>
          </w:p>
          <w:p w14:paraId="18178F4B">
            <w:pPr>
              <w:pStyle w:val="18"/>
              <w:rPr>
                <w:color w:val="auto"/>
              </w:rPr>
            </w:pPr>
            <w:r>
              <w:rPr>
                <w:rFonts w:hint="eastAsia"/>
                <w:color w:val="auto"/>
              </w:rPr>
              <w:t>5.医生职级与血液成分维护</w:t>
            </w:r>
          </w:p>
          <w:p w14:paraId="5AE0FB06">
            <w:pPr>
              <w:pStyle w:val="18"/>
              <w:rPr>
                <w:color w:val="auto"/>
              </w:rPr>
            </w:pPr>
            <w:r>
              <w:rPr>
                <w:rFonts w:hint="eastAsia"/>
                <w:color w:val="auto"/>
              </w:rPr>
              <w:t>需支持维护不同医生职级与申请血液成分的限制量对照，用于用血申请开立时，何种医生职级可申请何种血液成分的量。</w:t>
            </w:r>
          </w:p>
        </w:tc>
      </w:tr>
      <w:tr w14:paraId="54EA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4189220">
            <w:pPr>
              <w:pStyle w:val="18"/>
              <w:jc w:val="center"/>
              <w:rPr>
                <w:b w:val="0"/>
                <w:color w:val="auto"/>
              </w:rPr>
            </w:pPr>
            <w:r>
              <w:rPr>
                <w:rFonts w:hint="eastAsia"/>
                <w:b w:val="0"/>
                <w:color w:val="auto"/>
              </w:rPr>
              <w:t>库存管理</w:t>
            </w:r>
          </w:p>
        </w:tc>
        <w:tc>
          <w:tcPr>
            <w:tcW w:w="6411" w:type="dxa"/>
            <w:vAlign w:val="center"/>
          </w:tcPr>
          <w:p w14:paraId="2DAAA546">
            <w:pPr>
              <w:pStyle w:val="18"/>
              <w:rPr>
                <w:color w:val="auto"/>
              </w:rPr>
            </w:pPr>
            <w:r>
              <w:rPr>
                <w:rFonts w:hint="eastAsia"/>
                <w:color w:val="auto"/>
              </w:rPr>
              <w:t>1.血液入库</w:t>
            </w:r>
          </w:p>
          <w:p w14:paraId="06934B7F">
            <w:pPr>
              <w:pStyle w:val="18"/>
              <w:rPr>
                <w:color w:val="auto"/>
              </w:rPr>
            </w:pPr>
            <w:r>
              <w:rPr>
                <w:rFonts w:hint="eastAsia"/>
                <w:color w:val="auto"/>
              </w:rPr>
              <w:t>血站发血到输血科后，进行血液入库，系统需支持人工、自动、导入三种模式入库，人工模式指通过扫描血袋的献血条码、产品条码、血型条码、，有效期条码进行血液入库；自动模式指通过扫描发血单号进行批量入库；导入模式指通过导入excel文件批量入库。入库时可以对血袋进行复检，系统可以查看入库明细、入库汇总。</w:t>
            </w:r>
          </w:p>
          <w:p w14:paraId="5BC3EB2D">
            <w:pPr>
              <w:pStyle w:val="18"/>
              <w:rPr>
                <w:color w:val="auto"/>
              </w:rPr>
            </w:pPr>
            <w:r>
              <w:rPr>
                <w:rFonts w:hint="eastAsia"/>
                <w:color w:val="auto"/>
              </w:rPr>
              <w:t>2.入库退库</w:t>
            </w:r>
          </w:p>
          <w:p w14:paraId="0622055A">
            <w:pPr>
              <w:pStyle w:val="18"/>
              <w:rPr>
                <w:color w:val="auto"/>
              </w:rPr>
            </w:pPr>
            <w:r>
              <w:rPr>
                <w:rFonts w:hint="eastAsia"/>
                <w:color w:val="auto"/>
              </w:rPr>
              <w:t>需支持将输血科已经入库的血袋进行退还血站，并可选择退库原因。</w:t>
            </w:r>
          </w:p>
          <w:p w14:paraId="623405AA">
            <w:pPr>
              <w:pStyle w:val="18"/>
              <w:rPr>
                <w:color w:val="auto"/>
              </w:rPr>
            </w:pPr>
            <w:r>
              <w:rPr>
                <w:rFonts w:hint="eastAsia"/>
                <w:color w:val="auto"/>
              </w:rPr>
              <w:t>3.自体血核收入库</w:t>
            </w:r>
          </w:p>
          <w:p w14:paraId="00CA3EE7">
            <w:pPr>
              <w:pStyle w:val="18"/>
              <w:rPr>
                <w:color w:val="auto"/>
              </w:rPr>
            </w:pPr>
            <w:r>
              <w:rPr>
                <w:rFonts w:hint="eastAsia"/>
                <w:color w:val="auto"/>
              </w:rPr>
              <w:t>对已提交自体血储血申请的单据，系统需支持进行自体血入库存的工作。入库时需确认自体血相关信息。</w:t>
            </w:r>
          </w:p>
          <w:p w14:paraId="69DBC5DC">
            <w:pPr>
              <w:pStyle w:val="18"/>
              <w:rPr>
                <w:color w:val="auto"/>
              </w:rPr>
            </w:pPr>
            <w:r>
              <w:rPr>
                <w:rFonts w:hint="eastAsia"/>
                <w:color w:val="auto"/>
              </w:rPr>
              <w:t>4.报损出库</w:t>
            </w:r>
          </w:p>
          <w:p w14:paraId="2F426DA1">
            <w:pPr>
              <w:pStyle w:val="18"/>
              <w:rPr>
                <w:color w:val="auto"/>
              </w:rPr>
            </w:pPr>
            <w:r>
              <w:rPr>
                <w:rFonts w:hint="eastAsia"/>
                <w:color w:val="auto"/>
              </w:rPr>
              <w:t>对于输血科已经入库血液，当血液过期或破损时，系统需支持通过报损出库操作进行库存核减。</w:t>
            </w:r>
          </w:p>
          <w:p w14:paraId="22747D3A">
            <w:pPr>
              <w:pStyle w:val="18"/>
              <w:rPr>
                <w:color w:val="auto"/>
              </w:rPr>
            </w:pPr>
            <w:r>
              <w:rPr>
                <w:rFonts w:hint="eastAsia"/>
                <w:color w:val="auto"/>
              </w:rPr>
              <w:t>5.库存管理</w:t>
            </w:r>
          </w:p>
          <w:p w14:paraId="69F4D556">
            <w:pPr>
              <w:pStyle w:val="18"/>
              <w:rPr>
                <w:color w:val="auto"/>
              </w:rPr>
            </w:pPr>
            <w:r>
              <w:rPr>
                <w:rFonts w:hint="eastAsia"/>
                <w:color w:val="auto"/>
              </w:rPr>
              <w:t>需提供库存明细、库存汇总、警戒线设置功能，显示库存的血液信息，根据有效期以颜色区分，通过警戒线设置提示库存信息。</w:t>
            </w:r>
          </w:p>
          <w:p w14:paraId="70A93814">
            <w:pPr>
              <w:pStyle w:val="18"/>
              <w:rPr>
                <w:color w:val="auto"/>
              </w:rPr>
            </w:pPr>
            <w:r>
              <w:rPr>
                <w:rFonts w:hint="eastAsia"/>
                <w:color w:val="auto"/>
              </w:rPr>
              <w:t>6.血库盘点</w:t>
            </w:r>
          </w:p>
          <w:p w14:paraId="26D9506D">
            <w:pPr>
              <w:pStyle w:val="18"/>
              <w:rPr>
                <w:color w:val="auto"/>
              </w:rPr>
            </w:pPr>
            <w:r>
              <w:rPr>
                <w:rFonts w:hint="eastAsia"/>
                <w:color w:val="auto"/>
              </w:rPr>
              <w:t>需支持定时清点输血科现有库存的工作，以免系统库存与实际库存形成差异，保障库存数据的一致性。</w:t>
            </w:r>
          </w:p>
          <w:p w14:paraId="79EF347E">
            <w:pPr>
              <w:pStyle w:val="18"/>
              <w:rPr>
                <w:color w:val="auto"/>
              </w:rPr>
            </w:pPr>
            <w:r>
              <w:rPr>
                <w:rFonts w:hint="eastAsia"/>
                <w:color w:val="auto"/>
              </w:rPr>
              <w:t>7.血库月结</w:t>
            </w:r>
          </w:p>
          <w:p w14:paraId="68BDD03D">
            <w:pPr>
              <w:pStyle w:val="18"/>
              <w:rPr>
                <w:color w:val="auto"/>
              </w:rPr>
            </w:pPr>
            <w:r>
              <w:rPr>
                <w:rFonts w:hint="eastAsia"/>
                <w:color w:val="auto"/>
              </w:rPr>
              <w:t>需支持每月定期定时清点输血科现有血袋库存，系统需自动结算当时盘点时距上次盘点时间段的入出存记录。</w:t>
            </w:r>
          </w:p>
        </w:tc>
      </w:tr>
      <w:tr w14:paraId="7B15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9333B2F">
            <w:pPr>
              <w:pStyle w:val="18"/>
              <w:jc w:val="center"/>
              <w:rPr>
                <w:b w:val="0"/>
                <w:color w:val="auto"/>
              </w:rPr>
            </w:pPr>
            <w:r>
              <w:rPr>
                <w:rFonts w:hint="eastAsia"/>
                <w:b w:val="0"/>
                <w:color w:val="auto"/>
              </w:rPr>
              <w:t>标本管理</w:t>
            </w:r>
          </w:p>
        </w:tc>
        <w:tc>
          <w:tcPr>
            <w:tcW w:w="6411" w:type="dxa"/>
            <w:vAlign w:val="center"/>
          </w:tcPr>
          <w:p w14:paraId="4D725543">
            <w:pPr>
              <w:pStyle w:val="18"/>
              <w:rPr>
                <w:color w:val="auto"/>
              </w:rPr>
            </w:pPr>
            <w:r>
              <w:rPr>
                <w:rFonts w:hint="eastAsia"/>
                <w:color w:val="auto"/>
              </w:rPr>
              <w:t>需提供标本作废功能，用于输血科在标本接收后，若发现标本存在问题，不能用于交叉配血或血型复检，对标本进行作废标记。</w:t>
            </w:r>
          </w:p>
          <w:p w14:paraId="363DC75A">
            <w:pPr>
              <w:pStyle w:val="18"/>
              <w:rPr>
                <w:color w:val="auto"/>
              </w:rPr>
            </w:pPr>
            <w:r>
              <w:rPr>
                <w:rFonts w:hint="eastAsia"/>
                <w:color w:val="auto"/>
              </w:rPr>
              <w:t>需提供标本处理功能，用于输血科在标本失效后，进行统一处理。</w:t>
            </w:r>
          </w:p>
        </w:tc>
      </w:tr>
      <w:tr w14:paraId="38E9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83352D3">
            <w:pPr>
              <w:pStyle w:val="18"/>
              <w:jc w:val="center"/>
              <w:rPr>
                <w:b w:val="0"/>
                <w:color w:val="auto"/>
              </w:rPr>
            </w:pPr>
            <w:r>
              <w:rPr>
                <w:rFonts w:hint="eastAsia"/>
                <w:b w:val="0"/>
                <w:color w:val="auto"/>
              </w:rPr>
              <w:t>大量用血审批管理</w:t>
            </w:r>
          </w:p>
        </w:tc>
        <w:tc>
          <w:tcPr>
            <w:tcW w:w="6411" w:type="dxa"/>
            <w:vAlign w:val="center"/>
          </w:tcPr>
          <w:p w14:paraId="33FD1B88">
            <w:pPr>
              <w:pStyle w:val="18"/>
              <w:rPr>
                <w:color w:val="auto"/>
              </w:rPr>
            </w:pPr>
            <w:r>
              <w:rPr>
                <w:rFonts w:hint="eastAsia"/>
                <w:color w:val="auto"/>
              </w:rPr>
              <w:t>需支持单次ABC级审批：即达到某级审一次。24小时累计达到审批数量时，需相应审批人审核一次后，输血科可申请审核用血申请，审核数量支持在血液成分维护功能进行设置。</w:t>
            </w:r>
          </w:p>
          <w:p w14:paraId="1015F0B3">
            <w:pPr>
              <w:pStyle w:val="18"/>
              <w:rPr>
                <w:color w:val="auto"/>
              </w:rPr>
            </w:pPr>
            <w:r>
              <w:rPr>
                <w:rFonts w:hint="eastAsia"/>
                <w:color w:val="auto"/>
              </w:rPr>
              <w:t>需支持逐级审批：即达到某级审N次。24小时累计达到审批数量时，需相应所有审批人都审核后，输血科可申请审核用血申请。（审核数量见血液成分维护）</w:t>
            </w:r>
          </w:p>
          <w:p w14:paraId="34BFB0A9">
            <w:pPr>
              <w:pStyle w:val="18"/>
              <w:rPr>
                <w:color w:val="auto"/>
              </w:rPr>
            </w:pPr>
            <w:r>
              <w:rPr>
                <w:rFonts w:hint="eastAsia"/>
                <w:color w:val="auto"/>
              </w:rPr>
              <w:t>需支持单次累计用血审批：本次用血申请24小时累计达到1600时，审批人进行审核后，输血科可申请审核用血申请。</w:t>
            </w:r>
          </w:p>
        </w:tc>
      </w:tr>
      <w:tr w14:paraId="1B74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FE2D1B0">
            <w:pPr>
              <w:pStyle w:val="18"/>
              <w:jc w:val="center"/>
              <w:rPr>
                <w:b w:val="0"/>
                <w:color w:val="auto"/>
              </w:rPr>
            </w:pPr>
            <w:r>
              <w:rPr>
                <w:rFonts w:hint="eastAsia"/>
                <w:b w:val="0"/>
                <w:color w:val="auto"/>
              </w:rPr>
              <w:t>审核管理</w:t>
            </w:r>
          </w:p>
        </w:tc>
        <w:tc>
          <w:tcPr>
            <w:tcW w:w="6411" w:type="dxa"/>
            <w:vAlign w:val="center"/>
          </w:tcPr>
          <w:p w14:paraId="1B93244E">
            <w:pPr>
              <w:pStyle w:val="18"/>
              <w:rPr>
                <w:color w:val="auto"/>
              </w:rPr>
            </w:pPr>
            <w:r>
              <w:rPr>
                <w:rFonts w:hint="eastAsia"/>
                <w:color w:val="auto"/>
              </w:rPr>
              <w:t>1.血型鉴定审核</w:t>
            </w:r>
          </w:p>
          <w:p w14:paraId="76E4963B">
            <w:pPr>
              <w:pStyle w:val="18"/>
              <w:rPr>
                <w:color w:val="auto"/>
              </w:rPr>
            </w:pPr>
            <w:r>
              <w:rPr>
                <w:rFonts w:hint="eastAsia"/>
                <w:color w:val="auto"/>
              </w:rPr>
              <w:t>需支持对临床开立的血型鉴定申请进行审核。其中包含正定型，反定型，Rh分型等信息。</w:t>
            </w:r>
          </w:p>
          <w:p w14:paraId="3A6443BB">
            <w:pPr>
              <w:pStyle w:val="18"/>
              <w:rPr>
                <w:color w:val="auto"/>
              </w:rPr>
            </w:pPr>
            <w:r>
              <w:rPr>
                <w:rFonts w:hint="eastAsia"/>
                <w:color w:val="auto"/>
              </w:rPr>
              <w:t>2.退血审核</w:t>
            </w:r>
          </w:p>
          <w:p w14:paraId="33871ECC">
            <w:pPr>
              <w:pStyle w:val="18"/>
              <w:rPr>
                <w:color w:val="auto"/>
              </w:rPr>
            </w:pPr>
            <w:r>
              <w:rPr>
                <w:rFonts w:hint="eastAsia"/>
                <w:color w:val="auto"/>
              </w:rPr>
              <w:t>需支持对临床开立的退血申请进行审核，审核后输血科进行退库。</w:t>
            </w:r>
          </w:p>
          <w:p w14:paraId="61B544FC">
            <w:pPr>
              <w:pStyle w:val="18"/>
              <w:rPr>
                <w:color w:val="auto"/>
              </w:rPr>
            </w:pPr>
            <w:r>
              <w:rPr>
                <w:rFonts w:hint="eastAsia"/>
                <w:color w:val="auto"/>
              </w:rPr>
              <w:t>3.输血回执审核</w:t>
            </w:r>
          </w:p>
          <w:p w14:paraId="02245F54">
            <w:pPr>
              <w:pStyle w:val="18"/>
              <w:rPr>
                <w:color w:val="auto"/>
              </w:rPr>
            </w:pPr>
            <w:r>
              <w:rPr>
                <w:rFonts w:hint="eastAsia"/>
                <w:color w:val="auto"/>
              </w:rPr>
              <w:t>需支持输血科对临床填写的不良反应登记进行审核，审核后给出最终结论。</w:t>
            </w:r>
          </w:p>
          <w:p w14:paraId="4869BC95">
            <w:pPr>
              <w:pStyle w:val="18"/>
              <w:rPr>
                <w:color w:val="auto"/>
              </w:rPr>
            </w:pPr>
            <w:r>
              <w:rPr>
                <w:rFonts w:hint="eastAsia"/>
                <w:color w:val="auto"/>
              </w:rPr>
              <w:t>需支持输血科对临床填写的输血回执进行审核，对临床的诊断和处理程序进行评估，给出输血科的处理意见后上报。</w:t>
            </w:r>
          </w:p>
        </w:tc>
      </w:tr>
      <w:tr w14:paraId="1C7A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E838740">
            <w:pPr>
              <w:pStyle w:val="18"/>
              <w:jc w:val="center"/>
              <w:rPr>
                <w:b w:val="0"/>
                <w:color w:val="auto"/>
              </w:rPr>
            </w:pPr>
            <w:r>
              <w:rPr>
                <w:rFonts w:hint="eastAsia"/>
                <w:b w:val="0"/>
                <w:color w:val="auto"/>
              </w:rPr>
              <w:t>发血管理</w:t>
            </w:r>
          </w:p>
        </w:tc>
        <w:tc>
          <w:tcPr>
            <w:tcW w:w="6411" w:type="dxa"/>
            <w:vAlign w:val="center"/>
          </w:tcPr>
          <w:p w14:paraId="76E88873">
            <w:pPr>
              <w:pStyle w:val="18"/>
              <w:rPr>
                <w:color w:val="auto"/>
              </w:rPr>
            </w:pPr>
            <w:r>
              <w:rPr>
                <w:rFonts w:hint="eastAsia"/>
                <w:color w:val="auto"/>
              </w:rPr>
              <w:t>1.标本接收</w:t>
            </w:r>
          </w:p>
          <w:p w14:paraId="51C79AB0">
            <w:pPr>
              <w:pStyle w:val="18"/>
              <w:rPr>
                <w:color w:val="auto"/>
              </w:rPr>
            </w:pPr>
            <w:r>
              <w:rPr>
                <w:rFonts w:hint="eastAsia"/>
                <w:color w:val="auto"/>
              </w:rPr>
              <w:t>需支持对临床采集的交叉配血标本进行接收操作，记录送血人，接收人等相应信息。</w:t>
            </w:r>
          </w:p>
          <w:p w14:paraId="718635F7">
            <w:pPr>
              <w:pStyle w:val="18"/>
              <w:rPr>
                <w:color w:val="auto"/>
              </w:rPr>
            </w:pPr>
            <w:r>
              <w:rPr>
                <w:rFonts w:hint="eastAsia"/>
                <w:color w:val="auto"/>
              </w:rPr>
              <w:t>2.申请审核</w:t>
            </w:r>
          </w:p>
          <w:p w14:paraId="44D13160">
            <w:pPr>
              <w:pStyle w:val="18"/>
              <w:rPr>
                <w:color w:val="auto"/>
              </w:rPr>
            </w:pPr>
            <w:r>
              <w:rPr>
                <w:rFonts w:hint="eastAsia"/>
                <w:color w:val="auto"/>
              </w:rPr>
              <w:t>需支持对临床开立的用血申请进行审核，审核后输血科进行配发血操作，此时可对不合格的用血申请进行不核收操作。</w:t>
            </w:r>
          </w:p>
          <w:p w14:paraId="28601867">
            <w:pPr>
              <w:pStyle w:val="18"/>
              <w:rPr>
                <w:color w:val="auto"/>
              </w:rPr>
            </w:pPr>
            <w:r>
              <w:rPr>
                <w:rFonts w:hint="eastAsia"/>
                <w:color w:val="auto"/>
              </w:rPr>
              <w:t>3.血型鉴定结果登记</w:t>
            </w:r>
          </w:p>
          <w:p w14:paraId="0994E9CF">
            <w:pPr>
              <w:pStyle w:val="18"/>
              <w:rPr>
                <w:color w:val="auto"/>
              </w:rPr>
            </w:pPr>
            <w:r>
              <w:rPr>
                <w:rFonts w:hint="eastAsia"/>
                <w:color w:val="auto"/>
              </w:rPr>
              <w:t>需支持对临床开立的血型鉴定申请进行实验，并登记相应的记录。</w:t>
            </w:r>
          </w:p>
          <w:p w14:paraId="30DA5B21">
            <w:pPr>
              <w:pStyle w:val="18"/>
              <w:rPr>
                <w:color w:val="auto"/>
              </w:rPr>
            </w:pPr>
            <w:r>
              <w:rPr>
                <w:rFonts w:hint="eastAsia"/>
                <w:color w:val="auto"/>
              </w:rPr>
              <w:t>4.血库配血</w:t>
            </w:r>
          </w:p>
          <w:p w14:paraId="43E6CBEB">
            <w:pPr>
              <w:pStyle w:val="18"/>
              <w:rPr>
                <w:color w:val="auto"/>
              </w:rPr>
            </w:pPr>
            <w:r>
              <w:rPr>
                <w:rFonts w:hint="eastAsia"/>
                <w:color w:val="auto"/>
              </w:rPr>
              <w:t>需支持对交叉配血标本进行复检工作，例血型，Rh，抗筛等操作；对供血者与受血者的标本进行配血实验，并记录相应结论。可自动收费。当此患者有自体血时，提示选择，可优先此患者自体血。</w:t>
            </w:r>
          </w:p>
          <w:p w14:paraId="0829C26D">
            <w:pPr>
              <w:pStyle w:val="18"/>
              <w:rPr>
                <w:color w:val="auto"/>
              </w:rPr>
            </w:pPr>
            <w:r>
              <w:rPr>
                <w:rFonts w:hint="eastAsia"/>
                <w:color w:val="auto"/>
              </w:rPr>
              <w:t>4.配血审核</w:t>
            </w:r>
          </w:p>
          <w:p w14:paraId="45149116">
            <w:pPr>
              <w:pStyle w:val="18"/>
              <w:rPr>
                <w:color w:val="auto"/>
              </w:rPr>
            </w:pPr>
            <w:r>
              <w:rPr>
                <w:rFonts w:hint="eastAsia"/>
                <w:color w:val="auto"/>
              </w:rPr>
              <w:t>需支持对已完成的配血报告进行审核。</w:t>
            </w:r>
          </w:p>
          <w:p w14:paraId="410EC964">
            <w:pPr>
              <w:pStyle w:val="18"/>
              <w:rPr>
                <w:color w:val="auto"/>
              </w:rPr>
            </w:pPr>
            <w:r>
              <w:rPr>
                <w:rFonts w:hint="eastAsia"/>
                <w:color w:val="auto"/>
              </w:rPr>
              <w:t>5.血库发血</w:t>
            </w:r>
          </w:p>
          <w:p w14:paraId="6F50D758">
            <w:pPr>
              <w:pStyle w:val="18"/>
              <w:rPr>
                <w:color w:val="auto"/>
              </w:rPr>
            </w:pPr>
            <w:r>
              <w:rPr>
                <w:rFonts w:hint="eastAsia"/>
                <w:color w:val="auto"/>
              </w:rPr>
              <w:t>需支持根据临床的取血申请进行血库发血，发血时需要双人核对，确认无误时方可发血，记录取血人相关信息，打印发血记录单。可自动收费。</w:t>
            </w:r>
          </w:p>
          <w:p w14:paraId="0B6238E4">
            <w:pPr>
              <w:pStyle w:val="18"/>
              <w:rPr>
                <w:color w:val="auto"/>
              </w:rPr>
            </w:pPr>
            <w:r>
              <w:rPr>
                <w:rFonts w:hint="eastAsia"/>
                <w:color w:val="auto"/>
              </w:rPr>
              <w:t>6.血库配血发血</w:t>
            </w:r>
          </w:p>
          <w:p w14:paraId="522D4849">
            <w:pPr>
              <w:pStyle w:val="18"/>
              <w:rPr>
                <w:color w:val="auto"/>
              </w:rPr>
            </w:pPr>
            <w:r>
              <w:rPr>
                <w:rFonts w:hint="eastAsia"/>
                <w:color w:val="auto"/>
              </w:rPr>
              <w:t>需支持根据操作需要，将血库配血，血库发血两个步骤配置成一步一起操作。</w:t>
            </w:r>
          </w:p>
          <w:p w14:paraId="2E3B00F9">
            <w:pPr>
              <w:pStyle w:val="18"/>
              <w:rPr>
                <w:color w:val="auto"/>
              </w:rPr>
            </w:pPr>
            <w:r>
              <w:rPr>
                <w:rFonts w:hint="eastAsia"/>
                <w:color w:val="auto"/>
              </w:rPr>
              <w:t>7.配血回退</w:t>
            </w:r>
          </w:p>
          <w:p w14:paraId="28A10BE0">
            <w:pPr>
              <w:pStyle w:val="18"/>
              <w:rPr>
                <w:color w:val="auto"/>
              </w:rPr>
            </w:pPr>
            <w:r>
              <w:rPr>
                <w:rFonts w:hint="eastAsia"/>
                <w:color w:val="auto"/>
              </w:rPr>
              <w:t>需支持在血库配血结束后且发血前，可对已配的血液进行回退取消操作。</w:t>
            </w:r>
          </w:p>
          <w:p w14:paraId="45516BCA">
            <w:pPr>
              <w:pStyle w:val="18"/>
              <w:rPr>
                <w:color w:val="auto"/>
              </w:rPr>
            </w:pPr>
            <w:r>
              <w:rPr>
                <w:rFonts w:hint="eastAsia"/>
                <w:color w:val="auto"/>
              </w:rPr>
              <w:t>8.血液退还</w:t>
            </w:r>
          </w:p>
          <w:p w14:paraId="5FA0EEEF">
            <w:pPr>
              <w:pStyle w:val="18"/>
              <w:rPr>
                <w:color w:val="auto"/>
              </w:rPr>
            </w:pPr>
            <w:r>
              <w:rPr>
                <w:rFonts w:hint="eastAsia"/>
                <w:color w:val="auto"/>
              </w:rPr>
              <w:t>当输血科操作血库发血后，在输血科允许退库的时间内，需支持对已发临床的血液进行退库操作。</w:t>
            </w:r>
          </w:p>
          <w:p w14:paraId="3BFB3CC3">
            <w:pPr>
              <w:pStyle w:val="18"/>
              <w:rPr>
                <w:color w:val="auto"/>
              </w:rPr>
            </w:pPr>
            <w:r>
              <w:rPr>
                <w:rFonts w:hint="eastAsia"/>
                <w:color w:val="auto"/>
              </w:rPr>
              <w:t>9.追加发血</w:t>
            </w:r>
          </w:p>
          <w:p w14:paraId="3056DAEF">
            <w:pPr>
              <w:pStyle w:val="18"/>
              <w:rPr>
                <w:color w:val="auto"/>
              </w:rPr>
            </w:pPr>
            <w:r>
              <w:rPr>
                <w:rFonts w:hint="eastAsia"/>
                <w:color w:val="auto"/>
              </w:rPr>
              <w:t>对于已完成血库发血的用血申请，需支持已输血患者由于大量紧急输血，可针对历史申请单进行再次出库的操作。</w:t>
            </w:r>
          </w:p>
          <w:p w14:paraId="0F19D15A">
            <w:pPr>
              <w:pStyle w:val="18"/>
              <w:rPr>
                <w:color w:val="auto"/>
              </w:rPr>
            </w:pPr>
            <w:r>
              <w:rPr>
                <w:rFonts w:hint="eastAsia"/>
                <w:color w:val="auto"/>
              </w:rPr>
              <w:t>10.特殊发血</w:t>
            </w:r>
          </w:p>
          <w:p w14:paraId="6C812AF5">
            <w:pPr>
              <w:pStyle w:val="18"/>
              <w:rPr>
                <w:color w:val="auto"/>
              </w:rPr>
            </w:pPr>
            <w:r>
              <w:rPr>
                <w:rFonts w:hint="eastAsia"/>
                <w:color w:val="auto"/>
              </w:rPr>
              <w:t>需支持三无人员的绿色通道，可在无用血申请的情况下，直接血库发血操作。</w:t>
            </w:r>
          </w:p>
          <w:p w14:paraId="3259DADD">
            <w:pPr>
              <w:pStyle w:val="18"/>
              <w:rPr>
                <w:color w:val="auto"/>
              </w:rPr>
            </w:pPr>
            <w:r>
              <w:rPr>
                <w:rFonts w:hint="eastAsia"/>
                <w:color w:val="auto"/>
              </w:rPr>
              <w:t>11.申请记录单查询</w:t>
            </w:r>
          </w:p>
          <w:p w14:paraId="3C2E0C74">
            <w:pPr>
              <w:pStyle w:val="18"/>
              <w:rPr>
                <w:color w:val="auto"/>
              </w:rPr>
            </w:pPr>
            <w:r>
              <w:rPr>
                <w:rFonts w:hint="eastAsia"/>
                <w:color w:val="auto"/>
              </w:rPr>
              <w:t>需支持查看历史用血申请单的详细内容。</w:t>
            </w:r>
          </w:p>
          <w:p w14:paraId="4DA09282">
            <w:pPr>
              <w:pStyle w:val="18"/>
              <w:rPr>
                <w:color w:val="auto"/>
              </w:rPr>
            </w:pPr>
            <w:r>
              <w:rPr>
                <w:rFonts w:hint="eastAsia"/>
                <w:color w:val="auto"/>
              </w:rPr>
              <w:t>12.输血记录单补打</w:t>
            </w:r>
          </w:p>
          <w:p w14:paraId="2421734C">
            <w:pPr>
              <w:pStyle w:val="18"/>
              <w:rPr>
                <w:color w:val="auto"/>
              </w:rPr>
            </w:pPr>
            <w:r>
              <w:rPr>
                <w:rFonts w:hint="eastAsia"/>
                <w:color w:val="auto"/>
              </w:rPr>
              <w:t>需支持补打历史输血记录单信息。</w:t>
            </w:r>
          </w:p>
          <w:p w14:paraId="3250FDEE">
            <w:pPr>
              <w:pStyle w:val="18"/>
              <w:rPr>
                <w:color w:val="auto"/>
              </w:rPr>
            </w:pPr>
            <w:r>
              <w:rPr>
                <w:rFonts w:hint="eastAsia"/>
                <w:color w:val="auto"/>
              </w:rPr>
              <w:t>13.血袋回收</w:t>
            </w:r>
          </w:p>
          <w:p w14:paraId="682A6CB3">
            <w:pPr>
              <w:pStyle w:val="18"/>
              <w:rPr>
                <w:color w:val="auto"/>
              </w:rPr>
            </w:pPr>
            <w:r>
              <w:rPr>
                <w:rFonts w:hint="eastAsia"/>
                <w:color w:val="auto"/>
              </w:rPr>
              <w:t>对于已完成血库发血的血液制品，患者已输注完成后，需支持将血袋及时还回输血科，输血科进行血袋回收操作，系统需自动记录回收人和回收时间。</w:t>
            </w:r>
          </w:p>
          <w:p w14:paraId="3E98F5AE">
            <w:pPr>
              <w:pStyle w:val="18"/>
              <w:rPr>
                <w:color w:val="auto"/>
              </w:rPr>
            </w:pPr>
            <w:r>
              <w:rPr>
                <w:rFonts w:hint="eastAsia"/>
                <w:color w:val="auto"/>
              </w:rPr>
              <w:t>14.血袋销毁</w:t>
            </w:r>
          </w:p>
          <w:p w14:paraId="0D15E836">
            <w:pPr>
              <w:pStyle w:val="18"/>
              <w:rPr>
                <w:color w:val="auto"/>
              </w:rPr>
            </w:pPr>
            <w:r>
              <w:rPr>
                <w:rFonts w:hint="eastAsia"/>
                <w:color w:val="auto"/>
              </w:rPr>
              <w:t>将已经回收的血袋进行统一销毁操作，系统需自动记录销毁人和销毁时间。</w:t>
            </w:r>
          </w:p>
        </w:tc>
      </w:tr>
      <w:tr w14:paraId="23C1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00ACA9D">
            <w:pPr>
              <w:pStyle w:val="18"/>
              <w:jc w:val="center"/>
              <w:rPr>
                <w:b w:val="0"/>
                <w:color w:val="auto"/>
              </w:rPr>
            </w:pPr>
            <w:r>
              <w:rPr>
                <w:rFonts w:hint="eastAsia"/>
                <w:b w:val="0"/>
                <w:color w:val="auto"/>
              </w:rPr>
              <w:t>交接班管理</w:t>
            </w:r>
          </w:p>
        </w:tc>
        <w:tc>
          <w:tcPr>
            <w:tcW w:w="6411" w:type="dxa"/>
            <w:vAlign w:val="center"/>
          </w:tcPr>
          <w:p w14:paraId="090B9A0B">
            <w:pPr>
              <w:pStyle w:val="18"/>
              <w:rPr>
                <w:color w:val="auto"/>
              </w:rPr>
            </w:pPr>
            <w:r>
              <w:rPr>
                <w:rFonts w:hint="eastAsia"/>
                <w:color w:val="auto"/>
              </w:rPr>
              <w:t>1.交接班记录</w:t>
            </w:r>
          </w:p>
          <w:p w14:paraId="1D214388">
            <w:pPr>
              <w:pStyle w:val="18"/>
              <w:rPr>
                <w:color w:val="auto"/>
              </w:rPr>
            </w:pPr>
            <w:r>
              <w:rPr>
                <w:rFonts w:hint="eastAsia"/>
                <w:color w:val="auto"/>
              </w:rPr>
              <w:t>需支持每日定时进行输血科交接班工作，记录当天的入出存记录，并记录相应的操作人时间。</w:t>
            </w:r>
          </w:p>
          <w:p w14:paraId="20288057">
            <w:pPr>
              <w:pStyle w:val="18"/>
              <w:rPr>
                <w:color w:val="auto"/>
              </w:rPr>
            </w:pPr>
            <w:r>
              <w:rPr>
                <w:rFonts w:hint="eastAsia"/>
                <w:color w:val="auto"/>
              </w:rPr>
              <w:t>2.交接班记录审核</w:t>
            </w:r>
          </w:p>
          <w:p w14:paraId="4CD04B78">
            <w:pPr>
              <w:pStyle w:val="18"/>
              <w:rPr>
                <w:color w:val="auto"/>
              </w:rPr>
            </w:pPr>
            <w:r>
              <w:rPr>
                <w:rFonts w:hint="eastAsia"/>
                <w:color w:val="auto"/>
              </w:rPr>
              <w:t>需支持审核已生成的交接班记录，支持打印。</w:t>
            </w:r>
          </w:p>
          <w:p w14:paraId="6DEC0778">
            <w:pPr>
              <w:pStyle w:val="18"/>
              <w:rPr>
                <w:color w:val="auto"/>
              </w:rPr>
            </w:pPr>
            <w:r>
              <w:rPr>
                <w:rFonts w:hint="eastAsia"/>
                <w:color w:val="auto"/>
              </w:rPr>
              <w:t>3.交接班记录补打</w:t>
            </w:r>
          </w:p>
          <w:p w14:paraId="12E76E5F">
            <w:pPr>
              <w:pStyle w:val="18"/>
              <w:rPr>
                <w:color w:val="auto"/>
              </w:rPr>
            </w:pPr>
            <w:r>
              <w:rPr>
                <w:rFonts w:hint="eastAsia"/>
                <w:color w:val="auto"/>
              </w:rPr>
              <w:t>需支持补打已审核通过的交接班记录。</w:t>
            </w:r>
          </w:p>
          <w:p w14:paraId="5381FC04">
            <w:pPr>
              <w:pStyle w:val="18"/>
              <w:rPr>
                <w:color w:val="auto"/>
              </w:rPr>
            </w:pPr>
            <w:r>
              <w:rPr>
                <w:rFonts w:hint="eastAsia"/>
                <w:color w:val="auto"/>
              </w:rPr>
              <w:t>4.设备温度记录</w:t>
            </w:r>
          </w:p>
          <w:p w14:paraId="3CAE0690">
            <w:pPr>
              <w:pStyle w:val="18"/>
              <w:rPr>
                <w:color w:val="auto"/>
              </w:rPr>
            </w:pPr>
            <w:r>
              <w:rPr>
                <w:rFonts w:hint="eastAsia"/>
                <w:color w:val="auto"/>
              </w:rPr>
              <w:t>需支持记录输血科设备在某时间点的温度。</w:t>
            </w:r>
          </w:p>
          <w:p w14:paraId="7B3E855F">
            <w:pPr>
              <w:pStyle w:val="18"/>
              <w:rPr>
                <w:color w:val="auto"/>
              </w:rPr>
            </w:pPr>
            <w:r>
              <w:rPr>
                <w:rFonts w:hint="eastAsia"/>
                <w:color w:val="auto"/>
              </w:rPr>
              <w:t>5.血费直免</w:t>
            </w:r>
          </w:p>
          <w:p w14:paraId="288F7D28">
            <w:pPr>
              <w:pStyle w:val="18"/>
              <w:rPr>
                <w:color w:val="auto"/>
              </w:rPr>
            </w:pPr>
            <w:r>
              <w:rPr>
                <w:rFonts w:hint="eastAsia"/>
                <w:color w:val="auto"/>
              </w:rPr>
              <w:t>需支持给患者报销提供的输血记录。</w:t>
            </w:r>
          </w:p>
        </w:tc>
      </w:tr>
      <w:tr w14:paraId="08D5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5F04276">
            <w:pPr>
              <w:pStyle w:val="18"/>
              <w:jc w:val="center"/>
              <w:rPr>
                <w:b w:val="0"/>
                <w:color w:val="auto"/>
              </w:rPr>
            </w:pPr>
            <w:r>
              <w:rPr>
                <w:rFonts w:hint="eastAsia"/>
                <w:b w:val="0"/>
                <w:color w:val="auto"/>
              </w:rPr>
              <w:t>医生输血业务工作站</w:t>
            </w:r>
          </w:p>
        </w:tc>
        <w:tc>
          <w:tcPr>
            <w:tcW w:w="6411" w:type="dxa"/>
            <w:vAlign w:val="center"/>
          </w:tcPr>
          <w:p w14:paraId="2D328F25">
            <w:pPr>
              <w:pStyle w:val="18"/>
              <w:rPr>
                <w:color w:val="auto"/>
              </w:rPr>
            </w:pPr>
            <w:r>
              <w:rPr>
                <w:rFonts w:hint="eastAsia"/>
                <w:color w:val="auto"/>
              </w:rPr>
              <w:t>需支持将与临床医生相关的输血业务功能嵌入医生工作站，无需进行二次登录，为临床医生提供以下业务功能：</w:t>
            </w:r>
          </w:p>
          <w:p w14:paraId="07AA55F6">
            <w:pPr>
              <w:pStyle w:val="18"/>
              <w:rPr>
                <w:color w:val="auto"/>
              </w:rPr>
            </w:pPr>
            <w:r>
              <w:rPr>
                <w:rFonts w:hint="eastAsia"/>
                <w:color w:val="auto"/>
              </w:rPr>
              <w:t>1.住院用血申请</w:t>
            </w:r>
          </w:p>
          <w:p w14:paraId="2CB077D7">
            <w:pPr>
              <w:pStyle w:val="18"/>
              <w:rPr>
                <w:color w:val="auto"/>
              </w:rPr>
            </w:pPr>
            <w:r>
              <w:rPr>
                <w:rFonts w:hint="eastAsia"/>
                <w:color w:val="auto"/>
              </w:rPr>
              <w:t>由临床住院医生开立用血申请，系统需自动生成输血知情同意书，根据备血、用血、紧急、自体、异型5种不同申请方式系统判断生成不同的知情同意书，开立输血前四项，需支持自动加载受血者检验信息，自动判断大量用血审批，可回写医嘱，用血申请填写保存完成后，数据自动同步至输血科，并自动打印单据。</w:t>
            </w:r>
          </w:p>
          <w:p w14:paraId="08F232CC">
            <w:pPr>
              <w:pStyle w:val="18"/>
              <w:rPr>
                <w:color w:val="auto"/>
              </w:rPr>
            </w:pPr>
          </w:p>
          <w:p w14:paraId="4E937EB8">
            <w:pPr>
              <w:pStyle w:val="18"/>
              <w:rPr>
                <w:color w:val="auto"/>
              </w:rPr>
            </w:pPr>
            <w:r>
              <w:rPr>
                <w:rFonts w:hint="eastAsia"/>
                <w:color w:val="auto"/>
              </w:rPr>
              <w:t>2.门急诊用血申请</w:t>
            </w:r>
          </w:p>
          <w:p w14:paraId="0B71450B">
            <w:pPr>
              <w:pStyle w:val="18"/>
              <w:rPr>
                <w:color w:val="auto"/>
              </w:rPr>
            </w:pPr>
            <w:r>
              <w:rPr>
                <w:rFonts w:hint="eastAsia"/>
                <w:color w:val="auto"/>
              </w:rPr>
              <w:t>需支持临床门急诊医生开立用血申请，系统需自动判断输血知情同意书，术前四项；自动加载受血者检验信息；自动判断大量用血审批；可回写医嘱；填写完成，发送输血科，并自动打印单据。</w:t>
            </w:r>
          </w:p>
          <w:p w14:paraId="13727590">
            <w:pPr>
              <w:pStyle w:val="18"/>
              <w:rPr>
                <w:color w:val="auto"/>
              </w:rPr>
            </w:pPr>
            <w:r>
              <w:rPr>
                <w:rFonts w:hint="eastAsia"/>
                <w:color w:val="auto"/>
              </w:rPr>
              <w:t>3.自体血储血申请</w:t>
            </w:r>
          </w:p>
          <w:p w14:paraId="2914E27E">
            <w:pPr>
              <w:pStyle w:val="18"/>
              <w:rPr>
                <w:color w:val="auto"/>
              </w:rPr>
            </w:pPr>
            <w:r>
              <w:rPr>
                <w:rFonts w:hint="eastAsia"/>
                <w:color w:val="auto"/>
              </w:rPr>
              <w:t>需支持临床医生开立自体血储血申请，用于择期手术患者提前储存自己血液以备手术使用。填写完成，发送输血科，并自动打印单据。</w:t>
            </w:r>
          </w:p>
          <w:p w14:paraId="2141B2B3">
            <w:pPr>
              <w:pStyle w:val="18"/>
              <w:rPr>
                <w:color w:val="auto"/>
              </w:rPr>
            </w:pPr>
            <w:r>
              <w:rPr>
                <w:rFonts w:hint="eastAsia"/>
                <w:color w:val="auto"/>
              </w:rPr>
              <w:t>4.血型鉴定申请</w:t>
            </w:r>
          </w:p>
          <w:p w14:paraId="707135F8">
            <w:pPr>
              <w:pStyle w:val="18"/>
              <w:rPr>
                <w:color w:val="auto"/>
              </w:rPr>
            </w:pPr>
            <w:r>
              <w:rPr>
                <w:rFonts w:hint="eastAsia"/>
                <w:color w:val="auto"/>
              </w:rPr>
              <w:t>需支持临床医生开立血型鉴定实验申请，用于输血科的血型鉴定实验。</w:t>
            </w:r>
          </w:p>
          <w:p w14:paraId="42306D18">
            <w:pPr>
              <w:pStyle w:val="18"/>
              <w:rPr>
                <w:color w:val="auto"/>
              </w:rPr>
            </w:pPr>
            <w:r>
              <w:rPr>
                <w:rFonts w:hint="eastAsia"/>
                <w:color w:val="auto"/>
              </w:rPr>
              <w:t>5.住院取血申请</w:t>
            </w:r>
          </w:p>
          <w:p w14:paraId="56D61140">
            <w:pPr>
              <w:pStyle w:val="18"/>
              <w:rPr>
                <w:color w:val="auto"/>
              </w:rPr>
            </w:pPr>
            <w:r>
              <w:rPr>
                <w:rFonts w:hint="eastAsia"/>
                <w:color w:val="auto"/>
              </w:rPr>
              <w:t>需支持临床住院医生开立取血申请，以供输血科发血时校验凭证。</w:t>
            </w:r>
          </w:p>
          <w:p w14:paraId="6D60B4CA">
            <w:pPr>
              <w:pStyle w:val="18"/>
              <w:rPr>
                <w:color w:val="auto"/>
              </w:rPr>
            </w:pPr>
            <w:r>
              <w:rPr>
                <w:rFonts w:hint="eastAsia"/>
                <w:color w:val="auto"/>
              </w:rPr>
              <w:t>6.门诊取血申请</w:t>
            </w:r>
          </w:p>
          <w:p w14:paraId="3204A2D8">
            <w:pPr>
              <w:pStyle w:val="18"/>
              <w:rPr>
                <w:color w:val="auto"/>
              </w:rPr>
            </w:pPr>
            <w:r>
              <w:rPr>
                <w:rFonts w:hint="eastAsia"/>
                <w:color w:val="auto"/>
              </w:rPr>
              <w:t>需支持临床门诊医生开立取血申请，以供输血科发血时校验凭证。</w:t>
            </w:r>
          </w:p>
          <w:p w14:paraId="76E7FCE0">
            <w:pPr>
              <w:pStyle w:val="18"/>
              <w:rPr>
                <w:color w:val="auto"/>
              </w:rPr>
            </w:pPr>
            <w:r>
              <w:rPr>
                <w:rFonts w:hint="eastAsia"/>
                <w:color w:val="auto"/>
              </w:rPr>
              <w:t>7.输血回执提交</w:t>
            </w:r>
          </w:p>
          <w:p w14:paraId="3CDD175C">
            <w:pPr>
              <w:pStyle w:val="18"/>
              <w:rPr>
                <w:color w:val="auto"/>
              </w:rPr>
            </w:pPr>
            <w:r>
              <w:rPr>
                <w:rFonts w:hint="eastAsia"/>
                <w:color w:val="auto"/>
              </w:rPr>
              <w:t>需支持临床住院医生提交输血回执，填写好的输血回执，能够上报输血科。</w:t>
            </w:r>
          </w:p>
        </w:tc>
      </w:tr>
      <w:tr w14:paraId="51A6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2DEB528">
            <w:pPr>
              <w:pStyle w:val="18"/>
              <w:jc w:val="center"/>
              <w:rPr>
                <w:b w:val="0"/>
                <w:color w:val="auto"/>
              </w:rPr>
            </w:pPr>
            <w:r>
              <w:rPr>
                <w:rFonts w:hint="eastAsia"/>
                <w:b w:val="0"/>
                <w:color w:val="auto"/>
              </w:rPr>
              <w:t>护士输血业务工作站</w:t>
            </w:r>
          </w:p>
        </w:tc>
        <w:tc>
          <w:tcPr>
            <w:tcW w:w="6411" w:type="dxa"/>
            <w:vAlign w:val="center"/>
          </w:tcPr>
          <w:p w14:paraId="04D86EAA">
            <w:pPr>
              <w:pStyle w:val="18"/>
              <w:rPr>
                <w:color w:val="auto"/>
              </w:rPr>
            </w:pPr>
            <w:r>
              <w:rPr>
                <w:rFonts w:hint="eastAsia"/>
                <w:color w:val="auto"/>
              </w:rPr>
              <w:t>需支持将与临床护士相关的输血业务功能嵌入护理系统，并与护理PDA对接，方便临床护士进行输血相关业务操作。</w:t>
            </w:r>
          </w:p>
          <w:p w14:paraId="7E1A2CE5">
            <w:pPr>
              <w:pStyle w:val="18"/>
              <w:rPr>
                <w:color w:val="auto"/>
              </w:rPr>
            </w:pPr>
            <w:r>
              <w:rPr>
                <w:rFonts w:hint="eastAsia"/>
                <w:color w:val="auto"/>
              </w:rPr>
              <w:t>1.住院用血条码打印</w:t>
            </w:r>
          </w:p>
          <w:p w14:paraId="4D3955C9">
            <w:pPr>
              <w:pStyle w:val="18"/>
              <w:rPr>
                <w:color w:val="auto"/>
              </w:rPr>
            </w:pPr>
            <w:r>
              <w:rPr>
                <w:rFonts w:hint="eastAsia"/>
                <w:color w:val="auto"/>
              </w:rPr>
              <w:t>需支持打印已申请的住院用血条码，用于交叉配血标本的黏贴，供输血科标本接收使用。</w:t>
            </w:r>
          </w:p>
          <w:p w14:paraId="2B9CDEF5">
            <w:pPr>
              <w:pStyle w:val="18"/>
              <w:rPr>
                <w:color w:val="auto"/>
              </w:rPr>
            </w:pPr>
            <w:r>
              <w:rPr>
                <w:rFonts w:hint="eastAsia"/>
                <w:color w:val="auto"/>
              </w:rPr>
              <w:t>2.门诊用血条码打印</w:t>
            </w:r>
          </w:p>
          <w:p w14:paraId="3C2215CD">
            <w:pPr>
              <w:pStyle w:val="18"/>
              <w:rPr>
                <w:color w:val="auto"/>
              </w:rPr>
            </w:pPr>
            <w:r>
              <w:rPr>
                <w:rFonts w:hint="eastAsia"/>
                <w:color w:val="auto"/>
              </w:rPr>
              <w:t>需支持打印已申请的门诊用血条码，用于交叉配血标本的黏贴，供输血科标本接收使用。</w:t>
            </w:r>
          </w:p>
          <w:p w14:paraId="02AB272D">
            <w:pPr>
              <w:pStyle w:val="18"/>
              <w:rPr>
                <w:color w:val="auto"/>
              </w:rPr>
            </w:pPr>
            <w:r>
              <w:rPr>
                <w:rFonts w:hint="eastAsia"/>
                <w:color w:val="auto"/>
              </w:rPr>
              <w:t>3.血型鉴定条码打印</w:t>
            </w:r>
          </w:p>
          <w:p w14:paraId="7B0AAAAF">
            <w:pPr>
              <w:pStyle w:val="18"/>
              <w:rPr>
                <w:color w:val="auto"/>
              </w:rPr>
            </w:pPr>
            <w:r>
              <w:rPr>
                <w:rFonts w:hint="eastAsia"/>
                <w:color w:val="auto"/>
              </w:rPr>
              <w:t>需支持打印已申请的血型鉴定条码，用于输血科实验登记操作。</w:t>
            </w:r>
          </w:p>
          <w:p w14:paraId="6342E466">
            <w:pPr>
              <w:pStyle w:val="18"/>
              <w:rPr>
                <w:color w:val="auto"/>
              </w:rPr>
            </w:pPr>
            <w:r>
              <w:rPr>
                <w:rFonts w:hint="eastAsia"/>
                <w:color w:val="auto"/>
              </w:rPr>
              <w:t>4.住院取血单打印</w:t>
            </w:r>
          </w:p>
          <w:p w14:paraId="18411252">
            <w:pPr>
              <w:pStyle w:val="18"/>
              <w:rPr>
                <w:color w:val="auto"/>
              </w:rPr>
            </w:pPr>
            <w:r>
              <w:rPr>
                <w:rFonts w:hint="eastAsia"/>
                <w:color w:val="auto"/>
              </w:rPr>
              <w:t>需支持打印住院取血单的单据，用于输血科发血时，校验凭证。</w:t>
            </w:r>
          </w:p>
          <w:p w14:paraId="13689188">
            <w:pPr>
              <w:pStyle w:val="18"/>
              <w:rPr>
                <w:color w:val="auto"/>
              </w:rPr>
            </w:pPr>
            <w:r>
              <w:rPr>
                <w:rFonts w:hint="eastAsia"/>
                <w:color w:val="auto"/>
              </w:rPr>
              <w:t>5.门诊取血单打印</w:t>
            </w:r>
          </w:p>
          <w:p w14:paraId="2DA3DBA9">
            <w:pPr>
              <w:pStyle w:val="18"/>
              <w:rPr>
                <w:color w:val="auto"/>
              </w:rPr>
            </w:pPr>
            <w:r>
              <w:rPr>
                <w:rFonts w:hint="eastAsia"/>
                <w:color w:val="auto"/>
              </w:rPr>
              <w:t>需支持打印门诊取血单的单据，用于输血科发血时，校验凭证。</w:t>
            </w:r>
          </w:p>
          <w:p w14:paraId="022EA04A">
            <w:pPr>
              <w:pStyle w:val="18"/>
              <w:rPr>
                <w:color w:val="auto"/>
              </w:rPr>
            </w:pPr>
            <w:r>
              <w:rPr>
                <w:rFonts w:hint="eastAsia"/>
                <w:color w:val="auto"/>
              </w:rPr>
              <w:t>6.输血登记接收</w:t>
            </w:r>
          </w:p>
          <w:p w14:paraId="51C7EBB5">
            <w:pPr>
              <w:pStyle w:val="18"/>
              <w:rPr>
                <w:color w:val="auto"/>
              </w:rPr>
            </w:pPr>
            <w:r>
              <w:rPr>
                <w:rFonts w:hint="eastAsia"/>
                <w:color w:val="auto"/>
              </w:rPr>
              <w:t>需支持临床科室接收输血科发血记录，采用双人核对。</w:t>
            </w:r>
          </w:p>
          <w:p w14:paraId="7DAA5AC4">
            <w:pPr>
              <w:pStyle w:val="18"/>
              <w:rPr>
                <w:color w:val="auto"/>
              </w:rPr>
            </w:pPr>
            <w:r>
              <w:rPr>
                <w:rFonts w:hint="eastAsia"/>
                <w:color w:val="auto"/>
              </w:rPr>
              <w:t>7.输血登记输注</w:t>
            </w:r>
          </w:p>
          <w:p w14:paraId="0B690426">
            <w:pPr>
              <w:pStyle w:val="18"/>
              <w:rPr>
                <w:color w:val="auto"/>
              </w:rPr>
            </w:pPr>
            <w:r>
              <w:rPr>
                <w:rFonts w:hint="eastAsia"/>
                <w:color w:val="auto"/>
              </w:rPr>
              <w:t>床旁输血时，校验患者身份，需支持双人核对，临床记录患者不良反应、体温、脉搏、呼吸、血压等体征信息。</w:t>
            </w:r>
          </w:p>
          <w:p w14:paraId="56D0CB7E">
            <w:pPr>
              <w:pStyle w:val="18"/>
              <w:rPr>
                <w:color w:val="auto"/>
              </w:rPr>
            </w:pPr>
            <w:r>
              <w:rPr>
                <w:rFonts w:hint="eastAsia"/>
                <w:color w:val="auto"/>
              </w:rPr>
              <w:t>8.输血登记巡回</w:t>
            </w:r>
          </w:p>
          <w:p w14:paraId="231B88A0">
            <w:pPr>
              <w:pStyle w:val="18"/>
              <w:rPr>
                <w:color w:val="auto"/>
              </w:rPr>
            </w:pPr>
            <w:r>
              <w:rPr>
                <w:rFonts w:hint="eastAsia"/>
                <w:color w:val="auto"/>
              </w:rPr>
              <w:t>输血巡回时，需支持单人核对，临床护士记录患者不良反应、体温、脉搏、呼吸、血压等体征信息。</w:t>
            </w:r>
          </w:p>
          <w:p w14:paraId="72553285">
            <w:pPr>
              <w:pStyle w:val="18"/>
              <w:rPr>
                <w:color w:val="auto"/>
              </w:rPr>
            </w:pPr>
            <w:r>
              <w:rPr>
                <w:rFonts w:hint="eastAsia"/>
                <w:color w:val="auto"/>
              </w:rPr>
              <w:t>9.输血回执填写</w:t>
            </w:r>
          </w:p>
          <w:p w14:paraId="498014B2">
            <w:pPr>
              <w:pStyle w:val="18"/>
              <w:rPr>
                <w:color w:val="auto"/>
              </w:rPr>
            </w:pPr>
            <w:r>
              <w:rPr>
                <w:rFonts w:hint="eastAsia"/>
                <w:color w:val="auto"/>
              </w:rPr>
              <w:t>需支持临床护士填写输血回执，记录患者有无不良反应、诊断、临床处理程序等输血回执信息。</w:t>
            </w:r>
          </w:p>
        </w:tc>
      </w:tr>
      <w:tr w14:paraId="770A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9B5E5E1">
            <w:pPr>
              <w:pStyle w:val="18"/>
              <w:jc w:val="center"/>
              <w:rPr>
                <w:b w:val="0"/>
                <w:color w:val="auto"/>
              </w:rPr>
            </w:pPr>
            <w:r>
              <w:rPr>
                <w:rFonts w:hint="eastAsia"/>
                <w:b w:val="0"/>
                <w:color w:val="auto"/>
              </w:rPr>
              <w:t>查询统计</w:t>
            </w:r>
          </w:p>
        </w:tc>
        <w:tc>
          <w:tcPr>
            <w:tcW w:w="6411" w:type="dxa"/>
            <w:vAlign w:val="center"/>
          </w:tcPr>
          <w:p w14:paraId="2240A3DC">
            <w:pPr>
              <w:pStyle w:val="18"/>
              <w:rPr>
                <w:color w:val="auto"/>
              </w:rPr>
            </w:pPr>
            <w:r>
              <w:rPr>
                <w:rFonts w:hint="eastAsia"/>
                <w:color w:val="auto"/>
              </w:rPr>
              <w:t>系统需提供上报数据、血库数据、工作量数据查询统计，需包括如下内容：</w:t>
            </w:r>
          </w:p>
          <w:p w14:paraId="24DAEE77">
            <w:pPr>
              <w:pStyle w:val="18"/>
              <w:rPr>
                <w:color w:val="auto"/>
              </w:rPr>
            </w:pPr>
            <w:r>
              <w:rPr>
                <w:rFonts w:hint="eastAsia"/>
                <w:color w:val="auto"/>
              </w:rPr>
              <w:t>（1）患者/血源查询</w:t>
            </w:r>
          </w:p>
          <w:p w14:paraId="7DFAFFE7">
            <w:pPr>
              <w:pStyle w:val="18"/>
              <w:rPr>
                <w:color w:val="auto"/>
              </w:rPr>
            </w:pPr>
            <w:r>
              <w:rPr>
                <w:rFonts w:hint="eastAsia"/>
                <w:color w:val="auto"/>
              </w:rPr>
              <w:t>（2）在院患者血型分布查询</w:t>
            </w:r>
          </w:p>
          <w:p w14:paraId="2138355C">
            <w:pPr>
              <w:pStyle w:val="18"/>
              <w:rPr>
                <w:color w:val="auto"/>
              </w:rPr>
            </w:pPr>
            <w:r>
              <w:rPr>
                <w:rFonts w:hint="eastAsia"/>
                <w:color w:val="auto"/>
              </w:rPr>
              <w:t>（3）患者用血记录查询</w:t>
            </w:r>
          </w:p>
          <w:p w14:paraId="0463C864">
            <w:pPr>
              <w:pStyle w:val="18"/>
              <w:rPr>
                <w:color w:val="auto"/>
              </w:rPr>
            </w:pPr>
            <w:r>
              <w:rPr>
                <w:rFonts w:hint="eastAsia"/>
                <w:color w:val="auto"/>
              </w:rPr>
              <w:t>（4）输血反应报表</w:t>
            </w:r>
          </w:p>
          <w:p w14:paraId="030B6020">
            <w:pPr>
              <w:pStyle w:val="18"/>
              <w:rPr>
                <w:color w:val="auto"/>
              </w:rPr>
            </w:pPr>
            <w:r>
              <w:rPr>
                <w:rFonts w:hint="eastAsia"/>
                <w:color w:val="auto"/>
              </w:rPr>
              <w:t>（5）输血示踪查询</w:t>
            </w:r>
          </w:p>
          <w:p w14:paraId="66735D27">
            <w:pPr>
              <w:pStyle w:val="18"/>
              <w:rPr>
                <w:color w:val="auto"/>
              </w:rPr>
            </w:pPr>
            <w:r>
              <w:rPr>
                <w:rFonts w:hint="eastAsia"/>
                <w:color w:val="auto"/>
              </w:rPr>
              <w:t>（6）临床科室用血统计</w:t>
            </w:r>
          </w:p>
          <w:p w14:paraId="72C97D7B">
            <w:pPr>
              <w:pStyle w:val="18"/>
              <w:rPr>
                <w:color w:val="auto"/>
              </w:rPr>
            </w:pPr>
            <w:r>
              <w:rPr>
                <w:rFonts w:hint="eastAsia"/>
                <w:color w:val="auto"/>
              </w:rPr>
              <w:t>（7）病人用血统计</w:t>
            </w:r>
          </w:p>
          <w:p w14:paraId="36DFC022">
            <w:pPr>
              <w:pStyle w:val="18"/>
              <w:rPr>
                <w:color w:val="auto"/>
              </w:rPr>
            </w:pPr>
            <w:r>
              <w:rPr>
                <w:rFonts w:hint="eastAsia"/>
                <w:color w:val="auto"/>
              </w:rPr>
              <w:t>（8）申请单查询</w:t>
            </w:r>
          </w:p>
          <w:p w14:paraId="40DABA48">
            <w:pPr>
              <w:pStyle w:val="18"/>
              <w:rPr>
                <w:color w:val="auto"/>
              </w:rPr>
            </w:pPr>
            <w:r>
              <w:rPr>
                <w:rFonts w:hint="eastAsia"/>
                <w:color w:val="auto"/>
              </w:rPr>
              <w:t>（9）入库血量查询</w:t>
            </w:r>
          </w:p>
          <w:p w14:paraId="22294582">
            <w:pPr>
              <w:pStyle w:val="18"/>
              <w:rPr>
                <w:color w:val="auto"/>
              </w:rPr>
            </w:pPr>
            <w:r>
              <w:rPr>
                <w:rFonts w:hint="eastAsia"/>
                <w:color w:val="auto"/>
              </w:rPr>
              <w:t>（10）出库血量查询</w:t>
            </w:r>
          </w:p>
          <w:p w14:paraId="245C4E8A">
            <w:pPr>
              <w:pStyle w:val="18"/>
              <w:rPr>
                <w:color w:val="auto"/>
              </w:rPr>
            </w:pPr>
            <w:r>
              <w:rPr>
                <w:rFonts w:hint="eastAsia"/>
                <w:color w:val="auto"/>
              </w:rPr>
              <w:t>（11）入库明细查询</w:t>
            </w:r>
          </w:p>
          <w:p w14:paraId="043DD476">
            <w:pPr>
              <w:pStyle w:val="18"/>
              <w:rPr>
                <w:color w:val="auto"/>
              </w:rPr>
            </w:pPr>
            <w:r>
              <w:rPr>
                <w:rFonts w:hint="eastAsia"/>
                <w:color w:val="auto"/>
              </w:rPr>
              <w:t>（12）出库明细查询</w:t>
            </w:r>
          </w:p>
          <w:p w14:paraId="530C5B8D">
            <w:pPr>
              <w:pStyle w:val="18"/>
              <w:rPr>
                <w:color w:val="auto"/>
              </w:rPr>
            </w:pPr>
            <w:r>
              <w:rPr>
                <w:rFonts w:hint="eastAsia"/>
                <w:color w:val="auto"/>
              </w:rPr>
              <w:t>（13）血液入出库记录</w:t>
            </w:r>
          </w:p>
          <w:p w14:paraId="1C212244">
            <w:pPr>
              <w:pStyle w:val="18"/>
              <w:rPr>
                <w:color w:val="auto"/>
              </w:rPr>
            </w:pPr>
            <w:r>
              <w:rPr>
                <w:rFonts w:hint="eastAsia"/>
                <w:color w:val="auto"/>
              </w:rPr>
              <w:t>（14）血液入出库记录查询</w:t>
            </w:r>
          </w:p>
          <w:p w14:paraId="3E2C4FB6">
            <w:pPr>
              <w:pStyle w:val="18"/>
              <w:rPr>
                <w:color w:val="auto"/>
              </w:rPr>
            </w:pPr>
            <w:r>
              <w:rPr>
                <w:rFonts w:hint="eastAsia"/>
                <w:color w:val="auto"/>
              </w:rPr>
              <w:t>（15）血液报损出库查询</w:t>
            </w:r>
          </w:p>
          <w:p w14:paraId="44FADE1F">
            <w:pPr>
              <w:pStyle w:val="18"/>
              <w:rPr>
                <w:color w:val="auto"/>
              </w:rPr>
            </w:pPr>
            <w:r>
              <w:rPr>
                <w:rFonts w:hint="eastAsia"/>
                <w:color w:val="auto"/>
              </w:rPr>
              <w:t>（16）血库入库统计</w:t>
            </w:r>
          </w:p>
          <w:p w14:paraId="67281F67">
            <w:pPr>
              <w:pStyle w:val="18"/>
              <w:rPr>
                <w:color w:val="auto"/>
              </w:rPr>
            </w:pPr>
            <w:r>
              <w:rPr>
                <w:rFonts w:hint="eastAsia"/>
                <w:color w:val="auto"/>
              </w:rPr>
              <w:t>（17）血库出库统计</w:t>
            </w:r>
          </w:p>
          <w:p w14:paraId="0949B1F3">
            <w:pPr>
              <w:pStyle w:val="18"/>
              <w:rPr>
                <w:color w:val="auto"/>
              </w:rPr>
            </w:pPr>
            <w:r>
              <w:rPr>
                <w:rFonts w:hint="eastAsia"/>
                <w:color w:val="auto"/>
              </w:rPr>
              <w:t>（18）每千单位用血输血专业技术人员数</w:t>
            </w:r>
          </w:p>
          <w:p w14:paraId="6B3C7098">
            <w:pPr>
              <w:pStyle w:val="18"/>
              <w:rPr>
                <w:color w:val="auto"/>
              </w:rPr>
            </w:pPr>
            <w:r>
              <w:rPr>
                <w:rFonts w:hint="eastAsia"/>
                <w:color w:val="auto"/>
              </w:rPr>
              <w:t>（19）临床输血申请单合格率</w:t>
            </w:r>
          </w:p>
          <w:p w14:paraId="08B875B4">
            <w:pPr>
              <w:pStyle w:val="18"/>
              <w:rPr>
                <w:color w:val="auto"/>
              </w:rPr>
            </w:pPr>
            <w:r>
              <w:rPr>
                <w:rFonts w:hint="eastAsia"/>
                <w:color w:val="auto"/>
              </w:rPr>
              <w:t>（20）受血者标本血型复查率</w:t>
            </w:r>
          </w:p>
          <w:p w14:paraId="27881EE2">
            <w:pPr>
              <w:pStyle w:val="18"/>
              <w:rPr>
                <w:color w:val="auto"/>
              </w:rPr>
            </w:pPr>
            <w:r>
              <w:rPr>
                <w:rFonts w:hint="eastAsia"/>
                <w:color w:val="auto"/>
              </w:rPr>
              <w:t>（21）输血相容性检测项目室内质控率</w:t>
            </w:r>
          </w:p>
          <w:p w14:paraId="2C158930">
            <w:pPr>
              <w:pStyle w:val="18"/>
              <w:rPr>
                <w:color w:val="auto"/>
              </w:rPr>
            </w:pPr>
            <w:r>
              <w:rPr>
                <w:rFonts w:hint="eastAsia"/>
                <w:color w:val="auto"/>
              </w:rPr>
              <w:t>（22）输血相容性检测室间质评项目参加率</w:t>
            </w:r>
          </w:p>
          <w:p w14:paraId="513CBC0C">
            <w:pPr>
              <w:pStyle w:val="18"/>
              <w:rPr>
                <w:color w:val="auto"/>
              </w:rPr>
            </w:pPr>
            <w:r>
              <w:rPr>
                <w:rFonts w:hint="eastAsia"/>
                <w:color w:val="auto"/>
              </w:rPr>
              <w:t>（23）千输血人次输血不良反应上报例数</w:t>
            </w:r>
          </w:p>
          <w:p w14:paraId="2206E863">
            <w:pPr>
              <w:pStyle w:val="18"/>
              <w:rPr>
                <w:color w:val="auto"/>
              </w:rPr>
            </w:pPr>
            <w:r>
              <w:rPr>
                <w:rFonts w:hint="eastAsia"/>
                <w:color w:val="auto"/>
              </w:rPr>
              <w:t>（24）一二级手术台均用血量</w:t>
            </w:r>
          </w:p>
          <w:p w14:paraId="7E0DD123">
            <w:pPr>
              <w:pStyle w:val="18"/>
              <w:rPr>
                <w:color w:val="auto"/>
              </w:rPr>
            </w:pPr>
            <w:r>
              <w:rPr>
                <w:rFonts w:hint="eastAsia"/>
                <w:color w:val="auto"/>
              </w:rPr>
              <w:t>（25）三四级手术台均用血量</w:t>
            </w:r>
          </w:p>
          <w:p w14:paraId="731D2E3D">
            <w:pPr>
              <w:pStyle w:val="18"/>
              <w:rPr>
                <w:color w:val="auto"/>
              </w:rPr>
            </w:pPr>
            <w:r>
              <w:rPr>
                <w:rFonts w:hint="eastAsia"/>
                <w:color w:val="auto"/>
              </w:rPr>
              <w:t>（26）手术患者自体输血率</w:t>
            </w:r>
          </w:p>
          <w:p w14:paraId="4183C42F">
            <w:pPr>
              <w:pStyle w:val="18"/>
              <w:rPr>
                <w:color w:val="auto"/>
              </w:rPr>
            </w:pPr>
            <w:r>
              <w:rPr>
                <w:rFonts w:hint="eastAsia"/>
                <w:color w:val="auto"/>
              </w:rPr>
              <w:t>（27）出院患者人均用血量</w:t>
            </w:r>
          </w:p>
        </w:tc>
      </w:tr>
      <w:tr w14:paraId="5D7F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98D1920">
            <w:pPr>
              <w:pStyle w:val="18"/>
              <w:jc w:val="center"/>
              <w:rPr>
                <w:b w:val="0"/>
                <w:color w:val="auto"/>
              </w:rPr>
            </w:pPr>
            <w:r>
              <w:rPr>
                <w:rFonts w:hint="eastAsia"/>
                <w:b w:val="0"/>
                <w:color w:val="auto"/>
              </w:rPr>
              <w:t>系统接口</w:t>
            </w:r>
          </w:p>
        </w:tc>
        <w:tc>
          <w:tcPr>
            <w:tcW w:w="6411" w:type="dxa"/>
            <w:vAlign w:val="center"/>
          </w:tcPr>
          <w:p w14:paraId="1509D571">
            <w:pPr>
              <w:pStyle w:val="18"/>
              <w:rPr>
                <w:color w:val="auto"/>
              </w:rPr>
            </w:pPr>
            <w:r>
              <w:rPr>
                <w:rFonts w:hint="eastAsia"/>
                <w:color w:val="auto"/>
              </w:rPr>
              <w:t>LIS接口：需提供与LIS集成对接接口服务，通过接口调取LIS检验结果信息，临床医生开立用血申请时可以查看检验结果进行病情分析。</w:t>
            </w:r>
          </w:p>
          <w:p w14:paraId="354E0A59">
            <w:pPr>
              <w:pStyle w:val="18"/>
              <w:rPr>
                <w:color w:val="auto"/>
              </w:rPr>
            </w:pPr>
            <w:r>
              <w:rPr>
                <w:rFonts w:hint="eastAsia"/>
                <w:color w:val="auto"/>
              </w:rPr>
              <w:t>PDA接口：需提供与PDA系统集成对接接口服务，通过与PDA实现数据同步，护士站接收、输注、巡回时可确认核对患者及血袋信息，记录患者体征信息、不良反应等信息。</w:t>
            </w:r>
          </w:p>
          <w:p w14:paraId="0DEFB7F3">
            <w:pPr>
              <w:pStyle w:val="18"/>
              <w:rPr>
                <w:color w:val="auto"/>
              </w:rPr>
            </w:pPr>
            <w:r>
              <w:rPr>
                <w:rFonts w:hint="eastAsia"/>
                <w:color w:val="auto"/>
              </w:rPr>
              <w:t>CA接口：需提供与CA集成对接接口服务，使输血业务相关单据具有法律效力。</w:t>
            </w:r>
          </w:p>
          <w:p w14:paraId="4070A0EC">
            <w:pPr>
              <w:pStyle w:val="18"/>
              <w:rPr>
                <w:color w:val="auto"/>
              </w:rPr>
            </w:pPr>
            <w:r>
              <w:rPr>
                <w:rFonts w:hint="eastAsia"/>
                <w:color w:val="auto"/>
              </w:rPr>
              <w:t>血站接口：需提供与血站系统集成对接接口服务，实现网上订血、血站发血（或医院退血）、临床发血、临床退血、血液报废、特殊发血等业务同步。</w:t>
            </w:r>
          </w:p>
          <w:p w14:paraId="3BDA47B0">
            <w:pPr>
              <w:pStyle w:val="18"/>
              <w:rPr>
                <w:color w:val="auto"/>
              </w:rPr>
            </w:pPr>
            <w:r>
              <w:rPr>
                <w:rFonts w:hint="eastAsia"/>
                <w:color w:val="auto"/>
              </w:rPr>
              <w:t>血型机接口：需提供与血型机系统集成的接口要求，实现交叉配血双通等功能。</w:t>
            </w:r>
          </w:p>
          <w:p w14:paraId="3FFD0F7E">
            <w:pPr>
              <w:pStyle w:val="18"/>
              <w:rPr>
                <w:color w:val="auto"/>
              </w:rPr>
            </w:pPr>
            <w:r>
              <w:rPr>
                <w:rFonts w:hint="eastAsia"/>
                <w:color w:val="auto"/>
              </w:rPr>
              <w:t>冷链接口：需提供与冷链系统集成的接口要求，记录设备温度等信息。</w:t>
            </w:r>
          </w:p>
          <w:p w14:paraId="6A482578">
            <w:pPr>
              <w:pStyle w:val="18"/>
              <w:rPr>
                <w:color w:val="auto"/>
              </w:rPr>
            </w:pPr>
            <w:r>
              <w:rPr>
                <w:rFonts w:hint="eastAsia"/>
                <w:color w:val="auto"/>
              </w:rPr>
              <w:t>智能冰箱接口：需提供与物联冰箱系统集成的接口要求，前置冰箱配发血管理。</w:t>
            </w:r>
          </w:p>
          <w:p w14:paraId="6CD25E7B">
            <w:pPr>
              <w:pStyle w:val="18"/>
              <w:rPr>
                <w:color w:val="auto"/>
              </w:rPr>
            </w:pPr>
            <w:r>
              <w:rPr>
                <w:rFonts w:hint="eastAsia"/>
                <w:color w:val="auto"/>
              </w:rPr>
              <w:t>省市级输血平台接口：需提供与省市级输血平台系统集成的接口要求，给平台上报或接收输血相关信息。</w:t>
            </w:r>
          </w:p>
        </w:tc>
      </w:tr>
    </w:tbl>
    <w:p w14:paraId="03099402">
      <w:pPr>
        <w:pStyle w:val="4"/>
        <w:numPr>
          <w:ilvl w:val="1"/>
          <w:numId w:val="0"/>
        </w:numPr>
        <w:ind w:left="576" w:leftChars="0" w:hanging="576" w:firstLineChars="0"/>
        <w:rPr>
          <w:color w:val="auto"/>
        </w:rPr>
      </w:pPr>
      <w:bookmarkStart w:id="160" w:name="_Toc208646539"/>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.17</w:t>
      </w:r>
      <w:r>
        <w:rPr>
          <w:rFonts w:hint="eastAsia"/>
          <w:color w:val="auto"/>
        </w:rPr>
        <w:t>临床路径管理系统</w:t>
      </w:r>
      <w:bookmarkEnd w:id="160"/>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009"/>
        <w:gridCol w:w="149"/>
      </w:tblGrid>
      <w:tr w14:paraId="61B8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shd w:val="clear" w:color="auto" w:fill="BEBEBE" w:themeFill="background1" w:themeFillShade="BF"/>
            <w:vAlign w:val="center"/>
          </w:tcPr>
          <w:p w14:paraId="217FC4BB">
            <w:pPr>
              <w:pStyle w:val="18"/>
              <w:jc w:val="center"/>
              <w:rPr>
                <w:b w:val="0"/>
                <w:color w:val="auto"/>
              </w:rPr>
            </w:pPr>
            <w:r>
              <w:rPr>
                <w:rFonts w:hint="eastAsia"/>
                <w:b/>
                <w:color w:val="auto"/>
              </w:rPr>
              <w:t>系统名称</w:t>
            </w:r>
          </w:p>
        </w:tc>
        <w:tc>
          <w:tcPr>
            <w:tcW w:w="3975" w:type="pct"/>
            <w:gridSpan w:val="2"/>
            <w:shd w:val="clear" w:color="auto" w:fill="BEBEBE" w:themeFill="background1" w:themeFillShade="BF"/>
            <w:vAlign w:val="center"/>
          </w:tcPr>
          <w:p w14:paraId="3DAAEFA9">
            <w:pPr>
              <w:pStyle w:val="18"/>
              <w:rPr>
                <w:b/>
                <w:color w:val="auto"/>
              </w:rPr>
            </w:pPr>
            <w:r>
              <w:rPr>
                <w:rFonts w:hint="eastAsia"/>
                <w:b/>
                <w:color w:val="auto"/>
              </w:rPr>
              <w:t>临床路径管理系统</w:t>
            </w:r>
          </w:p>
        </w:tc>
      </w:tr>
      <w:tr w14:paraId="3362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 w:type="pct"/>
          <w:jc w:val="center"/>
        </w:trPr>
        <w:tc>
          <w:tcPr>
            <w:tcW w:w="1025" w:type="pct"/>
            <w:vAlign w:val="center"/>
          </w:tcPr>
          <w:p w14:paraId="10595A56">
            <w:pPr>
              <w:pStyle w:val="18"/>
              <w:jc w:val="center"/>
              <w:rPr>
                <w:b/>
                <w:bCs/>
                <w:color w:val="auto"/>
              </w:rPr>
            </w:pPr>
            <w:r>
              <w:rPr>
                <w:rFonts w:hint="eastAsia"/>
                <w:b/>
                <w:bCs/>
                <w:color w:val="auto"/>
              </w:rPr>
              <w:t>系统概述</w:t>
            </w:r>
          </w:p>
        </w:tc>
        <w:tc>
          <w:tcPr>
            <w:tcW w:w="3892" w:type="pct"/>
            <w:vAlign w:val="center"/>
          </w:tcPr>
          <w:p w14:paraId="4EEB492B">
            <w:pPr>
              <w:pStyle w:val="18"/>
              <w:rPr>
                <w:color w:val="auto"/>
              </w:rPr>
            </w:pPr>
            <w:r>
              <w:rPr>
                <w:rFonts w:hint="eastAsia"/>
                <w:color w:val="auto"/>
              </w:rPr>
              <w:t>临床路径管理系统基于循证医学证据和诊疗指南的综合医疗管理模式，旨在针对特定疾病建立一套标准化、规范化的治疗与护理流程。系统有助于规范医疗行为，通过优化资源配置、减少变异、降低成本、提高质量，从而保障医疗安全和提升医疗效率。系统通过制定详细的诊疗计划、时间节点和护理标准，为医护人员提供明确的操作指南，使得每一步治疗与护理都有据可依、有章可循。</w:t>
            </w:r>
          </w:p>
        </w:tc>
      </w:tr>
      <w:tr w14:paraId="1371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702EF8AF">
            <w:pPr>
              <w:pStyle w:val="18"/>
              <w:jc w:val="center"/>
              <w:rPr>
                <w:b/>
                <w:bCs/>
                <w:color w:val="auto"/>
              </w:rPr>
            </w:pPr>
            <w:r>
              <w:rPr>
                <w:rFonts w:hint="eastAsia"/>
                <w:b/>
                <w:bCs/>
                <w:color w:val="auto"/>
              </w:rPr>
              <w:t>子项名称</w:t>
            </w:r>
          </w:p>
        </w:tc>
        <w:tc>
          <w:tcPr>
            <w:tcW w:w="3975" w:type="pct"/>
            <w:gridSpan w:val="2"/>
            <w:vAlign w:val="center"/>
          </w:tcPr>
          <w:p w14:paraId="55074869">
            <w:pPr>
              <w:pStyle w:val="18"/>
              <w:jc w:val="center"/>
              <w:rPr>
                <w:b/>
                <w:bCs/>
                <w:color w:val="auto"/>
              </w:rPr>
            </w:pPr>
            <w:r>
              <w:rPr>
                <w:rFonts w:hint="eastAsia"/>
                <w:b/>
                <w:bCs/>
                <w:color w:val="auto"/>
              </w:rPr>
              <w:t>技术和功能配置要求</w:t>
            </w:r>
          </w:p>
        </w:tc>
      </w:tr>
      <w:tr w14:paraId="7FD3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0E10B888">
            <w:pPr>
              <w:pStyle w:val="18"/>
              <w:jc w:val="center"/>
              <w:rPr>
                <w:b w:val="0"/>
                <w:color w:val="auto"/>
              </w:rPr>
            </w:pPr>
            <w:r>
              <w:rPr>
                <w:rFonts w:hint="eastAsia"/>
                <w:b w:val="0"/>
                <w:color w:val="auto"/>
              </w:rPr>
              <w:t>基础功能</w:t>
            </w:r>
          </w:p>
        </w:tc>
        <w:tc>
          <w:tcPr>
            <w:tcW w:w="3975" w:type="pct"/>
            <w:gridSpan w:val="2"/>
            <w:vAlign w:val="center"/>
          </w:tcPr>
          <w:p w14:paraId="3283F6EC">
            <w:pPr>
              <w:pStyle w:val="18"/>
              <w:rPr>
                <w:color w:val="auto"/>
              </w:rPr>
            </w:pPr>
            <w:r>
              <w:rPr>
                <w:rFonts w:hint="eastAsia"/>
                <w:color w:val="auto"/>
              </w:rPr>
              <w:t>1.路径显示状态配置管理</w:t>
            </w:r>
          </w:p>
          <w:p w14:paraId="0BA49A72">
            <w:pPr>
              <w:pStyle w:val="18"/>
              <w:rPr>
                <w:color w:val="auto"/>
              </w:rPr>
            </w:pPr>
            <w:r>
              <w:rPr>
                <w:rFonts w:hint="eastAsia"/>
                <w:color w:val="auto"/>
              </w:rPr>
              <w:t>需支持对路径中各种项目状态颜色配置；</w:t>
            </w:r>
          </w:p>
          <w:p w14:paraId="44C5D1AB">
            <w:pPr>
              <w:pStyle w:val="18"/>
              <w:rPr>
                <w:color w:val="auto"/>
              </w:rPr>
            </w:pPr>
            <w:r>
              <w:rPr>
                <w:rFonts w:hint="eastAsia"/>
                <w:color w:val="auto"/>
              </w:rPr>
              <w:t>需支持对路径模板中各个阶段列头颜色配置，作为是否执行状态区分。</w:t>
            </w:r>
          </w:p>
          <w:p w14:paraId="7409672F">
            <w:pPr>
              <w:pStyle w:val="18"/>
              <w:rPr>
                <w:color w:val="auto"/>
              </w:rPr>
            </w:pPr>
            <w:r>
              <w:rPr>
                <w:rFonts w:hint="eastAsia"/>
                <w:color w:val="auto"/>
              </w:rPr>
              <w:t>2.路径执行流程配置</w:t>
            </w:r>
          </w:p>
          <w:p w14:paraId="27C85CA7">
            <w:pPr>
              <w:pStyle w:val="18"/>
              <w:rPr>
                <w:color w:val="auto"/>
              </w:rPr>
            </w:pPr>
            <w:r>
              <w:rPr>
                <w:rFonts w:hint="eastAsia"/>
                <w:color w:val="auto"/>
              </w:rPr>
              <w:t>需支持院方各管理关键节点功能的开放与关闭的配置。</w:t>
            </w:r>
          </w:p>
          <w:p w14:paraId="4C973FC5">
            <w:pPr>
              <w:pStyle w:val="18"/>
              <w:rPr>
                <w:color w:val="auto"/>
              </w:rPr>
            </w:pPr>
            <w:r>
              <w:rPr>
                <w:rFonts w:hint="eastAsia"/>
                <w:color w:val="auto"/>
              </w:rPr>
              <w:t>3.系统操作权限配置</w:t>
            </w:r>
          </w:p>
          <w:p w14:paraId="61763EE2">
            <w:pPr>
              <w:pStyle w:val="18"/>
              <w:rPr>
                <w:color w:val="auto"/>
              </w:rPr>
            </w:pPr>
            <w:r>
              <w:rPr>
                <w:rFonts w:hint="eastAsia"/>
                <w:color w:val="auto"/>
              </w:rPr>
              <w:t>（1）需支持角色权限设置；</w:t>
            </w:r>
          </w:p>
          <w:p w14:paraId="10574789">
            <w:pPr>
              <w:pStyle w:val="18"/>
              <w:rPr>
                <w:color w:val="auto"/>
              </w:rPr>
            </w:pPr>
            <w:r>
              <w:rPr>
                <w:rFonts w:hint="eastAsia"/>
                <w:color w:val="auto"/>
              </w:rPr>
              <w:t>（2）需支持操作员角色权限的明细配置；</w:t>
            </w:r>
          </w:p>
          <w:p w14:paraId="7F6007AA">
            <w:pPr>
              <w:pStyle w:val="18"/>
              <w:rPr>
                <w:color w:val="auto"/>
              </w:rPr>
            </w:pPr>
            <w:r>
              <w:rPr>
                <w:rFonts w:hint="eastAsia"/>
                <w:color w:val="auto"/>
              </w:rPr>
              <w:t>（3）提供默认角色的默认权限。</w:t>
            </w:r>
          </w:p>
          <w:p w14:paraId="22130E1B">
            <w:pPr>
              <w:pStyle w:val="18"/>
              <w:rPr>
                <w:color w:val="auto"/>
              </w:rPr>
            </w:pPr>
            <w:r>
              <w:rPr>
                <w:rFonts w:hint="eastAsia"/>
                <w:color w:val="auto"/>
              </w:rPr>
              <w:t>4.系统关键数据配置</w:t>
            </w:r>
          </w:p>
          <w:p w14:paraId="5010D356">
            <w:pPr>
              <w:pStyle w:val="18"/>
              <w:rPr>
                <w:color w:val="auto"/>
              </w:rPr>
            </w:pPr>
            <w:r>
              <w:rPr>
                <w:rFonts w:hint="eastAsia"/>
                <w:color w:val="auto"/>
              </w:rPr>
              <w:t>（1）需支持ICD诊断码与病种对照，一条路径可以匹配多条诊断；</w:t>
            </w:r>
          </w:p>
          <w:p w14:paraId="3088668E">
            <w:pPr>
              <w:pStyle w:val="18"/>
              <w:rPr>
                <w:color w:val="auto"/>
              </w:rPr>
            </w:pPr>
            <w:r>
              <w:rPr>
                <w:rFonts w:hint="eastAsia"/>
                <w:color w:val="auto"/>
              </w:rPr>
              <w:t>（2）需支持病种专业与实际科室对照；</w:t>
            </w:r>
          </w:p>
          <w:p w14:paraId="7BD32708">
            <w:pPr>
              <w:pStyle w:val="18"/>
              <w:rPr>
                <w:color w:val="auto"/>
              </w:rPr>
            </w:pPr>
            <w:r>
              <w:rPr>
                <w:rFonts w:hint="eastAsia"/>
                <w:color w:val="auto"/>
              </w:rPr>
              <w:t>（3）需支持变异来源、变异原因、变异原因明细维护。</w:t>
            </w:r>
          </w:p>
          <w:p w14:paraId="6E8D48C0">
            <w:pPr>
              <w:pStyle w:val="18"/>
              <w:rPr>
                <w:color w:val="auto"/>
              </w:rPr>
            </w:pPr>
            <w:r>
              <w:rPr>
                <w:rFonts w:hint="eastAsia"/>
                <w:color w:val="auto"/>
              </w:rPr>
              <w:t>5</w:t>
            </w:r>
            <w:r>
              <w:rPr>
                <w:color w:val="auto"/>
              </w:rPr>
              <w:t>.</w:t>
            </w:r>
            <w:r>
              <w:rPr>
                <w:rFonts w:hint="eastAsia"/>
                <w:color w:val="auto"/>
              </w:rPr>
              <w:t>病种数量要求</w:t>
            </w:r>
          </w:p>
          <w:p w14:paraId="3D2CEEDA">
            <w:pPr>
              <w:pStyle w:val="18"/>
              <w:rPr>
                <w:color w:val="auto"/>
              </w:rPr>
            </w:pPr>
            <w:r>
              <w:rPr>
                <w:rFonts w:hint="eastAsia"/>
                <w:color w:val="auto"/>
              </w:rPr>
              <w:t>（1）按国家要求二甲中医医院临床路径病种数量实施，具体数量待系统实施时由医院确定。</w:t>
            </w:r>
          </w:p>
        </w:tc>
      </w:tr>
      <w:tr w14:paraId="428C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02245C04">
            <w:pPr>
              <w:pStyle w:val="18"/>
              <w:jc w:val="center"/>
              <w:rPr>
                <w:b w:val="0"/>
                <w:color w:val="auto"/>
              </w:rPr>
            </w:pPr>
            <w:r>
              <w:rPr>
                <w:rFonts w:hint="eastAsia"/>
                <w:b w:val="0"/>
                <w:color w:val="auto"/>
              </w:rPr>
              <w:t>路径模板管理</w:t>
            </w:r>
          </w:p>
        </w:tc>
        <w:tc>
          <w:tcPr>
            <w:tcW w:w="3975" w:type="pct"/>
            <w:gridSpan w:val="2"/>
            <w:vAlign w:val="center"/>
          </w:tcPr>
          <w:p w14:paraId="47EAADD7">
            <w:pPr>
              <w:pStyle w:val="18"/>
              <w:rPr>
                <w:color w:val="auto"/>
              </w:rPr>
            </w:pPr>
            <w:r>
              <w:rPr>
                <w:rFonts w:hint="eastAsia"/>
                <w:color w:val="auto"/>
              </w:rPr>
              <w:t>1.模板创建</w:t>
            </w:r>
          </w:p>
          <w:p w14:paraId="111BE747">
            <w:pPr>
              <w:pStyle w:val="18"/>
              <w:rPr>
                <w:color w:val="auto"/>
              </w:rPr>
            </w:pPr>
            <w:r>
              <w:rPr>
                <w:rFonts w:hint="eastAsia"/>
                <w:color w:val="auto"/>
              </w:rPr>
              <w:t>（1）新建模版；</w:t>
            </w:r>
          </w:p>
          <w:p w14:paraId="768454EC">
            <w:pPr>
              <w:pStyle w:val="18"/>
              <w:rPr>
                <w:color w:val="auto"/>
              </w:rPr>
            </w:pPr>
            <w:r>
              <w:rPr>
                <w:rFonts w:hint="eastAsia"/>
                <w:color w:val="auto"/>
              </w:rPr>
              <w:t>（2）模版基本信息维护；</w:t>
            </w:r>
          </w:p>
          <w:p w14:paraId="4DBAE289">
            <w:pPr>
              <w:pStyle w:val="18"/>
              <w:rPr>
                <w:color w:val="auto"/>
              </w:rPr>
            </w:pPr>
            <w:r>
              <w:rPr>
                <w:rFonts w:hint="eastAsia"/>
                <w:color w:val="auto"/>
              </w:rPr>
              <w:t>（3）准入评估标准录入；</w:t>
            </w:r>
          </w:p>
          <w:p w14:paraId="159184E7">
            <w:pPr>
              <w:pStyle w:val="18"/>
              <w:rPr>
                <w:color w:val="auto"/>
              </w:rPr>
            </w:pPr>
            <w:r>
              <w:rPr>
                <w:rFonts w:hint="eastAsia"/>
                <w:color w:val="auto"/>
              </w:rPr>
              <w:t>（4）准出评估标准录入；</w:t>
            </w:r>
          </w:p>
          <w:p w14:paraId="0AA45150">
            <w:pPr>
              <w:pStyle w:val="18"/>
              <w:rPr>
                <w:color w:val="auto"/>
              </w:rPr>
            </w:pPr>
            <w:r>
              <w:rPr>
                <w:rFonts w:hint="eastAsia"/>
                <w:color w:val="auto"/>
              </w:rPr>
              <w:t>（5）入径标准维护。</w:t>
            </w:r>
          </w:p>
          <w:p w14:paraId="5CD010CD">
            <w:pPr>
              <w:pStyle w:val="18"/>
              <w:rPr>
                <w:color w:val="auto"/>
              </w:rPr>
            </w:pPr>
            <w:r>
              <w:rPr>
                <w:rFonts w:hint="eastAsia"/>
                <w:color w:val="auto"/>
              </w:rPr>
              <w:t>（6）新建门诊路径模板。</w:t>
            </w:r>
          </w:p>
          <w:p w14:paraId="35215ECB">
            <w:pPr>
              <w:pStyle w:val="18"/>
              <w:rPr>
                <w:color w:val="auto"/>
              </w:rPr>
            </w:pPr>
            <w:r>
              <w:rPr>
                <w:rFonts w:hint="eastAsia"/>
                <w:color w:val="auto"/>
              </w:rPr>
              <w:t>2.模板编辑</w:t>
            </w:r>
          </w:p>
          <w:p w14:paraId="5C3E4ED0">
            <w:pPr>
              <w:pStyle w:val="18"/>
              <w:rPr>
                <w:color w:val="auto"/>
              </w:rPr>
            </w:pPr>
            <w:r>
              <w:rPr>
                <w:rFonts w:hint="eastAsia"/>
                <w:color w:val="auto"/>
              </w:rPr>
              <w:t>（1）所见即所得的模版编辑模式；</w:t>
            </w:r>
          </w:p>
          <w:p w14:paraId="5D625CD3">
            <w:pPr>
              <w:pStyle w:val="18"/>
              <w:rPr>
                <w:color w:val="auto"/>
              </w:rPr>
            </w:pPr>
            <w:r>
              <w:rPr>
                <w:rFonts w:hint="eastAsia"/>
                <w:color w:val="auto"/>
              </w:rPr>
              <w:t>（2）路径模板自动对应所属病种专业；</w:t>
            </w:r>
          </w:p>
          <w:p w14:paraId="218FEDA3">
            <w:pPr>
              <w:pStyle w:val="18"/>
              <w:rPr>
                <w:color w:val="auto"/>
              </w:rPr>
            </w:pPr>
            <w:r>
              <w:rPr>
                <w:rFonts w:hint="eastAsia"/>
                <w:color w:val="auto"/>
              </w:rPr>
              <w:t>（3）模板涵盖临床路径所包含的所有项目，如诊疗工作、医嘱、护理项目、标准住院天数以及住院费用；</w:t>
            </w:r>
          </w:p>
          <w:p w14:paraId="299C37AB">
            <w:pPr>
              <w:pStyle w:val="18"/>
              <w:rPr>
                <w:color w:val="auto"/>
              </w:rPr>
            </w:pPr>
            <w:r>
              <w:rPr>
                <w:rFonts w:hint="eastAsia"/>
                <w:color w:val="auto"/>
              </w:rPr>
              <w:t>（4）需支持患者路径维护；</w:t>
            </w:r>
          </w:p>
          <w:p w14:paraId="69107076">
            <w:pPr>
              <w:pStyle w:val="18"/>
              <w:rPr>
                <w:color w:val="auto"/>
              </w:rPr>
            </w:pPr>
            <w:r>
              <w:rPr>
                <w:rFonts w:hint="eastAsia"/>
                <w:color w:val="auto"/>
              </w:rPr>
              <w:t>（5）需支持康复、心理项目维护；</w:t>
            </w:r>
          </w:p>
          <w:p w14:paraId="36B75ACD">
            <w:pPr>
              <w:pStyle w:val="18"/>
              <w:rPr>
                <w:color w:val="auto"/>
              </w:rPr>
            </w:pPr>
            <w:r>
              <w:rPr>
                <w:rFonts w:hint="eastAsia"/>
                <w:color w:val="auto"/>
              </w:rPr>
              <w:t>（6）需支持长、短期医嘱各种明细属性设置，所见即所得；</w:t>
            </w:r>
          </w:p>
          <w:p w14:paraId="33232E95">
            <w:pPr>
              <w:pStyle w:val="18"/>
              <w:rPr>
                <w:color w:val="auto"/>
              </w:rPr>
            </w:pPr>
            <w:r>
              <w:rPr>
                <w:rFonts w:hint="eastAsia"/>
                <w:color w:val="auto"/>
              </w:rPr>
              <w:t>（7）需支持护理项目明细属性设置，所见即所得；</w:t>
            </w:r>
          </w:p>
          <w:p w14:paraId="67BEE83D">
            <w:pPr>
              <w:pStyle w:val="18"/>
              <w:rPr>
                <w:color w:val="auto"/>
              </w:rPr>
            </w:pPr>
            <w:r>
              <w:rPr>
                <w:rFonts w:hint="eastAsia"/>
                <w:color w:val="auto"/>
              </w:rPr>
              <w:t>（8）需支持医嘱明细直接调取医嘱组套进行对照维护；</w:t>
            </w:r>
          </w:p>
          <w:p w14:paraId="21E04B65">
            <w:pPr>
              <w:pStyle w:val="18"/>
              <w:rPr>
                <w:color w:val="auto"/>
              </w:rPr>
            </w:pPr>
            <w:r>
              <w:rPr>
                <w:rFonts w:hint="eastAsia"/>
                <w:color w:val="auto"/>
              </w:rPr>
              <w:t>（9）模板内医嘱顺序所见即所得，执行过程按顺序显示；</w:t>
            </w:r>
          </w:p>
          <w:p w14:paraId="34B9365D">
            <w:pPr>
              <w:pStyle w:val="18"/>
              <w:rPr>
                <w:color w:val="auto"/>
              </w:rPr>
            </w:pPr>
            <w:r>
              <w:rPr>
                <w:rFonts w:hint="eastAsia"/>
                <w:color w:val="auto"/>
              </w:rPr>
              <w:t>（10）模版医嘱需支持排序操作，可直接决定生成医嘱的顺序；</w:t>
            </w:r>
          </w:p>
          <w:p w14:paraId="40674B00">
            <w:pPr>
              <w:pStyle w:val="18"/>
              <w:rPr>
                <w:color w:val="auto"/>
              </w:rPr>
            </w:pPr>
            <w:r>
              <w:rPr>
                <w:rFonts w:hint="eastAsia"/>
                <w:color w:val="auto"/>
              </w:rPr>
              <w:t>（11）需支持路径项目自定义设置为必选项或可选项；</w:t>
            </w:r>
          </w:p>
          <w:p w14:paraId="55B52833">
            <w:pPr>
              <w:pStyle w:val="18"/>
              <w:rPr>
                <w:color w:val="auto"/>
              </w:rPr>
            </w:pPr>
            <w:r>
              <w:rPr>
                <w:rFonts w:hint="eastAsia"/>
                <w:color w:val="auto"/>
              </w:rPr>
              <w:t>（12）需支持模版多治疗阶段，每个治疗阶段可设置天数；</w:t>
            </w:r>
          </w:p>
          <w:p w14:paraId="21D40745">
            <w:pPr>
              <w:pStyle w:val="18"/>
              <w:rPr>
                <w:color w:val="auto"/>
              </w:rPr>
            </w:pPr>
            <w:r>
              <w:rPr>
                <w:rFonts w:hint="eastAsia"/>
                <w:color w:val="auto"/>
              </w:rPr>
              <w:t>（13）路径模板维护时，同阶段可以维护分支备选阶段；</w:t>
            </w:r>
          </w:p>
          <w:p w14:paraId="5E279444">
            <w:pPr>
              <w:pStyle w:val="18"/>
              <w:rPr>
                <w:color w:val="auto"/>
              </w:rPr>
            </w:pPr>
            <w:r>
              <w:rPr>
                <w:rFonts w:hint="eastAsia"/>
                <w:color w:val="auto"/>
              </w:rPr>
              <w:t>（14）智能判断模版天数是否超过维护的最大天数；</w:t>
            </w:r>
          </w:p>
          <w:p w14:paraId="2F6FE95E">
            <w:pPr>
              <w:pStyle w:val="18"/>
              <w:rPr>
                <w:color w:val="auto"/>
              </w:rPr>
            </w:pPr>
            <w:r>
              <w:rPr>
                <w:rFonts w:hint="eastAsia"/>
                <w:color w:val="auto"/>
              </w:rPr>
              <w:t>（15）需支持急诊转住院模式模版维护；</w:t>
            </w:r>
          </w:p>
          <w:p w14:paraId="73588DDE">
            <w:pPr>
              <w:pStyle w:val="18"/>
              <w:rPr>
                <w:color w:val="auto"/>
              </w:rPr>
            </w:pPr>
            <w:r>
              <w:rPr>
                <w:rFonts w:hint="eastAsia"/>
                <w:color w:val="auto"/>
              </w:rPr>
              <w:t>（16）需支持模版重做功能；可以重做整个模版，以及重做长嘱，临嘱，诊疗，护理，患者，心理治疗，康复治疗、医嘱明细项目；</w:t>
            </w:r>
          </w:p>
          <w:p w14:paraId="27476BDF">
            <w:pPr>
              <w:pStyle w:val="18"/>
              <w:rPr>
                <w:color w:val="auto"/>
              </w:rPr>
            </w:pPr>
            <w:r>
              <w:rPr>
                <w:rFonts w:hint="eastAsia"/>
                <w:color w:val="auto"/>
              </w:rPr>
              <w:t>（17）模版编辑时，需支持ToolTip显示医嘱明细；</w:t>
            </w:r>
          </w:p>
          <w:p w14:paraId="7A0204FA">
            <w:pPr>
              <w:pStyle w:val="18"/>
              <w:rPr>
                <w:color w:val="auto"/>
              </w:rPr>
            </w:pPr>
            <w:r>
              <w:rPr>
                <w:rFonts w:hint="eastAsia"/>
                <w:color w:val="auto"/>
              </w:rPr>
              <w:t>（18）需支持详细模式按钮展示详细模式（医嘱大项下辖各个细项）；</w:t>
            </w:r>
          </w:p>
          <w:p w14:paraId="3A85E926">
            <w:pPr>
              <w:pStyle w:val="18"/>
              <w:rPr>
                <w:color w:val="auto"/>
              </w:rPr>
            </w:pPr>
            <w:r>
              <w:rPr>
                <w:rFonts w:hint="eastAsia"/>
                <w:color w:val="auto"/>
              </w:rPr>
              <w:t>（19）需支持路径项目整体拷贝、剪切、粘贴功能；</w:t>
            </w:r>
          </w:p>
          <w:p w14:paraId="3E4E3A3C">
            <w:pPr>
              <w:pStyle w:val="18"/>
              <w:rPr>
                <w:color w:val="auto"/>
              </w:rPr>
            </w:pPr>
            <w:r>
              <w:rPr>
                <w:rFonts w:hint="eastAsia"/>
                <w:color w:val="auto"/>
              </w:rPr>
              <w:t>（20）需支持医嘱细项拷贝、粘贴功能；</w:t>
            </w:r>
          </w:p>
          <w:p w14:paraId="5A1CEB0F">
            <w:pPr>
              <w:pStyle w:val="18"/>
              <w:rPr>
                <w:color w:val="auto"/>
              </w:rPr>
            </w:pPr>
            <w:r>
              <w:rPr>
                <w:rFonts w:hint="eastAsia"/>
                <w:color w:val="auto"/>
              </w:rPr>
              <w:t>（21）需支持导出Excel功能；</w:t>
            </w:r>
          </w:p>
          <w:p w14:paraId="2272816E">
            <w:pPr>
              <w:pStyle w:val="18"/>
              <w:rPr>
                <w:color w:val="auto"/>
              </w:rPr>
            </w:pPr>
            <w:r>
              <w:rPr>
                <w:rFonts w:hint="eastAsia"/>
                <w:color w:val="auto"/>
              </w:rPr>
              <w:t>（22）需支持导出XML功能；</w:t>
            </w:r>
          </w:p>
          <w:p w14:paraId="1DDC30C8">
            <w:pPr>
              <w:pStyle w:val="18"/>
              <w:rPr>
                <w:color w:val="auto"/>
              </w:rPr>
            </w:pPr>
            <w:r>
              <w:rPr>
                <w:rFonts w:hint="eastAsia"/>
                <w:color w:val="auto"/>
              </w:rPr>
              <w:t>（23）需支持模版作废功能；</w:t>
            </w:r>
          </w:p>
          <w:p w14:paraId="234817A3">
            <w:pPr>
              <w:pStyle w:val="18"/>
              <w:rPr>
                <w:color w:val="auto"/>
              </w:rPr>
            </w:pPr>
            <w:r>
              <w:rPr>
                <w:rFonts w:hint="eastAsia"/>
                <w:color w:val="auto"/>
              </w:rPr>
              <w:t>（24）医嘱对应时，需支持批量删除具体医嘱；</w:t>
            </w:r>
          </w:p>
          <w:p w14:paraId="1FBF9DC9">
            <w:pPr>
              <w:pStyle w:val="18"/>
              <w:rPr>
                <w:color w:val="auto"/>
              </w:rPr>
            </w:pPr>
            <w:r>
              <w:rPr>
                <w:rFonts w:hint="eastAsia"/>
                <w:color w:val="auto"/>
              </w:rPr>
              <w:t>（25）提供路径校验功能，校验医嘱项目与ICD诊断；</w:t>
            </w:r>
          </w:p>
          <w:p w14:paraId="1514EC22">
            <w:pPr>
              <w:pStyle w:val="18"/>
              <w:rPr>
                <w:color w:val="auto"/>
              </w:rPr>
            </w:pPr>
            <w:r>
              <w:rPr>
                <w:rFonts w:hint="eastAsia"/>
                <w:color w:val="auto"/>
              </w:rPr>
              <w:t>（26）需支持模版暂存功能；</w:t>
            </w:r>
          </w:p>
          <w:p w14:paraId="5EB38C19">
            <w:pPr>
              <w:pStyle w:val="18"/>
              <w:rPr>
                <w:color w:val="auto"/>
              </w:rPr>
            </w:pPr>
            <w:r>
              <w:rPr>
                <w:rFonts w:hint="eastAsia"/>
                <w:color w:val="auto"/>
              </w:rPr>
              <w:t>（27）需支持模版提交功能；</w:t>
            </w:r>
          </w:p>
          <w:p w14:paraId="29127A51">
            <w:pPr>
              <w:pStyle w:val="18"/>
              <w:rPr>
                <w:color w:val="auto"/>
              </w:rPr>
            </w:pPr>
            <w:r>
              <w:rPr>
                <w:rFonts w:hint="eastAsia"/>
                <w:color w:val="auto"/>
              </w:rPr>
              <w:t>（28）需支持等效药维护功能；</w:t>
            </w:r>
          </w:p>
          <w:p w14:paraId="44EB4A18">
            <w:pPr>
              <w:pStyle w:val="18"/>
              <w:rPr>
                <w:color w:val="auto"/>
              </w:rPr>
            </w:pPr>
            <w:r>
              <w:rPr>
                <w:rFonts w:hint="eastAsia"/>
                <w:color w:val="auto"/>
              </w:rPr>
              <w:t>（29）需支持阶段合并功能；</w:t>
            </w:r>
          </w:p>
          <w:p w14:paraId="11865E4D">
            <w:pPr>
              <w:pStyle w:val="18"/>
              <w:rPr>
                <w:color w:val="auto"/>
              </w:rPr>
            </w:pPr>
            <w:r>
              <w:rPr>
                <w:rFonts w:hint="eastAsia"/>
                <w:color w:val="auto"/>
              </w:rPr>
              <w:t>（30）需提供阶段精简模式；</w:t>
            </w:r>
          </w:p>
          <w:p w14:paraId="6ADC72CE">
            <w:pPr>
              <w:pStyle w:val="18"/>
              <w:rPr>
                <w:color w:val="auto"/>
              </w:rPr>
            </w:pPr>
            <w:r>
              <w:rPr>
                <w:rFonts w:hint="eastAsia"/>
                <w:color w:val="auto"/>
              </w:rPr>
              <w:t>（31）需支持阶段评估维护；</w:t>
            </w:r>
          </w:p>
          <w:p w14:paraId="262D49F0">
            <w:pPr>
              <w:pStyle w:val="18"/>
              <w:rPr>
                <w:color w:val="auto"/>
              </w:rPr>
            </w:pPr>
            <w:r>
              <w:rPr>
                <w:rFonts w:hint="eastAsia"/>
                <w:color w:val="auto"/>
              </w:rPr>
              <w:t>（32）需支持模板打印（详细模式和正常模式）；</w:t>
            </w:r>
          </w:p>
          <w:p w14:paraId="327A54D4">
            <w:pPr>
              <w:pStyle w:val="18"/>
              <w:rPr>
                <w:color w:val="auto"/>
              </w:rPr>
            </w:pPr>
            <w:r>
              <w:rPr>
                <w:rFonts w:hint="eastAsia"/>
                <w:color w:val="auto"/>
              </w:rPr>
              <w:t>（33）需支持使用其他模板覆盖当前模板功能；</w:t>
            </w:r>
          </w:p>
          <w:p w14:paraId="1A151E49">
            <w:pPr>
              <w:pStyle w:val="18"/>
              <w:rPr>
                <w:color w:val="auto"/>
              </w:rPr>
            </w:pPr>
            <w:r>
              <w:rPr>
                <w:rFonts w:hint="eastAsia"/>
                <w:color w:val="auto"/>
              </w:rPr>
              <w:t>（34）可查看入径标准；</w:t>
            </w:r>
          </w:p>
          <w:p w14:paraId="3737A51F">
            <w:pPr>
              <w:pStyle w:val="18"/>
              <w:rPr>
                <w:color w:val="auto"/>
              </w:rPr>
            </w:pPr>
            <w:r>
              <w:rPr>
                <w:rFonts w:hint="eastAsia"/>
                <w:color w:val="auto"/>
              </w:rPr>
              <w:t>（35）需支持模板关联科室；</w:t>
            </w:r>
          </w:p>
          <w:p w14:paraId="6CC65E7D">
            <w:pPr>
              <w:pStyle w:val="18"/>
              <w:rPr>
                <w:color w:val="auto"/>
              </w:rPr>
            </w:pPr>
            <w:r>
              <w:rPr>
                <w:rFonts w:hint="eastAsia"/>
                <w:color w:val="auto"/>
              </w:rPr>
              <w:t>（36）需支持门诊模板维护。</w:t>
            </w:r>
          </w:p>
          <w:p w14:paraId="1123E583">
            <w:pPr>
              <w:pStyle w:val="18"/>
              <w:rPr>
                <w:color w:val="auto"/>
              </w:rPr>
            </w:pPr>
            <w:r>
              <w:rPr>
                <w:rFonts w:hint="eastAsia"/>
                <w:color w:val="auto"/>
              </w:rPr>
              <w:t>3.模版审核</w:t>
            </w:r>
          </w:p>
          <w:p w14:paraId="29288F0F">
            <w:pPr>
              <w:pStyle w:val="18"/>
              <w:rPr>
                <w:color w:val="auto"/>
              </w:rPr>
            </w:pPr>
            <w:r>
              <w:rPr>
                <w:rFonts w:hint="eastAsia"/>
                <w:color w:val="auto"/>
              </w:rPr>
              <w:t>（1）模版的审核需要单独的审核权限，未经审核模版，无法应用于患者；</w:t>
            </w:r>
          </w:p>
          <w:p w14:paraId="1404FC55">
            <w:pPr>
              <w:pStyle w:val="18"/>
              <w:rPr>
                <w:color w:val="auto"/>
              </w:rPr>
            </w:pPr>
            <w:r>
              <w:rPr>
                <w:rFonts w:hint="eastAsia"/>
                <w:color w:val="auto"/>
              </w:rPr>
              <w:t>（2）需支持模版审核驳回；</w:t>
            </w:r>
          </w:p>
          <w:p w14:paraId="1E51001A">
            <w:pPr>
              <w:pStyle w:val="18"/>
              <w:rPr>
                <w:color w:val="auto"/>
              </w:rPr>
            </w:pPr>
            <w:r>
              <w:rPr>
                <w:rFonts w:hint="eastAsia"/>
                <w:color w:val="auto"/>
              </w:rPr>
              <w:t>（3）需支持模版状态查询；</w:t>
            </w:r>
          </w:p>
          <w:p w14:paraId="247DBA44">
            <w:pPr>
              <w:pStyle w:val="18"/>
              <w:rPr>
                <w:color w:val="auto"/>
              </w:rPr>
            </w:pPr>
            <w:r>
              <w:rPr>
                <w:rFonts w:hint="eastAsia"/>
                <w:color w:val="auto"/>
              </w:rPr>
              <w:t>（4）需支持模板编辑痕迹监察；</w:t>
            </w:r>
          </w:p>
          <w:p w14:paraId="065F8DDC">
            <w:pPr>
              <w:pStyle w:val="18"/>
              <w:rPr>
                <w:color w:val="auto"/>
              </w:rPr>
            </w:pPr>
            <w:r>
              <w:rPr>
                <w:rFonts w:hint="eastAsia"/>
                <w:color w:val="auto"/>
              </w:rPr>
              <w:t>（5）审核精度可精确到每个元素，方便模板修改者和审核者快速定位不通过的元素。</w:t>
            </w:r>
          </w:p>
          <w:p w14:paraId="1AD1EB85">
            <w:pPr>
              <w:pStyle w:val="18"/>
              <w:rPr>
                <w:color w:val="auto"/>
              </w:rPr>
            </w:pPr>
            <w:r>
              <w:rPr>
                <w:rFonts w:hint="eastAsia"/>
                <w:color w:val="auto"/>
              </w:rPr>
              <w:t>4.版本管理</w:t>
            </w:r>
          </w:p>
          <w:p w14:paraId="02450272">
            <w:pPr>
              <w:pStyle w:val="18"/>
              <w:rPr>
                <w:color w:val="auto"/>
              </w:rPr>
            </w:pPr>
            <w:r>
              <w:rPr>
                <w:rFonts w:hint="eastAsia"/>
                <w:color w:val="auto"/>
              </w:rPr>
              <w:t>（1）需支持现有模版深层克隆技术；</w:t>
            </w:r>
          </w:p>
          <w:p w14:paraId="2C7B7A93">
            <w:pPr>
              <w:pStyle w:val="18"/>
              <w:rPr>
                <w:color w:val="auto"/>
              </w:rPr>
            </w:pPr>
            <w:r>
              <w:rPr>
                <w:rFonts w:hint="eastAsia"/>
                <w:color w:val="auto"/>
              </w:rPr>
              <w:t>（2）需支持模版升级功能；</w:t>
            </w:r>
          </w:p>
          <w:p w14:paraId="181A24DC">
            <w:pPr>
              <w:pStyle w:val="18"/>
              <w:rPr>
                <w:color w:val="auto"/>
              </w:rPr>
            </w:pPr>
            <w:r>
              <w:rPr>
                <w:rFonts w:hint="eastAsia"/>
                <w:color w:val="auto"/>
              </w:rPr>
              <w:t>（3）模版维护后按版本管理，确保版本修正后不影响之前的路径患者；</w:t>
            </w:r>
          </w:p>
          <w:p w14:paraId="3E04D307">
            <w:pPr>
              <w:pStyle w:val="18"/>
              <w:rPr>
                <w:color w:val="auto"/>
              </w:rPr>
            </w:pPr>
            <w:r>
              <w:rPr>
                <w:rFonts w:hint="eastAsia"/>
                <w:color w:val="auto"/>
              </w:rPr>
              <w:t>（4）需支持A、B、C模版版本管理，即相同病种存在不同治疗方案的模版，且需支持不同治疗方案的各个模版单独升级版本；</w:t>
            </w:r>
          </w:p>
          <w:p w14:paraId="5A209BD8">
            <w:pPr>
              <w:pStyle w:val="18"/>
              <w:rPr>
                <w:color w:val="auto"/>
              </w:rPr>
            </w:pPr>
            <w:r>
              <w:rPr>
                <w:rFonts w:hint="eastAsia"/>
                <w:color w:val="auto"/>
              </w:rPr>
              <w:t>（5）需支持模板维护时修改版本名称。</w:t>
            </w:r>
          </w:p>
          <w:p w14:paraId="30078151">
            <w:pPr>
              <w:pStyle w:val="18"/>
              <w:rPr>
                <w:color w:val="auto"/>
              </w:rPr>
            </w:pPr>
            <w:r>
              <w:rPr>
                <w:rFonts w:hint="eastAsia"/>
                <w:color w:val="auto"/>
              </w:rPr>
              <w:t>5.权限管理</w:t>
            </w:r>
          </w:p>
          <w:p w14:paraId="2AF8BDB8">
            <w:pPr>
              <w:pStyle w:val="18"/>
              <w:rPr>
                <w:color w:val="auto"/>
              </w:rPr>
            </w:pPr>
            <w:r>
              <w:rPr>
                <w:rFonts w:hint="eastAsia"/>
                <w:color w:val="auto"/>
              </w:rPr>
              <w:t>（1）需支持模板管理授权功能；</w:t>
            </w:r>
          </w:p>
          <w:p w14:paraId="239305A6">
            <w:pPr>
              <w:pStyle w:val="18"/>
              <w:rPr>
                <w:color w:val="auto"/>
              </w:rPr>
            </w:pPr>
            <w:r>
              <w:rPr>
                <w:rFonts w:hint="eastAsia"/>
                <w:color w:val="auto"/>
              </w:rPr>
              <w:t>（2）需支持模版多级管理机制；</w:t>
            </w:r>
          </w:p>
          <w:p w14:paraId="5A4C87EC">
            <w:pPr>
              <w:pStyle w:val="18"/>
              <w:rPr>
                <w:color w:val="auto"/>
              </w:rPr>
            </w:pPr>
            <w:r>
              <w:rPr>
                <w:rFonts w:hint="eastAsia"/>
                <w:color w:val="auto"/>
              </w:rPr>
              <w:t>（3）需支持权限细分功能，同一角色可以具备不同权限。</w:t>
            </w:r>
          </w:p>
          <w:p w14:paraId="450741AD">
            <w:pPr>
              <w:pStyle w:val="18"/>
              <w:rPr>
                <w:color w:val="auto"/>
              </w:rPr>
            </w:pPr>
            <w:r>
              <w:rPr>
                <w:rFonts w:hint="eastAsia"/>
                <w:color w:val="auto"/>
              </w:rPr>
              <w:t>6.医嘱项目维护</w:t>
            </w:r>
          </w:p>
          <w:p w14:paraId="426F54A0">
            <w:pPr>
              <w:pStyle w:val="18"/>
              <w:rPr>
                <w:color w:val="auto"/>
              </w:rPr>
            </w:pPr>
            <w:r>
              <w:rPr>
                <w:rFonts w:hint="eastAsia"/>
                <w:color w:val="auto"/>
              </w:rPr>
              <w:t>（1）需支持医嘱组合；</w:t>
            </w:r>
          </w:p>
          <w:p w14:paraId="440E629B">
            <w:pPr>
              <w:pStyle w:val="18"/>
              <w:rPr>
                <w:color w:val="auto"/>
              </w:rPr>
            </w:pPr>
            <w:r>
              <w:rPr>
                <w:rFonts w:hint="eastAsia"/>
                <w:color w:val="auto"/>
              </w:rPr>
              <w:t>（2）需支持溶媒维护；</w:t>
            </w:r>
          </w:p>
          <w:p w14:paraId="76E99E09">
            <w:pPr>
              <w:pStyle w:val="18"/>
              <w:rPr>
                <w:color w:val="auto"/>
              </w:rPr>
            </w:pPr>
            <w:r>
              <w:rPr>
                <w:rFonts w:hint="eastAsia"/>
                <w:color w:val="auto"/>
              </w:rPr>
              <w:t>（3）自动与HIS医嘱项目进行对照，医嘱字典无需人工建立；</w:t>
            </w:r>
          </w:p>
          <w:p w14:paraId="7B60B547">
            <w:pPr>
              <w:pStyle w:val="18"/>
              <w:rPr>
                <w:color w:val="auto"/>
              </w:rPr>
            </w:pPr>
            <w:r>
              <w:rPr>
                <w:rFonts w:hint="eastAsia"/>
                <w:color w:val="auto"/>
              </w:rPr>
              <w:t>（4）可批量替换所有路径模版中的指定医嘱项目；</w:t>
            </w:r>
          </w:p>
          <w:p w14:paraId="4817684B">
            <w:pPr>
              <w:pStyle w:val="18"/>
              <w:rPr>
                <w:color w:val="auto"/>
              </w:rPr>
            </w:pPr>
            <w:r>
              <w:rPr>
                <w:rFonts w:hint="eastAsia"/>
                <w:color w:val="auto"/>
              </w:rPr>
              <w:t>（5）需支持模糊匹配组合维护；</w:t>
            </w:r>
          </w:p>
          <w:p w14:paraId="4508D6B1">
            <w:pPr>
              <w:pStyle w:val="18"/>
              <w:rPr>
                <w:color w:val="auto"/>
              </w:rPr>
            </w:pPr>
            <w:r>
              <w:rPr>
                <w:rFonts w:hint="eastAsia"/>
                <w:color w:val="auto"/>
              </w:rPr>
              <w:t>（6）需支持从医嘱组套中维护；</w:t>
            </w:r>
          </w:p>
          <w:p w14:paraId="7F212F25">
            <w:pPr>
              <w:pStyle w:val="18"/>
              <w:rPr>
                <w:color w:val="auto"/>
              </w:rPr>
            </w:pPr>
            <w:r>
              <w:rPr>
                <w:rFonts w:hint="eastAsia"/>
                <w:color w:val="auto"/>
              </w:rPr>
              <w:t>（7）需支持从（在院或出院）患者医嘱中维护；</w:t>
            </w:r>
          </w:p>
          <w:p w14:paraId="371A9F65">
            <w:pPr>
              <w:pStyle w:val="18"/>
              <w:rPr>
                <w:color w:val="auto"/>
              </w:rPr>
            </w:pPr>
            <w:r>
              <w:rPr>
                <w:rFonts w:hint="eastAsia"/>
                <w:color w:val="auto"/>
              </w:rPr>
              <w:t>（8）需支持描述类医嘱维护关键词功能，并通过关键词进行匹配医嘱。</w:t>
            </w:r>
          </w:p>
          <w:p w14:paraId="1361B066">
            <w:pPr>
              <w:pStyle w:val="18"/>
              <w:rPr>
                <w:color w:val="auto"/>
              </w:rPr>
            </w:pPr>
            <w:r>
              <w:rPr>
                <w:rFonts w:hint="eastAsia"/>
                <w:color w:val="auto"/>
              </w:rPr>
              <w:t>7.路径校验</w:t>
            </w:r>
          </w:p>
          <w:p w14:paraId="25B8F034">
            <w:pPr>
              <w:pStyle w:val="18"/>
              <w:rPr>
                <w:color w:val="auto"/>
              </w:rPr>
            </w:pPr>
            <w:r>
              <w:rPr>
                <w:rFonts w:hint="eastAsia"/>
                <w:color w:val="auto"/>
              </w:rPr>
              <w:t>（1）医嘱校验（校验路径医嘱项目）以下三规则校验未通过的医嘱项目颜色置为灰色（其所在元素颜色也置为灰色）；</w:t>
            </w:r>
          </w:p>
          <w:p w14:paraId="42E3C8BE">
            <w:pPr>
              <w:pStyle w:val="18"/>
              <w:rPr>
                <w:color w:val="auto"/>
              </w:rPr>
            </w:pPr>
            <w:r>
              <w:rPr>
                <w:rFonts w:hint="eastAsia"/>
                <w:color w:val="auto"/>
              </w:rPr>
              <w:t>（2）路径医嘱项目中编码在HIS中不存在的（需修改）；</w:t>
            </w:r>
          </w:p>
          <w:p w14:paraId="3798F04C">
            <w:pPr>
              <w:pStyle w:val="18"/>
              <w:rPr>
                <w:color w:val="auto"/>
              </w:rPr>
            </w:pPr>
            <w:r>
              <w:rPr>
                <w:rFonts w:hint="eastAsia"/>
                <w:color w:val="auto"/>
              </w:rPr>
              <w:t>（3）路径医嘱项目中编码和名称与HIS中的不一致的（需修改）；</w:t>
            </w:r>
          </w:p>
          <w:p w14:paraId="01477432">
            <w:pPr>
              <w:pStyle w:val="18"/>
              <w:rPr>
                <w:color w:val="auto"/>
              </w:rPr>
            </w:pPr>
            <w:r>
              <w:rPr>
                <w:rFonts w:hint="eastAsia"/>
                <w:color w:val="auto"/>
              </w:rPr>
              <w:t>（4）路径医嘱项目中同一名称对应多条HIS医嘱的（需确认）；</w:t>
            </w:r>
          </w:p>
          <w:p w14:paraId="2D415AD0">
            <w:pPr>
              <w:pStyle w:val="18"/>
              <w:rPr>
                <w:color w:val="auto"/>
              </w:rPr>
            </w:pPr>
            <w:r>
              <w:rPr>
                <w:rFonts w:hint="eastAsia"/>
                <w:color w:val="auto"/>
              </w:rPr>
              <w:t>（5）ICD校验，以下两规则校验未通过的ICD会通过提示框的形式弹出，提醒需要修改；</w:t>
            </w:r>
          </w:p>
          <w:p w14:paraId="3F459D54">
            <w:pPr>
              <w:pStyle w:val="18"/>
              <w:rPr>
                <w:color w:val="auto"/>
              </w:rPr>
            </w:pPr>
            <w:r>
              <w:rPr>
                <w:rFonts w:hint="eastAsia"/>
                <w:color w:val="auto"/>
              </w:rPr>
              <w:t>（6）路径匹配的ICD编码在ICD字典中不存在的；</w:t>
            </w:r>
          </w:p>
          <w:p w14:paraId="6CB17498">
            <w:pPr>
              <w:pStyle w:val="18"/>
              <w:rPr>
                <w:color w:val="auto"/>
              </w:rPr>
            </w:pPr>
            <w:r>
              <w:rPr>
                <w:rFonts w:hint="eastAsia"/>
                <w:color w:val="auto"/>
              </w:rPr>
              <w:t>（7）路径匹配的ICD编码与名称与ICD字典中不一致的。</w:t>
            </w:r>
          </w:p>
          <w:p w14:paraId="6ED2E1E7">
            <w:pPr>
              <w:pStyle w:val="18"/>
              <w:rPr>
                <w:color w:val="auto"/>
              </w:rPr>
            </w:pPr>
            <w:r>
              <w:rPr>
                <w:rFonts w:hint="eastAsia"/>
                <w:color w:val="auto"/>
              </w:rPr>
              <w:t>8.变异分析</w:t>
            </w:r>
          </w:p>
          <w:p w14:paraId="2B315055">
            <w:pPr>
              <w:pStyle w:val="18"/>
              <w:rPr>
                <w:color w:val="auto"/>
              </w:rPr>
            </w:pPr>
            <w:r>
              <w:rPr>
                <w:rFonts w:hint="eastAsia"/>
                <w:color w:val="auto"/>
              </w:rPr>
              <w:t>（1）精确定位每个元素的变异数量；</w:t>
            </w:r>
          </w:p>
          <w:p w14:paraId="1DE398A2">
            <w:pPr>
              <w:pStyle w:val="18"/>
              <w:rPr>
                <w:color w:val="auto"/>
              </w:rPr>
            </w:pPr>
            <w:r>
              <w:rPr>
                <w:rFonts w:hint="eastAsia"/>
                <w:color w:val="auto"/>
              </w:rPr>
              <w:t>（2）以图表形式显示具体变异医嘱和变异原因；</w:t>
            </w:r>
          </w:p>
          <w:p w14:paraId="3F634AD4">
            <w:pPr>
              <w:pStyle w:val="18"/>
              <w:rPr>
                <w:color w:val="auto"/>
              </w:rPr>
            </w:pPr>
            <w:r>
              <w:rPr>
                <w:rFonts w:hint="eastAsia"/>
                <w:color w:val="auto"/>
              </w:rPr>
              <w:t>（3）根据变异内容快捷改进模板。</w:t>
            </w:r>
          </w:p>
          <w:p w14:paraId="5F3A87E5">
            <w:pPr>
              <w:pStyle w:val="18"/>
              <w:rPr>
                <w:color w:val="auto"/>
              </w:rPr>
            </w:pPr>
            <w:r>
              <w:rPr>
                <w:rFonts w:hint="eastAsia"/>
                <w:color w:val="auto"/>
              </w:rPr>
              <w:t>9.模板复用</w:t>
            </w:r>
          </w:p>
          <w:p w14:paraId="637C5712">
            <w:pPr>
              <w:pStyle w:val="18"/>
              <w:rPr>
                <w:color w:val="auto"/>
              </w:rPr>
            </w:pPr>
            <w:r>
              <w:rPr>
                <w:rFonts w:hint="eastAsia"/>
                <w:color w:val="auto"/>
              </w:rPr>
              <w:t>（1）模板需具备整体复制功能；</w:t>
            </w:r>
          </w:p>
          <w:p w14:paraId="3425498C">
            <w:pPr>
              <w:pStyle w:val="18"/>
              <w:rPr>
                <w:color w:val="auto"/>
              </w:rPr>
            </w:pPr>
            <w:r>
              <w:rPr>
                <w:rFonts w:hint="eastAsia"/>
                <w:color w:val="auto"/>
              </w:rPr>
              <w:t>（2）模板需支持以XML形式导出、导入；</w:t>
            </w:r>
          </w:p>
          <w:p w14:paraId="15834AF1">
            <w:pPr>
              <w:pStyle w:val="18"/>
              <w:rPr>
                <w:color w:val="auto"/>
              </w:rPr>
            </w:pPr>
            <w:r>
              <w:rPr>
                <w:rFonts w:hint="eastAsia"/>
                <w:color w:val="auto"/>
              </w:rPr>
              <w:t>（3）需支持模版批量导入、导出；</w:t>
            </w:r>
          </w:p>
          <w:p w14:paraId="68DEB32D">
            <w:pPr>
              <w:pStyle w:val="18"/>
              <w:rPr>
                <w:color w:val="auto"/>
              </w:rPr>
            </w:pPr>
            <w:r>
              <w:rPr>
                <w:rFonts w:hint="eastAsia"/>
                <w:color w:val="auto"/>
              </w:rPr>
              <w:t>（4）需自带＞1000余标准模版，方便用户使用。</w:t>
            </w:r>
          </w:p>
        </w:tc>
      </w:tr>
      <w:tr w14:paraId="77DA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28A11C27">
            <w:pPr>
              <w:pStyle w:val="18"/>
              <w:jc w:val="center"/>
              <w:rPr>
                <w:b w:val="0"/>
                <w:color w:val="auto"/>
              </w:rPr>
            </w:pPr>
            <w:r>
              <w:rPr>
                <w:rFonts w:hint="eastAsia"/>
                <w:b w:val="0"/>
                <w:color w:val="auto"/>
              </w:rPr>
              <w:t>路径执行</w:t>
            </w:r>
          </w:p>
        </w:tc>
        <w:tc>
          <w:tcPr>
            <w:tcW w:w="3975" w:type="pct"/>
            <w:gridSpan w:val="2"/>
            <w:vAlign w:val="center"/>
          </w:tcPr>
          <w:p w14:paraId="47C1D324">
            <w:pPr>
              <w:pStyle w:val="18"/>
              <w:rPr>
                <w:color w:val="auto"/>
              </w:rPr>
            </w:pPr>
            <w:r>
              <w:rPr>
                <w:rFonts w:hint="eastAsia"/>
                <w:color w:val="auto"/>
              </w:rPr>
              <w:t>1.路径门户</w:t>
            </w:r>
          </w:p>
          <w:p w14:paraId="71CDF726">
            <w:pPr>
              <w:pStyle w:val="18"/>
              <w:rPr>
                <w:color w:val="auto"/>
              </w:rPr>
            </w:pPr>
            <w:r>
              <w:rPr>
                <w:rFonts w:hint="eastAsia"/>
                <w:color w:val="auto"/>
              </w:rPr>
              <w:t>（1）可根据患者诊断ICD10编码自动过滤出适合路径供医生选择；</w:t>
            </w:r>
          </w:p>
          <w:p w14:paraId="058F5C4D">
            <w:pPr>
              <w:pStyle w:val="18"/>
              <w:rPr>
                <w:color w:val="auto"/>
              </w:rPr>
            </w:pPr>
            <w:r>
              <w:rPr>
                <w:rFonts w:hint="eastAsia"/>
                <w:color w:val="auto"/>
              </w:rPr>
              <w:t>（2）医生可根据情况，自主选择本科室内对应的路径；</w:t>
            </w:r>
          </w:p>
          <w:p w14:paraId="67D4B43C">
            <w:pPr>
              <w:pStyle w:val="18"/>
              <w:rPr>
                <w:color w:val="auto"/>
              </w:rPr>
            </w:pPr>
            <w:r>
              <w:rPr>
                <w:rFonts w:hint="eastAsia"/>
                <w:color w:val="auto"/>
              </w:rPr>
              <w:t>（3）采用“路径门户”窗体控制路径登记；</w:t>
            </w:r>
          </w:p>
          <w:p w14:paraId="66135FD3">
            <w:pPr>
              <w:pStyle w:val="18"/>
              <w:rPr>
                <w:color w:val="auto"/>
              </w:rPr>
            </w:pPr>
            <w:r>
              <w:rPr>
                <w:rFonts w:hint="eastAsia"/>
                <w:color w:val="auto"/>
              </w:rPr>
              <w:t>（4）评估准入评估项目，如果该项目为必须符合的项目，则系统在记录下不符合准入评估的标准后会自动退出；如果该项目为非必须符合的项目，则系统在记录下该项目后，继续登记路径操作；</w:t>
            </w:r>
          </w:p>
          <w:p w14:paraId="10500F6D">
            <w:pPr>
              <w:pStyle w:val="18"/>
              <w:rPr>
                <w:color w:val="auto"/>
              </w:rPr>
            </w:pPr>
            <w:r>
              <w:rPr>
                <w:rFonts w:hint="eastAsia"/>
                <w:color w:val="auto"/>
              </w:rPr>
              <w:t>（5）需支持不入路径审核机制，避免医生无理由不使用路径，提升路径使用率；</w:t>
            </w:r>
          </w:p>
          <w:p w14:paraId="6A6C800B">
            <w:pPr>
              <w:pStyle w:val="18"/>
              <w:rPr>
                <w:color w:val="auto"/>
              </w:rPr>
            </w:pPr>
            <w:r>
              <w:rPr>
                <w:rFonts w:hint="eastAsia"/>
                <w:color w:val="auto"/>
              </w:rPr>
              <w:t>（6）可查看入径标准，为医生提供标准化的入径准则。</w:t>
            </w:r>
          </w:p>
          <w:p w14:paraId="5F790FB8">
            <w:pPr>
              <w:pStyle w:val="18"/>
              <w:rPr>
                <w:color w:val="auto"/>
              </w:rPr>
            </w:pPr>
            <w:r>
              <w:rPr>
                <w:rFonts w:hint="eastAsia"/>
                <w:color w:val="auto"/>
              </w:rPr>
              <w:t>2.过程管理</w:t>
            </w:r>
          </w:p>
          <w:p w14:paraId="425CEAFF">
            <w:pPr>
              <w:pStyle w:val="18"/>
              <w:rPr>
                <w:color w:val="auto"/>
              </w:rPr>
            </w:pPr>
            <w:r>
              <w:rPr>
                <w:rFonts w:hint="eastAsia"/>
                <w:color w:val="auto"/>
              </w:rPr>
              <w:t>（1）可查看任意阶段执行情况；</w:t>
            </w:r>
          </w:p>
          <w:p w14:paraId="01B01AB9">
            <w:pPr>
              <w:pStyle w:val="18"/>
              <w:rPr>
                <w:color w:val="auto"/>
              </w:rPr>
            </w:pPr>
            <w:r>
              <w:rPr>
                <w:rFonts w:hint="eastAsia"/>
                <w:color w:val="auto"/>
              </w:rPr>
              <w:t>（2）可显示完整的路径执行情况；</w:t>
            </w:r>
          </w:p>
          <w:p w14:paraId="5BFDD5C4">
            <w:pPr>
              <w:pStyle w:val="18"/>
              <w:rPr>
                <w:color w:val="auto"/>
              </w:rPr>
            </w:pPr>
            <w:r>
              <w:rPr>
                <w:rFonts w:hint="eastAsia"/>
                <w:color w:val="auto"/>
              </w:rPr>
              <w:t>（3）需支持任务列表显示，提示未完成工作；</w:t>
            </w:r>
          </w:p>
          <w:p w14:paraId="33FEA0A4">
            <w:pPr>
              <w:pStyle w:val="18"/>
              <w:rPr>
                <w:color w:val="auto"/>
              </w:rPr>
            </w:pPr>
            <w:r>
              <w:rPr>
                <w:rFonts w:hint="eastAsia"/>
                <w:color w:val="auto"/>
              </w:rPr>
              <w:t>（4）需支持直接进入下一阶段，自由选择路径过程；</w:t>
            </w:r>
          </w:p>
          <w:p w14:paraId="4A65754A">
            <w:pPr>
              <w:pStyle w:val="18"/>
              <w:rPr>
                <w:color w:val="auto"/>
              </w:rPr>
            </w:pPr>
            <w:r>
              <w:rPr>
                <w:rFonts w:hint="eastAsia"/>
                <w:color w:val="auto"/>
              </w:rPr>
              <w:t>（5）需支持延长、缩短治疗阶段；</w:t>
            </w:r>
          </w:p>
          <w:p w14:paraId="31517D30">
            <w:pPr>
              <w:pStyle w:val="18"/>
              <w:rPr>
                <w:color w:val="auto"/>
              </w:rPr>
            </w:pPr>
            <w:r>
              <w:rPr>
                <w:rFonts w:hint="eastAsia"/>
                <w:color w:val="auto"/>
              </w:rPr>
              <w:t>（6）需支持中途退出功能及对中途退出路径的权限以及流程进行控制</w:t>
            </w:r>
          </w:p>
          <w:p w14:paraId="1E3C6418">
            <w:pPr>
              <w:pStyle w:val="18"/>
              <w:rPr>
                <w:color w:val="auto"/>
              </w:rPr>
            </w:pPr>
            <w:r>
              <w:rPr>
                <w:rFonts w:hint="eastAsia"/>
                <w:color w:val="auto"/>
              </w:rPr>
              <w:t>（7）需支持中途治愈功能；</w:t>
            </w:r>
          </w:p>
          <w:p w14:paraId="0DD8B567">
            <w:pPr>
              <w:pStyle w:val="18"/>
              <w:rPr>
                <w:color w:val="auto"/>
              </w:rPr>
            </w:pPr>
            <w:r>
              <w:rPr>
                <w:rFonts w:hint="eastAsia"/>
                <w:color w:val="auto"/>
              </w:rPr>
              <w:t>（8）需支持中途退出审核机制；</w:t>
            </w:r>
          </w:p>
          <w:p w14:paraId="4DB3EB3C">
            <w:pPr>
              <w:pStyle w:val="18"/>
              <w:rPr>
                <w:color w:val="auto"/>
              </w:rPr>
            </w:pPr>
            <w:r>
              <w:rPr>
                <w:rFonts w:hint="eastAsia"/>
                <w:color w:val="auto"/>
              </w:rPr>
              <w:t>（9）需支持更改路径的执行日期；</w:t>
            </w:r>
          </w:p>
          <w:p w14:paraId="0A544D31">
            <w:pPr>
              <w:pStyle w:val="18"/>
              <w:rPr>
                <w:color w:val="auto"/>
              </w:rPr>
            </w:pPr>
            <w:r>
              <w:rPr>
                <w:rFonts w:hint="eastAsia"/>
                <w:color w:val="auto"/>
              </w:rPr>
              <w:t>（10）自动对照长期医嘱执行天数；</w:t>
            </w:r>
          </w:p>
          <w:p w14:paraId="5F2215F5">
            <w:pPr>
              <w:pStyle w:val="18"/>
              <w:rPr>
                <w:color w:val="auto"/>
              </w:rPr>
            </w:pPr>
            <w:r>
              <w:rPr>
                <w:rFonts w:hint="eastAsia"/>
                <w:color w:val="auto"/>
              </w:rPr>
              <w:t>（11）需支持医嘱闭环操作；</w:t>
            </w:r>
          </w:p>
          <w:p w14:paraId="39B14AF2">
            <w:pPr>
              <w:pStyle w:val="18"/>
              <w:rPr>
                <w:color w:val="auto"/>
              </w:rPr>
            </w:pPr>
            <w:r>
              <w:rPr>
                <w:rFonts w:hint="eastAsia"/>
                <w:color w:val="auto"/>
              </w:rPr>
              <w:t>（12）一键开立当日路径医嘱；</w:t>
            </w:r>
          </w:p>
          <w:p w14:paraId="6194F1D1">
            <w:pPr>
              <w:pStyle w:val="18"/>
              <w:rPr>
                <w:color w:val="auto"/>
              </w:rPr>
            </w:pPr>
            <w:r>
              <w:rPr>
                <w:rFonts w:hint="eastAsia"/>
                <w:color w:val="auto"/>
              </w:rPr>
              <w:t>（13）需支持控制医嘱开立、停止、变更；</w:t>
            </w:r>
          </w:p>
          <w:p w14:paraId="2A0DB8D7">
            <w:pPr>
              <w:pStyle w:val="18"/>
              <w:rPr>
                <w:color w:val="auto"/>
              </w:rPr>
            </w:pPr>
            <w:r>
              <w:rPr>
                <w:rFonts w:hint="eastAsia"/>
                <w:color w:val="auto"/>
              </w:rPr>
              <w:t>（14）需支持自定义路径变异标准，包括（非路径医嘱规定金额上限变异、必选项未执行变异、非路径医嘱是否填写变异信息、延长或缩短阶段是否填写变异、整体费用超过路径规定费用标准是否变异、执行天数超过路径规定的最大天数是否变异、非路径医嘱数量和超过设置数量是否变异），根据标准自动判断完成情况；</w:t>
            </w:r>
          </w:p>
          <w:p w14:paraId="6B78E8BE">
            <w:pPr>
              <w:pStyle w:val="18"/>
              <w:rPr>
                <w:color w:val="auto"/>
              </w:rPr>
            </w:pPr>
            <w:r>
              <w:rPr>
                <w:rFonts w:hint="eastAsia"/>
                <w:color w:val="auto"/>
              </w:rPr>
              <w:t>（15）需支持变异项目按照自定义颜色进行显示；</w:t>
            </w:r>
          </w:p>
          <w:p w14:paraId="1885BCA8">
            <w:pPr>
              <w:pStyle w:val="18"/>
              <w:rPr>
                <w:color w:val="auto"/>
              </w:rPr>
            </w:pPr>
            <w:r>
              <w:rPr>
                <w:rFonts w:hint="eastAsia"/>
                <w:color w:val="auto"/>
              </w:rPr>
              <w:t>（16）需支持路径展示时，ToolTip显示医嘱明细和医嘱执行状态；</w:t>
            </w:r>
          </w:p>
          <w:p w14:paraId="5DA347C8">
            <w:pPr>
              <w:pStyle w:val="18"/>
              <w:rPr>
                <w:color w:val="auto"/>
              </w:rPr>
            </w:pPr>
            <w:r>
              <w:rPr>
                <w:rFonts w:hint="eastAsia"/>
                <w:color w:val="auto"/>
              </w:rPr>
              <w:t>（17）需支持详细模式按钮展示详细模式（医嘱大项下辖各个细项）；</w:t>
            </w:r>
          </w:p>
          <w:p w14:paraId="5C0599D3">
            <w:pPr>
              <w:pStyle w:val="18"/>
              <w:rPr>
                <w:color w:val="auto"/>
              </w:rPr>
            </w:pPr>
            <w:r>
              <w:rPr>
                <w:rFonts w:hint="eastAsia"/>
                <w:color w:val="auto"/>
              </w:rPr>
              <w:t>（18）需支持批量执行诊疗、护理项目；</w:t>
            </w:r>
          </w:p>
          <w:p w14:paraId="5DEB0925">
            <w:pPr>
              <w:pStyle w:val="18"/>
              <w:rPr>
                <w:color w:val="auto"/>
              </w:rPr>
            </w:pPr>
            <w:r>
              <w:rPr>
                <w:rFonts w:hint="eastAsia"/>
                <w:color w:val="auto"/>
              </w:rPr>
              <w:t>（19）需支持模版打印；</w:t>
            </w:r>
          </w:p>
          <w:p w14:paraId="1CCAB3F3">
            <w:pPr>
              <w:pStyle w:val="18"/>
              <w:rPr>
                <w:color w:val="auto"/>
              </w:rPr>
            </w:pPr>
            <w:r>
              <w:rPr>
                <w:rFonts w:hint="eastAsia"/>
                <w:color w:val="auto"/>
              </w:rPr>
              <w:t>（20）需支持完成护理、诊疗、患者、心理、康复项目时后台记录操作人姓名；</w:t>
            </w:r>
          </w:p>
          <w:p w14:paraId="27662D26">
            <w:pPr>
              <w:pStyle w:val="18"/>
              <w:rPr>
                <w:color w:val="auto"/>
              </w:rPr>
            </w:pPr>
            <w:r>
              <w:rPr>
                <w:rFonts w:hint="eastAsia"/>
                <w:color w:val="auto"/>
              </w:rPr>
              <w:t>（21）需支持按照频次、用法、用量完全匹配；</w:t>
            </w:r>
          </w:p>
          <w:p w14:paraId="15DEC34E">
            <w:pPr>
              <w:pStyle w:val="18"/>
              <w:rPr>
                <w:color w:val="auto"/>
              </w:rPr>
            </w:pPr>
            <w:r>
              <w:rPr>
                <w:rFonts w:hint="eastAsia"/>
                <w:color w:val="auto"/>
              </w:rPr>
              <w:t>（22）需支持路径执行中添加医嘱细项；</w:t>
            </w:r>
          </w:p>
          <w:p w14:paraId="1DF7392A">
            <w:pPr>
              <w:pStyle w:val="18"/>
              <w:rPr>
                <w:color w:val="auto"/>
              </w:rPr>
            </w:pPr>
            <w:r>
              <w:rPr>
                <w:rFonts w:hint="eastAsia"/>
                <w:color w:val="auto"/>
              </w:rPr>
              <w:t>（23）需支持在不维护医嘱细项情况下，同时执行当天的多个元素（包含医嘱、诊疗项目）；</w:t>
            </w:r>
          </w:p>
          <w:p w14:paraId="3058D215">
            <w:pPr>
              <w:pStyle w:val="18"/>
              <w:rPr>
                <w:color w:val="auto"/>
              </w:rPr>
            </w:pPr>
            <w:r>
              <w:rPr>
                <w:rFonts w:hint="eastAsia"/>
                <w:color w:val="auto"/>
              </w:rPr>
              <w:t>（24）需支持患者费用预估，提前预估整体费用，避免超标；</w:t>
            </w:r>
          </w:p>
          <w:p w14:paraId="5A803097">
            <w:pPr>
              <w:pStyle w:val="18"/>
              <w:rPr>
                <w:color w:val="auto"/>
              </w:rPr>
            </w:pPr>
            <w:r>
              <w:rPr>
                <w:rFonts w:hint="eastAsia"/>
                <w:color w:val="auto"/>
              </w:rPr>
              <w:t>（25）需支持路径使用时，可以移动医嘱元素，使用中可以移动医嘱项目到任何阶段日；</w:t>
            </w:r>
          </w:p>
          <w:p w14:paraId="02D4FD35">
            <w:pPr>
              <w:pStyle w:val="18"/>
              <w:rPr>
                <w:color w:val="auto"/>
              </w:rPr>
            </w:pPr>
            <w:r>
              <w:rPr>
                <w:rFonts w:hint="eastAsia"/>
                <w:color w:val="auto"/>
              </w:rPr>
              <w:t>（26）需支持当天可跳转多个阶段，手术日不固定情况适用；</w:t>
            </w:r>
          </w:p>
          <w:p w14:paraId="40028065">
            <w:pPr>
              <w:pStyle w:val="18"/>
              <w:rPr>
                <w:color w:val="auto"/>
              </w:rPr>
            </w:pPr>
            <w:r>
              <w:rPr>
                <w:rFonts w:hint="eastAsia"/>
                <w:color w:val="auto"/>
              </w:rPr>
              <w:t>（27）需支持显示阶段医嘱执行明细；</w:t>
            </w:r>
          </w:p>
          <w:p w14:paraId="3B0467A1">
            <w:pPr>
              <w:pStyle w:val="18"/>
              <w:rPr>
                <w:color w:val="auto"/>
              </w:rPr>
            </w:pPr>
            <w:r>
              <w:rPr>
                <w:rFonts w:hint="eastAsia"/>
                <w:color w:val="auto"/>
              </w:rPr>
              <w:t>（28）需支持药品医嘱按名称匹配。</w:t>
            </w:r>
          </w:p>
          <w:p w14:paraId="33085A2A">
            <w:pPr>
              <w:pStyle w:val="18"/>
              <w:rPr>
                <w:color w:val="auto"/>
              </w:rPr>
            </w:pPr>
            <w:r>
              <w:rPr>
                <w:rFonts w:hint="eastAsia"/>
                <w:color w:val="auto"/>
              </w:rPr>
              <w:t>3.变异录入</w:t>
            </w:r>
          </w:p>
          <w:p w14:paraId="6277CC75">
            <w:pPr>
              <w:pStyle w:val="18"/>
              <w:rPr>
                <w:color w:val="auto"/>
              </w:rPr>
            </w:pPr>
            <w:r>
              <w:rPr>
                <w:rFonts w:hint="eastAsia"/>
                <w:color w:val="auto"/>
              </w:rPr>
              <w:t>（1）变异原因直接录入，功能直观显示；</w:t>
            </w:r>
          </w:p>
          <w:p w14:paraId="28EB7E1F">
            <w:pPr>
              <w:pStyle w:val="18"/>
              <w:rPr>
                <w:color w:val="auto"/>
              </w:rPr>
            </w:pPr>
            <w:r>
              <w:rPr>
                <w:rFonts w:hint="eastAsia"/>
                <w:color w:val="auto"/>
              </w:rPr>
              <w:t>（2）需支持批量录入医嘱变异信息；</w:t>
            </w:r>
          </w:p>
          <w:p w14:paraId="6D522807">
            <w:pPr>
              <w:pStyle w:val="18"/>
              <w:rPr>
                <w:color w:val="auto"/>
              </w:rPr>
            </w:pPr>
            <w:r>
              <w:rPr>
                <w:rFonts w:hint="eastAsia"/>
                <w:color w:val="auto"/>
              </w:rPr>
              <w:t>（3）需支持非路径医嘱录入时选择归属项目，为变异分析改进模板质量提供支持；</w:t>
            </w:r>
          </w:p>
          <w:p w14:paraId="03D67A4D">
            <w:pPr>
              <w:pStyle w:val="18"/>
              <w:rPr>
                <w:color w:val="auto"/>
              </w:rPr>
            </w:pPr>
            <w:r>
              <w:rPr>
                <w:rFonts w:hint="eastAsia"/>
                <w:color w:val="auto"/>
              </w:rPr>
              <w:t>（4）需支持阶段变异录入及删除。</w:t>
            </w:r>
          </w:p>
          <w:p w14:paraId="561E82DC">
            <w:pPr>
              <w:pStyle w:val="18"/>
              <w:rPr>
                <w:color w:val="auto"/>
              </w:rPr>
            </w:pPr>
            <w:r>
              <w:rPr>
                <w:rFonts w:hint="eastAsia"/>
                <w:color w:val="auto"/>
              </w:rPr>
              <w:t>4.关联医嘱</w:t>
            </w:r>
          </w:p>
          <w:p w14:paraId="6B8F162C">
            <w:pPr>
              <w:pStyle w:val="18"/>
              <w:rPr>
                <w:color w:val="auto"/>
              </w:rPr>
            </w:pPr>
            <w:r>
              <w:rPr>
                <w:rFonts w:hint="eastAsia"/>
                <w:color w:val="auto"/>
              </w:rPr>
              <w:t>（1）智能医嘱匹配系统；</w:t>
            </w:r>
          </w:p>
          <w:p w14:paraId="6B529788">
            <w:pPr>
              <w:pStyle w:val="18"/>
              <w:rPr>
                <w:color w:val="auto"/>
              </w:rPr>
            </w:pPr>
            <w:r>
              <w:rPr>
                <w:rFonts w:hint="eastAsia"/>
                <w:color w:val="auto"/>
              </w:rPr>
              <w:t>（2）需支持双向医嘱执行体系；</w:t>
            </w:r>
          </w:p>
          <w:p w14:paraId="5A8C3EDB">
            <w:pPr>
              <w:pStyle w:val="18"/>
              <w:rPr>
                <w:color w:val="auto"/>
              </w:rPr>
            </w:pPr>
            <w:r>
              <w:rPr>
                <w:rFonts w:hint="eastAsia"/>
                <w:color w:val="auto"/>
              </w:rPr>
              <w:t>（3）需支持作废医嘱提示替换药品开立功能；</w:t>
            </w:r>
          </w:p>
          <w:p w14:paraId="51543A8A">
            <w:pPr>
              <w:pStyle w:val="18"/>
              <w:rPr>
                <w:color w:val="auto"/>
              </w:rPr>
            </w:pPr>
            <w:r>
              <w:rPr>
                <w:rFonts w:hint="eastAsia"/>
                <w:color w:val="auto"/>
              </w:rPr>
              <w:t>（4）临时医嘱添加复查功能。</w:t>
            </w:r>
          </w:p>
          <w:p w14:paraId="275697F3">
            <w:pPr>
              <w:pStyle w:val="18"/>
              <w:rPr>
                <w:color w:val="auto"/>
              </w:rPr>
            </w:pPr>
            <w:r>
              <w:rPr>
                <w:rFonts w:hint="eastAsia"/>
                <w:color w:val="auto"/>
              </w:rPr>
              <w:t>5.关联病历</w:t>
            </w:r>
          </w:p>
          <w:p w14:paraId="40101A9F">
            <w:pPr>
              <w:pStyle w:val="18"/>
              <w:rPr>
                <w:color w:val="auto"/>
              </w:rPr>
            </w:pPr>
            <w:r>
              <w:rPr>
                <w:rFonts w:hint="eastAsia"/>
                <w:color w:val="auto"/>
              </w:rPr>
              <w:t>需自动关联电子病历系统，达到双向互动的效果。</w:t>
            </w:r>
          </w:p>
          <w:p w14:paraId="44DA1B54">
            <w:pPr>
              <w:pStyle w:val="18"/>
              <w:rPr>
                <w:color w:val="auto"/>
              </w:rPr>
            </w:pPr>
            <w:r>
              <w:rPr>
                <w:rFonts w:hint="eastAsia"/>
                <w:color w:val="auto"/>
              </w:rPr>
              <w:t>6.等效药</w:t>
            </w:r>
          </w:p>
          <w:p w14:paraId="7E574FFC">
            <w:pPr>
              <w:pStyle w:val="18"/>
              <w:rPr>
                <w:color w:val="auto"/>
              </w:rPr>
            </w:pPr>
            <w:r>
              <w:rPr>
                <w:rFonts w:hint="eastAsia"/>
                <w:color w:val="auto"/>
              </w:rPr>
              <w:t>开立医嘱时，自动匹配等效药。</w:t>
            </w:r>
          </w:p>
          <w:p w14:paraId="76A47B04">
            <w:pPr>
              <w:pStyle w:val="18"/>
              <w:rPr>
                <w:color w:val="auto"/>
              </w:rPr>
            </w:pPr>
            <w:r>
              <w:rPr>
                <w:rFonts w:hint="eastAsia"/>
                <w:color w:val="auto"/>
              </w:rPr>
              <w:t>7.监控提醒</w:t>
            </w:r>
          </w:p>
          <w:p w14:paraId="1F104E0D">
            <w:pPr>
              <w:pStyle w:val="18"/>
              <w:rPr>
                <w:color w:val="auto"/>
              </w:rPr>
            </w:pPr>
            <w:r>
              <w:rPr>
                <w:rFonts w:hint="eastAsia"/>
                <w:color w:val="auto"/>
              </w:rPr>
              <w:t>（1）需支持费用超标提醒；</w:t>
            </w:r>
          </w:p>
          <w:p w14:paraId="4F8F1D77">
            <w:pPr>
              <w:pStyle w:val="18"/>
              <w:rPr>
                <w:color w:val="auto"/>
              </w:rPr>
            </w:pPr>
            <w:r>
              <w:rPr>
                <w:rFonts w:hint="eastAsia"/>
                <w:color w:val="auto"/>
              </w:rPr>
              <w:t>（2）需支持执行天数超标提醒。</w:t>
            </w:r>
          </w:p>
          <w:p w14:paraId="406A48C7">
            <w:pPr>
              <w:pStyle w:val="18"/>
              <w:rPr>
                <w:color w:val="auto"/>
              </w:rPr>
            </w:pPr>
            <w:r>
              <w:rPr>
                <w:rFonts w:hint="eastAsia"/>
                <w:color w:val="auto"/>
              </w:rPr>
              <w:t>8.退出路径医嘱</w:t>
            </w:r>
          </w:p>
          <w:p w14:paraId="4876DF5F">
            <w:pPr>
              <w:pStyle w:val="18"/>
              <w:rPr>
                <w:color w:val="auto"/>
              </w:rPr>
            </w:pPr>
            <w:r>
              <w:rPr>
                <w:rFonts w:hint="eastAsia"/>
                <w:color w:val="auto"/>
              </w:rPr>
              <w:t>开立退出路径医嘱，则提示退出路径。</w:t>
            </w:r>
          </w:p>
          <w:p w14:paraId="13641AA1">
            <w:pPr>
              <w:pStyle w:val="18"/>
              <w:rPr>
                <w:color w:val="auto"/>
              </w:rPr>
            </w:pPr>
            <w:r>
              <w:rPr>
                <w:rFonts w:hint="eastAsia"/>
                <w:color w:val="auto"/>
              </w:rPr>
              <w:t>9.分支路径</w:t>
            </w:r>
          </w:p>
          <w:p w14:paraId="025E412C">
            <w:pPr>
              <w:pStyle w:val="18"/>
              <w:rPr>
                <w:color w:val="auto"/>
              </w:rPr>
            </w:pPr>
            <w:r>
              <w:rPr>
                <w:rFonts w:hint="eastAsia"/>
                <w:color w:val="auto"/>
              </w:rPr>
              <w:t>路径模板使用时，可以根据患者病情情况选择分支阶段</w:t>
            </w:r>
          </w:p>
          <w:p w14:paraId="74F6EEAD">
            <w:pPr>
              <w:pStyle w:val="18"/>
              <w:rPr>
                <w:color w:val="auto"/>
              </w:rPr>
            </w:pPr>
            <w:r>
              <w:rPr>
                <w:rFonts w:hint="eastAsia"/>
                <w:color w:val="auto"/>
              </w:rPr>
              <w:t>10.变更路径</w:t>
            </w:r>
          </w:p>
          <w:p w14:paraId="402F5DCF">
            <w:pPr>
              <w:pStyle w:val="18"/>
              <w:rPr>
                <w:color w:val="auto"/>
              </w:rPr>
            </w:pPr>
            <w:r>
              <w:rPr>
                <w:rFonts w:hint="eastAsia"/>
                <w:color w:val="auto"/>
              </w:rPr>
              <w:t>模版使用时，可变更路径使用。</w:t>
            </w:r>
          </w:p>
          <w:p w14:paraId="742E9B73">
            <w:pPr>
              <w:pStyle w:val="18"/>
              <w:rPr>
                <w:color w:val="auto"/>
              </w:rPr>
            </w:pPr>
            <w:r>
              <w:rPr>
                <w:rFonts w:hint="eastAsia"/>
                <w:color w:val="auto"/>
              </w:rPr>
              <w:t>11.阶段评估</w:t>
            </w:r>
          </w:p>
          <w:p w14:paraId="3B0E6F08">
            <w:pPr>
              <w:pStyle w:val="18"/>
              <w:rPr>
                <w:color w:val="auto"/>
              </w:rPr>
            </w:pPr>
            <w:r>
              <w:rPr>
                <w:rFonts w:hint="eastAsia"/>
                <w:color w:val="auto"/>
              </w:rPr>
              <w:t>填写阶段评估内容，如果有评估项目未通过，则不能进入下阶段（下阶段无法做任何操作）。</w:t>
            </w:r>
          </w:p>
          <w:p w14:paraId="33C6613F">
            <w:pPr>
              <w:pStyle w:val="18"/>
              <w:rPr>
                <w:color w:val="auto"/>
              </w:rPr>
            </w:pPr>
            <w:r>
              <w:rPr>
                <w:rFonts w:hint="eastAsia"/>
                <w:color w:val="auto"/>
              </w:rPr>
              <w:t>12.准出评估</w:t>
            </w:r>
          </w:p>
          <w:p w14:paraId="5C8D7178">
            <w:pPr>
              <w:pStyle w:val="18"/>
              <w:rPr>
                <w:color w:val="auto"/>
              </w:rPr>
            </w:pPr>
            <w:r>
              <w:rPr>
                <w:rFonts w:hint="eastAsia"/>
                <w:color w:val="auto"/>
              </w:rPr>
              <w:t>填写准出评估内容，如果不符合出径标准，系统会自动记录不符合项目。</w:t>
            </w:r>
          </w:p>
          <w:p w14:paraId="394702A7">
            <w:pPr>
              <w:pStyle w:val="18"/>
              <w:rPr>
                <w:color w:val="auto"/>
              </w:rPr>
            </w:pPr>
            <w:r>
              <w:rPr>
                <w:rFonts w:hint="eastAsia"/>
                <w:color w:val="auto"/>
              </w:rPr>
              <w:t>13.告知单打印</w:t>
            </w:r>
          </w:p>
          <w:p w14:paraId="743D9662">
            <w:pPr>
              <w:pStyle w:val="18"/>
              <w:rPr>
                <w:color w:val="auto"/>
              </w:rPr>
            </w:pPr>
            <w:r>
              <w:rPr>
                <w:rFonts w:hint="eastAsia"/>
                <w:color w:val="auto"/>
              </w:rPr>
              <w:t>需支持与国家标准路径表单格式相同的告知单打印。需支持按照天进行打印。</w:t>
            </w:r>
          </w:p>
          <w:p w14:paraId="79BF2602">
            <w:pPr>
              <w:pStyle w:val="18"/>
              <w:rPr>
                <w:color w:val="auto"/>
              </w:rPr>
            </w:pPr>
            <w:r>
              <w:rPr>
                <w:rFonts w:hint="eastAsia"/>
                <w:color w:val="auto"/>
              </w:rPr>
              <w:t>14.无纸化流传输</w:t>
            </w:r>
          </w:p>
          <w:p w14:paraId="35221709">
            <w:pPr>
              <w:pStyle w:val="18"/>
              <w:rPr>
                <w:color w:val="auto"/>
              </w:rPr>
            </w:pPr>
            <w:r>
              <w:rPr>
                <w:rFonts w:hint="eastAsia"/>
                <w:color w:val="auto"/>
              </w:rPr>
              <w:t>需支持治疗单无纸化PDF流传输。</w:t>
            </w:r>
          </w:p>
        </w:tc>
      </w:tr>
      <w:tr w14:paraId="1A33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12C4C54D">
            <w:pPr>
              <w:pStyle w:val="18"/>
              <w:jc w:val="center"/>
              <w:rPr>
                <w:b w:val="0"/>
                <w:color w:val="auto"/>
              </w:rPr>
            </w:pPr>
            <w:r>
              <w:rPr>
                <w:rFonts w:hint="eastAsia"/>
                <w:b w:val="0"/>
                <w:color w:val="auto"/>
              </w:rPr>
              <w:t>路径质量控制</w:t>
            </w:r>
          </w:p>
        </w:tc>
        <w:tc>
          <w:tcPr>
            <w:tcW w:w="3975" w:type="pct"/>
            <w:gridSpan w:val="2"/>
            <w:vAlign w:val="center"/>
          </w:tcPr>
          <w:p w14:paraId="21D1D1BF">
            <w:pPr>
              <w:pStyle w:val="18"/>
              <w:rPr>
                <w:color w:val="auto"/>
              </w:rPr>
            </w:pPr>
            <w:r>
              <w:rPr>
                <w:rFonts w:hint="eastAsia"/>
                <w:color w:val="auto"/>
              </w:rPr>
              <w:t>1.可定制化评分规则</w:t>
            </w:r>
          </w:p>
          <w:p w14:paraId="09685DC3">
            <w:pPr>
              <w:pStyle w:val="18"/>
              <w:rPr>
                <w:color w:val="auto"/>
              </w:rPr>
            </w:pPr>
            <w:r>
              <w:rPr>
                <w:rFonts w:hint="eastAsia"/>
                <w:color w:val="auto"/>
              </w:rPr>
              <w:t>根据医院实际情况，自定义评分规则。</w:t>
            </w:r>
          </w:p>
          <w:p w14:paraId="03E1BF5C">
            <w:pPr>
              <w:pStyle w:val="18"/>
              <w:rPr>
                <w:color w:val="auto"/>
              </w:rPr>
            </w:pPr>
            <w:r>
              <w:rPr>
                <w:rFonts w:hint="eastAsia"/>
                <w:color w:val="auto"/>
              </w:rPr>
              <w:t>2.采用多级评分机制对路径中的各个操作项目进行评估</w:t>
            </w:r>
          </w:p>
          <w:p w14:paraId="0676E4C6">
            <w:pPr>
              <w:pStyle w:val="18"/>
              <w:rPr>
                <w:color w:val="auto"/>
              </w:rPr>
            </w:pPr>
            <w:r>
              <w:rPr>
                <w:rFonts w:hint="eastAsia"/>
                <w:color w:val="auto"/>
              </w:rPr>
              <w:t>根据维护的评分规则，对医生进行路径使用情况质量监控。需支持生成医生综合评分表、医生单病种得分表、医生分管患者得分明细表。</w:t>
            </w:r>
          </w:p>
        </w:tc>
      </w:tr>
      <w:tr w14:paraId="4239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36F2095B">
            <w:pPr>
              <w:pStyle w:val="18"/>
              <w:jc w:val="center"/>
              <w:rPr>
                <w:b w:val="0"/>
                <w:color w:val="auto"/>
              </w:rPr>
            </w:pPr>
            <w:r>
              <w:rPr>
                <w:rFonts w:hint="eastAsia"/>
                <w:b w:val="0"/>
                <w:color w:val="auto"/>
              </w:rPr>
              <w:t>统计分析</w:t>
            </w:r>
          </w:p>
        </w:tc>
        <w:tc>
          <w:tcPr>
            <w:tcW w:w="3975" w:type="pct"/>
            <w:gridSpan w:val="2"/>
            <w:vAlign w:val="center"/>
          </w:tcPr>
          <w:p w14:paraId="7E5DA845">
            <w:pPr>
              <w:pStyle w:val="18"/>
              <w:rPr>
                <w:color w:val="auto"/>
              </w:rPr>
            </w:pPr>
            <w:r>
              <w:rPr>
                <w:rFonts w:hint="eastAsia"/>
                <w:color w:val="auto"/>
              </w:rPr>
              <w:t>1.路径执行情况总览</w:t>
            </w:r>
          </w:p>
          <w:p w14:paraId="6A0D5274">
            <w:pPr>
              <w:pStyle w:val="18"/>
              <w:rPr>
                <w:color w:val="auto"/>
              </w:rPr>
            </w:pPr>
            <w:r>
              <w:rPr>
                <w:rFonts w:hint="eastAsia"/>
                <w:color w:val="auto"/>
              </w:rPr>
              <w:t>统一路径四项关键指标（平均费用、路径执行情况分析、平均住院日及变异原因）图形展示，直观反映出路径的执行情况。</w:t>
            </w:r>
          </w:p>
          <w:p w14:paraId="1C2121DB">
            <w:pPr>
              <w:pStyle w:val="18"/>
              <w:rPr>
                <w:color w:val="auto"/>
              </w:rPr>
            </w:pPr>
            <w:r>
              <w:rPr>
                <w:rFonts w:hint="eastAsia"/>
                <w:color w:val="auto"/>
              </w:rPr>
              <w:t>2.整体指标分析</w:t>
            </w:r>
          </w:p>
          <w:p w14:paraId="3E1C8FBF">
            <w:pPr>
              <w:pStyle w:val="18"/>
              <w:rPr>
                <w:color w:val="auto"/>
              </w:rPr>
            </w:pPr>
            <w:r>
              <w:rPr>
                <w:rFonts w:hint="eastAsia"/>
                <w:color w:val="auto"/>
              </w:rPr>
              <w:t>整体横向指标，统一汇总各科室路径的执行情况。</w:t>
            </w:r>
          </w:p>
          <w:p w14:paraId="68C36D46">
            <w:pPr>
              <w:pStyle w:val="18"/>
              <w:rPr>
                <w:color w:val="auto"/>
              </w:rPr>
            </w:pPr>
            <w:r>
              <w:rPr>
                <w:rFonts w:hint="eastAsia"/>
                <w:color w:val="auto"/>
              </w:rPr>
              <w:t>3.路径执行趋势分析</w:t>
            </w:r>
          </w:p>
          <w:p w14:paraId="2C43FCEF">
            <w:pPr>
              <w:pStyle w:val="18"/>
              <w:rPr>
                <w:color w:val="auto"/>
              </w:rPr>
            </w:pPr>
            <w:r>
              <w:rPr>
                <w:rFonts w:hint="eastAsia"/>
                <w:color w:val="auto"/>
              </w:rPr>
              <w:t>（1）分析路径中的关键数字，各科室横向对比；</w:t>
            </w:r>
          </w:p>
          <w:p w14:paraId="474B22E2">
            <w:pPr>
              <w:pStyle w:val="18"/>
              <w:rPr>
                <w:color w:val="auto"/>
              </w:rPr>
            </w:pPr>
            <w:r>
              <w:rPr>
                <w:rFonts w:hint="eastAsia"/>
                <w:color w:val="auto"/>
              </w:rPr>
              <w:t>（2）关键数字结果通过图形对比。</w:t>
            </w:r>
          </w:p>
          <w:p w14:paraId="28860B93">
            <w:pPr>
              <w:pStyle w:val="18"/>
              <w:rPr>
                <w:color w:val="auto"/>
              </w:rPr>
            </w:pPr>
            <w:r>
              <w:rPr>
                <w:rFonts w:hint="eastAsia"/>
                <w:color w:val="auto"/>
              </w:rPr>
              <w:t>4.路径明细追溯</w:t>
            </w:r>
          </w:p>
          <w:p w14:paraId="3976C737">
            <w:pPr>
              <w:pStyle w:val="18"/>
              <w:rPr>
                <w:color w:val="auto"/>
              </w:rPr>
            </w:pPr>
            <w:r>
              <w:rPr>
                <w:rFonts w:hint="eastAsia"/>
                <w:color w:val="auto"/>
              </w:rPr>
              <w:t>统计分析结果，可追溯到个人。</w:t>
            </w:r>
          </w:p>
          <w:p w14:paraId="1CC56765">
            <w:pPr>
              <w:pStyle w:val="18"/>
              <w:rPr>
                <w:color w:val="auto"/>
              </w:rPr>
            </w:pPr>
            <w:r>
              <w:rPr>
                <w:rFonts w:hint="eastAsia"/>
                <w:color w:val="auto"/>
              </w:rPr>
              <w:t>5.国家统计表单</w:t>
            </w:r>
          </w:p>
          <w:p w14:paraId="5C1C3C12">
            <w:pPr>
              <w:pStyle w:val="18"/>
              <w:rPr>
                <w:color w:val="auto"/>
              </w:rPr>
            </w:pPr>
            <w:r>
              <w:rPr>
                <w:rFonts w:hint="eastAsia"/>
                <w:color w:val="auto"/>
              </w:rPr>
              <w:t>需支持国家上报数据所需要各种表单。</w:t>
            </w:r>
          </w:p>
        </w:tc>
      </w:tr>
    </w:tbl>
    <w:p w14:paraId="2F815612">
      <w:pPr>
        <w:pStyle w:val="4"/>
        <w:numPr>
          <w:ilvl w:val="1"/>
          <w:numId w:val="0"/>
        </w:numPr>
        <w:ind w:left="576" w:leftChars="0" w:hanging="576" w:firstLineChars="0"/>
        <w:rPr>
          <w:color w:val="auto"/>
        </w:rPr>
      </w:pPr>
      <w:bookmarkStart w:id="161" w:name="_Toc208646540"/>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.18</w:t>
      </w:r>
      <w:r>
        <w:rPr>
          <w:rFonts w:hint="eastAsia"/>
          <w:color w:val="auto"/>
        </w:rPr>
        <w:t>病案管理系统</w:t>
      </w:r>
      <w:bookmarkEnd w:id="161"/>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5E70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0FCFCBA8">
            <w:pPr>
              <w:pStyle w:val="18"/>
              <w:jc w:val="center"/>
              <w:rPr>
                <w:b w:val="0"/>
                <w:color w:val="auto"/>
              </w:rPr>
            </w:pPr>
            <w:r>
              <w:rPr>
                <w:rFonts w:hint="eastAsia"/>
                <w:b/>
                <w:color w:val="auto"/>
              </w:rPr>
              <w:t>系统名称</w:t>
            </w:r>
          </w:p>
        </w:tc>
        <w:tc>
          <w:tcPr>
            <w:tcW w:w="6579" w:type="dxa"/>
            <w:shd w:val="clear" w:color="auto" w:fill="BEBEBE" w:themeFill="background1" w:themeFillShade="BF"/>
            <w:vAlign w:val="center"/>
          </w:tcPr>
          <w:p w14:paraId="31C49AB6">
            <w:pPr>
              <w:pStyle w:val="18"/>
              <w:rPr>
                <w:b/>
                <w:color w:val="auto"/>
              </w:rPr>
            </w:pPr>
            <w:r>
              <w:rPr>
                <w:rFonts w:hint="eastAsia"/>
                <w:b/>
                <w:color w:val="auto"/>
              </w:rPr>
              <w:t>病案管理系统</w:t>
            </w:r>
          </w:p>
        </w:tc>
      </w:tr>
      <w:tr w14:paraId="1711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D5C4AF2">
            <w:pPr>
              <w:pStyle w:val="18"/>
              <w:jc w:val="center"/>
              <w:rPr>
                <w:b/>
                <w:bCs/>
                <w:color w:val="auto"/>
              </w:rPr>
            </w:pPr>
            <w:r>
              <w:rPr>
                <w:rFonts w:hint="eastAsia"/>
                <w:b/>
                <w:bCs/>
                <w:color w:val="auto"/>
              </w:rPr>
              <w:t>系统概述</w:t>
            </w:r>
          </w:p>
        </w:tc>
        <w:tc>
          <w:tcPr>
            <w:tcW w:w="6579" w:type="dxa"/>
            <w:vAlign w:val="center"/>
          </w:tcPr>
          <w:p w14:paraId="28B3DC2A">
            <w:pPr>
              <w:pStyle w:val="18"/>
              <w:rPr>
                <w:color w:val="auto"/>
              </w:rPr>
            </w:pPr>
            <w:r>
              <w:rPr>
                <w:rFonts w:hint="eastAsia"/>
                <w:color w:val="auto"/>
              </w:rPr>
              <w:t>病案管理系统主要服务于医院病案科室，以辅助医院提升病案管理效率、提高临床数据复用质量、推动DRG/DIP改革落地为宗旨，包含病案首页、病案归档、病案借阅、病案复印、综合查询、病案数据上报、病案数据统计等功能。为适应国家医保局支付方式改革，需具备医保结算清单功能。</w:t>
            </w:r>
          </w:p>
        </w:tc>
      </w:tr>
      <w:tr w14:paraId="6B5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8525E59">
            <w:pPr>
              <w:pStyle w:val="18"/>
              <w:jc w:val="center"/>
              <w:rPr>
                <w:b/>
                <w:bCs/>
                <w:color w:val="auto"/>
              </w:rPr>
            </w:pPr>
            <w:r>
              <w:rPr>
                <w:rFonts w:hint="eastAsia"/>
                <w:b/>
                <w:bCs/>
                <w:color w:val="auto"/>
              </w:rPr>
              <w:t>子项名称</w:t>
            </w:r>
          </w:p>
        </w:tc>
        <w:tc>
          <w:tcPr>
            <w:tcW w:w="6579" w:type="dxa"/>
            <w:vAlign w:val="center"/>
          </w:tcPr>
          <w:p w14:paraId="7AFA320D">
            <w:pPr>
              <w:pStyle w:val="18"/>
              <w:jc w:val="center"/>
              <w:rPr>
                <w:b/>
                <w:bCs/>
                <w:color w:val="auto"/>
              </w:rPr>
            </w:pPr>
            <w:r>
              <w:rPr>
                <w:rFonts w:hint="eastAsia"/>
                <w:b/>
                <w:bCs/>
                <w:color w:val="auto"/>
              </w:rPr>
              <w:t>技术和功能配置要求</w:t>
            </w:r>
          </w:p>
        </w:tc>
      </w:tr>
      <w:tr w14:paraId="3610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C41521F">
            <w:pPr>
              <w:pStyle w:val="18"/>
              <w:jc w:val="center"/>
              <w:rPr>
                <w:b w:val="0"/>
                <w:color w:val="auto"/>
              </w:rPr>
            </w:pPr>
            <w:r>
              <w:rPr>
                <w:rFonts w:hint="eastAsia"/>
                <w:b w:val="0"/>
                <w:color w:val="auto"/>
              </w:rPr>
              <w:t>病案首页</w:t>
            </w:r>
          </w:p>
        </w:tc>
        <w:tc>
          <w:tcPr>
            <w:tcW w:w="6579" w:type="dxa"/>
            <w:vAlign w:val="center"/>
          </w:tcPr>
          <w:p w14:paraId="30F848CD">
            <w:pPr>
              <w:pStyle w:val="18"/>
              <w:rPr>
                <w:color w:val="auto"/>
              </w:rPr>
            </w:pPr>
            <w:r>
              <w:rPr>
                <w:rFonts w:hint="eastAsia"/>
                <w:color w:val="auto"/>
              </w:rPr>
              <w:t>能够应对国家公立医院绩效考核、医保DRG/DIP付费改革要求，按照国家颁布的病案管理质量控制指标的要求进行设计：保障首页、附页填报的完整性、正确性；根据数据来源自动填充首页、附页，数据来源可以追溯；对病案首页填写内容进行自动质控，保证首页数据质量，为后续医保支付、绩效监测、医院内绩效评价的数据利用打下坚实基础。</w:t>
            </w:r>
          </w:p>
          <w:p w14:paraId="400DBCA3">
            <w:pPr>
              <w:pStyle w:val="18"/>
              <w:rPr>
                <w:color w:val="auto"/>
              </w:rPr>
            </w:pPr>
            <w:r>
              <w:rPr>
                <w:rFonts w:hint="eastAsia"/>
                <w:color w:val="auto"/>
              </w:rPr>
              <w:t>1.首页填写</w:t>
            </w:r>
          </w:p>
          <w:p w14:paraId="6A0A7CB9">
            <w:pPr>
              <w:pStyle w:val="18"/>
              <w:rPr>
                <w:color w:val="auto"/>
              </w:rPr>
            </w:pPr>
            <w:r>
              <w:rPr>
                <w:rFonts w:hint="eastAsia"/>
                <w:color w:val="auto"/>
              </w:rPr>
              <w:t>为医生提供便捷的病案首页填写功能.</w:t>
            </w:r>
          </w:p>
          <w:p w14:paraId="2F5FB84C">
            <w:pPr>
              <w:pStyle w:val="18"/>
              <w:rPr>
                <w:color w:val="auto"/>
              </w:rPr>
            </w:pPr>
            <w:r>
              <w:rPr>
                <w:rFonts w:hint="eastAsia"/>
                <w:color w:val="auto"/>
              </w:rPr>
              <w:t>需要按照《病案首页模板及填写规范》归档的首页项目进行设置；</w:t>
            </w:r>
          </w:p>
          <w:p w14:paraId="062E1574">
            <w:pPr>
              <w:pStyle w:val="18"/>
              <w:rPr>
                <w:color w:val="auto"/>
              </w:rPr>
            </w:pPr>
            <w:r>
              <w:rPr>
                <w:rFonts w:hint="eastAsia"/>
                <w:color w:val="auto"/>
              </w:rPr>
              <w:t>需要按照《住院病案首页数据填写质量规范（暂行）》填报要求对病案首页进行质控。</w:t>
            </w:r>
          </w:p>
          <w:p w14:paraId="30F9AE73">
            <w:pPr>
              <w:pStyle w:val="18"/>
              <w:rPr>
                <w:color w:val="auto"/>
              </w:rPr>
            </w:pPr>
            <w:r>
              <w:rPr>
                <w:rFonts w:hint="eastAsia"/>
                <w:color w:val="auto"/>
              </w:rPr>
              <w:t>需支持对医生填写的病案首页内容进行质控并给出质控提示。</w:t>
            </w:r>
          </w:p>
          <w:p w14:paraId="75A64B2A">
            <w:pPr>
              <w:pStyle w:val="18"/>
              <w:rPr>
                <w:color w:val="auto"/>
              </w:rPr>
            </w:pPr>
            <w:r>
              <w:rPr>
                <w:rFonts w:hint="eastAsia"/>
                <w:color w:val="auto"/>
              </w:rPr>
              <w:t>需支持质控提示与病案首页内项目双向定位。</w:t>
            </w:r>
          </w:p>
          <w:p w14:paraId="079E7EDA">
            <w:pPr>
              <w:pStyle w:val="18"/>
              <w:rPr>
                <w:color w:val="auto"/>
              </w:rPr>
            </w:pPr>
            <w:r>
              <w:rPr>
                <w:rFonts w:hint="eastAsia"/>
                <w:color w:val="auto"/>
              </w:rPr>
              <w:t>需支持中西医首页一键切换功能。</w:t>
            </w:r>
          </w:p>
          <w:p w14:paraId="66751695">
            <w:pPr>
              <w:pStyle w:val="18"/>
              <w:rPr>
                <w:color w:val="auto"/>
              </w:rPr>
            </w:pPr>
            <w:r>
              <w:rPr>
                <w:rFonts w:hint="eastAsia"/>
                <w:color w:val="auto"/>
              </w:rPr>
              <w:t>需支持与电子病历结合，方便医生日常病历书写的一体化操作。</w:t>
            </w:r>
          </w:p>
          <w:p w14:paraId="34F04478">
            <w:pPr>
              <w:pStyle w:val="18"/>
              <w:rPr>
                <w:color w:val="auto"/>
              </w:rPr>
            </w:pPr>
            <w:r>
              <w:rPr>
                <w:rFonts w:hint="eastAsia"/>
                <w:color w:val="auto"/>
              </w:rPr>
              <w:t>需支持首页内查看患者的全部诊疗信息。</w:t>
            </w:r>
          </w:p>
          <w:p w14:paraId="007F907B">
            <w:pPr>
              <w:pStyle w:val="18"/>
              <w:rPr>
                <w:color w:val="auto"/>
              </w:rPr>
            </w:pPr>
            <w:r>
              <w:rPr>
                <w:rFonts w:hint="eastAsia"/>
                <w:color w:val="auto"/>
              </w:rPr>
              <w:t>需支持进行CA签名及合法性验签。</w:t>
            </w:r>
          </w:p>
          <w:p w14:paraId="38D66CD7">
            <w:pPr>
              <w:pStyle w:val="18"/>
              <w:rPr>
                <w:color w:val="auto"/>
              </w:rPr>
            </w:pPr>
            <w:r>
              <w:rPr>
                <w:rFonts w:hint="eastAsia"/>
                <w:color w:val="auto"/>
              </w:rPr>
              <w:t>需支持查看病案首页内费用信息的具体明细组成。</w:t>
            </w:r>
          </w:p>
          <w:p w14:paraId="151A49C1">
            <w:pPr>
              <w:pStyle w:val="18"/>
              <w:rPr>
                <w:color w:val="auto"/>
              </w:rPr>
            </w:pPr>
            <w:r>
              <w:rPr>
                <w:rFonts w:hint="eastAsia"/>
                <w:color w:val="auto"/>
              </w:rPr>
              <w:t>2.附页填写</w:t>
            </w:r>
          </w:p>
          <w:p w14:paraId="2C8C214B">
            <w:pPr>
              <w:pStyle w:val="18"/>
              <w:rPr>
                <w:color w:val="auto"/>
              </w:rPr>
            </w:pPr>
            <w:r>
              <w:rPr>
                <w:rFonts w:hint="eastAsia"/>
                <w:color w:val="auto"/>
              </w:rPr>
              <w:t>依据《2020绩效考核与医疗质量管理附加指标项数据采集质量与接口标准》、《病案管理质量控制指标（2021年版）》、《公立医院绩效考核操作手册2022版》、HQMS、卫统上报等要求进行附页内容本地化开发。</w:t>
            </w:r>
          </w:p>
          <w:p w14:paraId="16E60C38">
            <w:pPr>
              <w:pStyle w:val="18"/>
              <w:rPr>
                <w:color w:val="auto"/>
              </w:rPr>
            </w:pPr>
            <w:r>
              <w:rPr>
                <w:rFonts w:hint="eastAsia"/>
                <w:color w:val="auto"/>
              </w:rPr>
              <w:t>需支持附页项目信息有院内系统来源者自动填充并可追溯。</w:t>
            </w:r>
          </w:p>
          <w:p w14:paraId="126F8F3F">
            <w:pPr>
              <w:pStyle w:val="18"/>
              <w:rPr>
                <w:color w:val="auto"/>
              </w:rPr>
            </w:pPr>
            <w:r>
              <w:rPr>
                <w:rFonts w:hint="eastAsia"/>
                <w:color w:val="auto"/>
              </w:rPr>
              <w:t>3.数据预填</w:t>
            </w:r>
          </w:p>
          <w:p w14:paraId="5CD721A0">
            <w:pPr>
              <w:pStyle w:val="18"/>
              <w:rPr>
                <w:color w:val="auto"/>
              </w:rPr>
            </w:pPr>
            <w:r>
              <w:rPr>
                <w:rFonts w:hint="eastAsia"/>
                <w:color w:val="auto"/>
              </w:rPr>
              <w:t>按照《住院病案首页数据质量管理与控制指标》要求，病案首页包括患者基本信息、入院管理、诊断信息、费用信息。</w:t>
            </w:r>
          </w:p>
          <w:p w14:paraId="4431EABD">
            <w:pPr>
              <w:pStyle w:val="18"/>
              <w:rPr>
                <w:color w:val="auto"/>
              </w:rPr>
            </w:pPr>
            <w:r>
              <w:rPr>
                <w:rFonts w:hint="eastAsia"/>
                <w:color w:val="auto"/>
              </w:rPr>
              <w:t>需支持有院内系统来源的首页数据自动提取和填充，与院内现运行HIS系统紧密结合自动填充率≥80%。</w:t>
            </w:r>
          </w:p>
          <w:p w14:paraId="4A0738EA">
            <w:pPr>
              <w:pStyle w:val="18"/>
              <w:rPr>
                <w:color w:val="auto"/>
              </w:rPr>
            </w:pPr>
            <w:r>
              <w:rPr>
                <w:rFonts w:hint="eastAsia"/>
                <w:color w:val="auto"/>
              </w:rPr>
              <w:t>需支持展示自动填充内容的数据来源供参考。</w:t>
            </w:r>
          </w:p>
          <w:p w14:paraId="121F4433">
            <w:pPr>
              <w:pStyle w:val="18"/>
              <w:rPr>
                <w:color w:val="auto"/>
              </w:rPr>
            </w:pPr>
            <w:r>
              <w:rPr>
                <w:rFonts w:hint="eastAsia"/>
                <w:color w:val="auto"/>
              </w:rPr>
              <w:t>需支持修改后内容与数据来源出现冲突时给出标红提醒，并支持一键回填。</w:t>
            </w:r>
          </w:p>
          <w:p w14:paraId="54880E2D">
            <w:pPr>
              <w:pStyle w:val="18"/>
              <w:rPr>
                <w:color w:val="auto"/>
              </w:rPr>
            </w:pPr>
            <w:r>
              <w:rPr>
                <w:rFonts w:hint="eastAsia"/>
                <w:color w:val="auto"/>
              </w:rPr>
              <w:t>4.首页质控</w:t>
            </w:r>
          </w:p>
          <w:p w14:paraId="0294B04A">
            <w:pPr>
              <w:pStyle w:val="18"/>
              <w:rPr>
                <w:color w:val="auto"/>
              </w:rPr>
            </w:pPr>
            <w:r>
              <w:rPr>
                <w:rFonts w:hint="eastAsia"/>
                <w:color w:val="auto"/>
              </w:rPr>
              <w:t>能够依据《绩效考核与医疗质量管理住院病案首页数据采集质量与接口标准》、《病案首页填写规范评分标准》、《ICD-10国家临床》为基础提供首页质控。</w:t>
            </w:r>
          </w:p>
          <w:p w14:paraId="1D3BB57E">
            <w:pPr>
              <w:pStyle w:val="18"/>
              <w:rPr>
                <w:color w:val="auto"/>
              </w:rPr>
            </w:pPr>
            <w:r>
              <w:rPr>
                <w:rFonts w:hint="eastAsia"/>
                <w:color w:val="auto"/>
              </w:rPr>
              <w:t>（1）首页项目质控示例：</w:t>
            </w:r>
          </w:p>
          <w:p w14:paraId="16AE5581">
            <w:pPr>
              <w:pStyle w:val="18"/>
              <w:rPr>
                <w:color w:val="auto"/>
              </w:rPr>
            </w:pPr>
            <w:r>
              <w:rPr>
                <w:rFonts w:hint="eastAsia"/>
                <w:color w:val="auto"/>
              </w:rPr>
              <w:t>需支持离院方式与死亡患者尸检一致性质控。</w:t>
            </w:r>
          </w:p>
          <w:p w14:paraId="3912FF38">
            <w:pPr>
              <w:pStyle w:val="18"/>
              <w:rPr>
                <w:color w:val="auto"/>
              </w:rPr>
            </w:pPr>
            <w:r>
              <w:rPr>
                <w:rFonts w:hint="eastAsia"/>
                <w:color w:val="auto"/>
              </w:rPr>
              <w:t>需支持入出院情况与诊断一致性质控。</w:t>
            </w:r>
          </w:p>
          <w:p w14:paraId="28D5DA84">
            <w:pPr>
              <w:pStyle w:val="18"/>
              <w:rPr>
                <w:color w:val="auto"/>
              </w:rPr>
            </w:pPr>
            <w:r>
              <w:rPr>
                <w:rFonts w:hint="eastAsia"/>
                <w:color w:val="auto"/>
              </w:rPr>
              <w:t>需支持肿瘤及病理诊断一致性质控。</w:t>
            </w:r>
          </w:p>
          <w:p w14:paraId="2F2CC542">
            <w:pPr>
              <w:pStyle w:val="18"/>
              <w:rPr>
                <w:color w:val="auto"/>
              </w:rPr>
            </w:pPr>
            <w:r>
              <w:rPr>
                <w:rFonts w:hint="eastAsia"/>
                <w:color w:val="auto"/>
              </w:rPr>
              <w:t>需支持诊断与性别一致性质控。</w:t>
            </w:r>
          </w:p>
          <w:p w14:paraId="63983D81">
            <w:pPr>
              <w:pStyle w:val="18"/>
              <w:rPr>
                <w:color w:val="auto"/>
              </w:rPr>
            </w:pPr>
            <w:r>
              <w:rPr>
                <w:rFonts w:hint="eastAsia"/>
                <w:color w:val="auto"/>
              </w:rPr>
              <w:t>需支持手术与性别一致性质控。</w:t>
            </w:r>
          </w:p>
          <w:p w14:paraId="627C7778">
            <w:pPr>
              <w:pStyle w:val="18"/>
              <w:rPr>
                <w:color w:val="auto"/>
              </w:rPr>
            </w:pPr>
            <w:r>
              <w:rPr>
                <w:rFonts w:hint="eastAsia"/>
                <w:color w:val="auto"/>
              </w:rPr>
              <w:t>需支持年龄与诊断一致性质控。</w:t>
            </w:r>
          </w:p>
          <w:p w14:paraId="5C002F3A">
            <w:pPr>
              <w:pStyle w:val="18"/>
              <w:rPr>
                <w:color w:val="auto"/>
              </w:rPr>
            </w:pPr>
            <w:r>
              <w:rPr>
                <w:rFonts w:hint="eastAsia"/>
                <w:color w:val="auto"/>
              </w:rPr>
              <w:t>需支持产科诊断一致性质控。</w:t>
            </w:r>
          </w:p>
          <w:p w14:paraId="0E20AED9">
            <w:pPr>
              <w:pStyle w:val="18"/>
              <w:rPr>
                <w:color w:val="auto"/>
              </w:rPr>
            </w:pPr>
            <w:r>
              <w:rPr>
                <w:rFonts w:hint="eastAsia"/>
                <w:color w:val="auto"/>
              </w:rPr>
              <w:t>需支持新生儿诊断与出生体重一致性质控。</w:t>
            </w:r>
          </w:p>
          <w:p w14:paraId="16E06817">
            <w:pPr>
              <w:pStyle w:val="18"/>
              <w:rPr>
                <w:color w:val="auto"/>
              </w:rPr>
            </w:pPr>
            <w:r>
              <w:rPr>
                <w:rFonts w:hint="eastAsia"/>
                <w:color w:val="auto"/>
              </w:rPr>
              <w:t>需支持费用一致性质控。</w:t>
            </w:r>
          </w:p>
          <w:p w14:paraId="3A06091B">
            <w:pPr>
              <w:pStyle w:val="18"/>
              <w:rPr>
                <w:color w:val="auto"/>
              </w:rPr>
            </w:pPr>
            <w:r>
              <w:rPr>
                <w:rFonts w:hint="eastAsia"/>
                <w:color w:val="auto"/>
              </w:rPr>
              <w:t>（2）诊断编码质控示例：</w:t>
            </w:r>
          </w:p>
          <w:p w14:paraId="149826FB">
            <w:pPr>
              <w:pStyle w:val="18"/>
              <w:rPr>
                <w:color w:val="auto"/>
              </w:rPr>
            </w:pPr>
            <w:r>
              <w:rPr>
                <w:rFonts w:hint="eastAsia"/>
                <w:color w:val="auto"/>
              </w:rPr>
              <w:t>需支持合并编码质控。</w:t>
            </w:r>
          </w:p>
          <w:p w14:paraId="2C1C1A51">
            <w:pPr>
              <w:pStyle w:val="18"/>
              <w:rPr>
                <w:color w:val="auto"/>
              </w:rPr>
            </w:pPr>
            <w:r>
              <w:rPr>
                <w:rFonts w:hint="eastAsia"/>
                <w:color w:val="auto"/>
              </w:rPr>
              <w:t>需支持诊断类目间不包括质控。</w:t>
            </w:r>
          </w:p>
          <w:p w14:paraId="4D2A5291">
            <w:pPr>
              <w:pStyle w:val="18"/>
              <w:rPr>
                <w:color w:val="auto"/>
              </w:rPr>
            </w:pPr>
            <w:r>
              <w:rPr>
                <w:rFonts w:hint="eastAsia"/>
                <w:color w:val="auto"/>
              </w:rPr>
              <w:t>需支持编码逻辑冲突质控。</w:t>
            </w:r>
          </w:p>
          <w:p w14:paraId="6BAE66E8">
            <w:pPr>
              <w:pStyle w:val="18"/>
              <w:rPr>
                <w:color w:val="auto"/>
              </w:rPr>
            </w:pPr>
            <w:r>
              <w:rPr>
                <w:rFonts w:hint="eastAsia"/>
                <w:color w:val="auto"/>
              </w:rPr>
              <w:t>需支持优先分类编码质控。</w:t>
            </w:r>
          </w:p>
          <w:p w14:paraId="1CAEB125">
            <w:pPr>
              <w:pStyle w:val="18"/>
              <w:rPr>
                <w:color w:val="auto"/>
              </w:rPr>
            </w:pPr>
            <w:r>
              <w:rPr>
                <w:rFonts w:hint="eastAsia"/>
                <w:color w:val="auto"/>
              </w:rPr>
              <w:t>需支持残余类目质控。</w:t>
            </w:r>
          </w:p>
          <w:p w14:paraId="74CE8A6A">
            <w:pPr>
              <w:pStyle w:val="18"/>
              <w:rPr>
                <w:color w:val="auto"/>
              </w:rPr>
            </w:pPr>
            <w:r>
              <w:rPr>
                <w:rFonts w:hint="eastAsia"/>
                <w:color w:val="auto"/>
              </w:rPr>
              <w:t>需支持诊断与手术操作一致性质控。</w:t>
            </w:r>
          </w:p>
          <w:p w14:paraId="32A10AA1">
            <w:pPr>
              <w:pStyle w:val="18"/>
              <w:rPr>
                <w:color w:val="auto"/>
              </w:rPr>
            </w:pPr>
            <w:r>
              <w:rPr>
                <w:rFonts w:hint="eastAsia"/>
                <w:color w:val="auto"/>
              </w:rPr>
              <w:t>需支持低风险死亡编码质控。</w:t>
            </w:r>
          </w:p>
          <w:p w14:paraId="6721A1B8">
            <w:pPr>
              <w:pStyle w:val="18"/>
              <w:rPr>
                <w:color w:val="auto"/>
              </w:rPr>
            </w:pPr>
            <w:r>
              <w:rPr>
                <w:rFonts w:hint="eastAsia"/>
                <w:color w:val="auto"/>
              </w:rPr>
              <w:t>需支持医保灰码质控。</w:t>
            </w:r>
          </w:p>
          <w:p w14:paraId="10460AE1">
            <w:pPr>
              <w:pStyle w:val="18"/>
              <w:rPr>
                <w:color w:val="auto"/>
              </w:rPr>
            </w:pPr>
            <w:r>
              <w:rPr>
                <w:rFonts w:hint="eastAsia"/>
                <w:color w:val="auto"/>
              </w:rPr>
              <w:t>需支持不能作为出院主要诊断的编码质控。</w:t>
            </w:r>
          </w:p>
          <w:p w14:paraId="6A1C16F4">
            <w:pPr>
              <w:pStyle w:val="18"/>
              <w:rPr>
                <w:color w:val="auto"/>
              </w:rPr>
            </w:pPr>
            <w:r>
              <w:rPr>
                <w:rFonts w:hint="eastAsia"/>
                <w:color w:val="auto"/>
              </w:rPr>
              <w:t>（3）质控规则配置要求</w:t>
            </w:r>
          </w:p>
          <w:p w14:paraId="52A977D7">
            <w:pPr>
              <w:pStyle w:val="18"/>
              <w:rPr>
                <w:color w:val="auto"/>
              </w:rPr>
            </w:pPr>
            <w:r>
              <w:rPr>
                <w:rFonts w:hint="eastAsia"/>
                <w:color w:val="auto"/>
              </w:rPr>
              <w:t>需支持对质控规则状态进行配置。</w:t>
            </w:r>
          </w:p>
          <w:p w14:paraId="4A674DD8">
            <w:pPr>
              <w:pStyle w:val="18"/>
              <w:rPr>
                <w:color w:val="auto"/>
              </w:rPr>
            </w:pPr>
            <w:r>
              <w:rPr>
                <w:rFonts w:hint="eastAsia"/>
                <w:color w:val="auto"/>
              </w:rPr>
              <w:t>需支持质控提示语句由医院自行调整。</w:t>
            </w:r>
          </w:p>
          <w:p w14:paraId="78223008">
            <w:pPr>
              <w:pStyle w:val="18"/>
              <w:rPr>
                <w:color w:val="auto"/>
              </w:rPr>
            </w:pPr>
            <w:r>
              <w:rPr>
                <w:rFonts w:hint="eastAsia"/>
                <w:color w:val="auto"/>
              </w:rPr>
              <w:t>需支持值域质控设置（国家统一规定的填写选项内容）；</w:t>
            </w:r>
          </w:p>
          <w:p w14:paraId="52999792">
            <w:pPr>
              <w:pStyle w:val="18"/>
              <w:rPr>
                <w:color w:val="auto"/>
              </w:rPr>
            </w:pPr>
            <w:r>
              <w:rPr>
                <w:rFonts w:hint="eastAsia"/>
                <w:color w:val="auto"/>
              </w:rPr>
              <w:t>需支持项目填写长度设置（限定填写最大/小长度）；</w:t>
            </w:r>
          </w:p>
          <w:p w14:paraId="69588ED5">
            <w:pPr>
              <w:pStyle w:val="18"/>
              <w:rPr>
                <w:color w:val="auto"/>
              </w:rPr>
            </w:pPr>
            <w:r>
              <w:rPr>
                <w:rFonts w:hint="eastAsia"/>
                <w:color w:val="auto"/>
              </w:rPr>
              <w:t>需支持必填和非必填设置（是不是必填项）；</w:t>
            </w:r>
          </w:p>
          <w:p w14:paraId="056C7692">
            <w:pPr>
              <w:pStyle w:val="18"/>
              <w:rPr>
                <w:color w:val="auto"/>
              </w:rPr>
            </w:pPr>
            <w:r>
              <w:rPr>
                <w:rFonts w:hint="eastAsia"/>
                <w:color w:val="auto"/>
              </w:rPr>
              <w:t>需支持填写类型设置（填写文字、数字、还是符号）</w:t>
            </w:r>
          </w:p>
          <w:p w14:paraId="2D0D75D0">
            <w:pPr>
              <w:pStyle w:val="18"/>
              <w:rPr>
                <w:color w:val="auto"/>
              </w:rPr>
            </w:pPr>
            <w:r>
              <w:rPr>
                <w:rFonts w:hint="eastAsia"/>
                <w:color w:val="auto"/>
              </w:rPr>
              <w:t>需支持填写精度设置（数字小数点后几位）。</w:t>
            </w:r>
          </w:p>
          <w:p w14:paraId="786D7DEE">
            <w:pPr>
              <w:pStyle w:val="18"/>
              <w:rPr>
                <w:color w:val="auto"/>
              </w:rPr>
            </w:pPr>
            <w:r>
              <w:rPr>
                <w:rFonts w:hint="eastAsia"/>
                <w:color w:val="auto"/>
              </w:rPr>
              <w:t>（4）规则主题管理</w:t>
            </w:r>
          </w:p>
          <w:p w14:paraId="1B851DB5">
            <w:pPr>
              <w:pStyle w:val="18"/>
              <w:rPr>
                <w:color w:val="auto"/>
              </w:rPr>
            </w:pPr>
            <w:r>
              <w:rPr>
                <w:rFonts w:hint="eastAsia"/>
                <w:color w:val="auto"/>
              </w:rPr>
              <w:t>需支持按照多种维度主题管理病案首页规则的生效方式、环节。</w:t>
            </w:r>
          </w:p>
          <w:p w14:paraId="5CD1612C">
            <w:pPr>
              <w:pStyle w:val="18"/>
              <w:rPr>
                <w:color w:val="auto"/>
              </w:rPr>
            </w:pPr>
            <w:r>
              <w:rPr>
                <w:rFonts w:hint="eastAsia"/>
                <w:color w:val="auto"/>
              </w:rPr>
              <w:t>需支持对规则进行排除科室设置。</w:t>
            </w:r>
          </w:p>
          <w:p w14:paraId="6789CC91">
            <w:pPr>
              <w:pStyle w:val="18"/>
              <w:rPr>
                <w:color w:val="auto"/>
              </w:rPr>
            </w:pPr>
            <w:r>
              <w:rPr>
                <w:rFonts w:hint="eastAsia"/>
                <w:color w:val="auto"/>
              </w:rPr>
              <w:t>5.首页提交</w:t>
            </w:r>
          </w:p>
          <w:p w14:paraId="2C79D2FC">
            <w:pPr>
              <w:pStyle w:val="18"/>
              <w:rPr>
                <w:color w:val="auto"/>
              </w:rPr>
            </w:pPr>
            <w:r>
              <w:rPr>
                <w:rFonts w:hint="eastAsia"/>
                <w:color w:val="auto"/>
              </w:rPr>
              <w:t>系统设置病案首页独立提交至病案室的流程。</w:t>
            </w:r>
          </w:p>
          <w:p w14:paraId="589FCE22">
            <w:pPr>
              <w:pStyle w:val="18"/>
              <w:rPr>
                <w:color w:val="auto"/>
              </w:rPr>
            </w:pPr>
            <w:r>
              <w:rPr>
                <w:rFonts w:hint="eastAsia"/>
                <w:color w:val="auto"/>
              </w:rPr>
              <w:t>需支持出院后的病案首页单独提交到病案室。</w:t>
            </w:r>
          </w:p>
          <w:p w14:paraId="05B3DE39">
            <w:pPr>
              <w:pStyle w:val="18"/>
              <w:rPr>
                <w:color w:val="auto"/>
              </w:rPr>
            </w:pPr>
            <w:r>
              <w:rPr>
                <w:rFonts w:hint="eastAsia"/>
                <w:color w:val="auto"/>
              </w:rPr>
              <w:t>6.首页编码</w:t>
            </w:r>
          </w:p>
          <w:p w14:paraId="6060EB73">
            <w:pPr>
              <w:pStyle w:val="18"/>
              <w:rPr>
                <w:color w:val="auto"/>
              </w:rPr>
            </w:pPr>
            <w:r>
              <w:rPr>
                <w:rFonts w:hint="eastAsia"/>
                <w:color w:val="auto"/>
              </w:rPr>
              <w:t>系统设置病案首页独立编码功能及流程。</w:t>
            </w:r>
          </w:p>
          <w:p w14:paraId="01358435">
            <w:pPr>
              <w:pStyle w:val="18"/>
              <w:rPr>
                <w:color w:val="auto"/>
              </w:rPr>
            </w:pPr>
            <w:r>
              <w:rPr>
                <w:rFonts w:hint="eastAsia"/>
                <w:color w:val="auto"/>
              </w:rPr>
              <w:t>需支持出院后病案首页作为独立流程进行首页编码、审核的流程。</w:t>
            </w:r>
          </w:p>
          <w:p w14:paraId="7D1D882B">
            <w:pPr>
              <w:pStyle w:val="18"/>
              <w:rPr>
                <w:color w:val="auto"/>
              </w:rPr>
            </w:pPr>
            <w:r>
              <w:rPr>
                <w:rFonts w:hint="eastAsia"/>
                <w:color w:val="auto"/>
              </w:rPr>
              <w:t>7.修改痕迹</w:t>
            </w:r>
          </w:p>
          <w:p w14:paraId="70FDCC2F">
            <w:pPr>
              <w:pStyle w:val="18"/>
              <w:rPr>
                <w:color w:val="auto"/>
              </w:rPr>
            </w:pPr>
            <w:r>
              <w:rPr>
                <w:rFonts w:hint="eastAsia"/>
                <w:color w:val="auto"/>
              </w:rPr>
              <w:t>系统设置病案首页修改痕迹查询。</w:t>
            </w:r>
          </w:p>
          <w:p w14:paraId="538F2879">
            <w:pPr>
              <w:pStyle w:val="18"/>
              <w:rPr>
                <w:color w:val="auto"/>
              </w:rPr>
            </w:pPr>
            <w:r>
              <w:rPr>
                <w:rFonts w:hint="eastAsia"/>
                <w:color w:val="auto"/>
              </w:rPr>
              <w:t>需支持病案首页提交后所进行的任意内容更改按修内容、修改人、修改时间留痕。</w:t>
            </w:r>
          </w:p>
        </w:tc>
      </w:tr>
      <w:tr w14:paraId="1038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69C4CBE">
            <w:pPr>
              <w:pStyle w:val="18"/>
              <w:jc w:val="center"/>
              <w:rPr>
                <w:b w:val="0"/>
                <w:color w:val="auto"/>
              </w:rPr>
            </w:pPr>
            <w:r>
              <w:rPr>
                <w:rFonts w:hint="eastAsia"/>
                <w:b w:val="0"/>
                <w:color w:val="auto"/>
              </w:rPr>
              <w:t>病案归档</w:t>
            </w:r>
          </w:p>
        </w:tc>
        <w:tc>
          <w:tcPr>
            <w:tcW w:w="6579" w:type="dxa"/>
            <w:vAlign w:val="center"/>
          </w:tcPr>
          <w:p w14:paraId="2538E520">
            <w:pPr>
              <w:pStyle w:val="18"/>
              <w:rPr>
                <w:color w:val="auto"/>
              </w:rPr>
            </w:pPr>
            <w:r>
              <w:rPr>
                <w:rFonts w:hint="eastAsia"/>
                <w:color w:val="auto"/>
              </w:rPr>
              <w:t>1.病案提交</w:t>
            </w:r>
          </w:p>
          <w:p w14:paraId="12BAB6C6">
            <w:pPr>
              <w:pStyle w:val="18"/>
              <w:rPr>
                <w:color w:val="auto"/>
              </w:rPr>
            </w:pPr>
            <w:r>
              <w:rPr>
                <w:rFonts w:hint="eastAsia"/>
                <w:color w:val="auto"/>
              </w:rPr>
              <w:t>系统设置独立的出院病案提交页面。</w:t>
            </w:r>
          </w:p>
          <w:p w14:paraId="20027B9C">
            <w:pPr>
              <w:pStyle w:val="18"/>
              <w:rPr>
                <w:color w:val="auto"/>
              </w:rPr>
            </w:pPr>
            <w:r>
              <w:rPr>
                <w:rFonts w:hint="eastAsia"/>
                <w:color w:val="auto"/>
              </w:rPr>
              <w:t>需支持将出院病历整体提交给病案室。</w:t>
            </w:r>
          </w:p>
          <w:p w14:paraId="1A4CD38F">
            <w:pPr>
              <w:pStyle w:val="18"/>
              <w:rPr>
                <w:color w:val="auto"/>
              </w:rPr>
            </w:pPr>
            <w:r>
              <w:rPr>
                <w:rFonts w:hint="eastAsia"/>
                <w:color w:val="auto"/>
              </w:rPr>
              <w:t>需支持提交后病案不能继续修改。</w:t>
            </w:r>
          </w:p>
          <w:p w14:paraId="105CDE28">
            <w:pPr>
              <w:pStyle w:val="18"/>
              <w:rPr>
                <w:color w:val="auto"/>
              </w:rPr>
            </w:pPr>
            <w:r>
              <w:rPr>
                <w:rFonts w:hint="eastAsia"/>
                <w:color w:val="auto"/>
              </w:rPr>
              <w:t>需支持按照在院情况、病案管理角色、病案状态查询病历列表信息。</w:t>
            </w:r>
          </w:p>
          <w:p w14:paraId="55C369C4">
            <w:pPr>
              <w:pStyle w:val="18"/>
              <w:rPr>
                <w:color w:val="auto"/>
              </w:rPr>
            </w:pPr>
            <w:r>
              <w:rPr>
                <w:rFonts w:hint="eastAsia"/>
                <w:color w:val="auto"/>
              </w:rPr>
              <w:t>需支持一键切换至任务状态筛选出当前必须完成的任务。</w:t>
            </w:r>
          </w:p>
          <w:p w14:paraId="44BD57C0">
            <w:pPr>
              <w:pStyle w:val="18"/>
              <w:rPr>
                <w:color w:val="auto"/>
              </w:rPr>
            </w:pPr>
            <w:r>
              <w:rPr>
                <w:rFonts w:hint="eastAsia"/>
                <w:color w:val="auto"/>
              </w:rPr>
              <w:t>支持查看返修病案的返修原因。</w:t>
            </w:r>
          </w:p>
          <w:p w14:paraId="2EDC2888">
            <w:pPr>
              <w:pStyle w:val="18"/>
              <w:rPr>
                <w:color w:val="auto"/>
              </w:rPr>
            </w:pPr>
            <w:r>
              <w:rPr>
                <w:rFonts w:hint="eastAsia"/>
                <w:color w:val="auto"/>
              </w:rPr>
              <w:t>2.病案签出</w:t>
            </w:r>
          </w:p>
          <w:p w14:paraId="4F0BC3B2">
            <w:pPr>
              <w:pStyle w:val="18"/>
              <w:rPr>
                <w:color w:val="auto"/>
              </w:rPr>
            </w:pPr>
            <w:r>
              <w:rPr>
                <w:rFonts w:hint="eastAsia"/>
                <w:color w:val="auto"/>
              </w:rPr>
              <w:t>护士对已提交病案进行统一签出管理。</w:t>
            </w:r>
          </w:p>
          <w:p w14:paraId="115F58C9">
            <w:pPr>
              <w:pStyle w:val="18"/>
              <w:rPr>
                <w:color w:val="auto"/>
              </w:rPr>
            </w:pPr>
            <w:r>
              <w:rPr>
                <w:rFonts w:hint="eastAsia"/>
                <w:color w:val="auto"/>
              </w:rPr>
              <w:t>需支持按出院时间、病案提交状态、科室及病案号对出院病案进行筛选和查询。支持进行单本或批量签出操作。</w:t>
            </w:r>
          </w:p>
          <w:p w14:paraId="11DDD7B0">
            <w:pPr>
              <w:pStyle w:val="18"/>
              <w:rPr>
                <w:color w:val="auto"/>
              </w:rPr>
            </w:pPr>
            <w:r>
              <w:rPr>
                <w:rFonts w:hint="eastAsia"/>
                <w:color w:val="auto"/>
              </w:rPr>
              <w:t>3.病案签收</w:t>
            </w:r>
          </w:p>
          <w:p w14:paraId="06A8250D">
            <w:pPr>
              <w:pStyle w:val="18"/>
              <w:rPr>
                <w:color w:val="auto"/>
              </w:rPr>
            </w:pPr>
            <w:r>
              <w:rPr>
                <w:rFonts w:hint="eastAsia"/>
                <w:color w:val="auto"/>
              </w:rPr>
              <w:t>系统设置独立的病案签收页面。</w:t>
            </w:r>
          </w:p>
          <w:p w14:paraId="7BA21A58">
            <w:pPr>
              <w:pStyle w:val="18"/>
              <w:rPr>
                <w:color w:val="auto"/>
              </w:rPr>
            </w:pPr>
            <w:r>
              <w:rPr>
                <w:rFonts w:hint="eastAsia"/>
                <w:color w:val="auto"/>
              </w:rPr>
              <w:t>需支持对签出后的病案进行签收操作，签收留痕。</w:t>
            </w:r>
          </w:p>
          <w:p w14:paraId="14D98BC5">
            <w:pPr>
              <w:pStyle w:val="18"/>
              <w:rPr>
                <w:color w:val="auto"/>
              </w:rPr>
            </w:pPr>
            <w:r>
              <w:rPr>
                <w:rFonts w:hint="eastAsia"/>
                <w:color w:val="auto"/>
              </w:rPr>
              <w:t>需支持按时间、科室、病案状态及住院号对已签出病案进行筛选查看。</w:t>
            </w:r>
          </w:p>
          <w:p w14:paraId="78D3CA52">
            <w:pPr>
              <w:pStyle w:val="18"/>
              <w:rPr>
                <w:color w:val="auto"/>
              </w:rPr>
            </w:pPr>
            <w:r>
              <w:rPr>
                <w:rFonts w:hint="eastAsia"/>
                <w:color w:val="auto"/>
              </w:rPr>
              <w:t>需支持自动汇总签收任务，对不同签收状态进行筛选。</w:t>
            </w:r>
          </w:p>
          <w:p w14:paraId="7005B01C">
            <w:pPr>
              <w:pStyle w:val="18"/>
              <w:rPr>
                <w:color w:val="auto"/>
              </w:rPr>
            </w:pPr>
            <w:r>
              <w:rPr>
                <w:rFonts w:hint="eastAsia"/>
                <w:color w:val="auto"/>
              </w:rPr>
              <w:t>需支持进行单本或批量的签出操作。</w:t>
            </w:r>
          </w:p>
          <w:p w14:paraId="254219FC">
            <w:pPr>
              <w:pStyle w:val="18"/>
              <w:rPr>
                <w:color w:val="auto"/>
              </w:rPr>
            </w:pPr>
            <w:r>
              <w:rPr>
                <w:rFonts w:hint="eastAsia"/>
                <w:color w:val="auto"/>
              </w:rPr>
              <w:t>4.病案整理</w:t>
            </w:r>
          </w:p>
          <w:p w14:paraId="73EB9D1A">
            <w:pPr>
              <w:pStyle w:val="18"/>
              <w:rPr>
                <w:color w:val="auto"/>
              </w:rPr>
            </w:pPr>
            <w:r>
              <w:rPr>
                <w:rFonts w:hint="eastAsia"/>
                <w:color w:val="auto"/>
              </w:rPr>
              <w:t>系统设置独立的病案整理页面。</w:t>
            </w:r>
          </w:p>
          <w:p w14:paraId="30F6F65E">
            <w:pPr>
              <w:pStyle w:val="18"/>
              <w:rPr>
                <w:color w:val="auto"/>
              </w:rPr>
            </w:pPr>
            <w:r>
              <w:rPr>
                <w:rFonts w:hint="eastAsia"/>
                <w:color w:val="auto"/>
              </w:rPr>
              <w:t>需支持对已签收病案进行完整性审核。</w:t>
            </w:r>
          </w:p>
          <w:p w14:paraId="0D563ACF">
            <w:pPr>
              <w:pStyle w:val="18"/>
              <w:rPr>
                <w:color w:val="auto"/>
              </w:rPr>
            </w:pPr>
            <w:r>
              <w:rPr>
                <w:rFonts w:hint="eastAsia"/>
                <w:color w:val="auto"/>
              </w:rPr>
              <w:t>需支持汇总当日需要整理的病案任务。</w:t>
            </w:r>
          </w:p>
          <w:p w14:paraId="401AD5B1">
            <w:pPr>
              <w:pStyle w:val="18"/>
              <w:rPr>
                <w:color w:val="auto"/>
              </w:rPr>
            </w:pPr>
            <w:r>
              <w:rPr>
                <w:rFonts w:hint="eastAsia"/>
                <w:color w:val="auto"/>
              </w:rPr>
              <w:t>需支持按时间、科室、病案状态及住院号对病案进行筛选查看。</w:t>
            </w:r>
          </w:p>
          <w:p w14:paraId="6084AD82">
            <w:pPr>
              <w:pStyle w:val="18"/>
              <w:rPr>
                <w:color w:val="auto"/>
              </w:rPr>
            </w:pPr>
            <w:r>
              <w:rPr>
                <w:rFonts w:hint="eastAsia"/>
                <w:color w:val="auto"/>
              </w:rPr>
              <w:t>需支持扫码录入病案。</w:t>
            </w:r>
          </w:p>
          <w:p w14:paraId="5D0135A2">
            <w:pPr>
              <w:pStyle w:val="18"/>
              <w:rPr>
                <w:color w:val="auto"/>
              </w:rPr>
            </w:pPr>
            <w:r>
              <w:rPr>
                <w:rFonts w:hint="eastAsia"/>
                <w:color w:val="auto"/>
              </w:rPr>
              <w:t>需支持对整理发现的缺陷进行标记并发起病案整体返修。</w:t>
            </w:r>
          </w:p>
          <w:p w14:paraId="127366CA">
            <w:pPr>
              <w:pStyle w:val="18"/>
              <w:rPr>
                <w:color w:val="auto"/>
              </w:rPr>
            </w:pPr>
            <w:r>
              <w:rPr>
                <w:rFonts w:hint="eastAsia"/>
                <w:color w:val="auto"/>
              </w:rPr>
              <w:t>5.病案编码</w:t>
            </w:r>
          </w:p>
          <w:p w14:paraId="703B0C2D">
            <w:pPr>
              <w:pStyle w:val="18"/>
              <w:rPr>
                <w:color w:val="auto"/>
              </w:rPr>
            </w:pPr>
            <w:r>
              <w:rPr>
                <w:rFonts w:hint="eastAsia"/>
                <w:color w:val="auto"/>
              </w:rPr>
              <w:t>系统设置独立病案编码页面对整理后的首页进行编码。</w:t>
            </w:r>
          </w:p>
          <w:p w14:paraId="244F0E6A">
            <w:pPr>
              <w:pStyle w:val="18"/>
              <w:rPr>
                <w:color w:val="auto"/>
              </w:rPr>
            </w:pPr>
            <w:r>
              <w:rPr>
                <w:rFonts w:hint="eastAsia"/>
                <w:color w:val="auto"/>
              </w:rPr>
              <w:t>需支持首页内查看360页面内的病历内容。</w:t>
            </w:r>
          </w:p>
          <w:p w14:paraId="07E8B9ED">
            <w:pPr>
              <w:pStyle w:val="18"/>
              <w:rPr>
                <w:color w:val="auto"/>
              </w:rPr>
            </w:pPr>
            <w:r>
              <w:rPr>
                <w:rFonts w:hint="eastAsia"/>
                <w:color w:val="auto"/>
              </w:rPr>
              <w:t>需支持按时间、科室、病案状态及住院号对可以编码的病案进行过滤。</w:t>
            </w:r>
          </w:p>
          <w:p w14:paraId="06315C2B">
            <w:pPr>
              <w:pStyle w:val="18"/>
              <w:rPr>
                <w:color w:val="auto"/>
              </w:rPr>
            </w:pPr>
            <w:r>
              <w:rPr>
                <w:rFonts w:hint="eastAsia"/>
                <w:color w:val="auto"/>
              </w:rPr>
              <w:t>需支持汇总当日编码任务，筛选已编码及未编码的病案。</w:t>
            </w:r>
          </w:p>
          <w:p w14:paraId="2EA99166">
            <w:pPr>
              <w:pStyle w:val="18"/>
              <w:rPr>
                <w:color w:val="auto"/>
              </w:rPr>
            </w:pPr>
            <w:r>
              <w:rPr>
                <w:rFonts w:hint="eastAsia"/>
                <w:color w:val="auto"/>
              </w:rPr>
              <w:t>需支持对编码发现的缺陷进行标记并发起首页单独返修。</w:t>
            </w:r>
          </w:p>
          <w:p w14:paraId="3A3BBD3D">
            <w:pPr>
              <w:pStyle w:val="18"/>
              <w:rPr>
                <w:color w:val="auto"/>
              </w:rPr>
            </w:pPr>
            <w:r>
              <w:rPr>
                <w:rFonts w:hint="eastAsia"/>
                <w:color w:val="auto"/>
              </w:rPr>
              <w:t>6.病案归档</w:t>
            </w:r>
          </w:p>
          <w:p w14:paraId="20D79611">
            <w:pPr>
              <w:pStyle w:val="18"/>
              <w:rPr>
                <w:color w:val="auto"/>
              </w:rPr>
            </w:pPr>
            <w:r>
              <w:rPr>
                <w:rFonts w:hint="eastAsia"/>
                <w:color w:val="auto"/>
              </w:rPr>
              <w:t>对完成病案编码、质控的病案进行归档操作。</w:t>
            </w:r>
          </w:p>
          <w:p w14:paraId="09A4D9E7">
            <w:pPr>
              <w:pStyle w:val="18"/>
              <w:rPr>
                <w:color w:val="auto"/>
              </w:rPr>
            </w:pPr>
            <w:r>
              <w:rPr>
                <w:rFonts w:hint="eastAsia"/>
                <w:color w:val="auto"/>
              </w:rPr>
              <w:t>需支持将病案归档的签收、整理、编码、归档环节整合于同一页面。</w:t>
            </w:r>
          </w:p>
          <w:p w14:paraId="14483096">
            <w:pPr>
              <w:pStyle w:val="18"/>
              <w:rPr>
                <w:color w:val="auto"/>
              </w:rPr>
            </w:pPr>
            <w:r>
              <w:rPr>
                <w:rFonts w:hint="eastAsia"/>
                <w:color w:val="auto"/>
              </w:rPr>
              <w:t>需支持病案首页独立返修。</w:t>
            </w:r>
          </w:p>
          <w:p w14:paraId="307CB0C7">
            <w:pPr>
              <w:pStyle w:val="18"/>
              <w:rPr>
                <w:color w:val="auto"/>
              </w:rPr>
            </w:pPr>
            <w:r>
              <w:rPr>
                <w:rFonts w:hint="eastAsia"/>
                <w:color w:val="auto"/>
              </w:rPr>
              <w:t>需支持整本病案统一返修。</w:t>
            </w:r>
          </w:p>
          <w:p w14:paraId="3A96844E">
            <w:pPr>
              <w:pStyle w:val="18"/>
              <w:rPr>
                <w:color w:val="auto"/>
              </w:rPr>
            </w:pPr>
            <w:r>
              <w:rPr>
                <w:rFonts w:hint="eastAsia"/>
                <w:color w:val="auto"/>
              </w:rPr>
              <w:t>需支持查看返修原因。</w:t>
            </w:r>
          </w:p>
          <w:p w14:paraId="3B5E7F26">
            <w:pPr>
              <w:pStyle w:val="18"/>
              <w:rPr>
                <w:color w:val="auto"/>
              </w:rPr>
            </w:pPr>
            <w:r>
              <w:rPr>
                <w:rFonts w:hint="eastAsia"/>
                <w:color w:val="auto"/>
              </w:rPr>
              <w:t>需支持按时间、科室、病案状态及住院号对可以归档的病案进行过滤。</w:t>
            </w:r>
          </w:p>
          <w:p w14:paraId="3340B457">
            <w:pPr>
              <w:pStyle w:val="18"/>
              <w:rPr>
                <w:color w:val="auto"/>
              </w:rPr>
            </w:pPr>
            <w:r>
              <w:rPr>
                <w:rFonts w:hint="eastAsia"/>
                <w:color w:val="auto"/>
              </w:rPr>
              <w:t>需支持打印病案条码，标识病案存储地点。</w:t>
            </w:r>
          </w:p>
          <w:p w14:paraId="545337C9">
            <w:pPr>
              <w:pStyle w:val="18"/>
              <w:rPr>
                <w:color w:val="auto"/>
              </w:rPr>
            </w:pPr>
            <w:r>
              <w:rPr>
                <w:rFonts w:hint="eastAsia"/>
                <w:color w:val="auto"/>
              </w:rPr>
              <w:t>支持对归档但未入库病案进行解归档操作。</w:t>
            </w:r>
          </w:p>
          <w:p w14:paraId="178FED1E">
            <w:pPr>
              <w:pStyle w:val="18"/>
              <w:rPr>
                <w:color w:val="auto"/>
              </w:rPr>
            </w:pPr>
            <w:r>
              <w:rPr>
                <w:rFonts w:hint="eastAsia"/>
                <w:color w:val="auto"/>
              </w:rPr>
              <w:t>7.病案入出库</w:t>
            </w:r>
          </w:p>
          <w:p w14:paraId="07885C3D">
            <w:pPr>
              <w:pStyle w:val="18"/>
              <w:rPr>
                <w:color w:val="auto"/>
              </w:rPr>
            </w:pPr>
            <w:r>
              <w:rPr>
                <w:rFonts w:hint="eastAsia"/>
                <w:color w:val="auto"/>
              </w:rPr>
              <w:t>对已完成病案归档、病案借阅、病案复印操作的病案进行统一入出库管理。</w:t>
            </w:r>
          </w:p>
          <w:p w14:paraId="15473674">
            <w:pPr>
              <w:pStyle w:val="18"/>
              <w:rPr>
                <w:color w:val="auto"/>
              </w:rPr>
            </w:pPr>
            <w:r>
              <w:rPr>
                <w:rFonts w:hint="eastAsia"/>
                <w:color w:val="auto"/>
              </w:rPr>
              <w:t>需支持按时间、科室、入库状态、入出库原因及病案号进行病案筛选。</w:t>
            </w:r>
          </w:p>
          <w:p w14:paraId="6800ACA5">
            <w:pPr>
              <w:pStyle w:val="18"/>
              <w:rPr>
                <w:color w:val="auto"/>
              </w:rPr>
            </w:pPr>
            <w:r>
              <w:rPr>
                <w:rFonts w:hint="eastAsia"/>
                <w:color w:val="auto"/>
              </w:rPr>
              <w:t>需支持归档病案的单本及批量入出库操作。</w:t>
            </w:r>
          </w:p>
          <w:p w14:paraId="7CEC3218">
            <w:pPr>
              <w:pStyle w:val="18"/>
              <w:rPr>
                <w:color w:val="auto"/>
              </w:rPr>
            </w:pPr>
            <w:r>
              <w:rPr>
                <w:rFonts w:hint="eastAsia"/>
                <w:color w:val="auto"/>
              </w:rPr>
              <w:t>8.迟归查询</w:t>
            </w:r>
          </w:p>
          <w:p w14:paraId="0C4AC21A">
            <w:pPr>
              <w:pStyle w:val="18"/>
              <w:rPr>
                <w:color w:val="auto"/>
              </w:rPr>
            </w:pPr>
            <w:r>
              <w:rPr>
                <w:rFonts w:hint="eastAsia"/>
                <w:color w:val="auto"/>
              </w:rPr>
              <w:t>对超出正常归档时间的病案室进行筛选查询。</w:t>
            </w:r>
          </w:p>
          <w:p w14:paraId="2B050AD5">
            <w:pPr>
              <w:pStyle w:val="18"/>
              <w:rPr>
                <w:color w:val="auto"/>
              </w:rPr>
            </w:pPr>
            <w:r>
              <w:rPr>
                <w:rFonts w:hint="eastAsia"/>
                <w:color w:val="auto"/>
              </w:rPr>
              <w:t>需支持按日期、科室及迟归天数进行病案的筛选查看。</w:t>
            </w:r>
          </w:p>
          <w:p w14:paraId="7B7D475F">
            <w:pPr>
              <w:pStyle w:val="18"/>
              <w:rPr>
                <w:color w:val="auto"/>
              </w:rPr>
            </w:pPr>
            <w:r>
              <w:rPr>
                <w:rFonts w:hint="eastAsia"/>
                <w:color w:val="auto"/>
              </w:rPr>
              <w:t>需支持导出、打印迟归病案列表。</w:t>
            </w:r>
          </w:p>
          <w:p w14:paraId="1027F7FB">
            <w:pPr>
              <w:pStyle w:val="18"/>
              <w:rPr>
                <w:color w:val="auto"/>
              </w:rPr>
            </w:pPr>
            <w:r>
              <w:rPr>
                <w:rFonts w:hint="eastAsia"/>
                <w:color w:val="auto"/>
              </w:rPr>
              <w:t>需支持迟归病案的线上催收。</w:t>
            </w:r>
          </w:p>
          <w:p w14:paraId="68612462">
            <w:pPr>
              <w:pStyle w:val="18"/>
              <w:rPr>
                <w:color w:val="auto"/>
              </w:rPr>
            </w:pPr>
            <w:r>
              <w:rPr>
                <w:rFonts w:hint="eastAsia"/>
                <w:color w:val="auto"/>
              </w:rPr>
              <w:t>9.病案示踪</w:t>
            </w:r>
          </w:p>
          <w:p w14:paraId="71BDB963">
            <w:pPr>
              <w:pStyle w:val="18"/>
              <w:rPr>
                <w:color w:val="auto"/>
              </w:rPr>
            </w:pPr>
            <w:r>
              <w:rPr>
                <w:rFonts w:hint="eastAsia"/>
                <w:color w:val="auto"/>
              </w:rPr>
              <w:t>对病案的流转环节及状态、存放位置、操作人、操作时间等进行记录及统一查看。</w:t>
            </w:r>
          </w:p>
          <w:p w14:paraId="167DF97D">
            <w:pPr>
              <w:pStyle w:val="18"/>
              <w:rPr>
                <w:color w:val="auto"/>
              </w:rPr>
            </w:pPr>
            <w:r>
              <w:rPr>
                <w:rFonts w:hint="eastAsia"/>
                <w:color w:val="auto"/>
              </w:rPr>
              <w:t>需支持展示出院并提交后病案状态及当前归档环节。</w:t>
            </w:r>
          </w:p>
          <w:p w14:paraId="79D8E0E3">
            <w:pPr>
              <w:pStyle w:val="18"/>
              <w:rPr>
                <w:color w:val="auto"/>
              </w:rPr>
            </w:pPr>
            <w:r>
              <w:rPr>
                <w:rFonts w:hint="eastAsia"/>
                <w:color w:val="auto"/>
              </w:rPr>
              <w:t>需支持病案示踪内容展开及隐藏。</w:t>
            </w:r>
          </w:p>
        </w:tc>
      </w:tr>
      <w:tr w14:paraId="3BF8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BBA85A0">
            <w:pPr>
              <w:pStyle w:val="18"/>
              <w:jc w:val="center"/>
              <w:rPr>
                <w:b w:val="0"/>
                <w:color w:val="auto"/>
              </w:rPr>
            </w:pPr>
            <w:r>
              <w:rPr>
                <w:rFonts w:hint="eastAsia"/>
                <w:b w:val="0"/>
                <w:color w:val="auto"/>
              </w:rPr>
              <w:t>病案借阅</w:t>
            </w:r>
          </w:p>
        </w:tc>
        <w:tc>
          <w:tcPr>
            <w:tcW w:w="6579" w:type="dxa"/>
            <w:vAlign w:val="center"/>
          </w:tcPr>
          <w:p w14:paraId="1DA53EAB">
            <w:pPr>
              <w:pStyle w:val="18"/>
              <w:rPr>
                <w:color w:val="auto"/>
              </w:rPr>
            </w:pPr>
            <w:r>
              <w:rPr>
                <w:rFonts w:hint="eastAsia"/>
                <w:color w:val="auto"/>
              </w:rPr>
              <w:t>满足医务人员向病案室提出病案借阅申请，病案室控制借阅申请的通过、迟归的催收。</w:t>
            </w:r>
          </w:p>
          <w:p w14:paraId="6761DD0B">
            <w:pPr>
              <w:pStyle w:val="18"/>
              <w:rPr>
                <w:color w:val="auto"/>
              </w:rPr>
            </w:pPr>
            <w:r>
              <w:rPr>
                <w:rFonts w:hint="eastAsia"/>
                <w:color w:val="auto"/>
              </w:rPr>
              <w:t>1.借阅/续借申请</w:t>
            </w:r>
          </w:p>
          <w:p w14:paraId="3069CE4E">
            <w:pPr>
              <w:pStyle w:val="18"/>
              <w:rPr>
                <w:color w:val="auto"/>
              </w:rPr>
            </w:pPr>
            <w:r>
              <w:rPr>
                <w:rFonts w:hint="eastAsia"/>
                <w:color w:val="auto"/>
              </w:rPr>
              <w:t>需支持在医生端发起病案借阅申请。</w:t>
            </w:r>
          </w:p>
          <w:p w14:paraId="661C61F9">
            <w:pPr>
              <w:pStyle w:val="18"/>
              <w:rPr>
                <w:color w:val="auto"/>
              </w:rPr>
            </w:pPr>
            <w:r>
              <w:rPr>
                <w:rFonts w:hint="eastAsia"/>
                <w:color w:val="auto"/>
              </w:rPr>
              <w:t>需支持填写借阅期限、借阅原因。</w:t>
            </w:r>
          </w:p>
          <w:p w14:paraId="69E76CEA">
            <w:pPr>
              <w:pStyle w:val="18"/>
              <w:rPr>
                <w:color w:val="auto"/>
              </w:rPr>
            </w:pPr>
            <w:r>
              <w:rPr>
                <w:rFonts w:hint="eastAsia"/>
                <w:color w:val="auto"/>
              </w:rPr>
              <w:t>需支持提示被限定为不可借阅状态的病案。</w:t>
            </w:r>
          </w:p>
          <w:p w14:paraId="6E4A3694">
            <w:pPr>
              <w:pStyle w:val="18"/>
              <w:rPr>
                <w:color w:val="auto"/>
              </w:rPr>
            </w:pPr>
            <w:r>
              <w:rPr>
                <w:rFonts w:hint="eastAsia"/>
                <w:color w:val="auto"/>
              </w:rPr>
              <w:t>需支持通过病案借阅状态筛借阅病案的基本信息。</w:t>
            </w:r>
          </w:p>
          <w:p w14:paraId="301CC959">
            <w:pPr>
              <w:pStyle w:val="18"/>
              <w:rPr>
                <w:color w:val="auto"/>
              </w:rPr>
            </w:pPr>
            <w:r>
              <w:rPr>
                <w:rFonts w:hint="eastAsia"/>
                <w:color w:val="auto"/>
              </w:rPr>
              <w:t>需支持进行续借次数的限制。</w:t>
            </w:r>
          </w:p>
          <w:p w14:paraId="5B651F4A">
            <w:pPr>
              <w:pStyle w:val="18"/>
              <w:rPr>
                <w:color w:val="auto"/>
              </w:rPr>
            </w:pPr>
            <w:r>
              <w:rPr>
                <w:rFonts w:hint="eastAsia"/>
                <w:color w:val="auto"/>
              </w:rPr>
              <w:t>2.借阅审核</w:t>
            </w:r>
          </w:p>
          <w:p w14:paraId="516E506B">
            <w:pPr>
              <w:pStyle w:val="18"/>
              <w:rPr>
                <w:color w:val="auto"/>
              </w:rPr>
            </w:pPr>
            <w:r>
              <w:rPr>
                <w:rFonts w:hint="eastAsia"/>
                <w:color w:val="auto"/>
              </w:rPr>
              <w:t>满足病案室查看借阅、续借是否合规，并审核通过及驳回。</w:t>
            </w:r>
          </w:p>
          <w:p w14:paraId="1010005A">
            <w:pPr>
              <w:pStyle w:val="18"/>
              <w:rPr>
                <w:color w:val="auto"/>
              </w:rPr>
            </w:pPr>
            <w:r>
              <w:rPr>
                <w:rFonts w:hint="eastAsia"/>
                <w:color w:val="auto"/>
              </w:rPr>
              <w:t>需支持对医生端借阅申请进行通过审核。</w:t>
            </w:r>
          </w:p>
          <w:p w14:paraId="50EA2A40">
            <w:pPr>
              <w:pStyle w:val="18"/>
              <w:rPr>
                <w:color w:val="auto"/>
              </w:rPr>
            </w:pPr>
            <w:r>
              <w:rPr>
                <w:rFonts w:hint="eastAsia"/>
                <w:color w:val="auto"/>
              </w:rPr>
              <w:t>需支持对医生端借阅申请进行驳回审核。</w:t>
            </w:r>
          </w:p>
          <w:p w14:paraId="4263C3E0">
            <w:pPr>
              <w:pStyle w:val="18"/>
              <w:rPr>
                <w:color w:val="auto"/>
              </w:rPr>
            </w:pPr>
            <w:r>
              <w:rPr>
                <w:rFonts w:hint="eastAsia"/>
                <w:color w:val="auto"/>
              </w:rPr>
              <w:t>需支持填写申请驳回原因。</w:t>
            </w:r>
          </w:p>
          <w:p w14:paraId="085E2E10">
            <w:pPr>
              <w:pStyle w:val="18"/>
              <w:rPr>
                <w:color w:val="auto"/>
              </w:rPr>
            </w:pPr>
            <w:r>
              <w:rPr>
                <w:rFonts w:hint="eastAsia"/>
                <w:color w:val="auto"/>
              </w:rPr>
              <w:t>需支持通过借阅状态、超期情况进行病案信息筛选查看。</w:t>
            </w:r>
          </w:p>
          <w:p w14:paraId="2019CC71">
            <w:pPr>
              <w:pStyle w:val="18"/>
              <w:rPr>
                <w:color w:val="auto"/>
              </w:rPr>
            </w:pPr>
            <w:r>
              <w:rPr>
                <w:rFonts w:hint="eastAsia"/>
                <w:color w:val="auto"/>
              </w:rPr>
              <w:t>3.借阅归还</w:t>
            </w:r>
          </w:p>
          <w:p w14:paraId="18C4E079">
            <w:pPr>
              <w:pStyle w:val="18"/>
              <w:rPr>
                <w:color w:val="auto"/>
              </w:rPr>
            </w:pPr>
            <w:r>
              <w:rPr>
                <w:rFonts w:hint="eastAsia"/>
                <w:color w:val="auto"/>
              </w:rPr>
              <w:t>需支持医生对借阅中的病案发起结束借阅。</w:t>
            </w:r>
          </w:p>
          <w:p w14:paraId="53E43821">
            <w:pPr>
              <w:pStyle w:val="18"/>
              <w:rPr>
                <w:color w:val="auto"/>
              </w:rPr>
            </w:pPr>
            <w:r>
              <w:rPr>
                <w:rFonts w:hint="eastAsia"/>
                <w:color w:val="auto"/>
              </w:rPr>
              <w:t>需支持对借阅病案进行单本和批量的快捷操作。</w:t>
            </w:r>
          </w:p>
          <w:p w14:paraId="754A3056">
            <w:pPr>
              <w:pStyle w:val="18"/>
              <w:rPr>
                <w:color w:val="auto"/>
              </w:rPr>
            </w:pPr>
            <w:r>
              <w:rPr>
                <w:rFonts w:hint="eastAsia"/>
                <w:color w:val="auto"/>
              </w:rPr>
              <w:t>4.病案催收</w:t>
            </w:r>
          </w:p>
          <w:p w14:paraId="3A2D5817">
            <w:pPr>
              <w:pStyle w:val="18"/>
              <w:rPr>
                <w:color w:val="auto"/>
              </w:rPr>
            </w:pPr>
            <w:r>
              <w:rPr>
                <w:rFonts w:hint="eastAsia"/>
                <w:color w:val="auto"/>
              </w:rPr>
              <w:t>对超期未归还病案进行追踪管理。</w:t>
            </w:r>
          </w:p>
          <w:p w14:paraId="78994624">
            <w:pPr>
              <w:pStyle w:val="18"/>
              <w:rPr>
                <w:color w:val="auto"/>
              </w:rPr>
            </w:pPr>
            <w:r>
              <w:rPr>
                <w:rFonts w:hint="eastAsia"/>
                <w:color w:val="auto"/>
              </w:rPr>
              <w:t>需支持筛选出已经借阅超期病案。</w:t>
            </w:r>
          </w:p>
          <w:p w14:paraId="2B24C07A">
            <w:pPr>
              <w:pStyle w:val="18"/>
              <w:rPr>
                <w:color w:val="auto"/>
              </w:rPr>
            </w:pPr>
            <w:r>
              <w:rPr>
                <w:rFonts w:hint="eastAsia"/>
                <w:color w:val="auto"/>
              </w:rPr>
              <w:t>需支持对超过借阅期限的病案进行线上催收。</w:t>
            </w:r>
          </w:p>
        </w:tc>
      </w:tr>
      <w:tr w14:paraId="46EC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168C5D9">
            <w:pPr>
              <w:pStyle w:val="18"/>
              <w:jc w:val="center"/>
              <w:rPr>
                <w:b w:val="0"/>
                <w:color w:val="auto"/>
              </w:rPr>
            </w:pPr>
            <w:r>
              <w:rPr>
                <w:rFonts w:hint="eastAsia"/>
                <w:b w:val="0"/>
                <w:color w:val="auto"/>
              </w:rPr>
              <w:t>病案复印</w:t>
            </w:r>
          </w:p>
        </w:tc>
        <w:tc>
          <w:tcPr>
            <w:tcW w:w="6579" w:type="dxa"/>
            <w:vAlign w:val="center"/>
          </w:tcPr>
          <w:p w14:paraId="3B7AF91D">
            <w:pPr>
              <w:pStyle w:val="18"/>
              <w:rPr>
                <w:color w:val="auto"/>
              </w:rPr>
            </w:pPr>
            <w:r>
              <w:rPr>
                <w:rFonts w:hint="eastAsia"/>
                <w:color w:val="auto"/>
              </w:rPr>
              <w:t>满足面向患者病案应用的复印服务，进行病案查找、复印、缴费及复印日志的记录留存。</w:t>
            </w:r>
          </w:p>
          <w:p w14:paraId="77B39ADC">
            <w:pPr>
              <w:pStyle w:val="18"/>
              <w:rPr>
                <w:color w:val="auto"/>
              </w:rPr>
            </w:pPr>
            <w:r>
              <w:rPr>
                <w:rFonts w:hint="eastAsia"/>
                <w:color w:val="auto"/>
              </w:rPr>
              <w:t>1.复印登记</w:t>
            </w:r>
          </w:p>
          <w:p w14:paraId="4048D525">
            <w:pPr>
              <w:pStyle w:val="18"/>
              <w:rPr>
                <w:color w:val="auto"/>
              </w:rPr>
            </w:pPr>
            <w:r>
              <w:rPr>
                <w:rFonts w:hint="eastAsia"/>
                <w:color w:val="auto"/>
              </w:rPr>
              <w:t>需支持患者在线上、线下进行复印的申请。</w:t>
            </w:r>
          </w:p>
          <w:p w14:paraId="4525C395">
            <w:pPr>
              <w:pStyle w:val="18"/>
              <w:rPr>
                <w:color w:val="auto"/>
              </w:rPr>
            </w:pPr>
            <w:r>
              <w:rPr>
                <w:rFonts w:hint="eastAsia"/>
                <w:color w:val="auto"/>
              </w:rPr>
              <w:t>需支持按照病案号查找病案。</w:t>
            </w:r>
          </w:p>
          <w:p w14:paraId="54CD0E7C">
            <w:pPr>
              <w:pStyle w:val="18"/>
              <w:rPr>
                <w:color w:val="auto"/>
              </w:rPr>
            </w:pPr>
            <w:r>
              <w:rPr>
                <w:rFonts w:hint="eastAsia"/>
                <w:color w:val="auto"/>
              </w:rPr>
              <w:t>需支持填写复印原因、复印内容。</w:t>
            </w:r>
          </w:p>
          <w:p w14:paraId="59B17F57">
            <w:pPr>
              <w:pStyle w:val="18"/>
              <w:rPr>
                <w:color w:val="auto"/>
              </w:rPr>
            </w:pPr>
            <w:r>
              <w:rPr>
                <w:rFonts w:hint="eastAsia"/>
                <w:color w:val="auto"/>
              </w:rPr>
              <w:t>需支持按照患者主要复印原因归纳复印内容套餐供患者选择。</w:t>
            </w:r>
          </w:p>
          <w:p w14:paraId="096F13B6">
            <w:pPr>
              <w:pStyle w:val="18"/>
              <w:rPr>
                <w:color w:val="auto"/>
              </w:rPr>
            </w:pPr>
            <w:r>
              <w:rPr>
                <w:rFonts w:hint="eastAsia"/>
                <w:color w:val="auto"/>
              </w:rPr>
              <w:t>2.复印确认</w:t>
            </w:r>
          </w:p>
          <w:p w14:paraId="0553DE33">
            <w:pPr>
              <w:pStyle w:val="18"/>
              <w:rPr>
                <w:color w:val="auto"/>
              </w:rPr>
            </w:pPr>
            <w:r>
              <w:rPr>
                <w:rFonts w:hint="eastAsia"/>
                <w:color w:val="auto"/>
              </w:rPr>
              <w:t>需支持对复印登记后已经出库完成的病案进行复印确认操作。</w:t>
            </w:r>
          </w:p>
          <w:p w14:paraId="7D7FFD07">
            <w:pPr>
              <w:pStyle w:val="18"/>
              <w:rPr>
                <w:color w:val="auto"/>
              </w:rPr>
            </w:pPr>
            <w:r>
              <w:rPr>
                <w:rFonts w:hint="eastAsia"/>
                <w:color w:val="auto"/>
              </w:rPr>
              <w:t>需支持通过复印状态进行申请复印病案信息筛选查询。</w:t>
            </w:r>
          </w:p>
          <w:p w14:paraId="321ADFB8">
            <w:pPr>
              <w:pStyle w:val="18"/>
              <w:rPr>
                <w:color w:val="auto"/>
              </w:rPr>
            </w:pPr>
            <w:r>
              <w:rPr>
                <w:rFonts w:hint="eastAsia"/>
                <w:color w:val="auto"/>
              </w:rPr>
              <w:t>需支持根据复印张数自动生成需缴金额。</w:t>
            </w:r>
          </w:p>
          <w:p w14:paraId="4C055828">
            <w:pPr>
              <w:pStyle w:val="18"/>
              <w:rPr>
                <w:color w:val="auto"/>
              </w:rPr>
            </w:pPr>
            <w:r>
              <w:rPr>
                <w:rFonts w:hint="eastAsia"/>
                <w:color w:val="auto"/>
              </w:rPr>
              <w:t>3.病案复印</w:t>
            </w:r>
          </w:p>
          <w:p w14:paraId="0413C6DC">
            <w:pPr>
              <w:pStyle w:val="18"/>
              <w:rPr>
                <w:color w:val="auto"/>
              </w:rPr>
            </w:pPr>
            <w:r>
              <w:rPr>
                <w:rFonts w:hint="eastAsia"/>
                <w:color w:val="auto"/>
              </w:rPr>
              <w:t>需支持对复印确认后的病案进行复印完成操作。</w:t>
            </w:r>
          </w:p>
          <w:p w14:paraId="05C08E9D">
            <w:pPr>
              <w:pStyle w:val="18"/>
              <w:rPr>
                <w:color w:val="auto"/>
              </w:rPr>
            </w:pPr>
            <w:r>
              <w:rPr>
                <w:rFonts w:hint="eastAsia"/>
                <w:color w:val="auto"/>
              </w:rPr>
              <w:t>需支持记录复印人、复印用途、复印内容等信息。</w:t>
            </w:r>
          </w:p>
          <w:p w14:paraId="472BC259">
            <w:pPr>
              <w:pStyle w:val="18"/>
              <w:rPr>
                <w:color w:val="auto"/>
              </w:rPr>
            </w:pPr>
            <w:r>
              <w:rPr>
                <w:rFonts w:hint="eastAsia"/>
                <w:color w:val="auto"/>
              </w:rPr>
              <w:t>需支持对复印和缴费完成后进行记录。</w:t>
            </w:r>
          </w:p>
          <w:p w14:paraId="74CBBBB4">
            <w:pPr>
              <w:pStyle w:val="18"/>
              <w:rPr>
                <w:color w:val="auto"/>
              </w:rPr>
            </w:pPr>
            <w:r>
              <w:rPr>
                <w:rFonts w:hint="eastAsia"/>
                <w:color w:val="auto"/>
              </w:rPr>
              <w:t>需支持按时间、复印状态等查询所复印病案的病案号、患者姓名、复印时间和复印内容。</w:t>
            </w:r>
          </w:p>
        </w:tc>
      </w:tr>
      <w:tr w14:paraId="0107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5906FD7">
            <w:pPr>
              <w:pStyle w:val="18"/>
              <w:jc w:val="center"/>
              <w:rPr>
                <w:b w:val="0"/>
                <w:color w:val="auto"/>
              </w:rPr>
            </w:pPr>
            <w:r>
              <w:rPr>
                <w:rFonts w:hint="eastAsia"/>
                <w:b w:val="0"/>
                <w:color w:val="auto"/>
              </w:rPr>
              <w:t>综合查询</w:t>
            </w:r>
          </w:p>
        </w:tc>
        <w:tc>
          <w:tcPr>
            <w:tcW w:w="6579" w:type="dxa"/>
            <w:vAlign w:val="center"/>
          </w:tcPr>
          <w:p w14:paraId="111F3DE9">
            <w:pPr>
              <w:pStyle w:val="18"/>
              <w:rPr>
                <w:color w:val="auto"/>
              </w:rPr>
            </w:pPr>
            <w:r>
              <w:rPr>
                <w:rFonts w:hint="eastAsia"/>
                <w:color w:val="auto"/>
              </w:rPr>
              <w:t>需支持对归档病案进行批量查询及筛查。</w:t>
            </w:r>
          </w:p>
          <w:p w14:paraId="7696CCF6">
            <w:pPr>
              <w:pStyle w:val="18"/>
              <w:rPr>
                <w:color w:val="auto"/>
              </w:rPr>
            </w:pPr>
            <w:r>
              <w:rPr>
                <w:rFonts w:hint="eastAsia"/>
                <w:color w:val="auto"/>
              </w:rPr>
              <w:t>需支持按照病案首页内项目任意组合进行相似病例的批量查询。</w:t>
            </w:r>
          </w:p>
          <w:p w14:paraId="1241F7D9">
            <w:pPr>
              <w:pStyle w:val="18"/>
              <w:rPr>
                <w:color w:val="auto"/>
              </w:rPr>
            </w:pPr>
            <w:r>
              <w:rPr>
                <w:rFonts w:hint="eastAsia"/>
                <w:color w:val="auto"/>
              </w:rPr>
              <w:t>需支持按照时间范围对查询范围进行限定。</w:t>
            </w:r>
          </w:p>
          <w:p w14:paraId="07CE0AB0">
            <w:pPr>
              <w:pStyle w:val="18"/>
              <w:rPr>
                <w:color w:val="auto"/>
              </w:rPr>
            </w:pPr>
            <w:r>
              <w:rPr>
                <w:rFonts w:hint="eastAsia"/>
                <w:color w:val="auto"/>
              </w:rPr>
              <w:t>需支持查询条件的“和”、“或”组合。</w:t>
            </w:r>
          </w:p>
          <w:p w14:paraId="067CC706">
            <w:pPr>
              <w:pStyle w:val="18"/>
              <w:rPr>
                <w:color w:val="auto"/>
              </w:rPr>
            </w:pPr>
            <w:r>
              <w:rPr>
                <w:rFonts w:hint="eastAsia"/>
                <w:color w:val="auto"/>
              </w:rPr>
              <w:t>需支持查询条件存为查询模板。</w:t>
            </w:r>
          </w:p>
          <w:p w14:paraId="7BEBF6C9">
            <w:pPr>
              <w:pStyle w:val="18"/>
              <w:rPr>
                <w:color w:val="auto"/>
              </w:rPr>
            </w:pPr>
            <w:r>
              <w:rPr>
                <w:rFonts w:hint="eastAsia"/>
                <w:color w:val="auto"/>
              </w:rPr>
              <w:t>支持查询模板编辑。</w:t>
            </w:r>
          </w:p>
          <w:p w14:paraId="26677368">
            <w:pPr>
              <w:pStyle w:val="18"/>
              <w:rPr>
                <w:color w:val="auto"/>
              </w:rPr>
            </w:pPr>
            <w:r>
              <w:rPr>
                <w:rFonts w:hint="eastAsia"/>
                <w:color w:val="auto"/>
              </w:rPr>
              <w:t>需支持查询结果显示列的设置。</w:t>
            </w:r>
          </w:p>
          <w:p w14:paraId="69C33651">
            <w:pPr>
              <w:pStyle w:val="18"/>
              <w:rPr>
                <w:color w:val="auto"/>
              </w:rPr>
            </w:pPr>
            <w:r>
              <w:rPr>
                <w:rFonts w:hint="eastAsia"/>
                <w:color w:val="auto"/>
              </w:rPr>
              <w:t>需支持查询内容导出为Excel文件。</w:t>
            </w:r>
          </w:p>
        </w:tc>
      </w:tr>
      <w:tr w14:paraId="3791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1F52B27">
            <w:pPr>
              <w:pStyle w:val="18"/>
              <w:jc w:val="center"/>
              <w:rPr>
                <w:b w:val="0"/>
                <w:color w:val="auto"/>
              </w:rPr>
            </w:pPr>
            <w:r>
              <w:rPr>
                <w:rFonts w:hint="eastAsia"/>
                <w:b w:val="0"/>
                <w:color w:val="auto"/>
              </w:rPr>
              <w:t>病案数据上报</w:t>
            </w:r>
          </w:p>
        </w:tc>
        <w:tc>
          <w:tcPr>
            <w:tcW w:w="6579" w:type="dxa"/>
            <w:vAlign w:val="center"/>
          </w:tcPr>
          <w:p w14:paraId="558543E5">
            <w:pPr>
              <w:pStyle w:val="18"/>
              <w:rPr>
                <w:color w:val="auto"/>
              </w:rPr>
            </w:pPr>
            <w:r>
              <w:rPr>
                <w:rFonts w:hint="eastAsia"/>
                <w:color w:val="auto"/>
              </w:rPr>
              <w:t>能够按照国家卫健委的上报要求的标准格式进行数据的收集整理和上报，如：国家卫统4-1、4-2病案首页数据上报、《公立中医医院绩效考核中医病案首页数据质量与接口标准（2020版）》上报、《绩效考核与医疗质量管理住院病案首页数据采集质量与接口标准（2020版）》数据上报。</w:t>
            </w:r>
          </w:p>
          <w:p w14:paraId="748A8D87">
            <w:pPr>
              <w:pStyle w:val="18"/>
              <w:rPr>
                <w:color w:val="auto"/>
              </w:rPr>
            </w:pPr>
            <w:r>
              <w:rPr>
                <w:rFonts w:hint="eastAsia"/>
                <w:color w:val="auto"/>
              </w:rPr>
              <w:t>1.卫统上报</w:t>
            </w:r>
          </w:p>
          <w:p w14:paraId="02647AC5">
            <w:pPr>
              <w:pStyle w:val="18"/>
              <w:rPr>
                <w:color w:val="auto"/>
              </w:rPr>
            </w:pPr>
            <w:r>
              <w:rPr>
                <w:rFonts w:hint="eastAsia"/>
                <w:color w:val="auto"/>
              </w:rPr>
              <w:t>需支持国家网络直报系统（卫统4-1，4-2表）上报。</w:t>
            </w:r>
          </w:p>
          <w:p w14:paraId="63C67B75">
            <w:pPr>
              <w:pStyle w:val="18"/>
              <w:rPr>
                <w:color w:val="auto"/>
              </w:rPr>
            </w:pPr>
            <w:r>
              <w:rPr>
                <w:rFonts w:hint="eastAsia"/>
                <w:color w:val="auto"/>
              </w:rPr>
              <w:t>需支持按时间、上报状态、上报类型进行数据筛选查询。</w:t>
            </w:r>
          </w:p>
          <w:p w14:paraId="507B1192">
            <w:pPr>
              <w:pStyle w:val="18"/>
              <w:rPr>
                <w:color w:val="auto"/>
              </w:rPr>
            </w:pPr>
            <w:r>
              <w:rPr>
                <w:rFonts w:hint="eastAsia"/>
                <w:color w:val="auto"/>
              </w:rPr>
              <w:t>需支持生成和导出卫统4-1，4-2表要求格式的文件，满足国家网络直报（卫统4-1，4-2表）的上报格式要求。</w:t>
            </w:r>
          </w:p>
          <w:p w14:paraId="1C5DE542">
            <w:pPr>
              <w:pStyle w:val="18"/>
              <w:rPr>
                <w:color w:val="auto"/>
              </w:rPr>
            </w:pPr>
            <w:r>
              <w:rPr>
                <w:rFonts w:hint="eastAsia"/>
                <w:color w:val="auto"/>
              </w:rPr>
              <w:t>2.HQMS上报</w:t>
            </w:r>
          </w:p>
          <w:p w14:paraId="5930D8EF">
            <w:pPr>
              <w:pStyle w:val="18"/>
              <w:rPr>
                <w:color w:val="auto"/>
              </w:rPr>
            </w:pPr>
            <w:r>
              <w:rPr>
                <w:rFonts w:hint="eastAsia"/>
                <w:color w:val="auto"/>
              </w:rPr>
              <w:t>系统根据HQMS上报要求，进行数据核查、字典对照和导出上报文件。上报前进行病案首页数据验证，包括必填项、技术通道、值域范围、接口标准、完整性的验证。诊断院内科室、手术、诊断等字典和上报要求标准字典进行对照设置，支持字典值名称相同，快速自动对照。</w:t>
            </w:r>
          </w:p>
          <w:p w14:paraId="41FF3F5C">
            <w:pPr>
              <w:pStyle w:val="18"/>
              <w:rPr>
                <w:color w:val="auto"/>
              </w:rPr>
            </w:pPr>
            <w:r>
              <w:rPr>
                <w:rFonts w:hint="eastAsia"/>
                <w:color w:val="auto"/>
              </w:rPr>
              <w:t>支持生成满足HQMS上报格式要求的DBF文件，进行导出。</w:t>
            </w:r>
          </w:p>
          <w:p w14:paraId="782E93E5">
            <w:pPr>
              <w:pStyle w:val="18"/>
              <w:rPr>
                <w:color w:val="auto"/>
              </w:rPr>
            </w:pPr>
            <w:r>
              <w:rPr>
                <w:rFonts w:hint="eastAsia"/>
                <w:color w:val="auto"/>
              </w:rPr>
              <w:t>需支持通过HQMS前置机，系统每天定时自动生成DBF文件。</w:t>
            </w:r>
          </w:p>
          <w:p w14:paraId="2DECB27A">
            <w:pPr>
              <w:pStyle w:val="18"/>
              <w:rPr>
                <w:color w:val="auto"/>
              </w:rPr>
            </w:pPr>
            <w:r>
              <w:rPr>
                <w:rFonts w:hint="eastAsia"/>
                <w:color w:val="auto"/>
              </w:rPr>
              <w:t>需支持指定定时上传的时间。</w:t>
            </w:r>
          </w:p>
          <w:p w14:paraId="6C87B694">
            <w:pPr>
              <w:pStyle w:val="18"/>
              <w:rPr>
                <w:color w:val="auto"/>
              </w:rPr>
            </w:pPr>
            <w:r>
              <w:rPr>
                <w:rFonts w:hint="eastAsia"/>
                <w:color w:val="auto"/>
              </w:rPr>
              <w:t>3.绩效考核上报</w:t>
            </w:r>
          </w:p>
          <w:p w14:paraId="2D7437D0">
            <w:pPr>
              <w:pStyle w:val="18"/>
              <w:rPr>
                <w:color w:val="auto"/>
              </w:rPr>
            </w:pPr>
            <w:r>
              <w:rPr>
                <w:rFonts w:hint="eastAsia"/>
                <w:color w:val="auto"/>
              </w:rPr>
              <w:t>系统根据绩效考核上报要求，进行数据核查、字典对照和导出上报文件。可以按院内麻醉方式、科室、诊断、手术等字典和上报要求标准字典进行对照设置，支持字典值名称相同，快速自动对照。能根据公立医院绩效考核中/西医首页上报规则要求进行病案首页数据校验。</w:t>
            </w:r>
          </w:p>
          <w:p w14:paraId="5E8DFDB4">
            <w:pPr>
              <w:pStyle w:val="18"/>
              <w:rPr>
                <w:color w:val="auto"/>
              </w:rPr>
            </w:pPr>
            <w:r>
              <w:rPr>
                <w:rFonts w:hint="eastAsia"/>
                <w:color w:val="auto"/>
              </w:rPr>
              <w:t>需支持导出上报要求的病案首页采集表（csv文件）、疾病诊断映射表（excel文件）、手术操作映射表（excel文件）、肿瘤形态学映射表（excel文件）。</w:t>
            </w:r>
          </w:p>
          <w:p w14:paraId="084AC5C0">
            <w:pPr>
              <w:pStyle w:val="18"/>
              <w:rPr>
                <w:color w:val="auto"/>
              </w:rPr>
            </w:pPr>
            <w:r>
              <w:rPr>
                <w:rFonts w:hint="eastAsia"/>
                <w:color w:val="auto"/>
              </w:rPr>
              <w:t>需支持通过HQMS前置机，导出的病案首页采集表进行自动上传。</w:t>
            </w:r>
          </w:p>
        </w:tc>
      </w:tr>
      <w:tr w14:paraId="1EE2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16D6E50">
            <w:pPr>
              <w:pStyle w:val="18"/>
              <w:jc w:val="center"/>
              <w:rPr>
                <w:b w:val="0"/>
                <w:color w:val="auto"/>
              </w:rPr>
            </w:pPr>
            <w:r>
              <w:rPr>
                <w:rFonts w:hint="eastAsia"/>
                <w:b w:val="0"/>
                <w:color w:val="auto"/>
              </w:rPr>
              <w:t>病案数据统计</w:t>
            </w:r>
          </w:p>
        </w:tc>
        <w:tc>
          <w:tcPr>
            <w:tcW w:w="6579" w:type="dxa"/>
            <w:vAlign w:val="center"/>
          </w:tcPr>
          <w:p w14:paraId="6E2DCA80">
            <w:pPr>
              <w:pStyle w:val="18"/>
              <w:rPr>
                <w:color w:val="auto"/>
              </w:rPr>
            </w:pPr>
            <w:r>
              <w:rPr>
                <w:rFonts w:hint="eastAsia"/>
                <w:color w:val="auto"/>
              </w:rPr>
              <w:t>1.归档率统计</w:t>
            </w:r>
          </w:p>
          <w:p w14:paraId="6DBE8FBA">
            <w:pPr>
              <w:pStyle w:val="18"/>
              <w:rPr>
                <w:color w:val="auto"/>
              </w:rPr>
            </w:pPr>
            <w:r>
              <w:rPr>
                <w:rFonts w:hint="eastAsia"/>
                <w:color w:val="auto"/>
              </w:rPr>
              <w:t>按照上报及管理要求，对病案归档情况进行统计。</w:t>
            </w:r>
          </w:p>
          <w:p w14:paraId="429CBCE5">
            <w:pPr>
              <w:pStyle w:val="18"/>
              <w:rPr>
                <w:color w:val="auto"/>
              </w:rPr>
            </w:pPr>
            <w:r>
              <w:rPr>
                <w:rFonts w:hint="eastAsia"/>
                <w:color w:val="auto"/>
              </w:rPr>
              <w:t>需支持按科室汇总统计病案归档数、归档率，逾期数、逾期率。</w:t>
            </w:r>
          </w:p>
          <w:p w14:paraId="12076D71">
            <w:pPr>
              <w:pStyle w:val="18"/>
              <w:rPr>
                <w:color w:val="auto"/>
              </w:rPr>
            </w:pPr>
            <w:r>
              <w:rPr>
                <w:rFonts w:hint="eastAsia"/>
                <w:color w:val="auto"/>
              </w:rPr>
              <w:t>需支持按科室统计未归档（未提交、已提交、签出、签收、整理、编码）及已归档病案首页合计。</w:t>
            </w:r>
          </w:p>
          <w:p w14:paraId="41FE5022">
            <w:pPr>
              <w:pStyle w:val="18"/>
              <w:rPr>
                <w:color w:val="auto"/>
              </w:rPr>
            </w:pPr>
            <w:r>
              <w:rPr>
                <w:rFonts w:hint="eastAsia"/>
                <w:color w:val="auto"/>
              </w:rPr>
              <w:t>需支持按科室统计归档情况的明细信息。</w:t>
            </w:r>
          </w:p>
          <w:p w14:paraId="5454F826">
            <w:pPr>
              <w:pStyle w:val="18"/>
              <w:rPr>
                <w:color w:val="auto"/>
              </w:rPr>
            </w:pPr>
            <w:r>
              <w:rPr>
                <w:rFonts w:hint="eastAsia"/>
                <w:color w:val="auto"/>
              </w:rPr>
              <w:t>2.手术类统计</w:t>
            </w:r>
          </w:p>
          <w:p w14:paraId="5AC0B4CD">
            <w:pPr>
              <w:pStyle w:val="18"/>
              <w:rPr>
                <w:color w:val="auto"/>
              </w:rPr>
            </w:pPr>
            <w:r>
              <w:rPr>
                <w:rFonts w:hint="eastAsia"/>
                <w:color w:val="auto"/>
              </w:rPr>
              <w:t>依据上报及管理要求，对院内手术进行多维度统计。</w:t>
            </w:r>
          </w:p>
          <w:p w14:paraId="2DE50500">
            <w:pPr>
              <w:pStyle w:val="18"/>
              <w:rPr>
                <w:color w:val="auto"/>
              </w:rPr>
            </w:pPr>
            <w:r>
              <w:rPr>
                <w:rFonts w:hint="eastAsia"/>
                <w:color w:val="auto"/>
              </w:rPr>
              <w:t>需支持统计住院手术患者手术质量情况。</w:t>
            </w:r>
          </w:p>
          <w:p w14:paraId="45FD9363">
            <w:pPr>
              <w:pStyle w:val="18"/>
              <w:rPr>
                <w:color w:val="auto"/>
              </w:rPr>
            </w:pPr>
            <w:r>
              <w:rPr>
                <w:rFonts w:hint="eastAsia"/>
                <w:color w:val="auto"/>
              </w:rPr>
              <w:t>需支持统计医院手术情况月报表，支持查询患者手术情况。</w:t>
            </w:r>
          </w:p>
          <w:p w14:paraId="2C0C1442">
            <w:pPr>
              <w:pStyle w:val="18"/>
              <w:rPr>
                <w:color w:val="auto"/>
              </w:rPr>
            </w:pPr>
            <w:r>
              <w:rPr>
                <w:rFonts w:hint="eastAsia"/>
                <w:color w:val="auto"/>
              </w:rPr>
              <w:t>需支持按月、季度、半年、年，统计住院患者手术情况。</w:t>
            </w:r>
          </w:p>
          <w:p w14:paraId="6671F2E7">
            <w:pPr>
              <w:pStyle w:val="18"/>
              <w:rPr>
                <w:color w:val="auto"/>
              </w:rPr>
            </w:pPr>
            <w:r>
              <w:rPr>
                <w:rFonts w:hint="eastAsia"/>
                <w:color w:val="auto"/>
              </w:rPr>
              <w:t>需支持统计住院患者主手术顺位信息。</w:t>
            </w:r>
          </w:p>
          <w:p w14:paraId="3C807A56">
            <w:pPr>
              <w:pStyle w:val="18"/>
              <w:rPr>
                <w:color w:val="auto"/>
              </w:rPr>
            </w:pPr>
            <w:r>
              <w:rPr>
                <w:rFonts w:hint="eastAsia"/>
                <w:color w:val="auto"/>
              </w:rPr>
              <w:t>需支持统计出院患者重点手术信息。</w:t>
            </w:r>
          </w:p>
          <w:p w14:paraId="27E1F6BB">
            <w:pPr>
              <w:pStyle w:val="18"/>
              <w:rPr>
                <w:color w:val="auto"/>
              </w:rPr>
            </w:pPr>
            <w:r>
              <w:rPr>
                <w:rFonts w:hint="eastAsia"/>
                <w:color w:val="auto"/>
              </w:rPr>
              <w:t>3.疾病类统计</w:t>
            </w:r>
          </w:p>
          <w:p w14:paraId="22C33455">
            <w:pPr>
              <w:pStyle w:val="18"/>
              <w:rPr>
                <w:color w:val="auto"/>
              </w:rPr>
            </w:pPr>
            <w:r>
              <w:rPr>
                <w:rFonts w:hint="eastAsia"/>
                <w:color w:val="auto"/>
              </w:rPr>
              <w:t>以疾病及诊断为主要依据对出院患者进行多维度统计。</w:t>
            </w:r>
          </w:p>
          <w:p w14:paraId="35BB76E6">
            <w:pPr>
              <w:pStyle w:val="18"/>
              <w:rPr>
                <w:color w:val="auto"/>
              </w:rPr>
            </w:pPr>
            <w:r>
              <w:rPr>
                <w:rFonts w:hint="eastAsia"/>
                <w:color w:val="auto"/>
              </w:rPr>
              <w:t>需支持按照疾病维度统计已归档病案疾病构成、转归及费用情况。</w:t>
            </w:r>
          </w:p>
          <w:p w14:paraId="73CD1D1C">
            <w:pPr>
              <w:pStyle w:val="18"/>
              <w:rPr>
                <w:color w:val="auto"/>
              </w:rPr>
            </w:pPr>
            <w:r>
              <w:rPr>
                <w:rFonts w:hint="eastAsia"/>
                <w:color w:val="auto"/>
              </w:rPr>
              <w:t>需支持统计死亡患者尸检信息。</w:t>
            </w:r>
          </w:p>
        </w:tc>
      </w:tr>
      <w:tr w14:paraId="18F6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82A6700">
            <w:pPr>
              <w:pStyle w:val="18"/>
              <w:jc w:val="center"/>
              <w:rPr>
                <w:b w:val="0"/>
                <w:color w:val="auto"/>
              </w:rPr>
            </w:pPr>
            <w:r>
              <w:rPr>
                <w:rFonts w:hint="eastAsia"/>
                <w:b w:val="0"/>
                <w:color w:val="auto"/>
              </w:rPr>
              <w:t>病案首页评分</w:t>
            </w:r>
          </w:p>
        </w:tc>
        <w:tc>
          <w:tcPr>
            <w:tcW w:w="6579" w:type="dxa"/>
            <w:vAlign w:val="center"/>
          </w:tcPr>
          <w:p w14:paraId="0DBE5ED8">
            <w:pPr>
              <w:pStyle w:val="18"/>
              <w:rPr>
                <w:color w:val="auto"/>
              </w:rPr>
            </w:pPr>
            <w:r>
              <w:rPr>
                <w:rFonts w:hint="eastAsia"/>
                <w:color w:val="auto"/>
              </w:rPr>
              <w:t>按照《病案首页填写规范评分标准》、形成评分规则，能够根据首页录入内容自动进行完整性、准确性评分，支持评分详情查看、支持与质控知识库绑定，实现对病案首页多维度从严把控。</w:t>
            </w:r>
          </w:p>
          <w:p w14:paraId="5B49310D">
            <w:pPr>
              <w:pStyle w:val="18"/>
              <w:rPr>
                <w:color w:val="auto"/>
              </w:rPr>
            </w:pPr>
            <w:r>
              <w:rPr>
                <w:rFonts w:hint="eastAsia"/>
                <w:color w:val="auto"/>
              </w:rPr>
              <w:t>需支持按照出院日期、科室、评分状态对病案首页评分状况进行查看。</w:t>
            </w:r>
          </w:p>
          <w:p w14:paraId="21EB9C7C">
            <w:pPr>
              <w:pStyle w:val="18"/>
              <w:rPr>
                <w:color w:val="auto"/>
              </w:rPr>
            </w:pPr>
            <w:r>
              <w:rPr>
                <w:rFonts w:hint="eastAsia"/>
                <w:color w:val="auto"/>
              </w:rPr>
              <w:t>需支持病案室管理端对病案首页的自动评分。</w:t>
            </w:r>
          </w:p>
          <w:p w14:paraId="66DF15F0">
            <w:pPr>
              <w:pStyle w:val="18"/>
              <w:rPr>
                <w:color w:val="auto"/>
              </w:rPr>
            </w:pPr>
            <w:r>
              <w:rPr>
                <w:rFonts w:hint="eastAsia"/>
                <w:color w:val="auto"/>
              </w:rPr>
              <w:t>需支持人工审核及修改病案首页评分及扣分原因录入，人工评分后手动触发系统自动评分。</w:t>
            </w:r>
          </w:p>
          <w:p w14:paraId="175990AD">
            <w:pPr>
              <w:pStyle w:val="18"/>
              <w:rPr>
                <w:color w:val="auto"/>
              </w:rPr>
            </w:pPr>
            <w:r>
              <w:rPr>
                <w:rFonts w:hint="eastAsia"/>
                <w:color w:val="auto"/>
              </w:rPr>
              <w:t>需支持根据医院设置进行首页评分等级的自动显示。</w:t>
            </w:r>
          </w:p>
          <w:p w14:paraId="620FF352">
            <w:pPr>
              <w:pStyle w:val="18"/>
              <w:rPr>
                <w:color w:val="auto"/>
              </w:rPr>
            </w:pPr>
            <w:r>
              <w:rPr>
                <w:rFonts w:hint="eastAsia"/>
                <w:color w:val="auto"/>
              </w:rPr>
              <w:t>需支持病案首页评分页面内的全病历浏览。</w:t>
            </w:r>
          </w:p>
        </w:tc>
      </w:tr>
    </w:tbl>
    <w:p w14:paraId="40B310AB">
      <w:pPr>
        <w:pStyle w:val="4"/>
        <w:numPr>
          <w:ilvl w:val="1"/>
          <w:numId w:val="0"/>
        </w:numPr>
        <w:ind w:left="576" w:leftChars="0" w:hanging="576" w:firstLineChars="0"/>
        <w:rPr>
          <w:color w:val="auto"/>
        </w:rPr>
      </w:pPr>
      <w:bookmarkStart w:id="162" w:name="_Toc208646541"/>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.19</w:t>
      </w:r>
      <w:r>
        <w:rPr>
          <w:rFonts w:hint="eastAsia"/>
          <w:color w:val="auto"/>
        </w:rPr>
        <w:t>危急值管理系统</w:t>
      </w:r>
      <w:bookmarkEnd w:id="162"/>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15FE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30934D55">
            <w:pPr>
              <w:pStyle w:val="18"/>
              <w:jc w:val="center"/>
              <w:rPr>
                <w:b w:val="0"/>
                <w:color w:val="auto"/>
              </w:rPr>
            </w:pPr>
            <w:r>
              <w:rPr>
                <w:rFonts w:hint="eastAsia"/>
                <w:b/>
                <w:color w:val="auto"/>
              </w:rPr>
              <w:t>系统名称</w:t>
            </w:r>
          </w:p>
        </w:tc>
        <w:tc>
          <w:tcPr>
            <w:tcW w:w="6579" w:type="dxa"/>
            <w:shd w:val="clear" w:color="auto" w:fill="BEBEBE" w:themeFill="background1" w:themeFillShade="BF"/>
            <w:vAlign w:val="center"/>
          </w:tcPr>
          <w:p w14:paraId="1E0A8E39">
            <w:pPr>
              <w:pStyle w:val="18"/>
              <w:rPr>
                <w:b/>
                <w:color w:val="auto"/>
              </w:rPr>
            </w:pPr>
            <w:r>
              <w:rPr>
                <w:rFonts w:hint="eastAsia"/>
                <w:b/>
                <w:color w:val="auto"/>
              </w:rPr>
              <w:t>危急值管理系统</w:t>
            </w:r>
          </w:p>
        </w:tc>
      </w:tr>
      <w:tr w14:paraId="7535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D01F687">
            <w:pPr>
              <w:pStyle w:val="18"/>
              <w:jc w:val="center"/>
              <w:rPr>
                <w:b/>
                <w:bCs/>
                <w:color w:val="auto"/>
              </w:rPr>
            </w:pPr>
            <w:r>
              <w:rPr>
                <w:rFonts w:hint="eastAsia"/>
                <w:b/>
                <w:bCs/>
                <w:color w:val="auto"/>
              </w:rPr>
              <w:t>系统概述</w:t>
            </w:r>
          </w:p>
        </w:tc>
        <w:tc>
          <w:tcPr>
            <w:tcW w:w="6579" w:type="dxa"/>
            <w:vAlign w:val="center"/>
          </w:tcPr>
          <w:p w14:paraId="7F5B8623">
            <w:pPr>
              <w:pStyle w:val="18"/>
              <w:rPr>
                <w:color w:val="auto"/>
              </w:rPr>
            </w:pPr>
            <w:r>
              <w:rPr>
                <w:rFonts w:hint="eastAsia"/>
                <w:color w:val="auto"/>
              </w:rPr>
              <w:t>临床危急值是涉及医疗安全的关键内容，一旦在检验检查结果中出现危急值，需要医技部门及时反馈给临床医生，迅速给予患者有效的干预和治疗。建设危急值闭环管理流程，完成从危急值发现、审核确认、危急值发布、医生紧急处置、反馈的全闭环管理，确保在危急值工作流的每个环节都能够及时处理，危急值信息能够在第一时间通知到责任医生。通过流程的闭环管理，质控部门能够全面掌握危急值工作流环节的各个节点信息，有效加大监管力度。</w:t>
            </w:r>
          </w:p>
        </w:tc>
      </w:tr>
      <w:tr w14:paraId="7837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DC0E84C">
            <w:pPr>
              <w:pStyle w:val="18"/>
              <w:jc w:val="center"/>
              <w:rPr>
                <w:b/>
                <w:bCs/>
                <w:color w:val="auto"/>
              </w:rPr>
            </w:pPr>
            <w:r>
              <w:rPr>
                <w:rFonts w:hint="eastAsia"/>
                <w:b/>
                <w:bCs/>
                <w:color w:val="auto"/>
              </w:rPr>
              <w:t>子项名称</w:t>
            </w:r>
          </w:p>
        </w:tc>
        <w:tc>
          <w:tcPr>
            <w:tcW w:w="6579" w:type="dxa"/>
            <w:vAlign w:val="center"/>
          </w:tcPr>
          <w:p w14:paraId="5C9C6E12">
            <w:pPr>
              <w:pStyle w:val="18"/>
              <w:jc w:val="center"/>
              <w:rPr>
                <w:b/>
                <w:bCs/>
                <w:color w:val="auto"/>
              </w:rPr>
            </w:pPr>
            <w:r>
              <w:rPr>
                <w:rFonts w:hint="eastAsia"/>
                <w:b/>
                <w:bCs/>
                <w:color w:val="auto"/>
              </w:rPr>
              <w:t>技术和功能配置要求</w:t>
            </w:r>
          </w:p>
        </w:tc>
      </w:tr>
      <w:tr w14:paraId="5E4A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53B2D49">
            <w:pPr>
              <w:pStyle w:val="18"/>
              <w:jc w:val="center"/>
              <w:rPr>
                <w:b w:val="0"/>
                <w:color w:val="auto"/>
              </w:rPr>
            </w:pPr>
            <w:r>
              <w:rPr>
                <w:rFonts w:hint="eastAsia"/>
                <w:b w:val="0"/>
                <w:color w:val="auto"/>
              </w:rPr>
              <w:t>危急值上报</w:t>
            </w:r>
          </w:p>
        </w:tc>
        <w:tc>
          <w:tcPr>
            <w:tcW w:w="6579" w:type="dxa"/>
            <w:vAlign w:val="center"/>
          </w:tcPr>
          <w:p w14:paraId="4A44EFA8">
            <w:pPr>
              <w:pStyle w:val="18"/>
              <w:rPr>
                <w:color w:val="auto"/>
              </w:rPr>
            </w:pPr>
            <w:r>
              <w:rPr>
                <w:rFonts w:hint="eastAsia"/>
                <w:color w:val="auto"/>
              </w:rPr>
              <w:t>危急值管理支持危急值上报终端维护，支持全类目的检查、检验危急值上报。</w:t>
            </w:r>
          </w:p>
          <w:p w14:paraId="51AAEB54">
            <w:pPr>
              <w:pStyle w:val="18"/>
              <w:rPr>
                <w:color w:val="auto"/>
              </w:rPr>
            </w:pPr>
            <w:r>
              <w:rPr>
                <w:rFonts w:hint="eastAsia"/>
                <w:color w:val="auto"/>
              </w:rPr>
              <w:t>检验：常规检验、微生物检验；</w:t>
            </w:r>
          </w:p>
          <w:p w14:paraId="2512D38D">
            <w:pPr>
              <w:pStyle w:val="18"/>
              <w:rPr>
                <w:color w:val="auto"/>
              </w:rPr>
            </w:pPr>
            <w:r>
              <w:rPr>
                <w:rFonts w:hint="eastAsia"/>
                <w:color w:val="auto"/>
              </w:rPr>
              <w:t>检查：CT、超声、X线、DR、MRI、病理、心电、核磁、脑电。</w:t>
            </w:r>
          </w:p>
        </w:tc>
      </w:tr>
      <w:tr w14:paraId="7706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FFBB433">
            <w:pPr>
              <w:pStyle w:val="18"/>
              <w:jc w:val="center"/>
              <w:rPr>
                <w:b w:val="0"/>
                <w:color w:val="auto"/>
              </w:rPr>
            </w:pPr>
            <w:r>
              <w:rPr>
                <w:rFonts w:hint="eastAsia"/>
                <w:b w:val="0"/>
                <w:color w:val="auto"/>
              </w:rPr>
              <w:t>危急值提醒</w:t>
            </w:r>
          </w:p>
        </w:tc>
        <w:tc>
          <w:tcPr>
            <w:tcW w:w="6579" w:type="dxa"/>
            <w:vAlign w:val="center"/>
          </w:tcPr>
          <w:p w14:paraId="263CEBBC">
            <w:pPr>
              <w:pStyle w:val="18"/>
              <w:rPr>
                <w:color w:val="auto"/>
              </w:rPr>
            </w:pPr>
            <w:r>
              <w:rPr>
                <w:rFonts w:hint="eastAsia"/>
                <w:color w:val="auto"/>
              </w:rPr>
              <w:t>危急值管理支持终端上报危急值后，按照既定的危急值提醒规则通报相关医生护士，以霸屏的方式阻断危急值通知医护人员的工作站，强制医生、护士第一时间进行危急值查看和处理，提高危急值响应速率，保证医疗安全。如果一级设定的医护人员没有第一时间响应危急值提醒并处理，系统会根据既定的提醒规则升级提醒，可定制化设定危急值提醒升级时间和提醒范围，支持定制化指定危急值处理小组人员进行危急值专项处理。</w:t>
            </w:r>
          </w:p>
          <w:p w14:paraId="0A2C51A8">
            <w:pPr>
              <w:pStyle w:val="18"/>
              <w:rPr>
                <w:color w:val="auto"/>
              </w:rPr>
            </w:pPr>
            <w:r>
              <w:rPr>
                <w:rFonts w:hint="eastAsia"/>
                <w:color w:val="auto"/>
              </w:rPr>
              <w:t>危急值管理支持按照科室定制化维护危急值提醒规则，可设置四级提醒模式，每级提醒可选择维护也可以定制化维护，以及升级提醒时限，如对接短信平台还可通过危急值系统设定是否开通短信提醒。</w:t>
            </w:r>
          </w:p>
          <w:p w14:paraId="61456302">
            <w:pPr>
              <w:pStyle w:val="18"/>
              <w:rPr>
                <w:color w:val="auto"/>
              </w:rPr>
            </w:pPr>
            <w:r>
              <w:rPr>
                <w:rFonts w:hint="eastAsia"/>
                <w:color w:val="auto"/>
              </w:rPr>
              <w:t>危急值一级提醒：</w:t>
            </w:r>
          </w:p>
          <w:p w14:paraId="3DF440C8">
            <w:pPr>
              <w:pStyle w:val="18"/>
              <w:rPr>
                <w:color w:val="auto"/>
              </w:rPr>
            </w:pPr>
            <w:r>
              <w:rPr>
                <w:rFonts w:hint="eastAsia"/>
                <w:color w:val="auto"/>
              </w:rPr>
              <w:t>门诊：支持选择通知开单医生、挂号医生，可维护是否开通短信提醒；</w:t>
            </w:r>
          </w:p>
          <w:p w14:paraId="5E661890">
            <w:pPr>
              <w:pStyle w:val="18"/>
              <w:rPr>
                <w:color w:val="auto"/>
              </w:rPr>
            </w:pPr>
            <w:r>
              <w:rPr>
                <w:rFonts w:hint="eastAsia"/>
                <w:color w:val="auto"/>
              </w:rPr>
              <w:t>住院：支持选择通知开单医生、责任医生、责任护士，可维护是否开通短信提醒。</w:t>
            </w:r>
          </w:p>
          <w:p w14:paraId="0DC93956">
            <w:pPr>
              <w:pStyle w:val="18"/>
              <w:rPr>
                <w:color w:val="auto"/>
              </w:rPr>
            </w:pPr>
            <w:r>
              <w:rPr>
                <w:rFonts w:hint="eastAsia"/>
                <w:color w:val="auto"/>
              </w:rPr>
              <w:t>危急值二级提醒：</w:t>
            </w:r>
          </w:p>
          <w:p w14:paraId="7BA956BB">
            <w:pPr>
              <w:pStyle w:val="18"/>
              <w:rPr>
                <w:color w:val="auto"/>
              </w:rPr>
            </w:pPr>
            <w:r>
              <w:rPr>
                <w:rFonts w:hint="eastAsia"/>
                <w:color w:val="auto"/>
              </w:rPr>
              <w:t>门诊：支持选择通知全科医生、支持指定医护人员（精确到人或者组，门诊此场景可指定门诊护士组，已达到危急值提醒通知到门诊护士的目的），可维护是否开通短信提醒；</w:t>
            </w:r>
          </w:p>
          <w:p w14:paraId="2A713082">
            <w:pPr>
              <w:pStyle w:val="18"/>
              <w:rPr>
                <w:color w:val="auto"/>
              </w:rPr>
            </w:pPr>
            <w:r>
              <w:rPr>
                <w:rFonts w:hint="eastAsia"/>
                <w:color w:val="auto"/>
              </w:rPr>
              <w:t>住院：支持选择通知全科医生、全病区护士、责任医生所在医疗组、支持指定医护人员（精确到人或者组，住院此场景可用于指定科室危急值处理小组，提升危急值处理效率），可维护是否开通短信提醒。</w:t>
            </w:r>
          </w:p>
          <w:p w14:paraId="535EA658">
            <w:pPr>
              <w:pStyle w:val="18"/>
              <w:rPr>
                <w:color w:val="auto"/>
              </w:rPr>
            </w:pPr>
            <w:r>
              <w:rPr>
                <w:rFonts w:hint="eastAsia"/>
                <w:color w:val="auto"/>
              </w:rPr>
              <w:t>危急值三级提醒：</w:t>
            </w:r>
          </w:p>
          <w:p w14:paraId="712063DE">
            <w:pPr>
              <w:pStyle w:val="18"/>
              <w:rPr>
                <w:color w:val="auto"/>
              </w:rPr>
            </w:pPr>
            <w:r>
              <w:rPr>
                <w:rFonts w:hint="eastAsia"/>
                <w:color w:val="auto"/>
              </w:rPr>
              <w:t>支持选择通知到科主任及副主任级别管理者，可以设置一人或多人，可维护是否开通短信提醒。</w:t>
            </w:r>
          </w:p>
          <w:p w14:paraId="02A43D0E">
            <w:pPr>
              <w:pStyle w:val="18"/>
              <w:rPr>
                <w:color w:val="auto"/>
              </w:rPr>
            </w:pPr>
            <w:r>
              <w:rPr>
                <w:rFonts w:hint="eastAsia"/>
                <w:color w:val="auto"/>
              </w:rPr>
              <w:t>危急值四级提醒：</w:t>
            </w:r>
          </w:p>
          <w:p w14:paraId="71C6E9DF">
            <w:pPr>
              <w:pStyle w:val="18"/>
              <w:rPr>
                <w:color w:val="auto"/>
              </w:rPr>
            </w:pPr>
            <w:r>
              <w:rPr>
                <w:rFonts w:hint="eastAsia"/>
                <w:color w:val="auto"/>
              </w:rPr>
              <w:t>危急值四级提醒为终极提醒，支持扩展按照时间无限升级。支持选择通知到医务科或分管副院长，可灵活维护可设置一人或多人。如医院采购滚动大屏可支持投屏提醒，可维护是否开通短信提醒。</w:t>
            </w:r>
          </w:p>
        </w:tc>
      </w:tr>
      <w:tr w14:paraId="2D46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1DE3B12">
            <w:pPr>
              <w:pStyle w:val="18"/>
              <w:jc w:val="center"/>
              <w:rPr>
                <w:b w:val="0"/>
                <w:color w:val="auto"/>
              </w:rPr>
            </w:pPr>
            <w:r>
              <w:rPr>
                <w:rFonts w:hint="eastAsia"/>
                <w:b w:val="0"/>
                <w:color w:val="auto"/>
              </w:rPr>
              <w:t>危急值查看</w:t>
            </w:r>
          </w:p>
        </w:tc>
        <w:tc>
          <w:tcPr>
            <w:tcW w:w="6579" w:type="dxa"/>
            <w:vAlign w:val="center"/>
          </w:tcPr>
          <w:p w14:paraId="258D0007">
            <w:pPr>
              <w:pStyle w:val="18"/>
              <w:rPr>
                <w:color w:val="auto"/>
              </w:rPr>
            </w:pPr>
            <w:r>
              <w:rPr>
                <w:rFonts w:hint="eastAsia"/>
                <w:color w:val="auto"/>
              </w:rPr>
              <w:t>危急值管理支持危急值历史数据查询，可按照时间段、患者、上报终端、处理医生、科室、医疗组、处理状态查询全院危急值历史数据，可按照多个检索维度排序，支持分页。 支持选择某条危急值查看危急值详细信息，可查看患者基本信息、患者诊断、危急值基本信息、危急值闭环情况及危急值处理方案。支持查看危急值项目的检查、检验报告单详情。</w:t>
            </w:r>
          </w:p>
        </w:tc>
      </w:tr>
      <w:tr w14:paraId="1741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E892E42">
            <w:pPr>
              <w:pStyle w:val="18"/>
              <w:jc w:val="center"/>
              <w:rPr>
                <w:b w:val="0"/>
                <w:color w:val="auto"/>
              </w:rPr>
            </w:pPr>
            <w:r>
              <w:rPr>
                <w:rFonts w:hint="eastAsia"/>
                <w:b w:val="0"/>
                <w:color w:val="auto"/>
              </w:rPr>
              <w:t>危急值处理</w:t>
            </w:r>
          </w:p>
        </w:tc>
        <w:tc>
          <w:tcPr>
            <w:tcW w:w="6579" w:type="dxa"/>
            <w:vAlign w:val="center"/>
          </w:tcPr>
          <w:p w14:paraId="3FC05911">
            <w:pPr>
              <w:pStyle w:val="18"/>
              <w:rPr>
                <w:color w:val="auto"/>
              </w:rPr>
            </w:pPr>
            <w:r>
              <w:rPr>
                <w:rFonts w:hint="eastAsia"/>
                <w:color w:val="auto"/>
              </w:rPr>
              <w:t>危急值管理需支持医生端危急值处理，危急值处理可展示患者基本信息（包含患者诊断信息），危急值基本信息，危急值状态展示。</w:t>
            </w:r>
          </w:p>
          <w:p w14:paraId="5125B8C4">
            <w:pPr>
              <w:pStyle w:val="18"/>
              <w:rPr>
                <w:color w:val="auto"/>
              </w:rPr>
            </w:pPr>
            <w:r>
              <w:rPr>
                <w:rFonts w:hint="eastAsia"/>
                <w:color w:val="auto"/>
              </w:rPr>
              <w:t>系统需支持关联查新危急值产生的检查、检验报告单信息。可按照科室及危机值项目关联科室常用危急值处理方案，支持医生一键危急值处理方案录入，减少手动录入，提高危急值处理效率。</w:t>
            </w:r>
          </w:p>
          <w:p w14:paraId="2F2E1E02">
            <w:pPr>
              <w:pStyle w:val="18"/>
              <w:rPr>
                <w:color w:val="auto"/>
              </w:rPr>
            </w:pPr>
            <w:r>
              <w:rPr>
                <w:rFonts w:hint="eastAsia"/>
                <w:color w:val="auto"/>
              </w:rPr>
              <w:t>危急值处理功能可通过配置设定为护士开放危急值处理功能，否则护士仅有查看权限。</w:t>
            </w:r>
          </w:p>
        </w:tc>
      </w:tr>
      <w:tr w14:paraId="2D1B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75F9C98">
            <w:pPr>
              <w:pStyle w:val="18"/>
              <w:jc w:val="center"/>
              <w:rPr>
                <w:b w:val="0"/>
                <w:color w:val="auto"/>
              </w:rPr>
            </w:pPr>
            <w:r>
              <w:rPr>
                <w:rFonts w:hint="eastAsia"/>
                <w:b w:val="0"/>
                <w:color w:val="auto"/>
              </w:rPr>
              <w:t>危急值</w:t>
            </w:r>
          </w:p>
          <w:p w14:paraId="0A075BE6">
            <w:pPr>
              <w:pStyle w:val="18"/>
              <w:jc w:val="center"/>
              <w:rPr>
                <w:b w:val="0"/>
                <w:color w:val="auto"/>
              </w:rPr>
            </w:pPr>
            <w:r>
              <w:rPr>
                <w:rFonts w:hint="eastAsia"/>
                <w:b w:val="0"/>
                <w:color w:val="auto"/>
              </w:rPr>
              <w:t>病程同步</w:t>
            </w:r>
          </w:p>
        </w:tc>
        <w:tc>
          <w:tcPr>
            <w:tcW w:w="6579" w:type="dxa"/>
            <w:vAlign w:val="center"/>
          </w:tcPr>
          <w:p w14:paraId="575D3083">
            <w:pPr>
              <w:pStyle w:val="18"/>
              <w:rPr>
                <w:color w:val="auto"/>
              </w:rPr>
            </w:pPr>
            <w:r>
              <w:rPr>
                <w:rFonts w:hint="eastAsia"/>
                <w:color w:val="auto"/>
              </w:rPr>
              <w:t>危急值管理支持与电子病历系统对接，医生在接收到患者危急值信息并处理完成后，可进入病程系统为患者创建危急值病程，危急值病程编写过程中可以直接引入患者危急值信息及危急值处理方案，简化医生操作，避免危急值处理方案重复录入。同时支持闭环回写，医生保存病程并签名生效后，危急值系统支持同步病程录入状态，记录危急值病程签名医生及危急值病程创建时间。</w:t>
            </w:r>
          </w:p>
        </w:tc>
      </w:tr>
      <w:tr w14:paraId="43FD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0E87D0C">
            <w:pPr>
              <w:pStyle w:val="18"/>
              <w:jc w:val="center"/>
              <w:rPr>
                <w:b w:val="0"/>
                <w:color w:val="auto"/>
              </w:rPr>
            </w:pPr>
            <w:r>
              <w:rPr>
                <w:rFonts w:hint="eastAsia"/>
                <w:b w:val="0"/>
                <w:color w:val="auto"/>
              </w:rPr>
              <w:t>危急值</w:t>
            </w:r>
          </w:p>
          <w:p w14:paraId="7211D401">
            <w:pPr>
              <w:pStyle w:val="18"/>
              <w:jc w:val="center"/>
              <w:rPr>
                <w:b w:val="0"/>
                <w:color w:val="auto"/>
              </w:rPr>
            </w:pPr>
            <w:r>
              <w:rPr>
                <w:rFonts w:hint="eastAsia"/>
                <w:b w:val="0"/>
                <w:color w:val="auto"/>
              </w:rPr>
              <w:t>闭环展示</w:t>
            </w:r>
          </w:p>
        </w:tc>
        <w:tc>
          <w:tcPr>
            <w:tcW w:w="6579" w:type="dxa"/>
            <w:vAlign w:val="center"/>
          </w:tcPr>
          <w:p w14:paraId="30FF0F5E">
            <w:pPr>
              <w:pStyle w:val="18"/>
              <w:rPr>
                <w:color w:val="auto"/>
              </w:rPr>
            </w:pPr>
            <w:r>
              <w:rPr>
                <w:rFonts w:hint="eastAsia"/>
                <w:color w:val="auto"/>
              </w:rPr>
              <w:t>危急值管理应满足《电子病历系统应用水平分级评价标准》（试行）评审要求，支持检查、检验危急值闭环展示，支持病程同步。危急值业务全流程可追溯，由危急值发生、审核、发送、接收、处理、确认到危急值病程同步，均记录相关责任人、操作时间、操作科室信息。危急值发送医护信息、接收医护信息全数据保存。可辅助医疗责任划分、医疗事故调查、保障医疗安全。</w:t>
            </w:r>
          </w:p>
        </w:tc>
      </w:tr>
      <w:tr w14:paraId="0A95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BAB8B7E">
            <w:pPr>
              <w:pStyle w:val="18"/>
              <w:jc w:val="center"/>
              <w:rPr>
                <w:b w:val="0"/>
                <w:color w:val="auto"/>
              </w:rPr>
            </w:pPr>
            <w:r>
              <w:rPr>
                <w:rFonts w:hint="eastAsia"/>
                <w:b w:val="0"/>
                <w:color w:val="auto"/>
              </w:rPr>
              <w:t>危急值</w:t>
            </w:r>
          </w:p>
          <w:p w14:paraId="2F1351FE">
            <w:pPr>
              <w:pStyle w:val="18"/>
              <w:jc w:val="center"/>
              <w:rPr>
                <w:b w:val="0"/>
                <w:color w:val="auto"/>
              </w:rPr>
            </w:pPr>
            <w:r>
              <w:rPr>
                <w:rFonts w:hint="eastAsia"/>
                <w:b w:val="0"/>
                <w:color w:val="auto"/>
              </w:rPr>
              <w:t>统计分析</w:t>
            </w:r>
          </w:p>
        </w:tc>
        <w:tc>
          <w:tcPr>
            <w:tcW w:w="6579" w:type="dxa"/>
            <w:vAlign w:val="center"/>
          </w:tcPr>
          <w:p w14:paraId="133D426F">
            <w:pPr>
              <w:pStyle w:val="18"/>
              <w:rPr>
                <w:color w:val="auto"/>
              </w:rPr>
            </w:pPr>
            <w:r>
              <w:rPr>
                <w:rFonts w:hint="eastAsia"/>
                <w:color w:val="auto"/>
              </w:rPr>
              <w:t>危急值管理提供详尽的危急值数据分析，危急值处理历史查询，提供全院（院区）级、科室级危急值数据统计展示：</w:t>
            </w:r>
          </w:p>
          <w:p w14:paraId="302A68E7">
            <w:pPr>
              <w:pStyle w:val="18"/>
              <w:rPr>
                <w:color w:val="auto"/>
              </w:rPr>
            </w:pPr>
            <w:r>
              <w:rPr>
                <w:rFonts w:hint="eastAsia"/>
                <w:color w:val="auto"/>
              </w:rPr>
              <w:t>1.全院</w:t>
            </w:r>
          </w:p>
          <w:p w14:paraId="660731D1">
            <w:pPr>
              <w:pStyle w:val="18"/>
              <w:rPr>
                <w:color w:val="auto"/>
              </w:rPr>
            </w:pPr>
            <w:r>
              <w:rPr>
                <w:rFonts w:hint="eastAsia"/>
                <w:color w:val="auto"/>
              </w:rPr>
              <w:t>支持按照时间段、上报终端、就诊类型、院区查询危急值统计信息。如下每一个展示项支持进入详情查询支持全院维度的危急值分析查询。</w:t>
            </w:r>
          </w:p>
          <w:p w14:paraId="3D0F1F34">
            <w:pPr>
              <w:pStyle w:val="18"/>
              <w:rPr>
                <w:color w:val="auto"/>
              </w:rPr>
            </w:pPr>
            <w:r>
              <w:rPr>
                <w:rFonts w:hint="eastAsia"/>
                <w:color w:val="auto"/>
              </w:rPr>
              <w:t>危急值数量统计：查询条件范围内的已经接入危急值管理的终端系统类型及对应发布到危急值的数量统计。查询条件范围内的已处理危急值总数、未接收危急值总数、已接受未处理的危急值总数。</w:t>
            </w:r>
          </w:p>
          <w:p w14:paraId="082CE689">
            <w:pPr>
              <w:pStyle w:val="18"/>
              <w:rPr>
                <w:color w:val="auto"/>
              </w:rPr>
            </w:pPr>
            <w:r>
              <w:rPr>
                <w:rFonts w:hint="eastAsia"/>
                <w:color w:val="auto"/>
              </w:rPr>
              <w:t>危急值分布统计：查询条件范围内的危急值临床分布，支持门诊科室、住院科室、病区切换显示。</w:t>
            </w:r>
          </w:p>
          <w:p w14:paraId="3D94C4AD">
            <w:pPr>
              <w:pStyle w:val="18"/>
              <w:rPr>
                <w:color w:val="auto"/>
              </w:rPr>
            </w:pPr>
            <w:r>
              <w:rPr>
                <w:rFonts w:hint="eastAsia"/>
                <w:color w:val="auto"/>
              </w:rPr>
              <w:t>危急值处理及时率统计：查询条件范围内的已处理危急值的及时、超时情况统计，支持科室、病区切换显示。</w:t>
            </w:r>
          </w:p>
          <w:p w14:paraId="0F49EF73">
            <w:pPr>
              <w:pStyle w:val="18"/>
              <w:rPr>
                <w:color w:val="auto"/>
              </w:rPr>
            </w:pPr>
            <w:r>
              <w:rPr>
                <w:rFonts w:hint="eastAsia"/>
                <w:color w:val="auto"/>
              </w:rPr>
              <w:t>危急值通报率、通报及时率统计：查询条件范围内的终端系统危急值通报率和通报及时率的统计，这里通报及时率的统计标准与国家要求一致，即危急值发生到危急值通报发送不得超过15分钟。</w:t>
            </w:r>
          </w:p>
          <w:p w14:paraId="2273D703">
            <w:pPr>
              <w:pStyle w:val="18"/>
              <w:rPr>
                <w:color w:val="auto"/>
              </w:rPr>
            </w:pPr>
            <w:r>
              <w:rPr>
                <w:rFonts w:hint="eastAsia"/>
                <w:color w:val="auto"/>
              </w:rPr>
              <w:t>危急值排行榜：查询条件范围内的危机值总数、已处理、处理率、处理及时率、总数占比按照科室、病区排行统计。</w:t>
            </w:r>
          </w:p>
          <w:p w14:paraId="510C4576">
            <w:pPr>
              <w:pStyle w:val="18"/>
              <w:rPr>
                <w:color w:val="auto"/>
              </w:rPr>
            </w:pPr>
            <w:r>
              <w:rPr>
                <w:rFonts w:hint="eastAsia"/>
                <w:color w:val="auto"/>
              </w:rPr>
              <w:t>2.科室</w:t>
            </w:r>
          </w:p>
          <w:p w14:paraId="5ED1A29F">
            <w:pPr>
              <w:pStyle w:val="18"/>
              <w:rPr>
                <w:color w:val="auto"/>
              </w:rPr>
            </w:pPr>
            <w:r>
              <w:rPr>
                <w:rFonts w:hint="eastAsia"/>
                <w:color w:val="auto"/>
              </w:rPr>
              <w:t>支持按照时间段和终端类型查询科室危急值统计信息。科室危急值统计分析展示科室危急值全院排行情况，危急值总数、危急值处理数、危急值处理率、危急值处理及时率四项关键指标的全院排名情况、均值高低对比及全院占比。</w:t>
            </w:r>
          </w:p>
          <w:p w14:paraId="2B58970A">
            <w:pPr>
              <w:pStyle w:val="18"/>
              <w:rPr>
                <w:color w:val="auto"/>
              </w:rPr>
            </w:pPr>
            <w:r>
              <w:rPr>
                <w:rFonts w:hint="eastAsia"/>
                <w:color w:val="auto"/>
              </w:rPr>
              <w:t>危急值处理及分布统计：查询范围内的危急值总数情况（未接收、已接受未处理、已处理、合计）；危急值分布门诊按照责任医生分布、住院按照医疗组或责任医生分布。</w:t>
            </w:r>
          </w:p>
          <w:p w14:paraId="00A715FB">
            <w:pPr>
              <w:pStyle w:val="18"/>
              <w:rPr>
                <w:color w:val="auto"/>
              </w:rPr>
            </w:pPr>
            <w:r>
              <w:rPr>
                <w:rFonts w:hint="eastAsia"/>
                <w:color w:val="auto"/>
              </w:rPr>
              <w:t>危急值处理及时情况统计：可按照医疗组或处理医生切换展示。</w:t>
            </w:r>
          </w:p>
          <w:p w14:paraId="2502EC44">
            <w:pPr>
              <w:pStyle w:val="18"/>
              <w:rPr>
                <w:color w:val="auto"/>
              </w:rPr>
            </w:pPr>
            <w:r>
              <w:rPr>
                <w:rFonts w:hint="eastAsia"/>
                <w:color w:val="auto"/>
              </w:rPr>
              <w:t>危急值通报率、通报及时率统计：同住院。</w:t>
            </w:r>
          </w:p>
          <w:p w14:paraId="7C2EBB60">
            <w:pPr>
              <w:pStyle w:val="18"/>
              <w:rPr>
                <w:color w:val="auto"/>
              </w:rPr>
            </w:pPr>
            <w:r>
              <w:rPr>
                <w:rFonts w:hint="eastAsia"/>
                <w:color w:val="auto"/>
              </w:rPr>
              <w:t>危急值排行榜：同住院，支持医疗组或处理医生切换展示。</w:t>
            </w:r>
          </w:p>
          <w:p w14:paraId="27D752F1">
            <w:pPr>
              <w:pStyle w:val="18"/>
              <w:rPr>
                <w:color w:val="auto"/>
              </w:rPr>
            </w:pPr>
            <w:r>
              <w:rPr>
                <w:rFonts w:hint="eastAsia"/>
                <w:color w:val="auto"/>
              </w:rPr>
              <w:t>危急值管理支持不同维度危急值信息详情查询统计页面并配有专业图表，包括危急值处理情况查询、危急值分布情况查询、危急值处理及时情况查询、危急值通报情况查询。</w:t>
            </w:r>
          </w:p>
        </w:tc>
      </w:tr>
      <w:tr w14:paraId="1305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A96D421">
            <w:pPr>
              <w:pStyle w:val="18"/>
              <w:jc w:val="center"/>
              <w:rPr>
                <w:b w:val="0"/>
                <w:color w:val="auto"/>
              </w:rPr>
            </w:pPr>
            <w:r>
              <w:rPr>
                <w:rFonts w:hint="eastAsia"/>
                <w:b w:val="0"/>
                <w:color w:val="auto"/>
              </w:rPr>
              <w:t>危急值标准化接口</w:t>
            </w:r>
          </w:p>
        </w:tc>
        <w:tc>
          <w:tcPr>
            <w:tcW w:w="6579" w:type="dxa"/>
            <w:vAlign w:val="center"/>
          </w:tcPr>
          <w:p w14:paraId="7754AF28">
            <w:pPr>
              <w:pStyle w:val="18"/>
              <w:rPr>
                <w:color w:val="auto"/>
              </w:rPr>
            </w:pPr>
            <w:r>
              <w:rPr>
                <w:rFonts w:hint="eastAsia"/>
                <w:color w:val="auto"/>
              </w:rPr>
              <w:t>危急值管理提供标准化危急值上报流程，将全院危急值信息汇总，可安科室维护定制化提醒规则，并提供标准化外联接口，支持对接短信平台、微信公众号、移动端危急值查询及处理功能。</w:t>
            </w:r>
          </w:p>
          <w:p w14:paraId="06D08214">
            <w:pPr>
              <w:pStyle w:val="18"/>
              <w:rPr>
                <w:color w:val="auto"/>
              </w:rPr>
            </w:pPr>
            <w:r>
              <w:rPr>
                <w:rFonts w:hint="eastAsia"/>
                <w:color w:val="auto"/>
              </w:rPr>
              <w:t>支持服务化接口对接方案，提供轻量级JSON格式标准接口，支持对接其他临床系统危急值展示及危急值处理，具体接口如下：</w:t>
            </w:r>
          </w:p>
          <w:p w14:paraId="081AE627">
            <w:pPr>
              <w:pStyle w:val="18"/>
              <w:rPr>
                <w:color w:val="auto"/>
              </w:rPr>
            </w:pPr>
            <w:r>
              <w:rPr>
                <w:rFonts w:hint="eastAsia"/>
                <w:color w:val="auto"/>
              </w:rPr>
              <w:t>1.危急值上报接口；</w:t>
            </w:r>
          </w:p>
          <w:p w14:paraId="0AFC1214">
            <w:pPr>
              <w:pStyle w:val="18"/>
              <w:rPr>
                <w:color w:val="auto"/>
              </w:rPr>
            </w:pPr>
            <w:r>
              <w:rPr>
                <w:rFonts w:hint="eastAsia"/>
                <w:color w:val="auto"/>
              </w:rPr>
              <w:t>2.危急值处理接口；</w:t>
            </w:r>
          </w:p>
          <w:p w14:paraId="034E4DAE">
            <w:pPr>
              <w:pStyle w:val="18"/>
              <w:rPr>
                <w:color w:val="auto"/>
              </w:rPr>
            </w:pPr>
            <w:r>
              <w:rPr>
                <w:rFonts w:hint="eastAsia"/>
                <w:color w:val="auto"/>
              </w:rPr>
              <w:t>3.危急值查询接口；</w:t>
            </w:r>
          </w:p>
          <w:p w14:paraId="6E06B977">
            <w:pPr>
              <w:pStyle w:val="18"/>
              <w:rPr>
                <w:color w:val="auto"/>
              </w:rPr>
            </w:pPr>
            <w:r>
              <w:rPr>
                <w:rFonts w:hint="eastAsia"/>
                <w:color w:val="auto"/>
              </w:rPr>
              <w:t>4.危急值闭环节点保存接口。</w:t>
            </w:r>
          </w:p>
        </w:tc>
      </w:tr>
      <w:tr w14:paraId="03F4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821C023">
            <w:pPr>
              <w:pStyle w:val="18"/>
              <w:jc w:val="center"/>
              <w:rPr>
                <w:b w:val="0"/>
                <w:color w:val="auto"/>
              </w:rPr>
            </w:pPr>
            <w:r>
              <w:rPr>
                <w:rFonts w:hint="eastAsia"/>
                <w:b w:val="0"/>
                <w:color w:val="auto"/>
              </w:rPr>
              <w:t>危急值系统维护</w:t>
            </w:r>
          </w:p>
        </w:tc>
        <w:tc>
          <w:tcPr>
            <w:tcW w:w="6579" w:type="dxa"/>
            <w:vAlign w:val="center"/>
          </w:tcPr>
          <w:p w14:paraId="71D4F181">
            <w:pPr>
              <w:pStyle w:val="18"/>
              <w:rPr>
                <w:color w:val="auto"/>
              </w:rPr>
            </w:pPr>
            <w:r>
              <w:rPr>
                <w:rFonts w:hint="eastAsia"/>
                <w:color w:val="auto"/>
              </w:rPr>
              <w:t>支持接入危急值管理终端类型维护；</w:t>
            </w:r>
          </w:p>
          <w:p w14:paraId="1141C632">
            <w:pPr>
              <w:pStyle w:val="18"/>
              <w:rPr>
                <w:color w:val="auto"/>
              </w:rPr>
            </w:pPr>
            <w:r>
              <w:rPr>
                <w:rFonts w:hint="eastAsia"/>
                <w:color w:val="auto"/>
              </w:rPr>
              <w:t>支持危急值闭环节点维护，医院可根据实际业务建设危急值闭环节点，从而实现危急值闭环展示功能快速上线；</w:t>
            </w:r>
          </w:p>
          <w:p w14:paraId="235D2809">
            <w:pPr>
              <w:pStyle w:val="18"/>
              <w:rPr>
                <w:color w:val="auto"/>
              </w:rPr>
            </w:pPr>
            <w:r>
              <w:rPr>
                <w:rFonts w:hint="eastAsia"/>
                <w:color w:val="auto"/>
              </w:rPr>
              <w:t>支持危急值提醒规则维护，医院内各科室可以按照自己科室内部实际工作需要维护不同的危急值提醒规则，提高工作效率：</w:t>
            </w:r>
          </w:p>
          <w:p w14:paraId="47D599C4">
            <w:pPr>
              <w:pStyle w:val="18"/>
              <w:rPr>
                <w:color w:val="auto"/>
              </w:rPr>
            </w:pPr>
            <w:r>
              <w:rPr>
                <w:rFonts w:hint="eastAsia"/>
                <w:color w:val="auto"/>
              </w:rPr>
              <w:t>支持危急值多级提醒规则；</w:t>
            </w:r>
          </w:p>
          <w:p w14:paraId="6878CC64">
            <w:pPr>
              <w:pStyle w:val="18"/>
              <w:rPr>
                <w:color w:val="auto"/>
              </w:rPr>
            </w:pPr>
            <w:r>
              <w:rPr>
                <w:rFonts w:hint="eastAsia"/>
                <w:color w:val="auto"/>
              </w:rPr>
              <w:t>支持开通危急值短信、微信提醒；</w:t>
            </w:r>
          </w:p>
          <w:p w14:paraId="7D461082">
            <w:pPr>
              <w:pStyle w:val="18"/>
              <w:rPr>
                <w:color w:val="auto"/>
              </w:rPr>
            </w:pPr>
            <w:r>
              <w:rPr>
                <w:rFonts w:hint="eastAsia"/>
                <w:color w:val="auto"/>
              </w:rPr>
              <w:t>支持互联网医院接入提醒、处理。</w:t>
            </w:r>
          </w:p>
        </w:tc>
      </w:tr>
    </w:tbl>
    <w:p w14:paraId="5003F56E">
      <w:pPr>
        <w:pStyle w:val="4"/>
        <w:numPr>
          <w:ilvl w:val="1"/>
          <w:numId w:val="0"/>
        </w:numPr>
        <w:ind w:left="576" w:leftChars="0" w:hanging="576" w:firstLineChars="0"/>
        <w:rPr>
          <w:color w:val="auto"/>
        </w:rPr>
      </w:pPr>
      <w:bookmarkStart w:id="163" w:name="_Toc208646542"/>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.20</w:t>
      </w:r>
      <w:r>
        <w:rPr>
          <w:rFonts w:hint="eastAsia"/>
          <w:color w:val="auto"/>
        </w:rPr>
        <w:t>不良事件管理系统</w:t>
      </w:r>
      <w:bookmarkEnd w:id="163"/>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4642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42EB506E">
            <w:pPr>
              <w:pStyle w:val="18"/>
              <w:jc w:val="center"/>
              <w:rPr>
                <w:b w:val="0"/>
                <w:color w:val="auto"/>
              </w:rPr>
            </w:pPr>
            <w:r>
              <w:rPr>
                <w:rFonts w:hint="eastAsia"/>
                <w:b/>
                <w:color w:val="auto"/>
              </w:rPr>
              <w:t>系统名称</w:t>
            </w:r>
          </w:p>
        </w:tc>
        <w:tc>
          <w:tcPr>
            <w:tcW w:w="6579" w:type="dxa"/>
            <w:shd w:val="clear" w:color="auto" w:fill="BEBEBE" w:themeFill="background1" w:themeFillShade="BF"/>
            <w:vAlign w:val="center"/>
          </w:tcPr>
          <w:p w14:paraId="58797323">
            <w:pPr>
              <w:pStyle w:val="18"/>
              <w:rPr>
                <w:b/>
                <w:color w:val="auto"/>
              </w:rPr>
            </w:pPr>
            <w:r>
              <w:rPr>
                <w:rFonts w:hint="eastAsia"/>
                <w:b/>
                <w:color w:val="auto"/>
              </w:rPr>
              <w:t>不良事件管理系统</w:t>
            </w:r>
          </w:p>
        </w:tc>
      </w:tr>
      <w:tr w14:paraId="275B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F36745F">
            <w:pPr>
              <w:pStyle w:val="18"/>
              <w:jc w:val="center"/>
              <w:rPr>
                <w:b/>
                <w:bCs/>
                <w:color w:val="auto"/>
              </w:rPr>
            </w:pPr>
            <w:r>
              <w:rPr>
                <w:rFonts w:hint="eastAsia"/>
                <w:b/>
                <w:bCs/>
                <w:color w:val="auto"/>
              </w:rPr>
              <w:t>系统概述</w:t>
            </w:r>
          </w:p>
        </w:tc>
        <w:tc>
          <w:tcPr>
            <w:tcW w:w="6579" w:type="dxa"/>
            <w:vAlign w:val="center"/>
          </w:tcPr>
          <w:p w14:paraId="371B24B3">
            <w:pPr>
              <w:pStyle w:val="18"/>
              <w:rPr>
                <w:color w:val="auto"/>
              </w:rPr>
            </w:pPr>
            <w:r>
              <w:rPr>
                <w:rFonts w:hint="eastAsia"/>
                <w:color w:val="auto"/>
              </w:rPr>
              <w:t>不良事件管理系统旨在规范化医院不良事件上报管理，系统需包括医疗、护理、院感、药品、器械等近二十种不良事件类型，覆盖全院所有科室，提供规范的上报流程，可将不同类型的事件定义不同的审批处理流程。实现上报过程的电子化、规范化、智能化，达到从上报到审批的闭环化管理。系统支持匿名上报、跨科室提交，保障院内工作人员的隐私，降低心理负担。</w:t>
            </w:r>
          </w:p>
        </w:tc>
      </w:tr>
      <w:tr w14:paraId="7EB6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1F24524">
            <w:pPr>
              <w:pStyle w:val="18"/>
              <w:jc w:val="center"/>
              <w:rPr>
                <w:b/>
                <w:bCs/>
                <w:color w:val="auto"/>
              </w:rPr>
            </w:pPr>
            <w:r>
              <w:rPr>
                <w:rFonts w:hint="eastAsia"/>
                <w:b/>
                <w:bCs/>
                <w:color w:val="auto"/>
              </w:rPr>
              <w:t>子项名称</w:t>
            </w:r>
          </w:p>
        </w:tc>
        <w:tc>
          <w:tcPr>
            <w:tcW w:w="6579" w:type="dxa"/>
            <w:vAlign w:val="center"/>
          </w:tcPr>
          <w:p w14:paraId="465324C2">
            <w:pPr>
              <w:pStyle w:val="18"/>
              <w:jc w:val="center"/>
              <w:rPr>
                <w:b/>
                <w:bCs/>
                <w:color w:val="auto"/>
              </w:rPr>
            </w:pPr>
            <w:r>
              <w:rPr>
                <w:rFonts w:hint="eastAsia"/>
                <w:b/>
                <w:bCs/>
                <w:color w:val="auto"/>
              </w:rPr>
              <w:t>技术和功能配置要求</w:t>
            </w:r>
          </w:p>
        </w:tc>
      </w:tr>
      <w:tr w14:paraId="5EEC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825A15E">
            <w:pPr>
              <w:pStyle w:val="18"/>
              <w:jc w:val="center"/>
              <w:rPr>
                <w:b w:val="0"/>
                <w:color w:val="auto"/>
              </w:rPr>
            </w:pPr>
            <w:r>
              <w:rPr>
                <w:rFonts w:hint="eastAsia"/>
                <w:b w:val="0"/>
                <w:color w:val="auto"/>
              </w:rPr>
              <w:t>首页</w:t>
            </w:r>
          </w:p>
        </w:tc>
        <w:tc>
          <w:tcPr>
            <w:tcW w:w="6579" w:type="dxa"/>
            <w:vAlign w:val="center"/>
          </w:tcPr>
          <w:p w14:paraId="46AC66B2">
            <w:pPr>
              <w:pStyle w:val="18"/>
              <w:rPr>
                <w:color w:val="auto"/>
              </w:rPr>
            </w:pPr>
            <w:r>
              <w:rPr>
                <w:rFonts w:hint="eastAsia"/>
                <w:color w:val="auto"/>
              </w:rPr>
              <w:t>首页依据登录人员权限而定，页面内容以时间、科室、事件等级等参数对报告卡进行统计分析，并以不同的图表进行展示。不同的用户权限看到的数据各不相同。</w:t>
            </w:r>
          </w:p>
        </w:tc>
      </w:tr>
      <w:tr w14:paraId="5C4C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25529B4">
            <w:pPr>
              <w:pStyle w:val="18"/>
              <w:jc w:val="center"/>
              <w:rPr>
                <w:b w:val="0"/>
                <w:color w:val="auto"/>
              </w:rPr>
            </w:pPr>
            <w:r>
              <w:rPr>
                <w:rFonts w:hint="eastAsia"/>
                <w:b w:val="0"/>
                <w:color w:val="auto"/>
              </w:rPr>
              <w:t>人员权限维护</w:t>
            </w:r>
          </w:p>
        </w:tc>
        <w:tc>
          <w:tcPr>
            <w:tcW w:w="6579" w:type="dxa"/>
            <w:vAlign w:val="center"/>
          </w:tcPr>
          <w:p w14:paraId="082DB383">
            <w:pPr>
              <w:pStyle w:val="18"/>
              <w:rPr>
                <w:color w:val="auto"/>
              </w:rPr>
            </w:pPr>
            <w:r>
              <w:rPr>
                <w:rFonts w:hint="eastAsia"/>
                <w:color w:val="auto"/>
              </w:rPr>
              <w:t>系统需支持科室负责人、院内最高审核人、系统管理员的三种身份维护。科室负责人可审核科室内上报的报告卡，院内最高审核人拥有查看全院报告卡的权限，系统管理员拥有维护系统上报模板、维护人员权限、维护基础信息的权限。</w:t>
            </w:r>
          </w:p>
        </w:tc>
      </w:tr>
      <w:tr w14:paraId="7CCC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A6EB315">
            <w:pPr>
              <w:pStyle w:val="18"/>
              <w:jc w:val="center"/>
              <w:rPr>
                <w:b w:val="0"/>
                <w:color w:val="auto"/>
              </w:rPr>
            </w:pPr>
            <w:r>
              <w:rPr>
                <w:rFonts w:hint="eastAsia"/>
                <w:b w:val="0"/>
                <w:color w:val="auto"/>
              </w:rPr>
              <w:t>基础事件维护</w:t>
            </w:r>
          </w:p>
        </w:tc>
        <w:tc>
          <w:tcPr>
            <w:tcW w:w="6579" w:type="dxa"/>
            <w:vAlign w:val="center"/>
          </w:tcPr>
          <w:p w14:paraId="03D92FFB">
            <w:pPr>
              <w:pStyle w:val="18"/>
              <w:rPr>
                <w:color w:val="auto"/>
              </w:rPr>
            </w:pPr>
            <w:r>
              <w:rPr>
                <w:rFonts w:hint="eastAsia"/>
                <w:color w:val="auto"/>
              </w:rPr>
              <w:t>系统需支持对系统内事件类别的维护，以及事件对应所属职能部门、事件对应填报模板的维护功能。</w:t>
            </w:r>
          </w:p>
          <w:p w14:paraId="3E1273B2">
            <w:pPr>
              <w:pStyle w:val="18"/>
              <w:rPr>
                <w:color w:val="auto"/>
              </w:rPr>
            </w:pPr>
            <w:r>
              <w:rPr>
                <w:rFonts w:hint="eastAsia"/>
                <w:color w:val="auto"/>
              </w:rPr>
              <w:t>（1）群体性药品不良反应上报：完成群体性药品不良反应事件的填报及未审核前的修改功能。</w:t>
            </w:r>
          </w:p>
          <w:p w14:paraId="64ED4064">
            <w:pPr>
              <w:pStyle w:val="18"/>
              <w:rPr>
                <w:color w:val="auto"/>
              </w:rPr>
            </w:pPr>
            <w:r>
              <w:rPr>
                <w:rFonts w:hint="eastAsia"/>
                <w:color w:val="auto"/>
              </w:rPr>
              <w:t>（2）医院药品质量问题网络上报：完成医院药品质量问题网络填报及未审核前的修改功能。</w:t>
            </w:r>
          </w:p>
        </w:tc>
      </w:tr>
      <w:tr w14:paraId="00F2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C7B414B">
            <w:pPr>
              <w:pStyle w:val="18"/>
              <w:jc w:val="center"/>
              <w:rPr>
                <w:b w:val="0"/>
                <w:color w:val="auto"/>
              </w:rPr>
            </w:pPr>
            <w:r>
              <w:rPr>
                <w:rFonts w:hint="eastAsia"/>
                <w:b w:val="0"/>
                <w:color w:val="auto"/>
              </w:rPr>
              <w:t>模板制作</w:t>
            </w:r>
          </w:p>
        </w:tc>
        <w:tc>
          <w:tcPr>
            <w:tcW w:w="6579" w:type="dxa"/>
            <w:vAlign w:val="center"/>
          </w:tcPr>
          <w:p w14:paraId="5F84B3C9">
            <w:pPr>
              <w:pStyle w:val="18"/>
              <w:rPr>
                <w:color w:val="auto"/>
              </w:rPr>
            </w:pPr>
            <w:r>
              <w:rPr>
                <w:rFonts w:hint="eastAsia"/>
                <w:color w:val="auto"/>
              </w:rPr>
              <w:t>系统需提供自制填报模板的功能，支持用户根据自己的需求制作相关填报模板，且支持随时调整修改。</w:t>
            </w:r>
          </w:p>
        </w:tc>
      </w:tr>
      <w:tr w14:paraId="035C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F4A8895">
            <w:pPr>
              <w:pStyle w:val="18"/>
              <w:jc w:val="center"/>
              <w:rPr>
                <w:b w:val="0"/>
                <w:color w:val="auto"/>
              </w:rPr>
            </w:pPr>
            <w:r>
              <w:rPr>
                <w:rFonts w:hint="eastAsia"/>
                <w:b w:val="0"/>
                <w:color w:val="auto"/>
              </w:rPr>
              <w:t>事件上报</w:t>
            </w:r>
          </w:p>
        </w:tc>
        <w:tc>
          <w:tcPr>
            <w:tcW w:w="6579" w:type="dxa"/>
            <w:vAlign w:val="center"/>
          </w:tcPr>
          <w:p w14:paraId="4966AF38">
            <w:pPr>
              <w:pStyle w:val="18"/>
              <w:rPr>
                <w:color w:val="auto"/>
              </w:rPr>
            </w:pPr>
            <w:r>
              <w:rPr>
                <w:rFonts w:hint="eastAsia"/>
                <w:color w:val="auto"/>
              </w:rPr>
              <w:t>系统自带填报模板供用户进行填写上报，用户自制的模板也可同时使用。上报不良事件时，系统支持“暂存”和“提交”两种选项，选择“暂存”，用户可在之后进行修改，选择“提交”，当前报告卡即进入审批流程，提交至科室负责人进行审批。</w:t>
            </w:r>
          </w:p>
        </w:tc>
      </w:tr>
      <w:tr w14:paraId="00C2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C8995F6">
            <w:pPr>
              <w:pStyle w:val="18"/>
              <w:jc w:val="center"/>
              <w:rPr>
                <w:b w:val="0"/>
                <w:color w:val="auto"/>
              </w:rPr>
            </w:pPr>
            <w:r>
              <w:rPr>
                <w:rFonts w:hint="eastAsia"/>
                <w:b w:val="0"/>
                <w:color w:val="auto"/>
              </w:rPr>
              <w:t>上报查询</w:t>
            </w:r>
          </w:p>
        </w:tc>
        <w:tc>
          <w:tcPr>
            <w:tcW w:w="6579" w:type="dxa"/>
            <w:vAlign w:val="center"/>
          </w:tcPr>
          <w:p w14:paraId="654AC70C">
            <w:pPr>
              <w:pStyle w:val="18"/>
              <w:rPr>
                <w:color w:val="auto"/>
              </w:rPr>
            </w:pPr>
            <w:r>
              <w:rPr>
                <w:rFonts w:hint="eastAsia"/>
                <w:color w:val="auto"/>
              </w:rPr>
              <w:t>用户可在此处对上报的报告卡进行查看，并可查看审批进度及审批人员、审批时间点。不同登录人员因权限的不同查看到的报告卡会有区别，存在权限限制。</w:t>
            </w:r>
          </w:p>
        </w:tc>
      </w:tr>
      <w:tr w14:paraId="1AAB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52C5B686">
            <w:pPr>
              <w:pStyle w:val="18"/>
              <w:jc w:val="center"/>
              <w:rPr>
                <w:b w:val="0"/>
                <w:color w:val="auto"/>
              </w:rPr>
            </w:pPr>
            <w:r>
              <w:rPr>
                <w:rFonts w:hint="eastAsia"/>
                <w:b w:val="0"/>
                <w:color w:val="auto"/>
              </w:rPr>
              <w:t>事件预警</w:t>
            </w:r>
          </w:p>
        </w:tc>
        <w:tc>
          <w:tcPr>
            <w:tcW w:w="6579" w:type="dxa"/>
            <w:vAlign w:val="center"/>
          </w:tcPr>
          <w:p w14:paraId="05F81E35">
            <w:pPr>
              <w:pStyle w:val="18"/>
              <w:rPr>
                <w:color w:val="auto"/>
              </w:rPr>
            </w:pPr>
            <w:r>
              <w:rPr>
                <w:rFonts w:hint="eastAsia"/>
                <w:color w:val="auto"/>
              </w:rPr>
              <w:t>上报方式与“事件上报”一致，不同点在于此处的上报系统不会记录上报人员的任何信息，也不会有其他人知晓当前事件由何人填报。且提交的报告卡会直接到院内最高审核权限人手中，不会经由其他人。</w:t>
            </w:r>
          </w:p>
        </w:tc>
      </w:tr>
      <w:tr w14:paraId="2CE2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1B0FCB6">
            <w:pPr>
              <w:pStyle w:val="18"/>
              <w:jc w:val="center"/>
              <w:rPr>
                <w:b w:val="0"/>
                <w:color w:val="auto"/>
              </w:rPr>
            </w:pPr>
            <w:r>
              <w:rPr>
                <w:rFonts w:hint="eastAsia"/>
                <w:b w:val="0"/>
                <w:color w:val="auto"/>
              </w:rPr>
              <w:t>事件预警</w:t>
            </w:r>
          </w:p>
        </w:tc>
        <w:tc>
          <w:tcPr>
            <w:tcW w:w="6579" w:type="dxa"/>
            <w:vAlign w:val="center"/>
          </w:tcPr>
          <w:p w14:paraId="3DDB9B53">
            <w:pPr>
              <w:pStyle w:val="18"/>
              <w:rPr>
                <w:color w:val="auto"/>
              </w:rPr>
            </w:pPr>
            <w:r>
              <w:rPr>
                <w:rFonts w:hint="eastAsia"/>
                <w:color w:val="auto"/>
              </w:rPr>
              <w:t>系统需支持与其他系统对接，根据院内预警要求制定相关规则。并可实时根据其他系统推送的数据进行预警规则校验，存在需要预警的情况系统将发送预警信息到相关人员手中。</w:t>
            </w:r>
          </w:p>
        </w:tc>
      </w:tr>
    </w:tbl>
    <w:p w14:paraId="08FD9D83">
      <w:pPr>
        <w:pStyle w:val="4"/>
        <w:numPr>
          <w:ilvl w:val="1"/>
          <w:numId w:val="0"/>
        </w:numPr>
        <w:ind w:left="576" w:leftChars="0" w:hanging="576" w:firstLineChars="0"/>
        <w:rPr>
          <w:color w:val="auto"/>
        </w:rPr>
      </w:pPr>
      <w:bookmarkStart w:id="164" w:name="_Toc208646543"/>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21</w:t>
      </w:r>
      <w:r>
        <w:rPr>
          <w:rFonts w:hint="eastAsia"/>
          <w:color w:val="auto"/>
        </w:rPr>
        <w:t>疾病报卡管理系统</w:t>
      </w:r>
      <w:bookmarkEnd w:id="164"/>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7"/>
        <w:gridCol w:w="7123"/>
        <w:gridCol w:w="18"/>
      </w:tblGrid>
      <w:tr w14:paraId="40DA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gridSpan w:val="2"/>
            <w:shd w:val="clear" w:color="auto" w:fill="BEBEBE" w:themeFill="background1" w:themeFillShade="BF"/>
            <w:vAlign w:val="center"/>
          </w:tcPr>
          <w:p w14:paraId="04907260">
            <w:pPr>
              <w:pStyle w:val="18"/>
              <w:jc w:val="center"/>
              <w:rPr>
                <w:b w:val="0"/>
                <w:color w:val="auto"/>
              </w:rPr>
            </w:pPr>
            <w:bookmarkStart w:id="165" w:name="_Hlk99323061"/>
            <w:r>
              <w:rPr>
                <w:rFonts w:hint="eastAsia"/>
                <w:b/>
                <w:color w:val="auto"/>
              </w:rPr>
              <w:t>系统名称</w:t>
            </w:r>
          </w:p>
        </w:tc>
        <w:tc>
          <w:tcPr>
            <w:tcW w:w="6579" w:type="dxa"/>
            <w:gridSpan w:val="2"/>
            <w:shd w:val="clear" w:color="auto" w:fill="BEBEBE" w:themeFill="background1" w:themeFillShade="BF"/>
            <w:vAlign w:val="center"/>
          </w:tcPr>
          <w:p w14:paraId="348080CD">
            <w:pPr>
              <w:pStyle w:val="18"/>
              <w:rPr>
                <w:b/>
                <w:color w:val="auto"/>
              </w:rPr>
            </w:pPr>
            <w:r>
              <w:rPr>
                <w:rFonts w:hint="eastAsia"/>
                <w:b/>
                <w:color w:val="auto"/>
              </w:rPr>
              <w:t>疾病报卡管理系统</w:t>
            </w:r>
          </w:p>
        </w:tc>
      </w:tr>
      <w:tr w14:paraId="2026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1701" w:type="dxa"/>
            <w:vAlign w:val="center"/>
          </w:tcPr>
          <w:p w14:paraId="084840E3">
            <w:pPr>
              <w:pStyle w:val="18"/>
              <w:jc w:val="center"/>
              <w:rPr>
                <w:b/>
                <w:bCs/>
                <w:color w:val="auto"/>
              </w:rPr>
            </w:pPr>
            <w:r>
              <w:rPr>
                <w:rFonts w:hint="eastAsia"/>
                <w:b/>
                <w:bCs/>
                <w:color w:val="auto"/>
              </w:rPr>
              <w:t>系统概述</w:t>
            </w:r>
          </w:p>
        </w:tc>
        <w:tc>
          <w:tcPr>
            <w:tcW w:w="6579" w:type="dxa"/>
            <w:gridSpan w:val="2"/>
            <w:vAlign w:val="center"/>
          </w:tcPr>
          <w:p w14:paraId="56EDEE93">
            <w:pPr>
              <w:pStyle w:val="18"/>
              <w:rPr>
                <w:color w:val="auto"/>
              </w:rPr>
            </w:pPr>
            <w:r>
              <w:rPr>
                <w:rFonts w:hint="eastAsia"/>
                <w:color w:val="auto"/>
              </w:rPr>
              <w:t>疾病报卡管理系统所有报卡设计与研发需完全按照国家相应标准制定，并需支持随时根据国家新政策的颁布进行快速的修正与升级。</w:t>
            </w:r>
          </w:p>
          <w:p w14:paraId="00E65A64">
            <w:pPr>
              <w:pStyle w:val="18"/>
              <w:rPr>
                <w:color w:val="auto"/>
              </w:rPr>
            </w:pPr>
            <w:r>
              <w:rPr>
                <w:rFonts w:hint="eastAsia"/>
                <w:color w:val="auto"/>
              </w:rPr>
              <w:t>疾病报告卡需包括：全国伤害监测报告卡、心脑血管病报告卡、慢性支气管炎报告卡、居民死亡医学证明书、恶性肿瘤报告卡、个案随访报告卡、农药中毒报告卡、慢性病（高血压、糖尿病、脑卒中、冠心病、肿瘤）报告卡、高温中暑报告卡。</w:t>
            </w:r>
          </w:p>
        </w:tc>
      </w:tr>
      <w:tr w14:paraId="7858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gridSpan w:val="2"/>
            <w:vAlign w:val="center"/>
          </w:tcPr>
          <w:p w14:paraId="7DE731F6">
            <w:pPr>
              <w:pStyle w:val="18"/>
              <w:jc w:val="center"/>
              <w:rPr>
                <w:b/>
                <w:bCs/>
                <w:color w:val="auto"/>
              </w:rPr>
            </w:pPr>
            <w:r>
              <w:rPr>
                <w:rFonts w:hint="eastAsia"/>
                <w:b/>
                <w:bCs/>
                <w:color w:val="auto"/>
              </w:rPr>
              <w:t>子项名称</w:t>
            </w:r>
          </w:p>
        </w:tc>
        <w:tc>
          <w:tcPr>
            <w:tcW w:w="6579" w:type="dxa"/>
            <w:gridSpan w:val="2"/>
            <w:vAlign w:val="center"/>
          </w:tcPr>
          <w:p w14:paraId="297493D5">
            <w:pPr>
              <w:pStyle w:val="18"/>
              <w:jc w:val="center"/>
              <w:rPr>
                <w:b/>
                <w:bCs/>
                <w:color w:val="auto"/>
              </w:rPr>
            </w:pPr>
            <w:r>
              <w:rPr>
                <w:rFonts w:hint="eastAsia"/>
                <w:b/>
                <w:bCs/>
                <w:color w:val="auto"/>
              </w:rPr>
              <w:t>技术和功能配置要求</w:t>
            </w:r>
          </w:p>
        </w:tc>
      </w:tr>
      <w:bookmarkEnd w:id="165"/>
      <w:tr w14:paraId="1A6B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gridSpan w:val="2"/>
            <w:vAlign w:val="center"/>
          </w:tcPr>
          <w:p w14:paraId="64D129A0">
            <w:pPr>
              <w:pStyle w:val="18"/>
              <w:jc w:val="center"/>
              <w:rPr>
                <w:b w:val="0"/>
                <w:color w:val="auto"/>
              </w:rPr>
            </w:pPr>
            <w:r>
              <w:rPr>
                <w:rFonts w:hint="eastAsia"/>
                <w:b w:val="0"/>
                <w:color w:val="auto"/>
              </w:rPr>
              <w:t>基本信息维护</w:t>
            </w:r>
          </w:p>
        </w:tc>
        <w:tc>
          <w:tcPr>
            <w:tcW w:w="6579" w:type="dxa"/>
            <w:gridSpan w:val="2"/>
            <w:vAlign w:val="center"/>
          </w:tcPr>
          <w:p w14:paraId="4736BFDB">
            <w:pPr>
              <w:pStyle w:val="18"/>
              <w:rPr>
                <w:color w:val="auto"/>
              </w:rPr>
            </w:pPr>
            <w:r>
              <w:rPr>
                <w:rFonts w:hint="eastAsia"/>
                <w:color w:val="auto"/>
              </w:rPr>
              <w:t>常数维护：即常用数据维护，需支持制定及维护报卡涉及的疾病种类、筛查方法等基本参数。</w:t>
            </w:r>
          </w:p>
        </w:tc>
      </w:tr>
      <w:tr w14:paraId="6E7C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gridSpan w:val="2"/>
            <w:vAlign w:val="center"/>
          </w:tcPr>
          <w:p w14:paraId="1AF12FC0">
            <w:pPr>
              <w:pStyle w:val="18"/>
              <w:jc w:val="center"/>
              <w:rPr>
                <w:b w:val="0"/>
                <w:color w:val="auto"/>
              </w:rPr>
            </w:pPr>
            <w:r>
              <w:rPr>
                <w:rFonts w:hint="eastAsia"/>
                <w:b w:val="0"/>
                <w:color w:val="auto"/>
              </w:rPr>
              <w:t>其他公共卫生疾病报告卡</w:t>
            </w:r>
          </w:p>
        </w:tc>
        <w:tc>
          <w:tcPr>
            <w:tcW w:w="6579" w:type="dxa"/>
            <w:gridSpan w:val="2"/>
            <w:vAlign w:val="center"/>
          </w:tcPr>
          <w:p w14:paraId="31C1A314">
            <w:pPr>
              <w:pStyle w:val="18"/>
              <w:rPr>
                <w:color w:val="auto"/>
              </w:rPr>
            </w:pPr>
            <w:r>
              <w:rPr>
                <w:rFonts w:hint="eastAsia"/>
                <w:color w:val="auto"/>
              </w:rPr>
              <w:t>系统需支持公共卫生疾病报告卡管理功能，系统提供填写、保存、查询、修改、删除、提交、审核、上报、打印和导出等功能。临床医生可根据患者实际情况，填写相应的报告卡并进行保存；预防保健科医护人员会对临床医生保存并提交的报告卡进行审核，确认无误的报告卡做审核通过操作，存在问题的报告卡做驳回操作。审核通过的报告卡将根据医院的实际情况，展示给相应的科室人员，并由其进行上报的操作。</w:t>
            </w:r>
          </w:p>
          <w:p w14:paraId="6C9A174C">
            <w:pPr>
              <w:pStyle w:val="18"/>
              <w:rPr>
                <w:color w:val="auto"/>
              </w:rPr>
            </w:pPr>
            <w:r>
              <w:rPr>
                <w:rFonts w:hint="eastAsia"/>
                <w:color w:val="auto"/>
              </w:rPr>
              <w:t>疾病报告卡类型需包括：全国伤害监测报告卡、心脑血管病报告卡、慢性支气管炎报告卡、居民死亡医学证明书、恶性肿瘤报告卡、个案随访报告卡、农药中毒报告卡、慢性病（高血压、糖尿病、脑卒中、冠心病、肿瘤）报告卡、高温中暑报告卡。</w:t>
            </w:r>
          </w:p>
        </w:tc>
      </w:tr>
    </w:tbl>
    <w:p w14:paraId="3E3BD6BA">
      <w:pPr>
        <w:pStyle w:val="4"/>
        <w:numPr>
          <w:ilvl w:val="1"/>
          <w:numId w:val="0"/>
        </w:numPr>
        <w:ind w:left="576" w:leftChars="0" w:hanging="576" w:firstLineChars="0"/>
        <w:rPr>
          <w:color w:val="auto"/>
        </w:rPr>
      </w:pPr>
      <w:bookmarkStart w:id="166" w:name="_Toc208646544"/>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.22</w:t>
      </w:r>
      <w:r>
        <w:rPr>
          <w:rFonts w:hint="eastAsia" w:cs="Times New Roman"/>
          <w:b/>
          <w:bCs/>
          <w:color w:val="auto"/>
          <w:kern w:val="2"/>
          <w:sz w:val="32"/>
          <w:szCs w:val="32"/>
          <w:lang w:val="en-US" w:eastAsia="zh-CN" w:bidi="ar-SA"/>
        </w:rPr>
        <w:t xml:space="preserve"> </w:t>
      </w:r>
      <w:r>
        <w:rPr>
          <w:rFonts w:hint="eastAsia"/>
          <w:color w:val="auto"/>
        </w:rPr>
        <w:t>DRG系统</w:t>
      </w:r>
      <w:bookmarkEnd w:id="166"/>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gridCol w:w="18"/>
      </w:tblGrid>
      <w:tr w14:paraId="7462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shd w:val="clear" w:color="auto" w:fill="BEBEBE" w:themeFill="background1" w:themeFillShade="BF"/>
            <w:vAlign w:val="center"/>
          </w:tcPr>
          <w:p w14:paraId="18A97769">
            <w:pPr>
              <w:pStyle w:val="18"/>
              <w:jc w:val="center"/>
              <w:rPr>
                <w:b w:val="0"/>
                <w:color w:val="auto"/>
              </w:rPr>
            </w:pPr>
            <w:r>
              <w:rPr>
                <w:rFonts w:hint="eastAsia"/>
                <w:b/>
                <w:color w:val="auto"/>
              </w:rPr>
              <w:t>系统名称</w:t>
            </w:r>
          </w:p>
        </w:tc>
        <w:tc>
          <w:tcPr>
            <w:tcW w:w="3975" w:type="pct"/>
            <w:gridSpan w:val="2"/>
            <w:shd w:val="clear" w:color="auto" w:fill="BEBEBE" w:themeFill="background1" w:themeFillShade="BF"/>
            <w:vAlign w:val="center"/>
          </w:tcPr>
          <w:p w14:paraId="3856C8D1">
            <w:pPr>
              <w:pStyle w:val="18"/>
              <w:rPr>
                <w:b/>
                <w:color w:val="auto"/>
              </w:rPr>
            </w:pPr>
            <w:r>
              <w:rPr>
                <w:rFonts w:hint="eastAsia"/>
                <w:b/>
                <w:color w:val="auto"/>
              </w:rPr>
              <w:t>DRG系统</w:t>
            </w:r>
          </w:p>
        </w:tc>
      </w:tr>
      <w:tr w14:paraId="784E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pct"/>
          <w:jc w:val="center"/>
        </w:trPr>
        <w:tc>
          <w:tcPr>
            <w:tcW w:w="1025" w:type="pct"/>
            <w:vAlign w:val="center"/>
          </w:tcPr>
          <w:p w14:paraId="0E5198A7">
            <w:pPr>
              <w:pStyle w:val="18"/>
              <w:jc w:val="center"/>
              <w:rPr>
                <w:b/>
                <w:bCs/>
                <w:color w:val="auto"/>
              </w:rPr>
            </w:pPr>
            <w:r>
              <w:rPr>
                <w:rFonts w:hint="eastAsia"/>
                <w:b/>
                <w:bCs/>
                <w:color w:val="auto"/>
              </w:rPr>
              <w:t>系统概述</w:t>
            </w:r>
          </w:p>
        </w:tc>
        <w:tc>
          <w:tcPr>
            <w:tcW w:w="3965" w:type="pct"/>
            <w:vAlign w:val="center"/>
          </w:tcPr>
          <w:p w14:paraId="6B5A0A6B">
            <w:pPr>
              <w:pStyle w:val="18"/>
              <w:rPr>
                <w:color w:val="auto"/>
              </w:rPr>
            </w:pPr>
            <w:r>
              <w:rPr>
                <w:rFonts w:hint="eastAsia"/>
                <w:color w:val="auto"/>
              </w:rPr>
              <w:t>基于病案首页信息，通过DRG分组器对患者进行预分组，并提供智能监测预警、医保结算辅助、DRG综合分析等功能，辅助医院进行医疗过程管控，确保医保基金结算合规合理。</w:t>
            </w:r>
          </w:p>
        </w:tc>
      </w:tr>
      <w:tr w14:paraId="0470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7AF201A5">
            <w:pPr>
              <w:pStyle w:val="18"/>
              <w:jc w:val="center"/>
              <w:rPr>
                <w:b/>
                <w:bCs/>
                <w:color w:val="auto"/>
              </w:rPr>
            </w:pPr>
            <w:r>
              <w:rPr>
                <w:rFonts w:hint="eastAsia"/>
                <w:b/>
                <w:bCs/>
                <w:color w:val="auto"/>
              </w:rPr>
              <w:t>子项名称</w:t>
            </w:r>
          </w:p>
        </w:tc>
        <w:tc>
          <w:tcPr>
            <w:tcW w:w="3975" w:type="pct"/>
            <w:gridSpan w:val="2"/>
            <w:vAlign w:val="center"/>
          </w:tcPr>
          <w:p w14:paraId="31361FD6">
            <w:pPr>
              <w:pStyle w:val="18"/>
              <w:jc w:val="center"/>
              <w:rPr>
                <w:b/>
                <w:bCs/>
                <w:color w:val="auto"/>
              </w:rPr>
            </w:pPr>
            <w:r>
              <w:rPr>
                <w:rFonts w:hint="eastAsia"/>
                <w:b/>
                <w:bCs/>
                <w:color w:val="auto"/>
              </w:rPr>
              <w:t>技术和功能配置要求</w:t>
            </w:r>
          </w:p>
        </w:tc>
      </w:tr>
      <w:tr w14:paraId="210F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vAlign w:val="center"/>
          </w:tcPr>
          <w:p w14:paraId="5DE8E51C">
            <w:pPr>
              <w:pStyle w:val="18"/>
              <w:jc w:val="center"/>
              <w:rPr>
                <w:b w:val="0"/>
                <w:color w:val="auto"/>
              </w:rPr>
            </w:pPr>
            <w:r>
              <w:rPr>
                <w:rFonts w:hint="eastAsia"/>
                <w:b w:val="0"/>
                <w:color w:val="auto"/>
              </w:rPr>
              <w:t>院内DRG</w:t>
            </w:r>
          </w:p>
        </w:tc>
        <w:tc>
          <w:tcPr>
            <w:tcW w:w="3975" w:type="pct"/>
            <w:gridSpan w:val="2"/>
            <w:vAlign w:val="center"/>
          </w:tcPr>
          <w:p w14:paraId="4AAA58BC">
            <w:pPr>
              <w:pStyle w:val="18"/>
              <w:rPr>
                <w:color w:val="auto"/>
              </w:rPr>
            </w:pPr>
            <w:r>
              <w:rPr>
                <w:rFonts w:hint="eastAsia"/>
                <w:color w:val="auto"/>
              </w:rPr>
              <w:t>（一）事前预警提醒</w:t>
            </w:r>
          </w:p>
          <w:p w14:paraId="041AFDEA">
            <w:pPr>
              <w:pStyle w:val="18"/>
              <w:rPr>
                <w:color w:val="auto"/>
              </w:rPr>
            </w:pPr>
            <w:r>
              <w:rPr>
                <w:rFonts w:hint="eastAsia"/>
                <w:color w:val="auto"/>
              </w:rPr>
              <w:t>提供事前预入组及质控API接口。</w:t>
            </w:r>
          </w:p>
          <w:p w14:paraId="1A8BB6C7">
            <w:pPr>
              <w:pStyle w:val="18"/>
              <w:rPr>
                <w:color w:val="auto"/>
              </w:rPr>
            </w:pPr>
            <w:r>
              <w:rPr>
                <w:rFonts w:hint="eastAsia"/>
                <w:color w:val="auto"/>
              </w:rPr>
              <w:t>1.事前质控预警</w:t>
            </w:r>
          </w:p>
          <w:p w14:paraId="7CEFAFAE">
            <w:pPr>
              <w:pStyle w:val="18"/>
              <w:rPr>
                <w:color w:val="auto"/>
              </w:rPr>
            </w:pPr>
            <w:r>
              <w:rPr>
                <w:rFonts w:hint="eastAsia"/>
                <w:color w:val="auto"/>
              </w:rPr>
              <w:t>医生工作站或编码员端，进行事前清单质控，如果存在疑点，可进行提醒，帮助了解当前清单质控问题。</w:t>
            </w:r>
          </w:p>
          <w:p w14:paraId="123399AE">
            <w:pPr>
              <w:pStyle w:val="18"/>
              <w:rPr>
                <w:color w:val="auto"/>
              </w:rPr>
            </w:pPr>
            <w:r>
              <w:rPr>
                <w:rFonts w:hint="eastAsia"/>
                <w:color w:val="auto"/>
              </w:rPr>
              <w:t>2.事前入组提醒</w:t>
            </w:r>
          </w:p>
          <w:p w14:paraId="609B583D">
            <w:pPr>
              <w:pStyle w:val="18"/>
              <w:rPr>
                <w:color w:val="auto"/>
              </w:rPr>
            </w:pPr>
            <w:r>
              <w:rPr>
                <w:rFonts w:hint="eastAsia"/>
                <w:color w:val="auto"/>
              </w:rPr>
              <w:t>医生工作站或编码员端，根据当前填写的诊断和手术信息进行预分组，显示分组结果、权重、支付标准及费用结构。</w:t>
            </w:r>
          </w:p>
          <w:p w14:paraId="4295068F">
            <w:pPr>
              <w:pStyle w:val="18"/>
              <w:rPr>
                <w:color w:val="auto"/>
              </w:rPr>
            </w:pPr>
            <w:r>
              <w:rPr>
                <w:rFonts w:hint="eastAsia"/>
                <w:color w:val="auto"/>
              </w:rPr>
              <w:t>3.事前入组推荐</w:t>
            </w:r>
          </w:p>
          <w:p w14:paraId="6A297317">
            <w:pPr>
              <w:pStyle w:val="18"/>
              <w:rPr>
                <w:color w:val="auto"/>
              </w:rPr>
            </w:pPr>
            <w:r>
              <w:rPr>
                <w:rFonts w:hint="eastAsia"/>
                <w:color w:val="auto"/>
              </w:rPr>
              <w:t>根据当前的诊断和手术进行分析，推荐不同主诊断、主手术组合进入到的DRG组及对应组的权重、支付标准。</w:t>
            </w:r>
          </w:p>
          <w:p w14:paraId="53311CB6">
            <w:pPr>
              <w:pStyle w:val="18"/>
              <w:rPr>
                <w:color w:val="auto"/>
              </w:rPr>
            </w:pPr>
            <w:r>
              <w:rPr>
                <w:rFonts w:hint="eastAsia"/>
                <w:color w:val="auto"/>
              </w:rPr>
              <w:t>（二）盈亏分析功能</w:t>
            </w:r>
          </w:p>
          <w:p w14:paraId="1E27466A">
            <w:pPr>
              <w:pStyle w:val="18"/>
              <w:rPr>
                <w:color w:val="auto"/>
              </w:rPr>
            </w:pPr>
            <w:r>
              <w:rPr>
                <w:rFonts w:hint="eastAsia"/>
                <w:color w:val="auto"/>
              </w:rPr>
              <w:t>1.未月结盈亏分析</w:t>
            </w:r>
          </w:p>
          <w:p w14:paraId="63C5113E">
            <w:pPr>
              <w:pStyle w:val="18"/>
              <w:rPr>
                <w:color w:val="auto"/>
              </w:rPr>
            </w:pPr>
            <w:r>
              <w:rPr>
                <w:rFonts w:hint="eastAsia"/>
                <w:color w:val="auto"/>
              </w:rPr>
              <w:t>（1）未月结病案查询</w:t>
            </w:r>
          </w:p>
          <w:p w14:paraId="1A337555">
            <w:pPr>
              <w:pStyle w:val="18"/>
              <w:rPr>
                <w:color w:val="auto"/>
              </w:rPr>
            </w:pPr>
            <w:r>
              <w:rPr>
                <w:rFonts w:hint="eastAsia"/>
                <w:color w:val="auto"/>
              </w:rPr>
              <w:t>对未月结病案进行统计，并分析此类病案预入组情况。也可对于单个病案预测信息进行查询与分析。</w:t>
            </w:r>
          </w:p>
          <w:p w14:paraId="4328F061">
            <w:pPr>
              <w:pStyle w:val="18"/>
              <w:rPr>
                <w:color w:val="auto"/>
              </w:rPr>
            </w:pPr>
            <w:r>
              <w:rPr>
                <w:rFonts w:hint="eastAsia"/>
                <w:color w:val="auto"/>
              </w:rPr>
              <w:t>（2）医保拟拨付金额计算</w:t>
            </w:r>
          </w:p>
          <w:p w14:paraId="149AA36A">
            <w:pPr>
              <w:pStyle w:val="18"/>
              <w:rPr>
                <w:color w:val="auto"/>
              </w:rPr>
            </w:pPr>
            <w:r>
              <w:rPr>
                <w:rFonts w:hint="eastAsia"/>
                <w:color w:val="auto"/>
              </w:rPr>
              <w:t>根据医保DRG的支付政策计算不同医疗类别，不同人群的拟拨付金额。</w:t>
            </w:r>
          </w:p>
          <w:p w14:paraId="0B7BDBBF">
            <w:pPr>
              <w:pStyle w:val="18"/>
              <w:rPr>
                <w:color w:val="auto"/>
              </w:rPr>
            </w:pPr>
            <w:r>
              <w:rPr>
                <w:rFonts w:hint="eastAsia"/>
                <w:color w:val="auto"/>
              </w:rPr>
              <w:t>（3）未月结盈亏预测</w:t>
            </w:r>
          </w:p>
          <w:p w14:paraId="29A9F7BE">
            <w:pPr>
              <w:pStyle w:val="18"/>
              <w:rPr>
                <w:color w:val="auto"/>
              </w:rPr>
            </w:pPr>
            <w:r>
              <w:rPr>
                <w:rFonts w:hint="eastAsia"/>
                <w:color w:val="auto"/>
              </w:rPr>
              <w:t>通过垫付金额和拟拨付金额的对比测算出盈亏情况。</w:t>
            </w:r>
          </w:p>
          <w:p w14:paraId="78920731">
            <w:pPr>
              <w:pStyle w:val="18"/>
              <w:rPr>
                <w:color w:val="auto"/>
              </w:rPr>
            </w:pPr>
            <w:r>
              <w:rPr>
                <w:rFonts w:hint="eastAsia"/>
                <w:color w:val="auto"/>
              </w:rPr>
              <w:t>（4）高倍率病案明细</w:t>
            </w:r>
          </w:p>
          <w:p w14:paraId="152AD478">
            <w:pPr>
              <w:pStyle w:val="18"/>
              <w:rPr>
                <w:color w:val="auto"/>
              </w:rPr>
            </w:pPr>
            <w:r>
              <w:rPr>
                <w:rFonts w:hint="eastAsia"/>
                <w:color w:val="auto"/>
              </w:rPr>
              <w:t>设置阈值区分高倍率病案，并提供明细。</w:t>
            </w:r>
          </w:p>
          <w:p w14:paraId="2725C833">
            <w:pPr>
              <w:pStyle w:val="18"/>
              <w:rPr>
                <w:color w:val="auto"/>
              </w:rPr>
            </w:pPr>
            <w:r>
              <w:rPr>
                <w:rFonts w:hint="eastAsia"/>
                <w:color w:val="auto"/>
              </w:rPr>
              <w:t>（5）低倍率病案明细</w:t>
            </w:r>
          </w:p>
          <w:p w14:paraId="6F7E26BD">
            <w:pPr>
              <w:pStyle w:val="18"/>
              <w:rPr>
                <w:color w:val="auto"/>
              </w:rPr>
            </w:pPr>
            <w:r>
              <w:rPr>
                <w:rFonts w:hint="eastAsia"/>
                <w:color w:val="auto"/>
              </w:rPr>
              <w:t>设置阈值区分低倍率病案，并提供明细。</w:t>
            </w:r>
          </w:p>
          <w:p w14:paraId="55A1152C">
            <w:pPr>
              <w:pStyle w:val="18"/>
              <w:rPr>
                <w:color w:val="auto"/>
              </w:rPr>
            </w:pPr>
            <w:r>
              <w:rPr>
                <w:rFonts w:hint="eastAsia"/>
                <w:color w:val="auto"/>
              </w:rPr>
              <w:t>（6）正常倍率病案明细</w:t>
            </w:r>
          </w:p>
          <w:p w14:paraId="1FB62436">
            <w:pPr>
              <w:pStyle w:val="18"/>
              <w:rPr>
                <w:color w:val="auto"/>
              </w:rPr>
            </w:pPr>
            <w:r>
              <w:rPr>
                <w:rFonts w:hint="eastAsia"/>
                <w:color w:val="auto"/>
              </w:rPr>
              <w:t>设置阈值区分正常倍率病案，并提供明细。</w:t>
            </w:r>
          </w:p>
          <w:p w14:paraId="2997DC53">
            <w:pPr>
              <w:pStyle w:val="18"/>
              <w:rPr>
                <w:color w:val="auto"/>
              </w:rPr>
            </w:pPr>
            <w:r>
              <w:rPr>
                <w:rFonts w:hint="eastAsia"/>
                <w:color w:val="auto"/>
              </w:rPr>
              <w:t>（7）未入组病案明细</w:t>
            </w:r>
          </w:p>
          <w:p w14:paraId="41EC122D">
            <w:pPr>
              <w:pStyle w:val="18"/>
              <w:rPr>
                <w:color w:val="auto"/>
              </w:rPr>
            </w:pPr>
            <w:r>
              <w:rPr>
                <w:rFonts w:hint="eastAsia"/>
                <w:color w:val="auto"/>
              </w:rPr>
              <w:t>根据分组器，将未入组的病案进行筛选，并提供明细。</w:t>
            </w:r>
          </w:p>
          <w:p w14:paraId="188220C4">
            <w:pPr>
              <w:pStyle w:val="18"/>
              <w:rPr>
                <w:color w:val="auto"/>
              </w:rPr>
            </w:pPr>
            <w:r>
              <w:rPr>
                <w:rFonts w:hint="eastAsia"/>
                <w:color w:val="auto"/>
              </w:rPr>
              <w:t>（8）未月结病案追踪</w:t>
            </w:r>
          </w:p>
          <w:p w14:paraId="532FBF91">
            <w:pPr>
              <w:pStyle w:val="18"/>
              <w:rPr>
                <w:color w:val="auto"/>
              </w:rPr>
            </w:pPr>
            <w:r>
              <w:rPr>
                <w:rFonts w:hint="eastAsia"/>
                <w:color w:val="auto"/>
              </w:rPr>
              <w:t>对于系统筛选出的病案进行追踪，逐层下钻。</w:t>
            </w:r>
          </w:p>
          <w:p w14:paraId="69D4F8A3">
            <w:pPr>
              <w:pStyle w:val="18"/>
              <w:rPr>
                <w:color w:val="auto"/>
              </w:rPr>
            </w:pPr>
            <w:r>
              <w:rPr>
                <w:rFonts w:hint="eastAsia"/>
                <w:color w:val="auto"/>
              </w:rPr>
              <w:t>（9）未月结病案分析明细</w:t>
            </w:r>
          </w:p>
          <w:p w14:paraId="2A5372B0">
            <w:pPr>
              <w:pStyle w:val="18"/>
              <w:rPr>
                <w:color w:val="auto"/>
              </w:rPr>
            </w:pPr>
            <w:r>
              <w:rPr>
                <w:rFonts w:hint="eastAsia"/>
                <w:color w:val="auto"/>
              </w:rPr>
              <w:t>包括总病例数、总费用、市标准费用、医院垫付金额、医保拟支付金额、垫付差额息，并按科室展示病案分布情况；从出院科室下钻到病案明细，包括患者姓名、主管医生、病案号、主诊断、DRG预分组信息、费用偏差；</w:t>
            </w:r>
          </w:p>
          <w:p w14:paraId="5E638BDF">
            <w:pPr>
              <w:pStyle w:val="18"/>
              <w:rPr>
                <w:color w:val="auto"/>
              </w:rPr>
            </w:pPr>
            <w:r>
              <w:rPr>
                <w:rFonts w:hint="eastAsia"/>
                <w:color w:val="auto"/>
              </w:rPr>
              <w:t>（10）对标值比对</w:t>
            </w:r>
          </w:p>
          <w:p w14:paraId="2BF9E439">
            <w:pPr>
              <w:pStyle w:val="18"/>
              <w:rPr>
                <w:color w:val="auto"/>
              </w:rPr>
            </w:pPr>
            <w:r>
              <w:rPr>
                <w:rFonts w:hint="eastAsia"/>
                <w:color w:val="auto"/>
              </w:rPr>
              <w:t>根据本院其他科室及标杆值的对比分析亏损病例的费用问题所在。</w:t>
            </w:r>
          </w:p>
          <w:p w14:paraId="2CB51C00">
            <w:pPr>
              <w:pStyle w:val="18"/>
              <w:rPr>
                <w:color w:val="auto"/>
              </w:rPr>
            </w:pPr>
            <w:r>
              <w:rPr>
                <w:rFonts w:hint="eastAsia"/>
                <w:color w:val="auto"/>
              </w:rPr>
              <w:t>2.已月结盈亏分析</w:t>
            </w:r>
          </w:p>
          <w:p w14:paraId="3AFFF5CE">
            <w:pPr>
              <w:pStyle w:val="18"/>
              <w:rPr>
                <w:color w:val="auto"/>
              </w:rPr>
            </w:pPr>
            <w:r>
              <w:rPr>
                <w:rFonts w:hint="eastAsia"/>
                <w:color w:val="auto"/>
              </w:rPr>
              <w:t>（1）中心分组结果下载</w:t>
            </w:r>
          </w:p>
          <w:p w14:paraId="0885B675">
            <w:pPr>
              <w:pStyle w:val="18"/>
              <w:rPr>
                <w:color w:val="auto"/>
              </w:rPr>
            </w:pPr>
            <w:r>
              <w:rPr>
                <w:rFonts w:hint="eastAsia"/>
                <w:color w:val="auto"/>
              </w:rPr>
              <w:t>可调用医保中心提供的分组结果下载接口，下载中心病案分组结果。</w:t>
            </w:r>
          </w:p>
          <w:p w14:paraId="0CB55915">
            <w:pPr>
              <w:pStyle w:val="18"/>
              <w:rPr>
                <w:color w:val="auto"/>
              </w:rPr>
            </w:pPr>
            <w:r>
              <w:rPr>
                <w:rFonts w:hint="eastAsia"/>
                <w:color w:val="auto"/>
              </w:rPr>
              <w:t>（2）单个病例支付方式区分</w:t>
            </w:r>
          </w:p>
          <w:p w14:paraId="24274569">
            <w:pPr>
              <w:pStyle w:val="18"/>
              <w:rPr>
                <w:color w:val="auto"/>
              </w:rPr>
            </w:pPr>
            <w:r>
              <w:rPr>
                <w:rFonts w:hint="eastAsia"/>
                <w:color w:val="auto"/>
              </w:rPr>
              <w:t>根据医保DRG的支付政策计算不同医疗类别，不同人群的确定不同的支付方式，按项目支付或按DRG支付。</w:t>
            </w:r>
          </w:p>
          <w:p w14:paraId="119E8B43">
            <w:pPr>
              <w:pStyle w:val="18"/>
              <w:rPr>
                <w:color w:val="auto"/>
              </w:rPr>
            </w:pPr>
            <w:r>
              <w:rPr>
                <w:rFonts w:hint="eastAsia"/>
                <w:color w:val="auto"/>
              </w:rPr>
              <w:t>（3）拨付金额模拟计算</w:t>
            </w:r>
          </w:p>
          <w:p w14:paraId="0A515313">
            <w:pPr>
              <w:pStyle w:val="18"/>
              <w:rPr>
                <w:color w:val="auto"/>
              </w:rPr>
            </w:pPr>
            <w:r>
              <w:rPr>
                <w:rFonts w:hint="eastAsia"/>
                <w:color w:val="auto"/>
              </w:rPr>
              <w:t>根据当地DRG结算政策模拟计算出医保拨付金额。</w:t>
            </w:r>
          </w:p>
          <w:p w14:paraId="6CECA92F">
            <w:pPr>
              <w:pStyle w:val="18"/>
              <w:rPr>
                <w:color w:val="auto"/>
              </w:rPr>
            </w:pPr>
            <w:r>
              <w:rPr>
                <w:rFonts w:hint="eastAsia"/>
                <w:color w:val="auto"/>
              </w:rPr>
              <w:t>（4）本院科室盈亏对比分析</w:t>
            </w:r>
          </w:p>
          <w:p w14:paraId="4E23737F">
            <w:pPr>
              <w:pStyle w:val="18"/>
              <w:rPr>
                <w:color w:val="auto"/>
              </w:rPr>
            </w:pPr>
            <w:r>
              <w:rPr>
                <w:rFonts w:hint="eastAsia"/>
                <w:color w:val="auto"/>
              </w:rPr>
              <w:t>分析每个月全院不同科室的盈亏排名，支用比排名，DRG组数排名等来对比科室情况。</w:t>
            </w:r>
          </w:p>
          <w:p w14:paraId="4112C00E">
            <w:pPr>
              <w:pStyle w:val="18"/>
              <w:rPr>
                <w:color w:val="auto"/>
              </w:rPr>
            </w:pPr>
            <w:r>
              <w:rPr>
                <w:rFonts w:hint="eastAsia"/>
                <w:color w:val="auto"/>
              </w:rPr>
              <w:t>（5）科室下病组盈亏对比分析</w:t>
            </w:r>
          </w:p>
          <w:p w14:paraId="075EA8AA">
            <w:pPr>
              <w:pStyle w:val="18"/>
              <w:rPr>
                <w:color w:val="auto"/>
              </w:rPr>
            </w:pPr>
            <w:r>
              <w:rPr>
                <w:rFonts w:hint="eastAsia"/>
                <w:color w:val="auto"/>
              </w:rPr>
              <w:t>分析相同科室不同病组的盈亏情况。</w:t>
            </w:r>
          </w:p>
          <w:p w14:paraId="5579317C">
            <w:pPr>
              <w:pStyle w:val="18"/>
              <w:rPr>
                <w:color w:val="auto"/>
              </w:rPr>
            </w:pPr>
            <w:r>
              <w:rPr>
                <w:rFonts w:hint="eastAsia"/>
                <w:color w:val="auto"/>
              </w:rPr>
              <w:t>（6）科室全年各月指标走势分析</w:t>
            </w:r>
          </w:p>
          <w:p w14:paraId="256C56F0">
            <w:pPr>
              <w:pStyle w:val="18"/>
              <w:rPr>
                <w:color w:val="auto"/>
              </w:rPr>
            </w:pPr>
            <w:r>
              <w:rPr>
                <w:rFonts w:hint="eastAsia"/>
                <w:color w:val="auto"/>
              </w:rPr>
              <w:t>分析本科室全年费用趋势情况。</w:t>
            </w:r>
          </w:p>
          <w:p w14:paraId="484FF673">
            <w:pPr>
              <w:pStyle w:val="18"/>
              <w:rPr>
                <w:color w:val="auto"/>
              </w:rPr>
            </w:pPr>
            <w:r>
              <w:rPr>
                <w:rFonts w:hint="eastAsia"/>
                <w:color w:val="auto"/>
              </w:rPr>
              <w:t>（7）科室下各病组和标杆值的对比分析</w:t>
            </w:r>
          </w:p>
          <w:p w14:paraId="3EAE7BA2">
            <w:pPr>
              <w:pStyle w:val="18"/>
              <w:rPr>
                <w:color w:val="auto"/>
              </w:rPr>
            </w:pPr>
            <w:r>
              <w:rPr>
                <w:rFonts w:hint="eastAsia"/>
                <w:color w:val="auto"/>
              </w:rPr>
              <w:t>分析本科室各病组的费用构成情况和本院其他科室及标杆值对比情况。</w:t>
            </w:r>
          </w:p>
          <w:p w14:paraId="46C9D83B">
            <w:pPr>
              <w:pStyle w:val="18"/>
              <w:rPr>
                <w:color w:val="auto"/>
              </w:rPr>
            </w:pPr>
            <w:r>
              <w:rPr>
                <w:rFonts w:hint="eastAsia"/>
                <w:color w:val="auto"/>
              </w:rPr>
              <w:t>（8）科室下病组高额亏损病例分析</w:t>
            </w:r>
          </w:p>
          <w:p w14:paraId="48793C3B">
            <w:pPr>
              <w:pStyle w:val="18"/>
              <w:rPr>
                <w:color w:val="auto"/>
              </w:rPr>
            </w:pPr>
            <w:r>
              <w:rPr>
                <w:rFonts w:hint="eastAsia"/>
                <w:color w:val="auto"/>
              </w:rPr>
              <w:t>分析本科室高额亏损病例费用情况及亏损原因。</w:t>
            </w:r>
          </w:p>
          <w:p w14:paraId="6E087361">
            <w:pPr>
              <w:pStyle w:val="18"/>
              <w:rPr>
                <w:color w:val="auto"/>
              </w:rPr>
            </w:pPr>
            <w:r>
              <w:rPr>
                <w:rFonts w:hint="eastAsia"/>
                <w:color w:val="auto"/>
              </w:rPr>
              <w:t>（9）已月结病案查询</w:t>
            </w:r>
          </w:p>
          <w:p w14:paraId="553F492C">
            <w:pPr>
              <w:pStyle w:val="18"/>
              <w:rPr>
                <w:color w:val="auto"/>
              </w:rPr>
            </w:pPr>
            <w:r>
              <w:rPr>
                <w:rFonts w:hint="eastAsia"/>
                <w:color w:val="auto"/>
              </w:rPr>
              <w:t>对于已月结病案进行总体统计，可设置查询分析的时间段。也可对于单个病案月结信息进行查询与分析。</w:t>
            </w:r>
          </w:p>
          <w:p w14:paraId="77E6FD6A">
            <w:pPr>
              <w:pStyle w:val="18"/>
              <w:rPr>
                <w:color w:val="auto"/>
              </w:rPr>
            </w:pPr>
            <w:r>
              <w:rPr>
                <w:rFonts w:hint="eastAsia"/>
                <w:color w:val="auto"/>
              </w:rPr>
              <w:t>（10）已月结病案费用分析</w:t>
            </w:r>
          </w:p>
          <w:p w14:paraId="7394C2F1">
            <w:pPr>
              <w:pStyle w:val="18"/>
              <w:rPr>
                <w:color w:val="auto"/>
              </w:rPr>
            </w:pPr>
            <w:r>
              <w:rPr>
                <w:rFonts w:hint="eastAsia"/>
                <w:color w:val="auto"/>
              </w:rPr>
              <w:t>可对于查询时间段内的病案进行总体费用分析，包括统筹金额分析、拨付金额分析、支用比分析。</w:t>
            </w:r>
          </w:p>
          <w:p w14:paraId="2D078612">
            <w:pPr>
              <w:pStyle w:val="18"/>
              <w:rPr>
                <w:color w:val="auto"/>
              </w:rPr>
            </w:pPr>
            <w:r>
              <w:rPr>
                <w:rFonts w:hint="eastAsia"/>
                <w:color w:val="auto"/>
              </w:rPr>
              <w:t>（11）已月结盈亏分析</w:t>
            </w:r>
          </w:p>
          <w:p w14:paraId="14AF3762">
            <w:pPr>
              <w:pStyle w:val="18"/>
              <w:rPr>
                <w:color w:val="auto"/>
              </w:rPr>
            </w:pPr>
            <w:r>
              <w:rPr>
                <w:rFonts w:hint="eastAsia"/>
                <w:color w:val="auto"/>
              </w:rPr>
              <w:t>对于已月结病案盈亏进行分析，可总体分析、分条件分析、单个病案分析。</w:t>
            </w:r>
          </w:p>
          <w:p w14:paraId="20EC7216">
            <w:pPr>
              <w:pStyle w:val="18"/>
              <w:rPr>
                <w:color w:val="auto"/>
              </w:rPr>
            </w:pPr>
            <w:r>
              <w:rPr>
                <w:rFonts w:hint="eastAsia"/>
                <w:color w:val="auto"/>
              </w:rPr>
              <w:t>（12）已月结病案绩效指标分析</w:t>
            </w:r>
          </w:p>
          <w:p w14:paraId="29E17469">
            <w:pPr>
              <w:pStyle w:val="18"/>
              <w:rPr>
                <w:color w:val="auto"/>
              </w:rPr>
            </w:pPr>
            <w:r>
              <w:rPr>
                <w:rFonts w:hint="eastAsia"/>
                <w:color w:val="auto"/>
              </w:rPr>
              <w:t>可对于查询时间段内的病案进行病案数、DRG组数、总权重、住院日分析。</w:t>
            </w:r>
          </w:p>
          <w:p w14:paraId="493B9F62">
            <w:pPr>
              <w:pStyle w:val="18"/>
              <w:rPr>
                <w:color w:val="auto"/>
              </w:rPr>
            </w:pPr>
            <w:r>
              <w:rPr>
                <w:rFonts w:hint="eastAsia"/>
                <w:color w:val="auto"/>
              </w:rPr>
              <w:t>（13）已月结病案科室分析</w:t>
            </w:r>
          </w:p>
          <w:p w14:paraId="0F5E5822">
            <w:pPr>
              <w:pStyle w:val="18"/>
              <w:rPr>
                <w:color w:val="auto"/>
              </w:rPr>
            </w:pPr>
            <w:r>
              <w:rPr>
                <w:rFonts w:hint="eastAsia"/>
                <w:color w:val="auto"/>
              </w:rPr>
              <w:t>可进行全部科室的数据分析总览，也可实现单个科室所属病案的统计分析，可查看各科室的病例数、DRG组数、支用比，并提供图表展示。</w:t>
            </w:r>
          </w:p>
          <w:p w14:paraId="3167C88D">
            <w:pPr>
              <w:pStyle w:val="18"/>
              <w:rPr>
                <w:color w:val="auto"/>
              </w:rPr>
            </w:pPr>
            <w:r>
              <w:rPr>
                <w:rFonts w:hint="eastAsia"/>
                <w:color w:val="auto"/>
              </w:rPr>
              <w:t>（14）已月结病案病组分析</w:t>
            </w:r>
          </w:p>
          <w:p w14:paraId="75858589">
            <w:pPr>
              <w:pStyle w:val="18"/>
              <w:rPr>
                <w:color w:val="auto"/>
              </w:rPr>
            </w:pPr>
            <w:r>
              <w:rPr>
                <w:rFonts w:hint="eastAsia"/>
                <w:color w:val="auto"/>
              </w:rPr>
              <w:t>可实现单个病组所属病案的统计分析，查看病组内病案的六大成本占比，以及和本院其他科室及标杆值比对，并提供图表展示。</w:t>
            </w:r>
          </w:p>
          <w:p w14:paraId="1E60E171">
            <w:pPr>
              <w:pStyle w:val="18"/>
              <w:rPr>
                <w:color w:val="auto"/>
              </w:rPr>
            </w:pPr>
            <w:r>
              <w:rPr>
                <w:rFonts w:hint="eastAsia"/>
                <w:color w:val="auto"/>
              </w:rPr>
              <w:t>（15）已月结病案追踪</w:t>
            </w:r>
          </w:p>
          <w:p w14:paraId="05B56B85">
            <w:pPr>
              <w:pStyle w:val="18"/>
              <w:rPr>
                <w:color w:val="auto"/>
              </w:rPr>
            </w:pPr>
            <w:r>
              <w:rPr>
                <w:rFonts w:hint="eastAsia"/>
                <w:color w:val="auto"/>
              </w:rPr>
              <w:t>可以通过统计列表，向下逐层追踪各病案详情。</w:t>
            </w:r>
          </w:p>
          <w:p w14:paraId="1BEA7B06">
            <w:pPr>
              <w:pStyle w:val="18"/>
              <w:rPr>
                <w:color w:val="auto"/>
              </w:rPr>
            </w:pPr>
            <w:r>
              <w:rPr>
                <w:rFonts w:hint="eastAsia"/>
                <w:color w:val="auto"/>
              </w:rPr>
              <w:t>3.未月结单一病例查询</w:t>
            </w:r>
          </w:p>
          <w:p w14:paraId="0D7E6761">
            <w:pPr>
              <w:pStyle w:val="18"/>
              <w:rPr>
                <w:color w:val="auto"/>
              </w:rPr>
            </w:pPr>
            <w:r>
              <w:rPr>
                <w:rFonts w:hint="eastAsia"/>
                <w:color w:val="auto"/>
              </w:rPr>
              <w:t>（1）病案查询</w:t>
            </w:r>
          </w:p>
          <w:p w14:paraId="4550B1AE">
            <w:pPr>
              <w:pStyle w:val="18"/>
              <w:rPr>
                <w:color w:val="auto"/>
              </w:rPr>
            </w:pPr>
            <w:r>
              <w:rPr>
                <w:rFonts w:hint="eastAsia"/>
                <w:color w:val="auto"/>
              </w:rPr>
              <w:t>根据精确条件查询符合条件的未月结病例。</w:t>
            </w:r>
          </w:p>
          <w:p w14:paraId="43BD37F4">
            <w:pPr>
              <w:pStyle w:val="18"/>
              <w:rPr>
                <w:color w:val="auto"/>
              </w:rPr>
            </w:pPr>
            <w:r>
              <w:rPr>
                <w:rFonts w:hint="eastAsia"/>
                <w:color w:val="auto"/>
              </w:rPr>
              <w:t>（2）病案分组情况</w:t>
            </w:r>
          </w:p>
          <w:p w14:paraId="4D185A04">
            <w:pPr>
              <w:pStyle w:val="18"/>
              <w:rPr>
                <w:color w:val="auto"/>
              </w:rPr>
            </w:pPr>
            <w:r>
              <w:rPr>
                <w:rFonts w:hint="eastAsia"/>
                <w:color w:val="auto"/>
              </w:rPr>
              <w:t>点击某一笔病案可以下转查询对应的分组情况、疑点情况及费用明细</w:t>
            </w:r>
          </w:p>
          <w:p w14:paraId="3A422525">
            <w:pPr>
              <w:pStyle w:val="18"/>
              <w:rPr>
                <w:color w:val="auto"/>
              </w:rPr>
            </w:pPr>
            <w:r>
              <w:rPr>
                <w:rFonts w:hint="eastAsia"/>
                <w:color w:val="auto"/>
              </w:rPr>
              <w:t>（3）病案导出</w:t>
            </w:r>
          </w:p>
          <w:p w14:paraId="1697C02E">
            <w:pPr>
              <w:pStyle w:val="18"/>
              <w:rPr>
                <w:color w:val="auto"/>
              </w:rPr>
            </w:pPr>
            <w:r>
              <w:rPr>
                <w:rFonts w:hint="eastAsia"/>
                <w:color w:val="auto"/>
              </w:rPr>
              <w:t>把病案信息导出excel</w:t>
            </w:r>
          </w:p>
          <w:p w14:paraId="56B45FFA">
            <w:pPr>
              <w:pStyle w:val="18"/>
              <w:rPr>
                <w:color w:val="auto"/>
              </w:rPr>
            </w:pPr>
            <w:r>
              <w:rPr>
                <w:rFonts w:hint="eastAsia"/>
                <w:color w:val="auto"/>
              </w:rPr>
              <w:t>4.已月结单一病例查询</w:t>
            </w:r>
          </w:p>
          <w:p w14:paraId="60D2EDA8">
            <w:pPr>
              <w:pStyle w:val="18"/>
              <w:rPr>
                <w:color w:val="auto"/>
              </w:rPr>
            </w:pPr>
            <w:r>
              <w:rPr>
                <w:rFonts w:hint="eastAsia"/>
                <w:color w:val="auto"/>
              </w:rPr>
              <w:t>（1）病案查询</w:t>
            </w:r>
          </w:p>
          <w:p w14:paraId="16F43F31">
            <w:pPr>
              <w:pStyle w:val="18"/>
              <w:rPr>
                <w:color w:val="auto"/>
              </w:rPr>
            </w:pPr>
            <w:r>
              <w:rPr>
                <w:rFonts w:hint="eastAsia"/>
                <w:color w:val="auto"/>
              </w:rPr>
              <w:t>根据精确条件查询符合条件的未月结病例。</w:t>
            </w:r>
          </w:p>
          <w:p w14:paraId="332909A0">
            <w:pPr>
              <w:pStyle w:val="18"/>
              <w:rPr>
                <w:color w:val="auto"/>
              </w:rPr>
            </w:pPr>
            <w:r>
              <w:rPr>
                <w:rFonts w:hint="eastAsia"/>
                <w:color w:val="auto"/>
              </w:rPr>
              <w:t>（2）病案分组情况</w:t>
            </w:r>
          </w:p>
          <w:p w14:paraId="48631C43">
            <w:pPr>
              <w:pStyle w:val="18"/>
              <w:rPr>
                <w:color w:val="auto"/>
              </w:rPr>
            </w:pPr>
            <w:r>
              <w:rPr>
                <w:rFonts w:hint="eastAsia"/>
                <w:color w:val="auto"/>
              </w:rPr>
              <w:t>点击某一笔病案可以下转查询对应的分组情况、疑点情况及费用明细。</w:t>
            </w:r>
          </w:p>
          <w:p w14:paraId="1D4007B7">
            <w:pPr>
              <w:pStyle w:val="18"/>
              <w:rPr>
                <w:color w:val="auto"/>
              </w:rPr>
            </w:pPr>
            <w:r>
              <w:rPr>
                <w:rFonts w:hint="eastAsia"/>
                <w:color w:val="auto"/>
              </w:rPr>
              <w:t>（3）病案导出</w:t>
            </w:r>
          </w:p>
          <w:p w14:paraId="3C74B4FF">
            <w:pPr>
              <w:pStyle w:val="18"/>
              <w:rPr>
                <w:color w:val="auto"/>
              </w:rPr>
            </w:pPr>
            <w:r>
              <w:rPr>
                <w:rFonts w:hint="eastAsia"/>
                <w:color w:val="auto"/>
              </w:rPr>
              <w:t>把病案信息导出excel。</w:t>
            </w:r>
          </w:p>
          <w:p w14:paraId="64507958">
            <w:pPr>
              <w:pStyle w:val="18"/>
              <w:rPr>
                <w:color w:val="auto"/>
              </w:rPr>
            </w:pPr>
            <w:r>
              <w:rPr>
                <w:rFonts w:hint="eastAsia"/>
                <w:color w:val="auto"/>
              </w:rPr>
              <w:t>5.目标总控组（基层病组）分析</w:t>
            </w:r>
          </w:p>
          <w:p w14:paraId="7E4C1595">
            <w:pPr>
              <w:pStyle w:val="18"/>
              <w:rPr>
                <w:color w:val="auto"/>
              </w:rPr>
            </w:pPr>
            <w:r>
              <w:rPr>
                <w:rFonts w:hint="eastAsia"/>
                <w:color w:val="auto"/>
              </w:rPr>
              <w:t>（1）目控组范围管理</w:t>
            </w:r>
          </w:p>
          <w:p w14:paraId="47E4F58E">
            <w:pPr>
              <w:pStyle w:val="18"/>
              <w:rPr>
                <w:color w:val="auto"/>
              </w:rPr>
            </w:pPr>
            <w:r>
              <w:rPr>
                <w:rFonts w:hint="eastAsia"/>
                <w:color w:val="auto"/>
              </w:rPr>
              <w:t>医院可自定义目标总控组范围进行管理。</w:t>
            </w:r>
          </w:p>
          <w:p w14:paraId="35AD2F50">
            <w:pPr>
              <w:pStyle w:val="18"/>
              <w:rPr>
                <w:color w:val="auto"/>
              </w:rPr>
            </w:pPr>
            <w:r>
              <w:rPr>
                <w:rFonts w:hint="eastAsia"/>
                <w:color w:val="auto"/>
              </w:rPr>
              <w:t>（2）目控组总体情况分析</w:t>
            </w:r>
          </w:p>
          <w:p w14:paraId="4FFCEB06">
            <w:pPr>
              <w:pStyle w:val="18"/>
              <w:rPr>
                <w:color w:val="auto"/>
              </w:rPr>
            </w:pPr>
            <w:r>
              <w:rPr>
                <w:rFonts w:hint="eastAsia"/>
                <w:color w:val="auto"/>
              </w:rPr>
              <w:t>查询全院总控组总体情况，目控组数量、涉及病案数及目控组病例占比。</w:t>
            </w:r>
          </w:p>
          <w:p w14:paraId="34D132A7">
            <w:pPr>
              <w:pStyle w:val="18"/>
              <w:rPr>
                <w:color w:val="auto"/>
              </w:rPr>
            </w:pPr>
            <w:r>
              <w:rPr>
                <w:rFonts w:hint="eastAsia"/>
                <w:color w:val="auto"/>
              </w:rPr>
              <w:t>（3）目控组各科室情况分析</w:t>
            </w:r>
          </w:p>
          <w:p w14:paraId="5890F29B">
            <w:pPr>
              <w:pStyle w:val="18"/>
              <w:rPr>
                <w:color w:val="auto"/>
              </w:rPr>
            </w:pPr>
            <w:r>
              <w:rPr>
                <w:rFonts w:hint="eastAsia"/>
                <w:color w:val="auto"/>
              </w:rPr>
              <w:t>按科室查询目控组数量、总病案数及占比，并可排序。</w:t>
            </w:r>
          </w:p>
          <w:p w14:paraId="4BB7F827">
            <w:pPr>
              <w:pStyle w:val="18"/>
              <w:rPr>
                <w:color w:val="auto"/>
              </w:rPr>
            </w:pPr>
            <w:r>
              <w:rPr>
                <w:rFonts w:hint="eastAsia"/>
                <w:color w:val="auto"/>
              </w:rPr>
              <w:t>（4）目控制医生发生情况分析</w:t>
            </w:r>
          </w:p>
          <w:p w14:paraId="6BB7D3D2">
            <w:pPr>
              <w:pStyle w:val="18"/>
              <w:rPr>
                <w:color w:val="auto"/>
              </w:rPr>
            </w:pPr>
            <w:r>
              <w:rPr>
                <w:rFonts w:hint="eastAsia"/>
                <w:color w:val="auto"/>
              </w:rPr>
              <w:t>可按科室-病组-医生维度进行查询目控组病案分布情况。</w:t>
            </w:r>
          </w:p>
          <w:p w14:paraId="06460F76">
            <w:pPr>
              <w:pStyle w:val="18"/>
              <w:rPr>
                <w:color w:val="auto"/>
              </w:rPr>
            </w:pPr>
            <w:r>
              <w:rPr>
                <w:rFonts w:hint="eastAsia"/>
                <w:color w:val="auto"/>
              </w:rPr>
              <w:t>（三）决策分析</w:t>
            </w:r>
          </w:p>
          <w:p w14:paraId="48CBD232">
            <w:pPr>
              <w:pStyle w:val="18"/>
              <w:rPr>
                <w:color w:val="auto"/>
              </w:rPr>
            </w:pPr>
            <w:r>
              <w:rPr>
                <w:rFonts w:hint="eastAsia"/>
                <w:color w:val="auto"/>
              </w:rPr>
              <w:t>1.全院drg组分析</w:t>
            </w:r>
          </w:p>
          <w:p w14:paraId="4E4BA812">
            <w:pPr>
              <w:pStyle w:val="18"/>
              <w:rPr>
                <w:color w:val="auto"/>
              </w:rPr>
            </w:pPr>
            <w:r>
              <w:rPr>
                <w:rFonts w:hint="eastAsia"/>
                <w:color w:val="auto"/>
              </w:rPr>
              <w:t>（1）全院DRG组统计</w:t>
            </w:r>
          </w:p>
          <w:p w14:paraId="477BA78F">
            <w:pPr>
              <w:pStyle w:val="18"/>
              <w:rPr>
                <w:color w:val="auto"/>
              </w:rPr>
            </w:pPr>
            <w:r>
              <w:rPr>
                <w:rFonts w:hint="eastAsia"/>
                <w:color w:val="auto"/>
              </w:rPr>
              <w:t>针对于全院（已月结）病案进行统计，并将数据整理入各DRG分组内，提供组权重、病案数量、费用、盈亏、成本占比、支用比、平均住院日等分析。</w:t>
            </w:r>
          </w:p>
          <w:p w14:paraId="6DD7FDCD">
            <w:pPr>
              <w:pStyle w:val="18"/>
              <w:rPr>
                <w:color w:val="auto"/>
              </w:rPr>
            </w:pPr>
            <w:r>
              <w:rPr>
                <w:rFonts w:hint="eastAsia"/>
                <w:color w:val="auto"/>
              </w:rPr>
              <w:t>（2）同一病组下科室费用情况分析</w:t>
            </w:r>
          </w:p>
          <w:p w14:paraId="12308E0C">
            <w:pPr>
              <w:pStyle w:val="18"/>
              <w:rPr>
                <w:color w:val="auto"/>
              </w:rPr>
            </w:pPr>
            <w:r>
              <w:rPr>
                <w:rFonts w:hint="eastAsia"/>
                <w:color w:val="auto"/>
              </w:rPr>
              <w:t>对于病组进行详细查看，并以科室进行分类归纳。</w:t>
            </w:r>
          </w:p>
          <w:p w14:paraId="6BC61D7A">
            <w:pPr>
              <w:pStyle w:val="18"/>
              <w:rPr>
                <w:color w:val="auto"/>
              </w:rPr>
            </w:pPr>
            <w:r>
              <w:rPr>
                <w:rFonts w:hint="eastAsia"/>
                <w:color w:val="auto"/>
              </w:rPr>
              <w:t>（3）同一病组下高额亏损病案分析</w:t>
            </w:r>
          </w:p>
          <w:p w14:paraId="2A65B739">
            <w:pPr>
              <w:pStyle w:val="18"/>
              <w:rPr>
                <w:color w:val="auto"/>
              </w:rPr>
            </w:pPr>
            <w:r>
              <w:rPr>
                <w:rFonts w:hint="eastAsia"/>
                <w:color w:val="auto"/>
              </w:rPr>
              <w:t>对于病组进行详细查看，并以对于高额亏损病案进行筛选与分析。</w:t>
            </w:r>
          </w:p>
          <w:p w14:paraId="1B32E0BF">
            <w:pPr>
              <w:pStyle w:val="18"/>
              <w:rPr>
                <w:color w:val="auto"/>
              </w:rPr>
            </w:pPr>
            <w:r>
              <w:rPr>
                <w:rFonts w:hint="eastAsia"/>
                <w:color w:val="auto"/>
              </w:rPr>
              <w:t>（4）DRG组条件查询</w:t>
            </w:r>
          </w:p>
          <w:p w14:paraId="09E4CD77">
            <w:pPr>
              <w:pStyle w:val="18"/>
              <w:rPr>
                <w:color w:val="auto"/>
              </w:rPr>
            </w:pPr>
            <w:r>
              <w:rPr>
                <w:rFonts w:hint="eastAsia"/>
                <w:color w:val="auto"/>
              </w:rPr>
              <w:t>可设置时间条件、科室条件、组别条件进行分类查询与分析。</w:t>
            </w:r>
          </w:p>
          <w:p w14:paraId="29AB0C0C">
            <w:pPr>
              <w:pStyle w:val="18"/>
              <w:rPr>
                <w:color w:val="auto"/>
              </w:rPr>
            </w:pPr>
            <w:r>
              <w:rPr>
                <w:rFonts w:hint="eastAsia"/>
                <w:color w:val="auto"/>
              </w:rPr>
              <w:t>（5）DRG组别类型分析</w:t>
            </w:r>
          </w:p>
          <w:p w14:paraId="21F9FC95">
            <w:pPr>
              <w:pStyle w:val="18"/>
              <w:rPr>
                <w:color w:val="auto"/>
              </w:rPr>
            </w:pPr>
            <w:r>
              <w:rPr>
                <w:rFonts w:hint="eastAsia"/>
                <w:color w:val="auto"/>
              </w:rPr>
              <w:t>可提供内科组、手术组、操作组的分类分析。</w:t>
            </w:r>
          </w:p>
          <w:p w14:paraId="0E5B99E7">
            <w:pPr>
              <w:pStyle w:val="18"/>
              <w:rPr>
                <w:color w:val="auto"/>
              </w:rPr>
            </w:pPr>
            <w:r>
              <w:rPr>
                <w:rFonts w:hint="eastAsia"/>
                <w:color w:val="auto"/>
              </w:rPr>
              <w:t>（6）DRG组分析导出</w:t>
            </w:r>
          </w:p>
          <w:p w14:paraId="6B2BE81D">
            <w:pPr>
              <w:pStyle w:val="18"/>
              <w:rPr>
                <w:color w:val="auto"/>
              </w:rPr>
            </w:pPr>
            <w:r>
              <w:rPr>
                <w:rFonts w:hint="eastAsia"/>
                <w:color w:val="auto"/>
              </w:rPr>
              <w:t>依据查询分析结果进行导出，生成EXCEL。</w:t>
            </w:r>
          </w:p>
          <w:p w14:paraId="0E749F64">
            <w:pPr>
              <w:pStyle w:val="18"/>
              <w:rPr>
                <w:color w:val="auto"/>
              </w:rPr>
            </w:pPr>
            <w:r>
              <w:rPr>
                <w:rFonts w:hint="eastAsia"/>
                <w:color w:val="auto"/>
              </w:rPr>
              <w:t>（7）DRG单个组分析</w:t>
            </w:r>
          </w:p>
          <w:p w14:paraId="2B1386BD">
            <w:pPr>
              <w:pStyle w:val="18"/>
              <w:rPr>
                <w:color w:val="auto"/>
              </w:rPr>
            </w:pPr>
            <w:r>
              <w:rPr>
                <w:rFonts w:hint="eastAsia"/>
                <w:color w:val="auto"/>
              </w:rPr>
              <w:t>可实现单个病组的统计分析，查看病组的六大成本占比，提供和本院其他科室及标杆值比对，并提供图表展示。</w:t>
            </w:r>
          </w:p>
          <w:p w14:paraId="2724B81C">
            <w:pPr>
              <w:pStyle w:val="18"/>
              <w:rPr>
                <w:color w:val="auto"/>
              </w:rPr>
            </w:pPr>
            <w:r>
              <w:rPr>
                <w:rFonts w:hint="eastAsia"/>
                <w:color w:val="auto"/>
              </w:rPr>
              <w:t>2.全院医师DRG分析</w:t>
            </w:r>
          </w:p>
          <w:p w14:paraId="46B7CD88">
            <w:pPr>
              <w:pStyle w:val="18"/>
              <w:rPr>
                <w:color w:val="auto"/>
              </w:rPr>
            </w:pPr>
            <w:r>
              <w:rPr>
                <w:rFonts w:hint="eastAsia"/>
                <w:color w:val="auto"/>
              </w:rPr>
              <w:t>全院临床医师DRG统计</w:t>
            </w:r>
          </w:p>
          <w:p w14:paraId="1454BF90">
            <w:pPr>
              <w:pStyle w:val="18"/>
              <w:rPr>
                <w:color w:val="auto"/>
              </w:rPr>
            </w:pPr>
            <w:r>
              <w:rPr>
                <w:rFonts w:hint="eastAsia"/>
                <w:color w:val="auto"/>
              </w:rPr>
              <w:t>将院内病案按照医师维度进行统计分析，提供医师病例数、费用、住院日、药占比、耗占比等分析。</w:t>
            </w:r>
          </w:p>
          <w:p w14:paraId="1245B309">
            <w:pPr>
              <w:pStyle w:val="18"/>
              <w:rPr>
                <w:color w:val="auto"/>
              </w:rPr>
            </w:pPr>
            <w:r>
              <w:rPr>
                <w:rFonts w:hint="eastAsia"/>
                <w:color w:val="auto"/>
              </w:rPr>
              <w:t>同一科室下临床医师DRG费用对比分析</w:t>
            </w:r>
          </w:p>
          <w:p w14:paraId="16F20AD5">
            <w:pPr>
              <w:pStyle w:val="18"/>
              <w:rPr>
                <w:color w:val="auto"/>
              </w:rPr>
            </w:pPr>
            <w:r>
              <w:rPr>
                <w:rFonts w:hint="eastAsia"/>
                <w:color w:val="auto"/>
              </w:rPr>
              <w:t>对于医师DRG管理情况进行详细查看，并以科室维度进行筛选与分析。</w:t>
            </w:r>
          </w:p>
          <w:p w14:paraId="5E964772">
            <w:pPr>
              <w:pStyle w:val="18"/>
              <w:rPr>
                <w:color w:val="auto"/>
              </w:rPr>
            </w:pPr>
            <w:r>
              <w:rPr>
                <w:rFonts w:hint="eastAsia"/>
                <w:color w:val="auto"/>
              </w:rPr>
              <w:t>临床医师治疗相同病组DRG费用对比分析</w:t>
            </w:r>
          </w:p>
          <w:p w14:paraId="463FD7DA">
            <w:pPr>
              <w:pStyle w:val="18"/>
              <w:rPr>
                <w:color w:val="auto"/>
              </w:rPr>
            </w:pPr>
            <w:r>
              <w:rPr>
                <w:rFonts w:hint="eastAsia"/>
                <w:color w:val="auto"/>
              </w:rPr>
              <w:t>可依据科室、医师、DRG组、时间段等条件，查询医师DRG管理情况。</w:t>
            </w:r>
          </w:p>
          <w:p w14:paraId="1A488E34">
            <w:pPr>
              <w:pStyle w:val="18"/>
              <w:rPr>
                <w:color w:val="auto"/>
              </w:rPr>
            </w:pPr>
            <w:r>
              <w:rPr>
                <w:rFonts w:hint="eastAsia"/>
                <w:color w:val="auto"/>
              </w:rPr>
              <w:t>医师病案详情查询</w:t>
            </w:r>
          </w:p>
          <w:p w14:paraId="6C8429B8">
            <w:pPr>
              <w:pStyle w:val="18"/>
              <w:rPr>
                <w:color w:val="auto"/>
              </w:rPr>
            </w:pPr>
            <w:r>
              <w:rPr>
                <w:rFonts w:hint="eastAsia"/>
                <w:color w:val="auto"/>
              </w:rPr>
              <w:t>可对于医师所属病案进行详情查询。</w:t>
            </w:r>
          </w:p>
          <w:p w14:paraId="254166F7">
            <w:pPr>
              <w:pStyle w:val="18"/>
              <w:rPr>
                <w:color w:val="auto"/>
              </w:rPr>
            </w:pPr>
            <w:r>
              <w:rPr>
                <w:rFonts w:hint="eastAsia"/>
                <w:color w:val="auto"/>
              </w:rPr>
              <w:t>3.科室发展评价</w:t>
            </w:r>
          </w:p>
          <w:p w14:paraId="5917D397">
            <w:pPr>
              <w:pStyle w:val="18"/>
              <w:rPr>
                <w:color w:val="auto"/>
              </w:rPr>
            </w:pPr>
            <w:r>
              <w:rPr>
                <w:rFonts w:hint="eastAsia"/>
                <w:color w:val="auto"/>
              </w:rPr>
              <w:t>发展评价坐标系</w:t>
            </w:r>
          </w:p>
          <w:p w14:paraId="021D3B19">
            <w:pPr>
              <w:pStyle w:val="18"/>
              <w:rPr>
                <w:color w:val="auto"/>
              </w:rPr>
            </w:pPr>
            <w:r>
              <w:rPr>
                <w:rFonts w:hint="eastAsia"/>
                <w:color w:val="auto"/>
              </w:rPr>
              <w:t>依据医院需求，建立指标分析体系。以统计数据的盈亏为基准，设置病案占比、CMI等指标作为参考坐标。</w:t>
            </w:r>
          </w:p>
          <w:p w14:paraId="3670EF7F">
            <w:pPr>
              <w:pStyle w:val="18"/>
              <w:rPr>
                <w:color w:val="auto"/>
              </w:rPr>
            </w:pPr>
            <w:r>
              <w:rPr>
                <w:rFonts w:hint="eastAsia"/>
                <w:color w:val="auto"/>
              </w:rPr>
              <w:t>科室发展评价</w:t>
            </w:r>
          </w:p>
          <w:p w14:paraId="25A0A492">
            <w:pPr>
              <w:pStyle w:val="18"/>
              <w:rPr>
                <w:color w:val="auto"/>
              </w:rPr>
            </w:pPr>
            <w:r>
              <w:rPr>
                <w:rFonts w:hint="eastAsia"/>
                <w:color w:val="auto"/>
              </w:rPr>
              <w:t>通过坐标系对科室数据进行分析与对比，可查询优势学科。</w:t>
            </w:r>
          </w:p>
          <w:p w14:paraId="1ED63FD2">
            <w:pPr>
              <w:pStyle w:val="18"/>
              <w:rPr>
                <w:color w:val="auto"/>
              </w:rPr>
            </w:pPr>
            <w:r>
              <w:rPr>
                <w:rFonts w:hint="eastAsia"/>
                <w:color w:val="auto"/>
              </w:rPr>
              <w:t>DRG组发展评价</w:t>
            </w:r>
          </w:p>
          <w:p w14:paraId="1C5B1968">
            <w:pPr>
              <w:pStyle w:val="18"/>
              <w:rPr>
                <w:color w:val="auto"/>
              </w:rPr>
            </w:pPr>
            <w:r>
              <w:rPr>
                <w:rFonts w:hint="eastAsia"/>
                <w:color w:val="auto"/>
              </w:rPr>
              <w:t>通过坐标系对DRG组内数据进行分析与对比，可查询优势DRG组。</w:t>
            </w:r>
          </w:p>
          <w:p w14:paraId="6DEA7482">
            <w:pPr>
              <w:pStyle w:val="18"/>
              <w:rPr>
                <w:color w:val="auto"/>
              </w:rPr>
            </w:pPr>
            <w:r>
              <w:rPr>
                <w:rFonts w:hint="eastAsia"/>
                <w:color w:val="auto"/>
              </w:rPr>
              <w:t>医师发展评价</w:t>
            </w:r>
          </w:p>
          <w:p w14:paraId="5684953D">
            <w:pPr>
              <w:pStyle w:val="18"/>
              <w:rPr>
                <w:color w:val="auto"/>
              </w:rPr>
            </w:pPr>
            <w:r>
              <w:rPr>
                <w:rFonts w:hint="eastAsia"/>
                <w:color w:val="auto"/>
              </w:rPr>
              <w:t>通过坐标系对医师数据进行分析与对比，可查询符合DRG管理的医师情况。</w:t>
            </w:r>
          </w:p>
          <w:p w14:paraId="375E224C">
            <w:pPr>
              <w:pStyle w:val="18"/>
              <w:rPr>
                <w:color w:val="auto"/>
              </w:rPr>
            </w:pPr>
            <w:r>
              <w:rPr>
                <w:rFonts w:hint="eastAsia"/>
                <w:color w:val="auto"/>
              </w:rPr>
              <w:t>（四）绩效管理</w:t>
            </w:r>
          </w:p>
          <w:p w14:paraId="31568EFC">
            <w:pPr>
              <w:pStyle w:val="18"/>
              <w:rPr>
                <w:color w:val="auto"/>
              </w:rPr>
            </w:pPr>
            <w:r>
              <w:rPr>
                <w:rFonts w:hint="eastAsia"/>
                <w:color w:val="auto"/>
              </w:rPr>
              <w:t>1.综合绩效分析</w:t>
            </w:r>
          </w:p>
          <w:p w14:paraId="60B81710">
            <w:pPr>
              <w:pStyle w:val="18"/>
              <w:rPr>
                <w:color w:val="auto"/>
              </w:rPr>
            </w:pPr>
            <w:r>
              <w:rPr>
                <w:rFonts w:hint="eastAsia"/>
                <w:color w:val="auto"/>
              </w:rPr>
              <w:t>（1）总体绩效评价</w:t>
            </w:r>
          </w:p>
          <w:p w14:paraId="11599F86">
            <w:pPr>
              <w:pStyle w:val="18"/>
              <w:rPr>
                <w:color w:val="auto"/>
              </w:rPr>
            </w:pPr>
            <w:r>
              <w:rPr>
                <w:rFonts w:hint="eastAsia"/>
                <w:color w:val="auto"/>
              </w:rPr>
              <w:t>系统可对已月结病案进行统计分析，并生成可视化的绩效指标展示。绩效指标依据总权重、DRG组数、CMI、时间消耗指数、费用消耗指数、低风险死亡率六大指标进行设置。并提供可视化展示。</w:t>
            </w:r>
          </w:p>
          <w:p w14:paraId="3649A1EF">
            <w:pPr>
              <w:pStyle w:val="18"/>
              <w:rPr>
                <w:color w:val="auto"/>
              </w:rPr>
            </w:pPr>
            <w:r>
              <w:rPr>
                <w:rFonts w:hint="eastAsia"/>
                <w:color w:val="auto"/>
              </w:rPr>
              <w:t>（2）绩效指标条件查询</w:t>
            </w:r>
          </w:p>
          <w:p w14:paraId="41D627E3">
            <w:pPr>
              <w:pStyle w:val="18"/>
              <w:rPr>
                <w:color w:val="auto"/>
              </w:rPr>
            </w:pPr>
            <w:r>
              <w:rPr>
                <w:rFonts w:hint="eastAsia"/>
                <w:color w:val="auto"/>
              </w:rPr>
              <w:t>可依据付费类型、科室类别、时间段等条件，分别查询符合条件的绩效管理情况，并提供可视化展示。</w:t>
            </w:r>
          </w:p>
          <w:p w14:paraId="4FC5160B">
            <w:pPr>
              <w:pStyle w:val="18"/>
              <w:rPr>
                <w:color w:val="auto"/>
              </w:rPr>
            </w:pPr>
            <w:r>
              <w:rPr>
                <w:rFonts w:hint="eastAsia"/>
                <w:color w:val="auto"/>
              </w:rPr>
              <w:t>（3）绩效指标趋势查询</w:t>
            </w:r>
          </w:p>
          <w:p w14:paraId="56EB7105">
            <w:pPr>
              <w:pStyle w:val="18"/>
              <w:rPr>
                <w:color w:val="auto"/>
              </w:rPr>
            </w:pPr>
            <w:r>
              <w:rPr>
                <w:rFonts w:hint="eastAsia"/>
                <w:color w:val="auto"/>
              </w:rPr>
              <w:t>可分别对六大绩效指标按照时间顺序进行趋势绘图，以便直观展示管理成效。</w:t>
            </w:r>
          </w:p>
          <w:p w14:paraId="215BC288">
            <w:pPr>
              <w:pStyle w:val="18"/>
              <w:rPr>
                <w:color w:val="auto"/>
              </w:rPr>
            </w:pPr>
            <w:r>
              <w:rPr>
                <w:rFonts w:hint="eastAsia"/>
                <w:color w:val="auto"/>
              </w:rPr>
              <w:t>（4）绩效指标排名列表</w:t>
            </w:r>
          </w:p>
          <w:p w14:paraId="58429C98">
            <w:pPr>
              <w:pStyle w:val="18"/>
              <w:rPr>
                <w:color w:val="auto"/>
              </w:rPr>
            </w:pPr>
            <w:r>
              <w:rPr>
                <w:rFonts w:hint="eastAsia"/>
                <w:color w:val="auto"/>
              </w:rPr>
              <w:t>可依据六大绩效指标提供科室排名结果查询。可提供单个绩效指标的提升幅度与下降幅度前5名科室查询。</w:t>
            </w:r>
          </w:p>
          <w:p w14:paraId="0E7E4E1C">
            <w:pPr>
              <w:pStyle w:val="18"/>
              <w:rPr>
                <w:color w:val="auto"/>
              </w:rPr>
            </w:pPr>
            <w:r>
              <w:rPr>
                <w:rFonts w:hint="eastAsia"/>
                <w:color w:val="auto"/>
              </w:rPr>
              <w:t>（5）绩效建模</w:t>
            </w:r>
          </w:p>
          <w:p w14:paraId="1E874850">
            <w:pPr>
              <w:pStyle w:val="18"/>
              <w:rPr>
                <w:color w:val="auto"/>
              </w:rPr>
            </w:pPr>
            <w:r>
              <w:rPr>
                <w:rFonts w:hint="eastAsia"/>
                <w:color w:val="auto"/>
              </w:rPr>
              <w:t>通过对于绩效指标进行加权建模，形成六大绩效指标的综合评价体系。可帮助医院综合分析DRG绩效考核结果，并实际应用。医院可自行维护Topsis权重指数。</w:t>
            </w:r>
          </w:p>
          <w:p w14:paraId="46EDEB1F">
            <w:pPr>
              <w:pStyle w:val="18"/>
              <w:rPr>
                <w:color w:val="auto"/>
              </w:rPr>
            </w:pPr>
            <w:r>
              <w:rPr>
                <w:rFonts w:hint="eastAsia"/>
                <w:color w:val="auto"/>
              </w:rPr>
              <w:t>2.能力类绩效分析</w:t>
            </w:r>
          </w:p>
          <w:p w14:paraId="3061D7BC">
            <w:pPr>
              <w:pStyle w:val="18"/>
              <w:rPr>
                <w:color w:val="auto"/>
              </w:rPr>
            </w:pPr>
            <w:r>
              <w:rPr>
                <w:rFonts w:hint="eastAsia"/>
                <w:color w:val="auto"/>
              </w:rPr>
              <w:t>按DRG能力类指标分析：对于总权重、DRG组数、CMI三项能力类绩效指标进行分析，并提供科室排名列表。提供饼状图、柱状图的可视化展示。</w:t>
            </w:r>
          </w:p>
          <w:p w14:paraId="349E081C">
            <w:pPr>
              <w:pStyle w:val="18"/>
              <w:rPr>
                <w:color w:val="auto"/>
              </w:rPr>
            </w:pPr>
            <w:r>
              <w:rPr>
                <w:rFonts w:hint="eastAsia"/>
                <w:color w:val="auto"/>
              </w:rPr>
              <w:t>3.效率类绩效分析</w:t>
            </w:r>
          </w:p>
          <w:p w14:paraId="2DA9F895">
            <w:pPr>
              <w:pStyle w:val="18"/>
              <w:rPr>
                <w:color w:val="auto"/>
              </w:rPr>
            </w:pPr>
            <w:r>
              <w:rPr>
                <w:rFonts w:hint="eastAsia"/>
                <w:color w:val="auto"/>
              </w:rPr>
              <w:t>指DRG效率类指标分析：对于时间消耗指数、费用消耗指数两项能力类绩效指标进行分析，并提供科室排名列表。提供饼状图、柱状图的可视化展示。</w:t>
            </w:r>
          </w:p>
          <w:p w14:paraId="6CB240DF">
            <w:pPr>
              <w:pStyle w:val="18"/>
              <w:rPr>
                <w:color w:val="auto"/>
              </w:rPr>
            </w:pPr>
            <w:r>
              <w:rPr>
                <w:rFonts w:hint="eastAsia"/>
                <w:color w:val="auto"/>
              </w:rPr>
              <w:t>（五）系统管理</w:t>
            </w:r>
          </w:p>
          <w:p w14:paraId="0D6F9590">
            <w:pPr>
              <w:pStyle w:val="18"/>
              <w:rPr>
                <w:color w:val="auto"/>
              </w:rPr>
            </w:pPr>
            <w:r>
              <w:rPr>
                <w:rFonts w:hint="eastAsia"/>
                <w:color w:val="auto"/>
              </w:rPr>
              <w:t>1.用户管理</w:t>
            </w:r>
          </w:p>
          <w:p w14:paraId="0CC9742E">
            <w:pPr>
              <w:pStyle w:val="18"/>
              <w:rPr>
                <w:color w:val="auto"/>
              </w:rPr>
            </w:pPr>
            <w:r>
              <w:rPr>
                <w:rFonts w:hint="eastAsia"/>
                <w:color w:val="auto"/>
              </w:rPr>
              <w:t>（1）创建用户</w:t>
            </w:r>
          </w:p>
          <w:p w14:paraId="277ACB66">
            <w:pPr>
              <w:pStyle w:val="18"/>
              <w:rPr>
                <w:color w:val="auto"/>
              </w:rPr>
            </w:pPr>
            <w:r>
              <w:rPr>
                <w:rFonts w:hint="eastAsia"/>
                <w:color w:val="auto"/>
              </w:rPr>
              <w:t>维护系统的操作员，根据医院的医师信息，系统会给相关医师及医保科等管理人员创建用户并授予不同的角色。</w:t>
            </w:r>
          </w:p>
          <w:p w14:paraId="2CD9D4DC">
            <w:pPr>
              <w:pStyle w:val="18"/>
              <w:rPr>
                <w:color w:val="auto"/>
              </w:rPr>
            </w:pPr>
            <w:r>
              <w:rPr>
                <w:rFonts w:hint="eastAsia"/>
                <w:color w:val="auto"/>
              </w:rPr>
              <w:t>（2）密码修改</w:t>
            </w:r>
          </w:p>
          <w:p w14:paraId="3BC7B65E">
            <w:pPr>
              <w:pStyle w:val="18"/>
              <w:rPr>
                <w:color w:val="auto"/>
              </w:rPr>
            </w:pPr>
            <w:r>
              <w:rPr>
                <w:rFonts w:hint="eastAsia"/>
                <w:color w:val="auto"/>
              </w:rPr>
              <w:t>操作员登录到系统后可以自行修改密码。</w:t>
            </w:r>
          </w:p>
          <w:p w14:paraId="77AC01B2">
            <w:pPr>
              <w:pStyle w:val="18"/>
              <w:rPr>
                <w:color w:val="auto"/>
              </w:rPr>
            </w:pPr>
            <w:r>
              <w:rPr>
                <w:rFonts w:hint="eastAsia"/>
                <w:color w:val="auto"/>
              </w:rPr>
              <w:t>2.角色管理</w:t>
            </w:r>
          </w:p>
          <w:p w14:paraId="1CCA09CB">
            <w:pPr>
              <w:pStyle w:val="18"/>
              <w:rPr>
                <w:color w:val="auto"/>
              </w:rPr>
            </w:pPr>
            <w:r>
              <w:rPr>
                <w:rFonts w:hint="eastAsia"/>
                <w:color w:val="auto"/>
              </w:rPr>
              <w:t>创建角色：根据医院的不同人员角色的工作职责创建相关的角色，用于区分不用用户的权限。</w:t>
            </w:r>
          </w:p>
          <w:p w14:paraId="0DE67B9A">
            <w:pPr>
              <w:pStyle w:val="18"/>
              <w:rPr>
                <w:color w:val="auto"/>
              </w:rPr>
            </w:pPr>
            <w:r>
              <w:rPr>
                <w:rFonts w:hint="eastAsia"/>
                <w:color w:val="auto"/>
              </w:rPr>
              <w:t>3.系统参数管理</w:t>
            </w:r>
          </w:p>
          <w:p w14:paraId="5E208807">
            <w:pPr>
              <w:pStyle w:val="18"/>
              <w:rPr>
                <w:color w:val="auto"/>
              </w:rPr>
            </w:pPr>
            <w:r>
              <w:rPr>
                <w:rFonts w:hint="eastAsia"/>
                <w:color w:val="auto"/>
              </w:rPr>
              <w:t>参数维护：对系统常用参数进行设置。</w:t>
            </w:r>
          </w:p>
        </w:tc>
      </w:tr>
    </w:tbl>
    <w:p w14:paraId="4DC6F8C2">
      <w:pPr>
        <w:pStyle w:val="4"/>
        <w:numPr>
          <w:ilvl w:val="1"/>
          <w:numId w:val="0"/>
        </w:numPr>
        <w:ind w:left="576" w:leftChars="0" w:hanging="576" w:firstLineChars="0"/>
        <w:rPr>
          <w:color w:val="auto"/>
        </w:rPr>
      </w:pPr>
      <w:bookmarkStart w:id="167" w:name="_Toc208646545"/>
      <w:bookmarkStart w:id="168" w:name="_Toc196769054"/>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.23</w:t>
      </w:r>
      <w:r>
        <w:rPr>
          <w:rFonts w:hint="eastAsia"/>
          <w:color w:val="auto"/>
        </w:rPr>
        <w:t>医用物资管理系统</w:t>
      </w:r>
      <w:bookmarkEnd w:id="167"/>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2FAB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654213AD">
            <w:pPr>
              <w:pStyle w:val="18"/>
              <w:jc w:val="center"/>
              <w:rPr>
                <w:b w:val="0"/>
                <w:color w:val="auto"/>
              </w:rPr>
            </w:pPr>
            <w:r>
              <w:rPr>
                <w:rFonts w:hint="eastAsia"/>
                <w:b/>
                <w:color w:val="auto"/>
              </w:rPr>
              <w:t>系统名称</w:t>
            </w:r>
          </w:p>
        </w:tc>
        <w:tc>
          <w:tcPr>
            <w:tcW w:w="6579" w:type="dxa"/>
            <w:shd w:val="clear" w:color="auto" w:fill="BEBEBE" w:themeFill="background1" w:themeFillShade="BF"/>
            <w:vAlign w:val="center"/>
          </w:tcPr>
          <w:p w14:paraId="32F9AE96">
            <w:pPr>
              <w:pStyle w:val="18"/>
              <w:rPr>
                <w:b/>
                <w:color w:val="auto"/>
              </w:rPr>
            </w:pPr>
            <w:r>
              <w:rPr>
                <w:rFonts w:hint="eastAsia"/>
                <w:b/>
                <w:color w:val="auto"/>
              </w:rPr>
              <w:t>医用物资管理系统</w:t>
            </w:r>
          </w:p>
        </w:tc>
      </w:tr>
      <w:tr w14:paraId="1097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2B5D2BF">
            <w:pPr>
              <w:pStyle w:val="18"/>
              <w:jc w:val="center"/>
              <w:rPr>
                <w:b/>
                <w:bCs/>
                <w:color w:val="auto"/>
              </w:rPr>
            </w:pPr>
            <w:r>
              <w:rPr>
                <w:rFonts w:hint="eastAsia"/>
                <w:b/>
                <w:bCs/>
                <w:color w:val="auto"/>
              </w:rPr>
              <w:t>系统概述</w:t>
            </w:r>
          </w:p>
        </w:tc>
        <w:tc>
          <w:tcPr>
            <w:tcW w:w="6579" w:type="dxa"/>
            <w:vAlign w:val="center"/>
          </w:tcPr>
          <w:p w14:paraId="7462E278">
            <w:pPr>
              <w:pStyle w:val="18"/>
              <w:rPr>
                <w:color w:val="auto"/>
              </w:rPr>
            </w:pPr>
            <w:r>
              <w:rPr>
                <w:rFonts w:hint="eastAsia"/>
                <w:color w:val="auto"/>
              </w:rPr>
              <w:t>医用物资管理系统，能够实现库存管理、物资库进销存、物资入出库、基本信息维护等功能，并能够对物资库进行维护查询。管理系统是一套基于条码化、零库存模式的管理系统，将供应商和医院管理信息进行有效的连接，既方便医院管理，又能保障了耗材使用的安全性，实现耗材的全面追溯。</w:t>
            </w:r>
          </w:p>
        </w:tc>
      </w:tr>
      <w:tr w14:paraId="100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C7A23E6">
            <w:pPr>
              <w:pStyle w:val="18"/>
              <w:jc w:val="center"/>
              <w:rPr>
                <w:b/>
                <w:bCs/>
                <w:color w:val="auto"/>
              </w:rPr>
            </w:pPr>
            <w:r>
              <w:rPr>
                <w:rFonts w:hint="eastAsia"/>
                <w:b/>
                <w:bCs/>
                <w:color w:val="auto"/>
              </w:rPr>
              <w:t>子项名称</w:t>
            </w:r>
          </w:p>
        </w:tc>
        <w:tc>
          <w:tcPr>
            <w:tcW w:w="6579" w:type="dxa"/>
            <w:vAlign w:val="center"/>
          </w:tcPr>
          <w:p w14:paraId="44BFE028">
            <w:pPr>
              <w:pStyle w:val="18"/>
              <w:jc w:val="center"/>
              <w:rPr>
                <w:b/>
                <w:bCs/>
                <w:color w:val="auto"/>
              </w:rPr>
            </w:pPr>
            <w:r>
              <w:rPr>
                <w:rFonts w:hint="eastAsia"/>
                <w:b/>
                <w:bCs/>
                <w:color w:val="auto"/>
              </w:rPr>
              <w:t>技术和功能配置要求</w:t>
            </w:r>
          </w:p>
        </w:tc>
      </w:tr>
      <w:tr w14:paraId="04B7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17495E5">
            <w:pPr>
              <w:pStyle w:val="18"/>
              <w:jc w:val="center"/>
              <w:rPr>
                <w:b w:val="0"/>
                <w:color w:val="auto"/>
              </w:rPr>
            </w:pPr>
            <w:r>
              <w:rPr>
                <w:rFonts w:hint="eastAsia"/>
                <w:b w:val="0"/>
                <w:color w:val="auto"/>
              </w:rPr>
              <w:t>基本信息维护</w:t>
            </w:r>
          </w:p>
        </w:tc>
        <w:tc>
          <w:tcPr>
            <w:tcW w:w="6579" w:type="dxa"/>
            <w:vAlign w:val="center"/>
          </w:tcPr>
          <w:p w14:paraId="70A710AF">
            <w:pPr>
              <w:pStyle w:val="18"/>
              <w:rPr>
                <w:color w:val="auto"/>
              </w:rPr>
            </w:pPr>
            <w:r>
              <w:rPr>
                <w:rFonts w:hint="eastAsia"/>
                <w:color w:val="auto"/>
              </w:rPr>
              <w:t>1.权限设置</w:t>
            </w:r>
          </w:p>
          <w:p w14:paraId="54380701">
            <w:pPr>
              <w:pStyle w:val="18"/>
              <w:rPr>
                <w:color w:val="auto"/>
              </w:rPr>
            </w:pPr>
            <w:r>
              <w:rPr>
                <w:rFonts w:hint="eastAsia"/>
                <w:color w:val="auto"/>
              </w:rPr>
              <w:t>可设置物资系统窗口的使用权限。</w:t>
            </w:r>
          </w:p>
          <w:p w14:paraId="0471994B">
            <w:pPr>
              <w:pStyle w:val="18"/>
              <w:rPr>
                <w:color w:val="auto"/>
              </w:rPr>
            </w:pPr>
            <w:r>
              <w:rPr>
                <w:rFonts w:hint="eastAsia"/>
                <w:color w:val="auto"/>
              </w:rPr>
              <w:t>2.常数维护</w:t>
            </w:r>
          </w:p>
          <w:p w14:paraId="15128341">
            <w:pPr>
              <w:pStyle w:val="18"/>
              <w:rPr>
                <w:color w:val="auto"/>
              </w:rPr>
            </w:pPr>
            <w:r>
              <w:rPr>
                <w:rFonts w:hint="eastAsia"/>
                <w:color w:val="auto"/>
              </w:rPr>
              <w:t>可维护物资管理中常用的基础数据，如最小单位等。</w:t>
            </w:r>
          </w:p>
          <w:p w14:paraId="02420027">
            <w:pPr>
              <w:pStyle w:val="18"/>
              <w:rPr>
                <w:color w:val="auto"/>
              </w:rPr>
            </w:pPr>
            <w:r>
              <w:rPr>
                <w:rFonts w:hint="eastAsia"/>
                <w:color w:val="auto"/>
              </w:rPr>
              <w:t>3.物资分类维护</w:t>
            </w:r>
          </w:p>
          <w:p w14:paraId="390C79BD">
            <w:pPr>
              <w:pStyle w:val="18"/>
              <w:rPr>
                <w:color w:val="auto"/>
              </w:rPr>
            </w:pPr>
            <w:r>
              <w:rPr>
                <w:rFonts w:hint="eastAsia"/>
                <w:color w:val="auto"/>
              </w:rPr>
              <w:t>可以维护物资分类科目信息，支持多级科目维护。</w:t>
            </w:r>
          </w:p>
          <w:p w14:paraId="2EA70987">
            <w:pPr>
              <w:pStyle w:val="18"/>
              <w:rPr>
                <w:color w:val="auto"/>
              </w:rPr>
            </w:pPr>
            <w:r>
              <w:rPr>
                <w:rFonts w:hint="eastAsia"/>
                <w:color w:val="auto"/>
              </w:rPr>
              <w:t>4.物资字典维护</w:t>
            </w:r>
          </w:p>
          <w:p w14:paraId="59253D8F">
            <w:pPr>
              <w:pStyle w:val="18"/>
              <w:rPr>
                <w:color w:val="auto"/>
              </w:rPr>
            </w:pPr>
            <w:r>
              <w:rPr>
                <w:rFonts w:hint="eastAsia"/>
                <w:color w:val="auto"/>
              </w:rPr>
              <w:t>可以维护物资分类科目下的具体物资项目信息（包括物资的文档、图片信息等），如规格、零售价、最小单位，加价规则等；可维护与物资项目相关的厂家注册信息（包括文档、图片信息等），如生产厂家、注册号、注册时间等。</w:t>
            </w:r>
          </w:p>
        </w:tc>
      </w:tr>
      <w:tr w14:paraId="02BE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D299EA7">
            <w:pPr>
              <w:pStyle w:val="18"/>
              <w:jc w:val="center"/>
              <w:rPr>
                <w:b w:val="0"/>
                <w:color w:val="auto"/>
              </w:rPr>
            </w:pPr>
            <w:r>
              <w:rPr>
                <w:rFonts w:hint="eastAsia"/>
                <w:b w:val="0"/>
                <w:color w:val="auto"/>
              </w:rPr>
              <w:t>入出库管理</w:t>
            </w:r>
          </w:p>
        </w:tc>
        <w:tc>
          <w:tcPr>
            <w:tcW w:w="6579" w:type="dxa"/>
            <w:vAlign w:val="center"/>
          </w:tcPr>
          <w:p w14:paraId="10B8205F">
            <w:pPr>
              <w:pStyle w:val="18"/>
              <w:rPr>
                <w:color w:val="auto"/>
              </w:rPr>
            </w:pPr>
            <w:r>
              <w:rPr>
                <w:rFonts w:hint="eastAsia"/>
                <w:color w:val="auto"/>
              </w:rPr>
              <w:t>支持系统初始化时初始化库房物资的库存数量。支持库房的正常入库、发票入库、核准入库、入库退库、特殊入库等多种入库类型，支持科室的物资入库申请；支持打印入库单。支持正常出库、特殊出库、出库退库、出库审批等多种出库类型，支持按照科室的入库申请单，支持打印出库单。支持临床科室根据实际需要向库房进行物品的请领。</w:t>
            </w:r>
          </w:p>
        </w:tc>
      </w:tr>
      <w:tr w14:paraId="4496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58F5898">
            <w:pPr>
              <w:pStyle w:val="18"/>
              <w:jc w:val="center"/>
              <w:rPr>
                <w:b w:val="0"/>
                <w:color w:val="auto"/>
              </w:rPr>
            </w:pPr>
            <w:r>
              <w:rPr>
                <w:rFonts w:hint="eastAsia"/>
                <w:b w:val="0"/>
                <w:color w:val="auto"/>
              </w:rPr>
              <w:t>库存管理</w:t>
            </w:r>
          </w:p>
        </w:tc>
        <w:tc>
          <w:tcPr>
            <w:tcW w:w="6579" w:type="dxa"/>
            <w:vAlign w:val="center"/>
          </w:tcPr>
          <w:p w14:paraId="4746B4EF">
            <w:pPr>
              <w:pStyle w:val="18"/>
              <w:rPr>
                <w:color w:val="auto"/>
              </w:rPr>
            </w:pPr>
            <w:r>
              <w:rPr>
                <w:rFonts w:hint="eastAsia"/>
                <w:color w:val="auto"/>
              </w:rPr>
              <w:t>1.库存管理</w:t>
            </w:r>
          </w:p>
          <w:p w14:paraId="7E980D03">
            <w:pPr>
              <w:pStyle w:val="18"/>
              <w:rPr>
                <w:color w:val="auto"/>
              </w:rPr>
            </w:pPr>
            <w:r>
              <w:rPr>
                <w:rFonts w:hint="eastAsia"/>
                <w:color w:val="auto"/>
              </w:rPr>
              <w:t>可管理库房库存、备货物资库存的库存数量、上下限数量、库位号，支持多条件组合查询物资库存情况。</w:t>
            </w:r>
          </w:p>
          <w:p w14:paraId="2A382447">
            <w:pPr>
              <w:pStyle w:val="18"/>
              <w:rPr>
                <w:color w:val="auto"/>
              </w:rPr>
            </w:pPr>
            <w:r>
              <w:rPr>
                <w:rFonts w:hint="eastAsia"/>
                <w:color w:val="auto"/>
              </w:rPr>
              <w:t>2.盘点管理</w:t>
            </w:r>
          </w:p>
          <w:p w14:paraId="46D478C1">
            <w:pPr>
              <w:pStyle w:val="18"/>
              <w:rPr>
                <w:color w:val="auto"/>
              </w:rPr>
            </w:pPr>
            <w:r>
              <w:rPr>
                <w:rFonts w:hint="eastAsia"/>
                <w:color w:val="auto"/>
              </w:rPr>
              <w:t>支持对库房物资项目进行库存盘点、打印，支持查看历史盘点单。可通过批量封帐对不同类别进行盘点。</w:t>
            </w:r>
          </w:p>
          <w:p w14:paraId="60297075">
            <w:pPr>
              <w:pStyle w:val="18"/>
              <w:rPr>
                <w:color w:val="auto"/>
              </w:rPr>
            </w:pPr>
            <w:r>
              <w:rPr>
                <w:rFonts w:hint="eastAsia"/>
                <w:color w:val="auto"/>
              </w:rPr>
              <w:t>3.月结管理</w:t>
            </w:r>
          </w:p>
          <w:p w14:paraId="30CC2B5F">
            <w:pPr>
              <w:pStyle w:val="18"/>
              <w:rPr>
                <w:color w:val="auto"/>
              </w:rPr>
            </w:pPr>
            <w:r>
              <w:rPr>
                <w:rFonts w:hint="eastAsia"/>
                <w:color w:val="auto"/>
              </w:rPr>
              <w:t>支持对库房物资的月结操作，支持撤销、汇总、打印月结数据。</w:t>
            </w:r>
          </w:p>
          <w:p w14:paraId="23A8A073">
            <w:pPr>
              <w:pStyle w:val="18"/>
              <w:rPr>
                <w:color w:val="auto"/>
              </w:rPr>
            </w:pPr>
            <w:r>
              <w:rPr>
                <w:rFonts w:hint="eastAsia"/>
                <w:color w:val="auto"/>
              </w:rPr>
              <w:t>4.单据补打</w:t>
            </w:r>
          </w:p>
          <w:p w14:paraId="17201374">
            <w:pPr>
              <w:pStyle w:val="18"/>
              <w:rPr>
                <w:color w:val="auto"/>
              </w:rPr>
            </w:pPr>
            <w:r>
              <w:rPr>
                <w:rFonts w:hint="eastAsia"/>
                <w:color w:val="auto"/>
              </w:rPr>
              <w:t>支持补打入库单、出库单、结存单单据。</w:t>
            </w:r>
          </w:p>
        </w:tc>
      </w:tr>
      <w:tr w14:paraId="193A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F29ADC9">
            <w:pPr>
              <w:pStyle w:val="18"/>
              <w:jc w:val="center"/>
              <w:rPr>
                <w:b w:val="0"/>
                <w:color w:val="auto"/>
              </w:rPr>
            </w:pPr>
            <w:r>
              <w:rPr>
                <w:rFonts w:hint="eastAsia"/>
                <w:b w:val="0"/>
                <w:color w:val="auto"/>
              </w:rPr>
              <w:t>采购管理</w:t>
            </w:r>
          </w:p>
        </w:tc>
        <w:tc>
          <w:tcPr>
            <w:tcW w:w="6579" w:type="dxa"/>
            <w:vAlign w:val="center"/>
          </w:tcPr>
          <w:p w14:paraId="2CFCDB3A">
            <w:pPr>
              <w:pStyle w:val="18"/>
              <w:rPr>
                <w:color w:val="auto"/>
              </w:rPr>
            </w:pPr>
            <w:r>
              <w:rPr>
                <w:rFonts w:hint="eastAsia"/>
                <w:color w:val="auto"/>
              </w:rPr>
              <w:t>1.入库计划</w:t>
            </w:r>
          </w:p>
          <w:p w14:paraId="7B73066D">
            <w:pPr>
              <w:pStyle w:val="18"/>
              <w:rPr>
                <w:color w:val="auto"/>
              </w:rPr>
            </w:pPr>
            <w:r>
              <w:rPr>
                <w:rFonts w:hint="eastAsia"/>
                <w:color w:val="auto"/>
              </w:rPr>
              <w:t>科室人员根据实际情况做入库计划生成入库计划单。可以设置模板来方便每次制定入库计划，可以使用境界线或日消耗来自动生成入库计划。</w:t>
            </w:r>
          </w:p>
          <w:p w14:paraId="06CA72F2">
            <w:pPr>
              <w:pStyle w:val="18"/>
              <w:rPr>
                <w:color w:val="auto"/>
              </w:rPr>
            </w:pPr>
            <w:r>
              <w:rPr>
                <w:rFonts w:hint="eastAsia"/>
                <w:color w:val="auto"/>
              </w:rPr>
              <w:t>2.采购计划</w:t>
            </w:r>
          </w:p>
          <w:p w14:paraId="1FA85E65">
            <w:pPr>
              <w:pStyle w:val="18"/>
              <w:rPr>
                <w:color w:val="auto"/>
              </w:rPr>
            </w:pPr>
            <w:r>
              <w:rPr>
                <w:rFonts w:hint="eastAsia"/>
                <w:color w:val="auto"/>
              </w:rPr>
              <w:t>采购人员根据库房的入库计划生成采购计划单。采购计划步骤配置：采购计划制定步骤可根据实际情况进行配置，系统默认为三步，分别为新建采购计划、采购计划审核、采购计划领导审核。</w:t>
            </w:r>
          </w:p>
        </w:tc>
      </w:tr>
      <w:tr w14:paraId="4611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38B4CC3">
            <w:pPr>
              <w:pStyle w:val="18"/>
              <w:jc w:val="center"/>
              <w:rPr>
                <w:b w:val="0"/>
                <w:color w:val="auto"/>
              </w:rPr>
            </w:pPr>
            <w:r>
              <w:rPr>
                <w:rFonts w:hint="eastAsia"/>
                <w:b w:val="0"/>
                <w:color w:val="auto"/>
              </w:rPr>
              <w:t>查询统计</w:t>
            </w:r>
          </w:p>
        </w:tc>
        <w:tc>
          <w:tcPr>
            <w:tcW w:w="6579" w:type="dxa"/>
            <w:vAlign w:val="center"/>
          </w:tcPr>
          <w:p w14:paraId="720CBA71">
            <w:pPr>
              <w:pStyle w:val="18"/>
              <w:rPr>
                <w:color w:val="auto"/>
              </w:rPr>
            </w:pPr>
            <w:r>
              <w:rPr>
                <w:rFonts w:hint="eastAsia"/>
                <w:color w:val="auto"/>
              </w:rPr>
              <w:t>1.物资综合查询</w:t>
            </w:r>
          </w:p>
          <w:p w14:paraId="6D596694">
            <w:pPr>
              <w:pStyle w:val="18"/>
              <w:rPr>
                <w:color w:val="auto"/>
              </w:rPr>
            </w:pPr>
            <w:r>
              <w:rPr>
                <w:rFonts w:hint="eastAsia"/>
                <w:color w:val="auto"/>
              </w:rPr>
              <w:t>可通过多条件组合设置查询物资的入库、出库、盘点信息。</w:t>
            </w:r>
          </w:p>
          <w:p w14:paraId="19C11A67">
            <w:pPr>
              <w:pStyle w:val="18"/>
              <w:rPr>
                <w:color w:val="auto"/>
              </w:rPr>
            </w:pPr>
            <w:r>
              <w:rPr>
                <w:rFonts w:hint="eastAsia"/>
                <w:color w:val="auto"/>
              </w:rPr>
              <w:t>2.入库明细查询</w:t>
            </w:r>
          </w:p>
          <w:p w14:paraId="201EA4C8">
            <w:pPr>
              <w:pStyle w:val="18"/>
              <w:rPr>
                <w:color w:val="auto"/>
              </w:rPr>
            </w:pPr>
            <w:r>
              <w:rPr>
                <w:rFonts w:hint="eastAsia"/>
                <w:color w:val="auto"/>
              </w:rPr>
              <w:t>查询物资的入库明细信息。</w:t>
            </w:r>
          </w:p>
          <w:p w14:paraId="52A44B72">
            <w:pPr>
              <w:pStyle w:val="18"/>
              <w:rPr>
                <w:color w:val="auto"/>
              </w:rPr>
            </w:pPr>
            <w:r>
              <w:rPr>
                <w:rFonts w:hint="eastAsia"/>
                <w:color w:val="auto"/>
              </w:rPr>
              <w:t>3.出库明细查询</w:t>
            </w:r>
          </w:p>
          <w:p w14:paraId="03EF3680">
            <w:pPr>
              <w:pStyle w:val="18"/>
              <w:rPr>
                <w:color w:val="auto"/>
              </w:rPr>
            </w:pPr>
            <w:r>
              <w:rPr>
                <w:rFonts w:hint="eastAsia"/>
                <w:color w:val="auto"/>
              </w:rPr>
              <w:t>查询物资的出库明细信息。</w:t>
            </w:r>
          </w:p>
          <w:p w14:paraId="0B0A7710">
            <w:pPr>
              <w:pStyle w:val="18"/>
              <w:rPr>
                <w:color w:val="auto"/>
              </w:rPr>
            </w:pPr>
            <w:r>
              <w:rPr>
                <w:rFonts w:hint="eastAsia"/>
                <w:color w:val="auto"/>
              </w:rPr>
              <w:t>4.入库汇总查询</w:t>
            </w:r>
          </w:p>
          <w:p w14:paraId="2B865AE2">
            <w:pPr>
              <w:pStyle w:val="18"/>
              <w:rPr>
                <w:color w:val="auto"/>
              </w:rPr>
            </w:pPr>
            <w:r>
              <w:rPr>
                <w:rFonts w:hint="eastAsia"/>
                <w:color w:val="auto"/>
              </w:rPr>
              <w:t>查询供货商的供货汇总信息。</w:t>
            </w:r>
          </w:p>
          <w:p w14:paraId="5C59612C">
            <w:pPr>
              <w:pStyle w:val="18"/>
              <w:rPr>
                <w:color w:val="auto"/>
              </w:rPr>
            </w:pPr>
            <w:r>
              <w:rPr>
                <w:rFonts w:hint="eastAsia"/>
                <w:color w:val="auto"/>
              </w:rPr>
              <w:t>5.出库汇总查询</w:t>
            </w:r>
          </w:p>
          <w:p w14:paraId="6BF1C35A">
            <w:pPr>
              <w:pStyle w:val="18"/>
              <w:rPr>
                <w:color w:val="auto"/>
              </w:rPr>
            </w:pPr>
            <w:r>
              <w:rPr>
                <w:rFonts w:hint="eastAsia"/>
                <w:color w:val="auto"/>
              </w:rPr>
              <w:t>查询科室的发放汇总信息。</w:t>
            </w:r>
          </w:p>
          <w:p w14:paraId="34E042E4">
            <w:pPr>
              <w:pStyle w:val="18"/>
              <w:rPr>
                <w:color w:val="auto"/>
              </w:rPr>
            </w:pPr>
            <w:r>
              <w:rPr>
                <w:rFonts w:hint="eastAsia"/>
                <w:color w:val="auto"/>
              </w:rPr>
              <w:t>6.盘点信息查询</w:t>
            </w:r>
          </w:p>
          <w:p w14:paraId="1A72ED96">
            <w:pPr>
              <w:pStyle w:val="18"/>
              <w:rPr>
                <w:color w:val="auto"/>
              </w:rPr>
            </w:pPr>
            <w:r>
              <w:rPr>
                <w:rFonts w:hint="eastAsia"/>
                <w:color w:val="auto"/>
              </w:rPr>
              <w:t>查询盘点单明细信息。</w:t>
            </w:r>
          </w:p>
        </w:tc>
      </w:tr>
      <w:tr w14:paraId="61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2017111">
            <w:pPr>
              <w:pStyle w:val="18"/>
              <w:jc w:val="center"/>
              <w:rPr>
                <w:b w:val="0"/>
                <w:color w:val="auto"/>
              </w:rPr>
            </w:pPr>
            <w:r>
              <w:rPr>
                <w:rFonts w:hint="eastAsia"/>
                <w:b w:val="0"/>
                <w:color w:val="auto"/>
              </w:rPr>
              <w:t>医用耗材</w:t>
            </w:r>
          </w:p>
          <w:p w14:paraId="2C5B5EB6">
            <w:pPr>
              <w:pStyle w:val="18"/>
              <w:jc w:val="center"/>
              <w:rPr>
                <w:b w:val="0"/>
                <w:color w:val="auto"/>
              </w:rPr>
            </w:pPr>
            <w:r>
              <w:rPr>
                <w:rFonts w:hint="eastAsia"/>
                <w:b w:val="0"/>
                <w:color w:val="auto"/>
              </w:rPr>
              <w:t>全周期管理</w:t>
            </w:r>
          </w:p>
        </w:tc>
        <w:tc>
          <w:tcPr>
            <w:tcW w:w="6579" w:type="dxa"/>
            <w:vAlign w:val="center"/>
          </w:tcPr>
          <w:p w14:paraId="484D352C">
            <w:pPr>
              <w:pStyle w:val="18"/>
              <w:rPr>
                <w:color w:val="auto"/>
              </w:rPr>
            </w:pPr>
            <w:r>
              <w:rPr>
                <w:rFonts w:hint="eastAsia"/>
                <w:color w:val="auto"/>
              </w:rPr>
              <w:t>整体流程从采购&gt;库房管理&gt;临床管理&gt;患者使用&gt;追溯查询采用整体闭环管理概念。二级库存管理：与费用接口关联，支持在收费同时扣除耗材库存功能。高值耗材：可直接通过扫码收费。库存管理：可管理二级库耗材库存、备货物资库存的库存信息。高值耗材追溯查询：可追溯查询耗材从库房备货入库到患者使用整个生命周期。</w:t>
            </w:r>
          </w:p>
          <w:p w14:paraId="54FDB6A5">
            <w:pPr>
              <w:pStyle w:val="18"/>
              <w:rPr>
                <w:color w:val="auto"/>
              </w:rPr>
            </w:pPr>
            <w:r>
              <w:rPr>
                <w:rFonts w:hint="eastAsia"/>
                <w:color w:val="auto"/>
              </w:rPr>
              <w:t>1.备货管理</w:t>
            </w:r>
          </w:p>
          <w:p w14:paraId="2454B3BB">
            <w:pPr>
              <w:pStyle w:val="18"/>
              <w:rPr>
                <w:color w:val="auto"/>
              </w:rPr>
            </w:pPr>
            <w:r>
              <w:rPr>
                <w:rFonts w:hint="eastAsia"/>
                <w:color w:val="auto"/>
              </w:rPr>
              <w:t>备货入库管理：支持库房备货入库到科室虚库存，并打印高值耗材条形码，每个高值耗材有唯一的条形码用来标识。</w:t>
            </w:r>
          </w:p>
          <w:p w14:paraId="607FD3F7">
            <w:pPr>
              <w:pStyle w:val="18"/>
              <w:rPr>
                <w:color w:val="auto"/>
              </w:rPr>
            </w:pPr>
            <w:r>
              <w:rPr>
                <w:rFonts w:hint="eastAsia"/>
                <w:color w:val="auto"/>
              </w:rPr>
              <w:t>备货退货管理：支持由科室备货退货给供货商。</w:t>
            </w:r>
          </w:p>
          <w:p w14:paraId="22F38C10">
            <w:pPr>
              <w:pStyle w:val="18"/>
              <w:rPr>
                <w:color w:val="auto"/>
              </w:rPr>
            </w:pPr>
            <w:r>
              <w:rPr>
                <w:rFonts w:hint="eastAsia"/>
                <w:color w:val="auto"/>
              </w:rPr>
              <w:t>扣库确认：主要处理延时扣库的情况。</w:t>
            </w:r>
          </w:p>
          <w:p w14:paraId="745119C7">
            <w:pPr>
              <w:pStyle w:val="18"/>
              <w:rPr>
                <w:color w:val="auto"/>
              </w:rPr>
            </w:pPr>
            <w:r>
              <w:rPr>
                <w:rFonts w:hint="eastAsia"/>
                <w:color w:val="auto"/>
              </w:rPr>
              <w:t>备货使用确认：支持科室计费耗材使用后，与供应商结算、补录发票等操作。</w:t>
            </w:r>
          </w:p>
          <w:p w14:paraId="6656CA92">
            <w:pPr>
              <w:pStyle w:val="18"/>
              <w:rPr>
                <w:color w:val="auto"/>
              </w:rPr>
            </w:pPr>
            <w:r>
              <w:rPr>
                <w:rFonts w:hint="eastAsia"/>
                <w:color w:val="auto"/>
              </w:rPr>
              <w:t>2.二级库存管理</w:t>
            </w:r>
          </w:p>
          <w:p w14:paraId="2AA636CE">
            <w:pPr>
              <w:pStyle w:val="18"/>
              <w:rPr>
                <w:color w:val="auto"/>
              </w:rPr>
            </w:pPr>
            <w:r>
              <w:rPr>
                <w:rFonts w:hint="eastAsia"/>
                <w:color w:val="auto"/>
              </w:rPr>
              <w:t>计费扣库：与费用接口关联，支持在收费同时扣除耗材库存功能，高值耗材可直接通过扫码收费。</w:t>
            </w:r>
          </w:p>
          <w:p w14:paraId="459148AA">
            <w:pPr>
              <w:pStyle w:val="18"/>
              <w:rPr>
                <w:color w:val="auto"/>
              </w:rPr>
            </w:pPr>
            <w:r>
              <w:rPr>
                <w:rFonts w:hint="eastAsia"/>
                <w:color w:val="auto"/>
              </w:rPr>
              <w:t>库存管理：可管理二级库耗材库存、备货物资库存的实时库存信息。</w:t>
            </w:r>
          </w:p>
          <w:p w14:paraId="719D74B3">
            <w:pPr>
              <w:pStyle w:val="18"/>
              <w:rPr>
                <w:color w:val="auto"/>
              </w:rPr>
            </w:pPr>
            <w:r>
              <w:rPr>
                <w:rFonts w:hint="eastAsia"/>
                <w:color w:val="auto"/>
              </w:rPr>
              <w:t>3.查询统计</w:t>
            </w:r>
          </w:p>
          <w:p w14:paraId="4092FA27">
            <w:pPr>
              <w:pStyle w:val="18"/>
              <w:rPr>
                <w:color w:val="auto"/>
              </w:rPr>
            </w:pPr>
            <w:r>
              <w:rPr>
                <w:rFonts w:hint="eastAsia"/>
                <w:color w:val="auto"/>
              </w:rPr>
              <w:t>高值耗材追溯查询：可追溯查询耗材从库房备货入库到患者使用整个生命周期。</w:t>
            </w:r>
          </w:p>
        </w:tc>
      </w:tr>
      <w:bookmarkEnd w:id="168"/>
    </w:tbl>
    <w:p w14:paraId="72841AAC">
      <w:pPr>
        <w:pStyle w:val="4"/>
        <w:numPr>
          <w:ilvl w:val="1"/>
          <w:numId w:val="0"/>
        </w:numPr>
        <w:ind w:left="576" w:leftChars="0" w:hanging="576" w:firstLineChars="0"/>
        <w:rPr>
          <w:color w:val="auto"/>
        </w:rPr>
      </w:pPr>
      <w:bookmarkStart w:id="169" w:name="_Toc208646546"/>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.24</w:t>
      </w:r>
      <w:r>
        <w:rPr>
          <w:rFonts w:hint="eastAsia"/>
          <w:color w:val="auto"/>
        </w:rPr>
        <w:t>患者服务平台（微信公众号/小程序）</w:t>
      </w:r>
      <w:bookmarkEnd w:id="169"/>
    </w:p>
    <w:tbl>
      <w:tblPr>
        <w:tblStyle w:val="9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40"/>
      </w:tblGrid>
      <w:tr w14:paraId="2CEC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BEBEBE" w:themeFill="background1" w:themeFillShade="BF"/>
            <w:vAlign w:val="center"/>
          </w:tcPr>
          <w:p w14:paraId="51003371">
            <w:pPr>
              <w:pStyle w:val="18"/>
              <w:jc w:val="center"/>
              <w:rPr>
                <w:b/>
                <w:color w:val="auto"/>
              </w:rPr>
            </w:pPr>
            <w:r>
              <w:rPr>
                <w:rFonts w:hint="eastAsia"/>
                <w:b/>
                <w:color w:val="auto"/>
              </w:rPr>
              <w:t>系统名称</w:t>
            </w:r>
          </w:p>
        </w:tc>
        <w:tc>
          <w:tcPr>
            <w:tcW w:w="3973" w:type="pct"/>
            <w:shd w:val="clear" w:color="auto" w:fill="BEBEBE" w:themeFill="background1" w:themeFillShade="BF"/>
            <w:vAlign w:val="center"/>
          </w:tcPr>
          <w:p w14:paraId="0FC252BE">
            <w:pPr>
              <w:pStyle w:val="18"/>
              <w:rPr>
                <w:b/>
                <w:color w:val="auto"/>
              </w:rPr>
            </w:pPr>
            <w:r>
              <w:rPr>
                <w:rFonts w:hint="eastAsia"/>
                <w:b/>
                <w:color w:val="auto"/>
              </w:rPr>
              <w:t>患者服务平台（微信公众号/小程序）</w:t>
            </w:r>
          </w:p>
        </w:tc>
      </w:tr>
      <w:tr w14:paraId="767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17F052BD">
            <w:pPr>
              <w:pStyle w:val="18"/>
              <w:jc w:val="center"/>
              <w:rPr>
                <w:b/>
                <w:bCs/>
                <w:color w:val="auto"/>
              </w:rPr>
            </w:pPr>
            <w:r>
              <w:rPr>
                <w:rFonts w:hint="eastAsia"/>
                <w:b/>
                <w:bCs/>
                <w:color w:val="auto"/>
              </w:rPr>
              <w:t>系统概述</w:t>
            </w:r>
          </w:p>
        </w:tc>
        <w:tc>
          <w:tcPr>
            <w:tcW w:w="3973" w:type="pct"/>
            <w:vAlign w:val="center"/>
          </w:tcPr>
          <w:p w14:paraId="79A2D2C1">
            <w:pPr>
              <w:pStyle w:val="18"/>
              <w:rPr>
                <w:color w:val="auto"/>
              </w:rPr>
            </w:pPr>
            <w:r>
              <w:rPr>
                <w:rFonts w:hint="eastAsia"/>
                <w:color w:val="auto"/>
              </w:rPr>
              <w:t>强化“让信息多跑路，让患者少跑路”的服务模式，深入落实门诊全流程、住院全流程、体检全流程的优化与改造，为患者提供线上服务，进一步实现线上线下一体化，拓展线上诊疗服务，扩大医院的服务半径。</w:t>
            </w:r>
          </w:p>
        </w:tc>
      </w:tr>
      <w:tr w14:paraId="2425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1711499B">
            <w:pPr>
              <w:pStyle w:val="18"/>
              <w:jc w:val="center"/>
              <w:rPr>
                <w:b/>
                <w:color w:val="auto"/>
              </w:rPr>
            </w:pPr>
            <w:r>
              <w:rPr>
                <w:rFonts w:hint="eastAsia"/>
                <w:b/>
                <w:color w:val="auto"/>
              </w:rPr>
              <w:t>子项名称</w:t>
            </w:r>
          </w:p>
        </w:tc>
        <w:tc>
          <w:tcPr>
            <w:tcW w:w="3973" w:type="pct"/>
            <w:vAlign w:val="center"/>
          </w:tcPr>
          <w:p w14:paraId="0D417B54">
            <w:pPr>
              <w:pStyle w:val="18"/>
              <w:jc w:val="center"/>
              <w:rPr>
                <w:b/>
                <w:color w:val="auto"/>
              </w:rPr>
            </w:pPr>
            <w:r>
              <w:rPr>
                <w:rFonts w:hint="eastAsia"/>
                <w:b/>
                <w:color w:val="auto"/>
              </w:rPr>
              <w:t>技术和功能配置要求</w:t>
            </w:r>
          </w:p>
        </w:tc>
      </w:tr>
      <w:tr w14:paraId="7E66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3C48393A">
            <w:pPr>
              <w:pStyle w:val="18"/>
              <w:jc w:val="center"/>
              <w:rPr>
                <w:b w:val="0"/>
                <w:color w:val="auto"/>
              </w:rPr>
            </w:pPr>
            <w:r>
              <w:rPr>
                <w:rFonts w:hint="eastAsia"/>
                <w:b w:val="0"/>
                <w:color w:val="auto"/>
              </w:rPr>
              <w:t>在线建卡</w:t>
            </w:r>
          </w:p>
        </w:tc>
        <w:tc>
          <w:tcPr>
            <w:tcW w:w="3973" w:type="pct"/>
            <w:vAlign w:val="center"/>
          </w:tcPr>
          <w:p w14:paraId="39C838A4">
            <w:pPr>
              <w:pStyle w:val="18"/>
              <w:rPr>
                <w:color w:val="auto"/>
              </w:rPr>
            </w:pPr>
            <w:r>
              <w:rPr>
                <w:rFonts w:hint="eastAsia"/>
                <w:color w:val="auto"/>
              </w:rPr>
              <w:t>管理个人电子健康卡，可进行卡注册、绑定、解绑等操作，满足陕西省卫健委关于电子健康卡的功能要求。</w:t>
            </w:r>
          </w:p>
          <w:p w14:paraId="5131CBDC">
            <w:pPr>
              <w:pStyle w:val="18"/>
              <w:rPr>
                <w:color w:val="auto"/>
              </w:rPr>
            </w:pPr>
            <w:r>
              <w:rPr>
                <w:rFonts w:hint="eastAsia"/>
                <w:color w:val="auto"/>
              </w:rPr>
              <w:t>管理个人电子就诊卡，可进行卡注册、绑定、解绑等操作。</w:t>
            </w:r>
          </w:p>
        </w:tc>
      </w:tr>
      <w:tr w14:paraId="154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42251F7C">
            <w:pPr>
              <w:pStyle w:val="18"/>
              <w:jc w:val="center"/>
              <w:rPr>
                <w:b w:val="0"/>
                <w:color w:val="auto"/>
              </w:rPr>
            </w:pPr>
            <w:r>
              <w:rPr>
                <w:rFonts w:hint="eastAsia"/>
                <w:b w:val="0"/>
                <w:color w:val="auto"/>
              </w:rPr>
              <w:t>就诊人管理</w:t>
            </w:r>
          </w:p>
        </w:tc>
        <w:tc>
          <w:tcPr>
            <w:tcW w:w="3973" w:type="pct"/>
            <w:vAlign w:val="center"/>
          </w:tcPr>
          <w:p w14:paraId="2535A034">
            <w:pPr>
              <w:pStyle w:val="18"/>
              <w:rPr>
                <w:color w:val="auto"/>
              </w:rPr>
            </w:pPr>
            <w:r>
              <w:rPr>
                <w:rFonts w:ascii="宋体" w:hAnsi="宋体" w:cs="宋体"/>
                <w:color w:val="auto"/>
              </w:rPr>
              <w:t>可以在自己的账户下，添加其他家庭成员账户，实现对每个家庭成员分别挂号，缴费、查看报告等，对家庭成员账户进行统一管理。</w:t>
            </w:r>
          </w:p>
        </w:tc>
      </w:tr>
      <w:tr w14:paraId="7556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2FC530E9">
            <w:pPr>
              <w:pStyle w:val="18"/>
              <w:jc w:val="center"/>
              <w:rPr>
                <w:b w:val="0"/>
                <w:color w:val="auto"/>
              </w:rPr>
            </w:pPr>
            <w:r>
              <w:rPr>
                <w:rFonts w:hint="eastAsia"/>
                <w:b w:val="0"/>
                <w:color w:val="auto"/>
              </w:rPr>
              <w:t>个人中心</w:t>
            </w:r>
          </w:p>
        </w:tc>
        <w:tc>
          <w:tcPr>
            <w:tcW w:w="3973" w:type="pct"/>
            <w:vAlign w:val="center"/>
          </w:tcPr>
          <w:p w14:paraId="3AF21D2E">
            <w:pPr>
              <w:pStyle w:val="18"/>
              <w:rPr>
                <w:rFonts w:ascii="宋体" w:hAnsi="宋体" w:cs="宋体"/>
                <w:color w:val="auto"/>
              </w:rPr>
            </w:pPr>
            <w:r>
              <w:rPr>
                <w:rFonts w:hint="eastAsia" w:ascii="宋体" w:hAnsi="宋体" w:cs="宋体"/>
                <w:color w:val="auto"/>
              </w:rPr>
              <w:t>展现患者</w:t>
            </w:r>
            <w:r>
              <w:rPr>
                <w:rFonts w:ascii="宋体" w:hAnsi="宋体" w:cs="宋体"/>
                <w:color w:val="auto"/>
              </w:rPr>
              <w:t>线上和线下</w:t>
            </w:r>
            <w:r>
              <w:rPr>
                <w:rFonts w:hint="eastAsia" w:ascii="宋体" w:hAnsi="宋体" w:cs="宋体"/>
                <w:color w:val="auto"/>
              </w:rPr>
              <w:t>诊疗过程相关的信息内容</w:t>
            </w:r>
            <w:r>
              <w:rPr>
                <w:rFonts w:ascii="宋体" w:hAnsi="宋体" w:cs="宋体"/>
                <w:color w:val="auto"/>
              </w:rPr>
              <w:t>，例如预约记录，检验、检查记录、用药记录等</w:t>
            </w:r>
            <w:r>
              <w:rPr>
                <w:rFonts w:hint="eastAsia" w:ascii="宋体" w:hAnsi="宋体" w:cs="宋体"/>
                <w:color w:val="auto"/>
              </w:rPr>
              <w:t>。</w:t>
            </w:r>
          </w:p>
        </w:tc>
      </w:tr>
      <w:tr w14:paraId="134F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0BB8AA3E">
            <w:pPr>
              <w:pStyle w:val="18"/>
              <w:jc w:val="center"/>
              <w:rPr>
                <w:b w:val="0"/>
                <w:color w:val="auto"/>
              </w:rPr>
            </w:pPr>
            <w:r>
              <w:rPr>
                <w:rFonts w:ascii="宋体" w:hAnsi="宋体" w:cs="宋体"/>
                <w:b w:val="0"/>
                <w:color w:val="auto"/>
              </w:rPr>
              <w:t>预约挂号</w:t>
            </w:r>
          </w:p>
        </w:tc>
        <w:tc>
          <w:tcPr>
            <w:tcW w:w="3973" w:type="pct"/>
            <w:vAlign w:val="center"/>
          </w:tcPr>
          <w:p w14:paraId="4667B31D">
            <w:pPr>
              <w:pStyle w:val="18"/>
              <w:rPr>
                <w:color w:val="auto"/>
              </w:rPr>
            </w:pPr>
            <w:r>
              <w:rPr>
                <w:rFonts w:ascii="宋体" w:hAnsi="宋体" w:cs="宋体"/>
                <w:color w:val="auto"/>
              </w:rPr>
              <w:t>实现患者院外通过手机进行就诊前预约挂号。若预约医生有变动，可进行消息提醒。</w:t>
            </w:r>
          </w:p>
        </w:tc>
      </w:tr>
      <w:tr w14:paraId="6537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5EBB27AE">
            <w:pPr>
              <w:pStyle w:val="18"/>
              <w:jc w:val="center"/>
              <w:rPr>
                <w:rFonts w:ascii="宋体" w:hAnsi="宋体" w:cs="宋体"/>
                <w:b w:val="0"/>
                <w:color w:val="auto"/>
              </w:rPr>
            </w:pPr>
            <w:r>
              <w:rPr>
                <w:rFonts w:ascii="宋体" w:hAnsi="宋体" w:cs="宋体"/>
                <w:b w:val="0"/>
                <w:color w:val="auto"/>
              </w:rPr>
              <w:t>当日挂号</w:t>
            </w:r>
          </w:p>
        </w:tc>
        <w:tc>
          <w:tcPr>
            <w:tcW w:w="3973" w:type="pct"/>
            <w:vAlign w:val="center"/>
          </w:tcPr>
          <w:p w14:paraId="4CEE18B9">
            <w:pPr>
              <w:pStyle w:val="18"/>
              <w:rPr>
                <w:rFonts w:ascii="宋体" w:hAnsi="宋体" w:cs="宋体"/>
                <w:color w:val="auto"/>
              </w:rPr>
            </w:pPr>
            <w:r>
              <w:rPr>
                <w:rFonts w:ascii="宋体" w:hAnsi="宋体" w:cs="宋体"/>
                <w:color w:val="auto"/>
              </w:rPr>
              <w:t>支持患者在线上进行当日挂号， 提前锁定号源， 减少线下排队。</w:t>
            </w:r>
          </w:p>
        </w:tc>
      </w:tr>
      <w:tr w14:paraId="362A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17B3C11A">
            <w:pPr>
              <w:pStyle w:val="18"/>
              <w:jc w:val="center"/>
              <w:rPr>
                <w:rFonts w:ascii="宋体" w:hAnsi="宋体" w:cs="宋体"/>
                <w:b w:val="0"/>
                <w:color w:val="auto"/>
              </w:rPr>
            </w:pPr>
            <w:r>
              <w:rPr>
                <w:rFonts w:ascii="宋体" w:hAnsi="宋体" w:cs="宋体"/>
                <w:b w:val="0"/>
                <w:color w:val="auto"/>
              </w:rPr>
              <w:t>急诊挂号</w:t>
            </w:r>
          </w:p>
        </w:tc>
        <w:tc>
          <w:tcPr>
            <w:tcW w:w="3973" w:type="pct"/>
            <w:vAlign w:val="center"/>
          </w:tcPr>
          <w:p w14:paraId="6603ADAD">
            <w:pPr>
              <w:pStyle w:val="18"/>
              <w:rPr>
                <w:rFonts w:ascii="宋体" w:hAnsi="宋体" w:cs="宋体"/>
                <w:color w:val="auto"/>
              </w:rPr>
            </w:pPr>
            <w:r>
              <w:rPr>
                <w:rFonts w:ascii="宋体" w:hAnsi="宋体" w:cs="宋体"/>
                <w:color w:val="auto"/>
              </w:rPr>
              <w:t>支持患者在线上进行急诊挂号，方便快捷，减少急诊患者、家属来回跑路。</w:t>
            </w:r>
          </w:p>
        </w:tc>
      </w:tr>
      <w:tr w14:paraId="61F1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20E01F33">
            <w:pPr>
              <w:pStyle w:val="18"/>
              <w:jc w:val="center"/>
              <w:rPr>
                <w:rFonts w:ascii="宋体" w:hAnsi="宋体" w:cs="宋体"/>
                <w:b w:val="0"/>
                <w:color w:val="auto"/>
              </w:rPr>
            </w:pPr>
            <w:r>
              <w:rPr>
                <w:rFonts w:ascii="宋体" w:hAnsi="宋体" w:cs="宋体"/>
                <w:b w:val="0"/>
                <w:color w:val="auto"/>
              </w:rPr>
              <w:t>取号支付</w:t>
            </w:r>
          </w:p>
        </w:tc>
        <w:tc>
          <w:tcPr>
            <w:tcW w:w="3973" w:type="pct"/>
            <w:vAlign w:val="center"/>
          </w:tcPr>
          <w:p w14:paraId="5119B2E8">
            <w:pPr>
              <w:pStyle w:val="18"/>
              <w:rPr>
                <w:rFonts w:ascii="宋体" w:hAnsi="宋体" w:cs="宋体"/>
                <w:color w:val="auto"/>
              </w:rPr>
            </w:pPr>
            <w:r>
              <w:rPr>
                <w:rFonts w:ascii="宋体" w:hAnsi="宋体" w:cs="宋体"/>
                <w:color w:val="auto"/>
              </w:rPr>
              <w:t>支持在线支付，满足患者在使用过程中所需的必要的在线支付功能。</w:t>
            </w:r>
          </w:p>
        </w:tc>
      </w:tr>
      <w:tr w14:paraId="5EA5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7EDBF0C7">
            <w:pPr>
              <w:pStyle w:val="18"/>
              <w:jc w:val="center"/>
              <w:rPr>
                <w:rFonts w:ascii="宋体" w:hAnsi="宋体" w:cs="宋体"/>
                <w:b w:val="0"/>
                <w:color w:val="auto"/>
              </w:rPr>
            </w:pPr>
            <w:r>
              <w:rPr>
                <w:rFonts w:ascii="宋体" w:hAnsi="宋体" w:cs="宋体"/>
                <w:b w:val="0"/>
                <w:color w:val="auto"/>
              </w:rPr>
              <w:t>续诊报到</w:t>
            </w:r>
          </w:p>
        </w:tc>
        <w:tc>
          <w:tcPr>
            <w:tcW w:w="3973" w:type="pct"/>
            <w:vAlign w:val="center"/>
          </w:tcPr>
          <w:p w14:paraId="56B0FB4D">
            <w:pPr>
              <w:pStyle w:val="18"/>
              <w:rPr>
                <w:rFonts w:ascii="宋体" w:hAnsi="宋体" w:cs="宋体"/>
                <w:color w:val="auto"/>
              </w:rPr>
            </w:pPr>
            <w:r>
              <w:rPr>
                <w:rFonts w:ascii="宋体" w:hAnsi="宋体" w:cs="宋体"/>
                <w:color w:val="auto"/>
              </w:rPr>
              <w:t>支持续诊患者线上进行续诊报到，进入候诊队列，保障诊室就诊秩序。</w:t>
            </w:r>
          </w:p>
        </w:tc>
      </w:tr>
      <w:tr w14:paraId="1D33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13036FF5">
            <w:pPr>
              <w:pStyle w:val="18"/>
              <w:jc w:val="center"/>
              <w:rPr>
                <w:rFonts w:ascii="宋体" w:hAnsi="宋体" w:cs="宋体"/>
                <w:b w:val="0"/>
                <w:color w:val="auto"/>
              </w:rPr>
            </w:pPr>
            <w:r>
              <w:rPr>
                <w:rFonts w:ascii="宋体" w:hAnsi="宋体" w:cs="宋体"/>
                <w:b w:val="0"/>
                <w:color w:val="auto"/>
              </w:rPr>
              <w:t>排队候诊</w:t>
            </w:r>
          </w:p>
        </w:tc>
        <w:tc>
          <w:tcPr>
            <w:tcW w:w="3973" w:type="pct"/>
            <w:vAlign w:val="center"/>
          </w:tcPr>
          <w:p w14:paraId="05EAD682">
            <w:pPr>
              <w:pStyle w:val="18"/>
              <w:rPr>
                <w:rFonts w:ascii="宋体" w:hAnsi="宋体" w:cs="宋体"/>
                <w:color w:val="auto"/>
              </w:rPr>
            </w:pPr>
            <w:r>
              <w:rPr>
                <w:rFonts w:ascii="宋体" w:hAnsi="宋体" w:cs="宋体"/>
                <w:color w:val="auto"/>
              </w:rPr>
              <w:t>支持实时更新当前候诊排队的信息，可提示候诊科室、当前排号、待诊人数量等。同时提供人性化的发送看诊提醒。</w:t>
            </w:r>
          </w:p>
        </w:tc>
      </w:tr>
      <w:tr w14:paraId="01EE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6EAA48ED">
            <w:pPr>
              <w:pStyle w:val="18"/>
              <w:jc w:val="center"/>
              <w:rPr>
                <w:rFonts w:ascii="宋体" w:hAnsi="宋体" w:cs="宋体"/>
                <w:b w:val="0"/>
                <w:color w:val="auto"/>
              </w:rPr>
            </w:pPr>
            <w:r>
              <w:rPr>
                <w:rFonts w:ascii="宋体" w:hAnsi="宋体" w:cs="宋体"/>
                <w:b w:val="0"/>
                <w:color w:val="auto"/>
              </w:rPr>
              <w:t>门诊缴费</w:t>
            </w:r>
          </w:p>
        </w:tc>
        <w:tc>
          <w:tcPr>
            <w:tcW w:w="3973" w:type="pct"/>
            <w:vAlign w:val="center"/>
          </w:tcPr>
          <w:p w14:paraId="15BCAABB">
            <w:pPr>
              <w:pStyle w:val="18"/>
              <w:rPr>
                <w:rFonts w:ascii="宋体" w:hAnsi="宋体" w:cs="宋体"/>
                <w:color w:val="auto"/>
              </w:rPr>
            </w:pPr>
            <w:r>
              <w:rPr>
                <w:rFonts w:ascii="宋体" w:hAnsi="宋体" w:cs="宋体"/>
                <w:color w:val="auto"/>
              </w:rPr>
              <w:t>实现患者通过小程序进行处方、检查检验申请缴费。</w:t>
            </w:r>
          </w:p>
        </w:tc>
      </w:tr>
      <w:tr w14:paraId="2C37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34DEBE5F">
            <w:pPr>
              <w:pStyle w:val="18"/>
              <w:jc w:val="center"/>
              <w:rPr>
                <w:rFonts w:ascii="宋体" w:hAnsi="宋体" w:cs="宋体"/>
                <w:b w:val="0"/>
                <w:color w:val="auto"/>
              </w:rPr>
            </w:pPr>
            <w:r>
              <w:rPr>
                <w:rFonts w:ascii="宋体" w:hAnsi="宋体" w:cs="宋体"/>
                <w:b w:val="0"/>
                <w:color w:val="auto"/>
              </w:rPr>
              <w:t>门诊花费查询</w:t>
            </w:r>
          </w:p>
        </w:tc>
        <w:tc>
          <w:tcPr>
            <w:tcW w:w="3973" w:type="pct"/>
            <w:vAlign w:val="center"/>
          </w:tcPr>
          <w:p w14:paraId="603A00A1">
            <w:pPr>
              <w:pStyle w:val="18"/>
              <w:rPr>
                <w:rFonts w:ascii="宋体" w:hAnsi="宋体" w:cs="宋体"/>
                <w:color w:val="auto"/>
              </w:rPr>
            </w:pPr>
            <w:r>
              <w:rPr>
                <w:rFonts w:ascii="宋体" w:hAnsi="宋体" w:cs="宋体"/>
                <w:color w:val="auto"/>
              </w:rPr>
              <w:t>通过手机查看门诊各类缴费信息，及时了解、明晰门诊花费项目与费用明细。</w:t>
            </w:r>
          </w:p>
        </w:tc>
      </w:tr>
      <w:tr w14:paraId="197A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5536AE4A">
            <w:pPr>
              <w:pStyle w:val="18"/>
              <w:jc w:val="center"/>
              <w:rPr>
                <w:rFonts w:ascii="宋体" w:hAnsi="宋体" w:cs="宋体"/>
                <w:b w:val="0"/>
                <w:color w:val="auto"/>
              </w:rPr>
            </w:pPr>
            <w:r>
              <w:rPr>
                <w:rFonts w:ascii="宋体" w:hAnsi="宋体" w:cs="宋体"/>
                <w:b w:val="0"/>
                <w:color w:val="auto"/>
              </w:rPr>
              <w:t>用药指导</w:t>
            </w:r>
          </w:p>
        </w:tc>
        <w:tc>
          <w:tcPr>
            <w:tcW w:w="3973" w:type="pct"/>
            <w:vAlign w:val="center"/>
          </w:tcPr>
          <w:p w14:paraId="2DC92AC5">
            <w:pPr>
              <w:pStyle w:val="18"/>
              <w:rPr>
                <w:rFonts w:ascii="宋体" w:hAnsi="宋体" w:cs="宋体"/>
                <w:color w:val="auto"/>
              </w:rPr>
            </w:pPr>
            <w:r>
              <w:rPr>
                <w:rFonts w:ascii="宋体" w:hAnsi="宋体" w:cs="宋体"/>
                <w:color w:val="auto"/>
              </w:rPr>
              <w:t>患者可以查看处方的用药指导。支持对接第三方的用药指导H5功能。患者通过微信公众号查询处方时，可以查看该处方的用药指导。</w:t>
            </w:r>
          </w:p>
        </w:tc>
      </w:tr>
      <w:tr w14:paraId="61AE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0E3BDF3A">
            <w:pPr>
              <w:pStyle w:val="18"/>
              <w:jc w:val="center"/>
              <w:rPr>
                <w:rFonts w:ascii="宋体" w:hAnsi="宋体" w:cs="宋体"/>
                <w:b w:val="0"/>
                <w:color w:val="auto"/>
              </w:rPr>
            </w:pPr>
            <w:r>
              <w:rPr>
                <w:rFonts w:ascii="宋体" w:hAnsi="宋体" w:cs="宋体"/>
                <w:b w:val="0"/>
                <w:color w:val="auto"/>
              </w:rPr>
              <w:t>住院押金充值</w:t>
            </w:r>
          </w:p>
        </w:tc>
        <w:tc>
          <w:tcPr>
            <w:tcW w:w="3973" w:type="pct"/>
            <w:vAlign w:val="center"/>
          </w:tcPr>
          <w:p w14:paraId="29EF702A">
            <w:pPr>
              <w:pStyle w:val="18"/>
              <w:rPr>
                <w:rFonts w:ascii="宋体" w:hAnsi="宋体" w:cs="宋体"/>
                <w:color w:val="auto"/>
              </w:rPr>
            </w:pPr>
            <w:r>
              <w:rPr>
                <w:rFonts w:ascii="宋体" w:hAnsi="宋体" w:cs="宋体"/>
                <w:color w:val="auto"/>
              </w:rPr>
              <w:t>通过小程序完成对住院预交金的充值。</w:t>
            </w:r>
          </w:p>
        </w:tc>
      </w:tr>
      <w:tr w14:paraId="0131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0954C73A">
            <w:pPr>
              <w:pStyle w:val="18"/>
              <w:jc w:val="center"/>
              <w:rPr>
                <w:rFonts w:ascii="宋体" w:hAnsi="宋体" w:cs="宋体"/>
                <w:b w:val="0"/>
                <w:color w:val="auto"/>
              </w:rPr>
            </w:pPr>
            <w:r>
              <w:rPr>
                <w:rFonts w:ascii="宋体" w:hAnsi="宋体" w:cs="宋体"/>
                <w:b w:val="0"/>
                <w:color w:val="auto"/>
              </w:rPr>
              <w:t>检查检验自助开单</w:t>
            </w:r>
          </w:p>
        </w:tc>
        <w:tc>
          <w:tcPr>
            <w:tcW w:w="3973" w:type="pct"/>
            <w:vAlign w:val="center"/>
          </w:tcPr>
          <w:p w14:paraId="146BA8A8">
            <w:pPr>
              <w:pStyle w:val="18"/>
              <w:rPr>
                <w:rFonts w:ascii="宋体" w:hAnsi="宋体" w:cs="宋体"/>
                <w:color w:val="auto"/>
              </w:rPr>
            </w:pPr>
            <w:r>
              <w:rPr>
                <w:rFonts w:ascii="宋体" w:hAnsi="宋体" w:cs="宋体"/>
                <w:color w:val="auto"/>
              </w:rPr>
              <w:t>患者不需要预约挂号、排队看医生门诊，通过手机端可自助开具所需的检验 检查单， 即可按时前往医院检验科室做检查。</w:t>
            </w:r>
          </w:p>
        </w:tc>
      </w:tr>
      <w:tr w14:paraId="1592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7321AFDA">
            <w:pPr>
              <w:pStyle w:val="18"/>
              <w:jc w:val="center"/>
              <w:rPr>
                <w:rFonts w:ascii="宋体" w:hAnsi="宋体" w:cs="宋体"/>
                <w:b w:val="0"/>
                <w:color w:val="auto"/>
              </w:rPr>
            </w:pPr>
            <w:r>
              <w:rPr>
                <w:rFonts w:ascii="宋体" w:hAnsi="宋体" w:cs="宋体"/>
                <w:b w:val="0"/>
                <w:color w:val="auto"/>
              </w:rPr>
              <w:t>检查检验报告查看</w:t>
            </w:r>
          </w:p>
        </w:tc>
        <w:tc>
          <w:tcPr>
            <w:tcW w:w="3973" w:type="pct"/>
            <w:vAlign w:val="center"/>
          </w:tcPr>
          <w:p w14:paraId="6E6436AE">
            <w:pPr>
              <w:pStyle w:val="18"/>
              <w:rPr>
                <w:rFonts w:ascii="宋体" w:hAnsi="宋体" w:cs="宋体"/>
                <w:color w:val="auto"/>
              </w:rPr>
            </w:pPr>
            <w:r>
              <w:rPr>
                <w:rFonts w:ascii="宋体" w:hAnsi="宋体" w:cs="宋体"/>
                <w:color w:val="auto"/>
              </w:rPr>
              <w:t>用户可查看已生成的检查、检验报告结果。查取检查检验报告的功能让用户能够随时随地查阅检查报告，得知结果，提升患者就诊体验。</w:t>
            </w:r>
          </w:p>
        </w:tc>
      </w:tr>
      <w:tr w14:paraId="647E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341AEA62">
            <w:pPr>
              <w:pStyle w:val="18"/>
              <w:jc w:val="center"/>
              <w:rPr>
                <w:rFonts w:ascii="宋体" w:hAnsi="宋体" w:cs="宋体"/>
                <w:b w:val="0"/>
                <w:color w:val="auto"/>
              </w:rPr>
            </w:pPr>
            <w:r>
              <w:rPr>
                <w:rFonts w:hint="eastAsia" w:ascii="宋体" w:hAnsi="宋体" w:cs="宋体"/>
                <w:b w:val="0"/>
                <w:color w:val="auto"/>
                <w:lang w:bidi="ar"/>
              </w:rPr>
              <w:t>就医反馈</w:t>
            </w:r>
          </w:p>
        </w:tc>
        <w:tc>
          <w:tcPr>
            <w:tcW w:w="3973" w:type="pct"/>
            <w:vAlign w:val="center"/>
          </w:tcPr>
          <w:p w14:paraId="079E71BE">
            <w:pPr>
              <w:pStyle w:val="18"/>
              <w:rPr>
                <w:rFonts w:ascii="宋体" w:hAnsi="宋体" w:cs="宋体"/>
                <w:color w:val="auto"/>
              </w:rPr>
            </w:pPr>
            <w:r>
              <w:rPr>
                <w:rFonts w:ascii="宋体" w:hAnsi="宋体" w:cs="宋体"/>
                <w:color w:val="auto"/>
              </w:rPr>
              <w:t>患者可在就诊结束后， 可以对相关医生专业能力及医院服务质量进行评价， 便于医院提升服务水平、改善患者就医体验。包括对看诊医院及医生的服务态度、 专业水平、就诊环境、就诊时长等多方位进行评价。并可随时查看已评价的评价记录。</w:t>
            </w:r>
          </w:p>
        </w:tc>
      </w:tr>
      <w:tr w14:paraId="5054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5C399519">
            <w:pPr>
              <w:pStyle w:val="18"/>
              <w:jc w:val="center"/>
              <w:rPr>
                <w:rFonts w:ascii="宋体" w:hAnsi="宋体" w:cs="宋体"/>
                <w:b w:val="0"/>
                <w:color w:val="auto"/>
                <w:lang w:bidi="ar"/>
              </w:rPr>
            </w:pPr>
            <w:r>
              <w:rPr>
                <w:rFonts w:hint="eastAsia" w:ascii="宋体" w:hAnsi="宋体" w:cs="宋体"/>
                <w:b w:val="0"/>
                <w:color w:val="auto"/>
                <w:lang w:bidi="ar"/>
              </w:rPr>
              <w:t>医患满意度</w:t>
            </w:r>
          </w:p>
          <w:p w14:paraId="2819C743">
            <w:pPr>
              <w:pStyle w:val="18"/>
              <w:jc w:val="center"/>
              <w:rPr>
                <w:rFonts w:ascii="宋体" w:hAnsi="宋体" w:cs="宋体"/>
                <w:b w:val="0"/>
                <w:color w:val="auto"/>
              </w:rPr>
            </w:pPr>
            <w:r>
              <w:rPr>
                <w:rFonts w:hint="eastAsia" w:ascii="宋体" w:hAnsi="宋体" w:cs="宋体"/>
                <w:b w:val="0"/>
                <w:color w:val="auto"/>
                <w:lang w:bidi="ar"/>
              </w:rPr>
              <w:t>调查</w:t>
            </w:r>
          </w:p>
        </w:tc>
        <w:tc>
          <w:tcPr>
            <w:tcW w:w="3973" w:type="pct"/>
            <w:vAlign w:val="center"/>
          </w:tcPr>
          <w:p w14:paraId="7FFE0D62">
            <w:pPr>
              <w:pStyle w:val="18"/>
              <w:rPr>
                <w:rFonts w:ascii="宋体" w:hAnsi="宋体" w:cs="宋体"/>
                <w:color w:val="auto"/>
              </w:rPr>
            </w:pPr>
            <w:r>
              <w:rPr>
                <w:rFonts w:ascii="宋体" w:hAnsi="宋体" w:cs="宋体"/>
                <w:color w:val="auto"/>
              </w:rPr>
              <w:t>患者通过微信小程序能够在线进行满意度调查问卷，可查看历史满意度调查问卷记录，满意度调查内容可配置。</w:t>
            </w:r>
          </w:p>
        </w:tc>
      </w:tr>
      <w:tr w14:paraId="717F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50820160">
            <w:pPr>
              <w:pStyle w:val="18"/>
              <w:jc w:val="center"/>
              <w:rPr>
                <w:rFonts w:ascii="宋体" w:hAnsi="宋体" w:cs="宋体"/>
                <w:b w:val="0"/>
                <w:color w:val="auto"/>
              </w:rPr>
            </w:pPr>
            <w:r>
              <w:rPr>
                <w:rFonts w:hint="eastAsia" w:ascii="宋体" w:hAnsi="宋体" w:cs="宋体"/>
                <w:b w:val="0"/>
                <w:color w:val="auto"/>
                <w:lang w:bidi="ar"/>
              </w:rPr>
              <w:t>健康宣教</w:t>
            </w:r>
          </w:p>
        </w:tc>
        <w:tc>
          <w:tcPr>
            <w:tcW w:w="3973" w:type="pct"/>
            <w:vAlign w:val="center"/>
          </w:tcPr>
          <w:p w14:paraId="267BABEC">
            <w:pPr>
              <w:pStyle w:val="18"/>
              <w:rPr>
                <w:rFonts w:ascii="宋体" w:hAnsi="宋体" w:cs="宋体"/>
                <w:color w:val="auto"/>
              </w:rPr>
            </w:pPr>
            <w:r>
              <w:rPr>
                <w:rFonts w:ascii="宋体" w:hAnsi="宋体" w:cs="宋体"/>
                <w:color w:val="auto"/>
              </w:rPr>
              <w:t>医院定期宣教，以图文的方式发布相关学习健康教育内容，包括健康资讯、健康知识等，后台可配置管理宣教内容。</w:t>
            </w:r>
          </w:p>
        </w:tc>
      </w:tr>
      <w:tr w14:paraId="4B21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3CBBDBFD">
            <w:pPr>
              <w:pStyle w:val="18"/>
              <w:jc w:val="center"/>
              <w:rPr>
                <w:rFonts w:ascii="宋体" w:hAnsi="宋体" w:cs="宋体"/>
                <w:b w:val="0"/>
                <w:color w:val="auto"/>
              </w:rPr>
            </w:pPr>
            <w:r>
              <w:rPr>
                <w:rFonts w:hint="eastAsia" w:ascii="宋体" w:hAnsi="宋体" w:cs="宋体"/>
                <w:b w:val="0"/>
                <w:color w:val="auto"/>
                <w:lang w:bidi="ar"/>
              </w:rPr>
              <w:t>价格公示</w:t>
            </w:r>
          </w:p>
        </w:tc>
        <w:tc>
          <w:tcPr>
            <w:tcW w:w="3973" w:type="pct"/>
            <w:vAlign w:val="center"/>
          </w:tcPr>
          <w:p w14:paraId="0DF35573">
            <w:pPr>
              <w:pStyle w:val="18"/>
              <w:rPr>
                <w:rFonts w:ascii="宋体" w:hAnsi="宋体" w:cs="宋体"/>
                <w:color w:val="auto"/>
              </w:rPr>
            </w:pPr>
            <w:r>
              <w:rPr>
                <w:rFonts w:ascii="宋体" w:hAnsi="宋体" w:cs="宋体"/>
                <w:color w:val="auto"/>
              </w:rPr>
              <w:t>患者可通过互联网医院小程序在线查询医院药品以及收费项目的价格</w:t>
            </w:r>
          </w:p>
        </w:tc>
      </w:tr>
      <w:tr w14:paraId="2545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vAlign w:val="center"/>
          </w:tcPr>
          <w:p w14:paraId="6D1F29AF">
            <w:pPr>
              <w:pStyle w:val="18"/>
              <w:jc w:val="center"/>
              <w:rPr>
                <w:rFonts w:ascii="宋体" w:hAnsi="宋体" w:cs="宋体"/>
                <w:b w:val="0"/>
                <w:color w:val="auto"/>
              </w:rPr>
            </w:pPr>
            <w:r>
              <w:rPr>
                <w:rFonts w:hint="eastAsia" w:ascii="宋体" w:hAnsi="宋体" w:cs="宋体"/>
                <w:b w:val="0"/>
                <w:color w:val="auto"/>
                <w:lang w:bidi="ar"/>
              </w:rPr>
              <w:t>消息中心</w:t>
            </w:r>
          </w:p>
        </w:tc>
        <w:tc>
          <w:tcPr>
            <w:tcW w:w="3973" w:type="pct"/>
            <w:vAlign w:val="center"/>
          </w:tcPr>
          <w:p w14:paraId="5F8F20A6">
            <w:pPr>
              <w:pStyle w:val="18"/>
              <w:rPr>
                <w:rFonts w:ascii="宋体" w:hAnsi="宋体" w:cs="宋体"/>
                <w:color w:val="auto"/>
              </w:rPr>
            </w:pPr>
            <w:r>
              <w:rPr>
                <w:rFonts w:ascii="宋体" w:hAnsi="宋体" w:cs="宋体"/>
                <w:color w:val="auto"/>
              </w:rPr>
              <w:t>支持对接医院现有短信平台。在互联网医院各个业务环节过程的消息可以通过短信推送给患者。</w:t>
            </w:r>
          </w:p>
          <w:p w14:paraId="10E466BC">
            <w:pPr>
              <w:pStyle w:val="18"/>
              <w:rPr>
                <w:rFonts w:ascii="宋体" w:hAnsi="宋体" w:cs="宋体"/>
                <w:color w:val="auto"/>
              </w:rPr>
            </w:pPr>
            <w:r>
              <w:rPr>
                <w:rFonts w:ascii="宋体" w:hAnsi="宋体" w:cs="宋体"/>
                <w:color w:val="auto"/>
              </w:rPr>
              <w:t>实现实时推送就医流程中的挂号成功信息、停诊通知、支付情况等信息。</w:t>
            </w:r>
          </w:p>
        </w:tc>
      </w:tr>
    </w:tbl>
    <w:p w14:paraId="087D228F">
      <w:pPr>
        <w:pStyle w:val="4"/>
        <w:numPr>
          <w:ilvl w:val="1"/>
          <w:numId w:val="0"/>
        </w:numPr>
        <w:ind w:left="576" w:leftChars="0" w:hanging="576" w:firstLineChars="0"/>
        <w:rPr>
          <w:color w:val="auto"/>
        </w:rPr>
      </w:pPr>
      <w:bookmarkStart w:id="170" w:name="_Toc208646547"/>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.25</w:t>
      </w:r>
      <w:r>
        <w:rPr>
          <w:rFonts w:hint="eastAsia"/>
          <w:color w:val="auto"/>
        </w:rPr>
        <w:t>智能支付对账平台</w:t>
      </w:r>
      <w:bookmarkEnd w:id="170"/>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7164"/>
      </w:tblGrid>
      <w:tr w14:paraId="6038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pct"/>
            <w:shd w:val="clear" w:color="auto" w:fill="BEBEBE" w:themeFill="background1" w:themeFillShade="BF"/>
            <w:vAlign w:val="center"/>
          </w:tcPr>
          <w:p w14:paraId="43A38863">
            <w:pPr>
              <w:pStyle w:val="18"/>
              <w:jc w:val="center"/>
              <w:rPr>
                <w:b/>
                <w:color w:val="auto"/>
              </w:rPr>
            </w:pPr>
            <w:r>
              <w:rPr>
                <w:rFonts w:hint="eastAsia"/>
                <w:b/>
                <w:color w:val="auto"/>
              </w:rPr>
              <w:t>系统名称</w:t>
            </w:r>
          </w:p>
        </w:tc>
        <w:tc>
          <w:tcPr>
            <w:tcW w:w="3978" w:type="pct"/>
            <w:shd w:val="clear" w:color="auto" w:fill="BEBEBE" w:themeFill="background1" w:themeFillShade="BF"/>
            <w:vAlign w:val="center"/>
          </w:tcPr>
          <w:p w14:paraId="73B41FE5">
            <w:pPr>
              <w:pStyle w:val="18"/>
              <w:rPr>
                <w:b/>
                <w:color w:val="auto"/>
              </w:rPr>
            </w:pPr>
            <w:r>
              <w:rPr>
                <w:rFonts w:hint="eastAsia"/>
                <w:b/>
                <w:color w:val="auto"/>
              </w:rPr>
              <w:t>智能支付对账平台</w:t>
            </w:r>
          </w:p>
        </w:tc>
      </w:tr>
      <w:tr w14:paraId="6517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pct"/>
            <w:vAlign w:val="center"/>
          </w:tcPr>
          <w:p w14:paraId="7234FFF4">
            <w:pPr>
              <w:pStyle w:val="18"/>
              <w:jc w:val="center"/>
              <w:rPr>
                <w:b/>
                <w:bCs/>
                <w:color w:val="auto"/>
              </w:rPr>
            </w:pPr>
            <w:r>
              <w:rPr>
                <w:rFonts w:hint="eastAsia"/>
                <w:b/>
                <w:bCs/>
                <w:color w:val="auto"/>
              </w:rPr>
              <w:t>系统概述</w:t>
            </w:r>
          </w:p>
        </w:tc>
        <w:tc>
          <w:tcPr>
            <w:tcW w:w="3978" w:type="pct"/>
            <w:vAlign w:val="center"/>
          </w:tcPr>
          <w:p w14:paraId="764C3843">
            <w:pPr>
              <w:pStyle w:val="18"/>
              <w:rPr>
                <w:color w:val="auto"/>
              </w:rPr>
            </w:pPr>
            <w:r>
              <w:rPr>
                <w:rFonts w:hint="eastAsia"/>
                <w:color w:val="auto"/>
              </w:rPr>
              <w:t>智能支付对账平台作为医疗机构的智能财务管理工具，整合多个支付渠道，进行智能数据处理与差异识别，实现财务数据的实时核对、异常检测及全过程管理，提升对账效率、准确性和资金安全</w:t>
            </w:r>
            <w:r>
              <w:rPr>
                <w:color w:val="auto"/>
              </w:rPr>
              <w:t>‌</w:t>
            </w:r>
            <w:r>
              <w:rPr>
                <w:rFonts w:hint="eastAsia"/>
                <w:color w:val="auto"/>
              </w:rPr>
              <w:t>。</w:t>
            </w:r>
          </w:p>
        </w:tc>
      </w:tr>
      <w:tr w14:paraId="0057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pct"/>
            <w:vAlign w:val="center"/>
          </w:tcPr>
          <w:p w14:paraId="4A57E0D5">
            <w:pPr>
              <w:pStyle w:val="18"/>
              <w:jc w:val="center"/>
              <w:rPr>
                <w:b/>
                <w:color w:val="auto"/>
              </w:rPr>
            </w:pPr>
            <w:r>
              <w:rPr>
                <w:rFonts w:hint="eastAsia"/>
                <w:b/>
                <w:color w:val="auto"/>
              </w:rPr>
              <w:t>子项名称</w:t>
            </w:r>
          </w:p>
        </w:tc>
        <w:tc>
          <w:tcPr>
            <w:tcW w:w="3978" w:type="pct"/>
            <w:vAlign w:val="center"/>
          </w:tcPr>
          <w:p w14:paraId="28592E70">
            <w:pPr>
              <w:pStyle w:val="18"/>
              <w:jc w:val="center"/>
              <w:rPr>
                <w:b/>
                <w:color w:val="auto"/>
              </w:rPr>
            </w:pPr>
            <w:r>
              <w:rPr>
                <w:rFonts w:hint="eastAsia"/>
                <w:b/>
                <w:color w:val="auto"/>
              </w:rPr>
              <w:t>技术和功能配置要求</w:t>
            </w:r>
          </w:p>
        </w:tc>
      </w:tr>
      <w:tr w14:paraId="5274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pct"/>
            <w:vAlign w:val="center"/>
          </w:tcPr>
          <w:p w14:paraId="2CE9FE65">
            <w:pPr>
              <w:pStyle w:val="18"/>
              <w:jc w:val="center"/>
              <w:rPr>
                <w:b w:val="0"/>
                <w:color w:val="auto"/>
              </w:rPr>
            </w:pPr>
            <w:r>
              <w:rPr>
                <w:rFonts w:hint="eastAsia"/>
                <w:b w:val="0"/>
                <w:color w:val="auto"/>
              </w:rPr>
              <w:t>订单管理</w:t>
            </w:r>
          </w:p>
        </w:tc>
        <w:tc>
          <w:tcPr>
            <w:tcW w:w="3978" w:type="pct"/>
            <w:vAlign w:val="center"/>
          </w:tcPr>
          <w:p w14:paraId="27D13EA3">
            <w:pPr>
              <w:pStyle w:val="18"/>
              <w:rPr>
                <w:color w:val="auto"/>
              </w:rPr>
            </w:pPr>
            <w:r>
              <w:rPr>
                <w:rFonts w:hint="eastAsia"/>
                <w:color w:val="auto"/>
              </w:rPr>
              <w:t>1.交易订单查询</w:t>
            </w:r>
          </w:p>
          <w:p w14:paraId="215CC231">
            <w:pPr>
              <w:pStyle w:val="18"/>
              <w:rPr>
                <w:color w:val="auto"/>
              </w:rPr>
            </w:pPr>
            <w:r>
              <w:rPr>
                <w:rFonts w:hint="eastAsia"/>
                <w:color w:val="auto"/>
              </w:rPr>
              <w:t>生成医院交易订单中心，按照一定规则生成平台唯一订单号，可以供医院工作人员查询订单情况。</w:t>
            </w:r>
          </w:p>
          <w:p w14:paraId="7E929682">
            <w:pPr>
              <w:pStyle w:val="18"/>
              <w:rPr>
                <w:color w:val="auto"/>
              </w:rPr>
            </w:pPr>
            <w:r>
              <w:rPr>
                <w:rFonts w:hint="eastAsia"/>
                <w:color w:val="auto"/>
              </w:rPr>
              <w:t>2.异常订单处理</w:t>
            </w:r>
          </w:p>
          <w:p w14:paraId="58A4E8B8">
            <w:pPr>
              <w:pStyle w:val="18"/>
              <w:rPr>
                <w:color w:val="auto"/>
              </w:rPr>
            </w:pPr>
            <w:r>
              <w:rPr>
                <w:rFonts w:hint="eastAsia"/>
                <w:color w:val="auto"/>
              </w:rPr>
              <w:t>用户支付时，系统自动判断业务是否成功，若业务不成功，支持异常订单原路退款操作。生成处理记录。</w:t>
            </w:r>
          </w:p>
          <w:p w14:paraId="4980BF79">
            <w:pPr>
              <w:pStyle w:val="18"/>
              <w:rPr>
                <w:color w:val="auto"/>
              </w:rPr>
            </w:pPr>
            <w:r>
              <w:rPr>
                <w:rFonts w:hint="eastAsia"/>
                <w:color w:val="auto"/>
              </w:rPr>
              <w:t>3.交易账单汇总</w:t>
            </w:r>
          </w:p>
          <w:p w14:paraId="6B3E5C9F">
            <w:pPr>
              <w:pStyle w:val="18"/>
              <w:rPr>
                <w:color w:val="auto"/>
              </w:rPr>
            </w:pPr>
            <w:r>
              <w:rPr>
                <w:rFonts w:hint="eastAsia"/>
                <w:color w:val="auto"/>
              </w:rPr>
              <w:t>对经过支付平台的账单，进行汇总，按照支付厂家、医院开通业务类型、以及所有支付途径，进行汇总展示。可按照账单时间进行筛选。支持导出Excel格式。</w:t>
            </w:r>
          </w:p>
        </w:tc>
      </w:tr>
      <w:tr w14:paraId="2D34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pct"/>
            <w:vAlign w:val="center"/>
          </w:tcPr>
          <w:p w14:paraId="4E03984A">
            <w:pPr>
              <w:pStyle w:val="18"/>
              <w:jc w:val="center"/>
              <w:rPr>
                <w:b w:val="0"/>
                <w:color w:val="auto"/>
              </w:rPr>
            </w:pPr>
            <w:r>
              <w:rPr>
                <w:rFonts w:hint="eastAsia"/>
                <w:b w:val="0"/>
                <w:color w:val="auto"/>
              </w:rPr>
              <w:t>智能对账管理</w:t>
            </w:r>
          </w:p>
        </w:tc>
        <w:tc>
          <w:tcPr>
            <w:tcW w:w="3978" w:type="pct"/>
            <w:vAlign w:val="center"/>
          </w:tcPr>
          <w:p w14:paraId="7AF63F92">
            <w:pPr>
              <w:pStyle w:val="18"/>
              <w:rPr>
                <w:color w:val="auto"/>
              </w:rPr>
            </w:pPr>
            <w:r>
              <w:rPr>
                <w:rFonts w:hint="eastAsia"/>
                <w:color w:val="auto"/>
              </w:rPr>
              <w:t>智能对账记录</w:t>
            </w:r>
            <w:r>
              <w:rPr>
                <w:rFonts w:hint="eastAsia"/>
                <w:color w:val="auto"/>
              </w:rPr>
              <w:tab/>
            </w:r>
            <w:r>
              <w:rPr>
                <w:rFonts w:hint="eastAsia"/>
                <w:color w:val="auto"/>
              </w:rPr>
              <w:t>根据医院支付渠道，配置对账逻辑，通过接口定时获取his交易账单和交易渠道账单，将两方数据进行对账。</w:t>
            </w:r>
          </w:p>
          <w:p w14:paraId="53F1CB6F">
            <w:pPr>
              <w:pStyle w:val="18"/>
              <w:rPr>
                <w:color w:val="auto"/>
              </w:rPr>
            </w:pPr>
            <w:r>
              <w:rPr>
                <w:rFonts w:hint="eastAsia"/>
                <w:color w:val="auto"/>
              </w:rPr>
              <w:t>智能对账详情</w:t>
            </w:r>
            <w:r>
              <w:rPr>
                <w:rFonts w:hint="eastAsia"/>
                <w:color w:val="auto"/>
              </w:rPr>
              <w:tab/>
            </w:r>
            <w:r>
              <w:rPr>
                <w:rFonts w:hint="eastAsia"/>
                <w:color w:val="auto"/>
              </w:rPr>
              <w:t>支持通过平台查看所有业务对账的详情信息。</w:t>
            </w:r>
          </w:p>
          <w:p w14:paraId="7E1643DA">
            <w:pPr>
              <w:pStyle w:val="18"/>
              <w:rPr>
                <w:color w:val="auto"/>
              </w:rPr>
            </w:pPr>
            <w:r>
              <w:rPr>
                <w:rFonts w:hint="eastAsia"/>
                <w:color w:val="auto"/>
              </w:rPr>
              <w:t>账单差额管理</w:t>
            </w:r>
            <w:r>
              <w:rPr>
                <w:rFonts w:hint="eastAsia"/>
                <w:color w:val="auto"/>
              </w:rPr>
              <w:tab/>
            </w:r>
            <w:r>
              <w:rPr>
                <w:rFonts w:hint="eastAsia"/>
                <w:color w:val="auto"/>
              </w:rPr>
              <w:t>对于对账结果汇总，统计HIS总支付、总退款金额笔数，银行总支付总退款金额笔数，展示HIS净收入以及银行净收入，以及双方差异金额。</w:t>
            </w:r>
          </w:p>
          <w:p w14:paraId="3735FCEE">
            <w:pPr>
              <w:pStyle w:val="18"/>
              <w:rPr>
                <w:color w:val="auto"/>
              </w:rPr>
            </w:pPr>
            <w:r>
              <w:rPr>
                <w:rFonts w:hint="eastAsia"/>
                <w:color w:val="auto"/>
              </w:rPr>
              <w:t>手动处理数据</w:t>
            </w:r>
            <w:r>
              <w:rPr>
                <w:rFonts w:hint="eastAsia"/>
                <w:color w:val="auto"/>
              </w:rPr>
              <w:tab/>
            </w:r>
            <w:r>
              <w:rPr>
                <w:rFonts w:hint="eastAsia"/>
                <w:color w:val="auto"/>
              </w:rPr>
              <w:t>针对特殊情况，系统无法自动拉取各方账单（HIS/支付宝/微信…），或拉取账单有误时，管理员可以手动进行删除账单或拉取账单操作。生成操作记录，可供查询。</w:t>
            </w:r>
          </w:p>
        </w:tc>
      </w:tr>
      <w:tr w14:paraId="20DE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pct"/>
            <w:vAlign w:val="center"/>
          </w:tcPr>
          <w:p w14:paraId="650D4AAE">
            <w:pPr>
              <w:pStyle w:val="18"/>
              <w:jc w:val="center"/>
              <w:rPr>
                <w:b w:val="0"/>
                <w:color w:val="auto"/>
              </w:rPr>
            </w:pPr>
            <w:r>
              <w:rPr>
                <w:rFonts w:hint="eastAsia"/>
                <w:b w:val="0"/>
                <w:color w:val="auto"/>
              </w:rPr>
              <w:t>智能数据分析</w:t>
            </w:r>
          </w:p>
        </w:tc>
        <w:tc>
          <w:tcPr>
            <w:tcW w:w="3978" w:type="pct"/>
            <w:vAlign w:val="center"/>
          </w:tcPr>
          <w:p w14:paraId="49F6EC92">
            <w:pPr>
              <w:pStyle w:val="18"/>
              <w:rPr>
                <w:color w:val="auto"/>
              </w:rPr>
            </w:pPr>
            <w:r>
              <w:rPr>
                <w:rFonts w:hint="eastAsia"/>
                <w:color w:val="auto"/>
              </w:rPr>
              <w:t>智能支付对账平台分析汇总多家支付机构、各支付途径、退款和收入等数据，自动生成各支付途径以及总院汇总统计分析等多维度数据报表，助力医院财务人员快速查看交易数据。</w:t>
            </w:r>
          </w:p>
        </w:tc>
      </w:tr>
      <w:tr w14:paraId="24FA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pct"/>
            <w:vAlign w:val="center"/>
          </w:tcPr>
          <w:p w14:paraId="138BB001">
            <w:pPr>
              <w:pStyle w:val="18"/>
              <w:jc w:val="center"/>
              <w:rPr>
                <w:b w:val="0"/>
                <w:color w:val="auto"/>
              </w:rPr>
            </w:pPr>
            <w:r>
              <w:rPr>
                <w:rFonts w:hint="eastAsia"/>
                <w:b w:val="0"/>
                <w:color w:val="auto"/>
              </w:rPr>
              <w:t>基础管理</w:t>
            </w:r>
          </w:p>
        </w:tc>
        <w:tc>
          <w:tcPr>
            <w:tcW w:w="3978" w:type="pct"/>
            <w:vAlign w:val="center"/>
          </w:tcPr>
          <w:p w14:paraId="70EBDEBE">
            <w:pPr>
              <w:pStyle w:val="18"/>
              <w:rPr>
                <w:color w:val="auto"/>
              </w:rPr>
            </w:pPr>
            <w:r>
              <w:rPr>
                <w:rFonts w:hint="eastAsia"/>
                <w:color w:val="auto"/>
              </w:rPr>
              <w:t>1.角色账户配置</w:t>
            </w:r>
          </w:p>
          <w:p w14:paraId="23CD0AB3">
            <w:pPr>
              <w:pStyle w:val="18"/>
              <w:rPr>
                <w:color w:val="auto"/>
              </w:rPr>
            </w:pPr>
            <w:r>
              <w:rPr>
                <w:rFonts w:hint="eastAsia"/>
                <w:color w:val="auto"/>
              </w:rPr>
              <w:t>可以实现平台用户账号管理与维护。</w:t>
            </w:r>
          </w:p>
          <w:p w14:paraId="0C202941">
            <w:pPr>
              <w:pStyle w:val="18"/>
              <w:rPr>
                <w:color w:val="auto"/>
              </w:rPr>
            </w:pPr>
            <w:r>
              <w:rPr>
                <w:rFonts w:hint="eastAsia"/>
                <w:color w:val="auto"/>
              </w:rPr>
              <w:t>2.支付商户设置</w:t>
            </w:r>
          </w:p>
          <w:p w14:paraId="48DB6D3E">
            <w:pPr>
              <w:pStyle w:val="18"/>
              <w:rPr>
                <w:color w:val="auto"/>
              </w:rPr>
            </w:pPr>
            <w:r>
              <w:rPr>
                <w:rFonts w:hint="eastAsia"/>
                <w:color w:val="auto"/>
              </w:rPr>
              <w:t>根据医院支付厂家，提供支付信息，后台进行统一配置管理。</w:t>
            </w:r>
          </w:p>
        </w:tc>
      </w:tr>
    </w:tbl>
    <w:p w14:paraId="41C0F026">
      <w:pPr>
        <w:pStyle w:val="4"/>
        <w:numPr>
          <w:ilvl w:val="1"/>
          <w:numId w:val="0"/>
        </w:numPr>
        <w:ind w:left="576" w:leftChars="0" w:hanging="576" w:firstLineChars="0"/>
        <w:rPr>
          <w:color w:val="auto"/>
        </w:rPr>
      </w:pPr>
      <w:bookmarkStart w:id="171" w:name="_Toc208646548"/>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.26</w:t>
      </w:r>
      <w:r>
        <w:rPr>
          <w:rFonts w:hint="eastAsia"/>
          <w:color w:val="auto"/>
        </w:rPr>
        <w:t>银医自助服务系统</w:t>
      </w:r>
      <w:bookmarkEnd w:id="171"/>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7140"/>
      </w:tblGrid>
      <w:tr w14:paraId="21B4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shd w:val="clear" w:color="auto" w:fill="BEBEBE" w:themeFill="background1" w:themeFillShade="BF"/>
            <w:vAlign w:val="center"/>
          </w:tcPr>
          <w:p w14:paraId="21C9B0B5">
            <w:pPr>
              <w:pStyle w:val="18"/>
              <w:jc w:val="center"/>
              <w:rPr>
                <w:b/>
                <w:color w:val="auto"/>
              </w:rPr>
            </w:pPr>
            <w:r>
              <w:rPr>
                <w:rFonts w:hint="eastAsia"/>
                <w:b/>
                <w:color w:val="auto"/>
              </w:rPr>
              <w:t>系统名称</w:t>
            </w:r>
          </w:p>
        </w:tc>
        <w:tc>
          <w:tcPr>
            <w:tcW w:w="3965" w:type="pct"/>
            <w:shd w:val="clear" w:color="auto" w:fill="BEBEBE" w:themeFill="background1" w:themeFillShade="BF"/>
            <w:vAlign w:val="center"/>
          </w:tcPr>
          <w:p w14:paraId="518CCD7E">
            <w:pPr>
              <w:pStyle w:val="18"/>
              <w:rPr>
                <w:b/>
                <w:color w:val="auto"/>
              </w:rPr>
            </w:pPr>
            <w:r>
              <w:rPr>
                <w:rFonts w:hint="eastAsia"/>
                <w:b/>
                <w:color w:val="auto"/>
              </w:rPr>
              <w:t>银医自助服务系统</w:t>
            </w:r>
          </w:p>
        </w:tc>
      </w:tr>
      <w:tr w14:paraId="6FBF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vAlign w:val="center"/>
          </w:tcPr>
          <w:p w14:paraId="1D301039">
            <w:pPr>
              <w:pStyle w:val="18"/>
              <w:jc w:val="center"/>
              <w:rPr>
                <w:b/>
                <w:bCs/>
                <w:color w:val="auto"/>
              </w:rPr>
            </w:pPr>
            <w:r>
              <w:rPr>
                <w:rFonts w:hint="eastAsia"/>
                <w:b/>
                <w:bCs/>
                <w:color w:val="auto"/>
              </w:rPr>
              <w:t>系统概述</w:t>
            </w:r>
          </w:p>
        </w:tc>
        <w:tc>
          <w:tcPr>
            <w:tcW w:w="3965" w:type="pct"/>
            <w:vAlign w:val="center"/>
          </w:tcPr>
          <w:p w14:paraId="57EB0F88">
            <w:pPr>
              <w:pStyle w:val="18"/>
              <w:rPr>
                <w:color w:val="auto"/>
              </w:rPr>
            </w:pPr>
            <w:r>
              <w:rPr>
                <w:rFonts w:hint="eastAsia"/>
                <w:color w:val="auto"/>
              </w:rPr>
              <w:t>服务患者，自助服务机的便捷操作系统。</w:t>
            </w:r>
          </w:p>
        </w:tc>
      </w:tr>
      <w:tr w14:paraId="36A1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vAlign w:val="center"/>
          </w:tcPr>
          <w:p w14:paraId="27DFD4CF">
            <w:pPr>
              <w:pStyle w:val="18"/>
              <w:jc w:val="center"/>
              <w:rPr>
                <w:b/>
                <w:bCs/>
                <w:color w:val="auto"/>
              </w:rPr>
            </w:pPr>
            <w:r>
              <w:rPr>
                <w:rFonts w:hint="eastAsia"/>
                <w:b/>
                <w:bCs/>
                <w:color w:val="auto"/>
              </w:rPr>
              <w:t>子项名称</w:t>
            </w:r>
          </w:p>
        </w:tc>
        <w:tc>
          <w:tcPr>
            <w:tcW w:w="3965" w:type="pct"/>
            <w:vAlign w:val="center"/>
          </w:tcPr>
          <w:p w14:paraId="50F3DE3E">
            <w:pPr>
              <w:pStyle w:val="18"/>
              <w:jc w:val="center"/>
              <w:rPr>
                <w:b/>
                <w:bCs/>
                <w:color w:val="auto"/>
              </w:rPr>
            </w:pPr>
            <w:r>
              <w:rPr>
                <w:rFonts w:hint="eastAsia"/>
                <w:b/>
                <w:bCs/>
                <w:color w:val="auto"/>
              </w:rPr>
              <w:t>技术和功能配置要求</w:t>
            </w:r>
          </w:p>
        </w:tc>
      </w:tr>
      <w:tr w14:paraId="05D3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vAlign w:val="center"/>
          </w:tcPr>
          <w:p w14:paraId="78CBB8B8">
            <w:pPr>
              <w:pStyle w:val="18"/>
              <w:jc w:val="center"/>
              <w:rPr>
                <w:b w:val="0"/>
                <w:color w:val="auto"/>
              </w:rPr>
            </w:pPr>
            <w:r>
              <w:rPr>
                <w:rFonts w:hint="eastAsia" w:ascii="宋体" w:hAnsi="宋体" w:cs="宋体"/>
                <w:b w:val="0"/>
                <w:color w:val="auto"/>
                <w:lang w:bidi="ar"/>
              </w:rPr>
              <w:t>银医自助服务系统（门诊多功能自助服务系统）</w:t>
            </w:r>
          </w:p>
        </w:tc>
        <w:tc>
          <w:tcPr>
            <w:tcW w:w="3965" w:type="pct"/>
            <w:vAlign w:val="center"/>
          </w:tcPr>
          <w:p w14:paraId="3A7A6DD2">
            <w:pPr>
              <w:pStyle w:val="18"/>
              <w:rPr>
                <w:color w:val="auto"/>
              </w:rPr>
            </w:pPr>
            <w:r>
              <w:rPr>
                <w:rFonts w:hint="eastAsia"/>
                <w:color w:val="auto"/>
              </w:rPr>
              <w:t>支持患者凭就诊卡、身份证、社保卡、医保电子凭证、电子就诊卡登录，登录完成后，患者可自助完成建卡绑卡、预约及挂号、报到、复诊排号、充值（银行卡、微信、支付宝、刷脸支付）、缴费（预交金扣费、电子医保凭证扣费）、报到、密码修改及重置、打印小票、打印检验报告、打印黑白电子发票、打印导诊单、信息查询、满意度评价等。</w:t>
            </w:r>
          </w:p>
        </w:tc>
      </w:tr>
    </w:tbl>
    <w:p w14:paraId="2B1BC340">
      <w:pPr>
        <w:pStyle w:val="4"/>
        <w:numPr>
          <w:ilvl w:val="1"/>
          <w:numId w:val="0"/>
        </w:numPr>
        <w:ind w:left="576" w:leftChars="0" w:hanging="576" w:firstLineChars="0"/>
        <w:rPr>
          <w:color w:val="auto"/>
        </w:rPr>
      </w:pPr>
      <w:bookmarkStart w:id="172" w:name="_Toc208646549"/>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.27</w:t>
      </w:r>
      <w:r>
        <w:rPr>
          <w:rFonts w:hint="eastAsia"/>
          <w:color w:val="auto"/>
        </w:rPr>
        <w:t>住院病区查询机系统</w:t>
      </w:r>
      <w:bookmarkEnd w:id="172"/>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7140"/>
      </w:tblGrid>
      <w:tr w14:paraId="2C3D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shd w:val="clear" w:color="auto" w:fill="BEBEBE" w:themeFill="background1" w:themeFillShade="BF"/>
            <w:vAlign w:val="center"/>
          </w:tcPr>
          <w:p w14:paraId="631E4A56">
            <w:pPr>
              <w:pStyle w:val="18"/>
              <w:jc w:val="center"/>
              <w:rPr>
                <w:b/>
                <w:color w:val="auto"/>
              </w:rPr>
            </w:pPr>
            <w:r>
              <w:rPr>
                <w:rFonts w:hint="eastAsia"/>
                <w:b/>
                <w:color w:val="auto"/>
              </w:rPr>
              <w:t>系统名称</w:t>
            </w:r>
          </w:p>
        </w:tc>
        <w:tc>
          <w:tcPr>
            <w:tcW w:w="3965" w:type="pct"/>
            <w:shd w:val="clear" w:color="auto" w:fill="BEBEBE" w:themeFill="background1" w:themeFillShade="BF"/>
            <w:vAlign w:val="center"/>
          </w:tcPr>
          <w:p w14:paraId="1C16A826">
            <w:pPr>
              <w:pStyle w:val="18"/>
              <w:rPr>
                <w:b/>
                <w:bCs/>
                <w:color w:val="auto"/>
              </w:rPr>
            </w:pPr>
            <w:r>
              <w:rPr>
                <w:rFonts w:hint="eastAsia"/>
                <w:b/>
                <w:bCs/>
                <w:color w:val="auto"/>
              </w:rPr>
              <w:t>住院病区查询机系统</w:t>
            </w:r>
          </w:p>
        </w:tc>
      </w:tr>
      <w:tr w14:paraId="2FF3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vAlign w:val="center"/>
          </w:tcPr>
          <w:p w14:paraId="4FFD0222">
            <w:pPr>
              <w:pStyle w:val="18"/>
              <w:jc w:val="center"/>
              <w:rPr>
                <w:b/>
                <w:bCs/>
                <w:color w:val="auto"/>
              </w:rPr>
            </w:pPr>
            <w:r>
              <w:rPr>
                <w:rFonts w:hint="eastAsia"/>
                <w:b/>
                <w:bCs/>
                <w:color w:val="auto"/>
              </w:rPr>
              <w:t>系统概述</w:t>
            </w:r>
          </w:p>
        </w:tc>
        <w:tc>
          <w:tcPr>
            <w:tcW w:w="3965" w:type="pct"/>
            <w:vAlign w:val="center"/>
          </w:tcPr>
          <w:p w14:paraId="3847A78C">
            <w:pPr>
              <w:pStyle w:val="18"/>
              <w:rPr>
                <w:bCs/>
                <w:color w:val="auto"/>
              </w:rPr>
            </w:pPr>
            <w:r>
              <w:rPr>
                <w:rFonts w:hint="eastAsia"/>
                <w:bCs/>
                <w:color w:val="auto"/>
              </w:rPr>
              <w:t>服务患者，病区查询机的便捷操作系统。</w:t>
            </w:r>
          </w:p>
        </w:tc>
      </w:tr>
      <w:tr w14:paraId="04CB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vAlign w:val="center"/>
          </w:tcPr>
          <w:p w14:paraId="28BC4721">
            <w:pPr>
              <w:pStyle w:val="18"/>
              <w:jc w:val="center"/>
              <w:rPr>
                <w:b/>
                <w:bCs/>
                <w:color w:val="auto"/>
              </w:rPr>
            </w:pPr>
            <w:r>
              <w:rPr>
                <w:rFonts w:hint="eastAsia"/>
                <w:b/>
                <w:bCs/>
                <w:color w:val="auto"/>
              </w:rPr>
              <w:t>子项名称</w:t>
            </w:r>
          </w:p>
        </w:tc>
        <w:tc>
          <w:tcPr>
            <w:tcW w:w="3965" w:type="pct"/>
            <w:vAlign w:val="center"/>
          </w:tcPr>
          <w:p w14:paraId="5A0173FC">
            <w:pPr>
              <w:pStyle w:val="18"/>
              <w:jc w:val="center"/>
              <w:rPr>
                <w:b/>
                <w:bCs/>
                <w:color w:val="auto"/>
              </w:rPr>
            </w:pPr>
            <w:r>
              <w:rPr>
                <w:rFonts w:hint="eastAsia"/>
                <w:b/>
                <w:bCs/>
                <w:color w:val="auto"/>
              </w:rPr>
              <w:t>技术和功能配置要求</w:t>
            </w:r>
          </w:p>
        </w:tc>
      </w:tr>
      <w:tr w14:paraId="59A8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vAlign w:val="center"/>
          </w:tcPr>
          <w:p w14:paraId="0BB4262C">
            <w:pPr>
              <w:pStyle w:val="18"/>
              <w:jc w:val="center"/>
              <w:rPr>
                <w:b w:val="0"/>
                <w:color w:val="auto"/>
              </w:rPr>
            </w:pPr>
            <w:r>
              <w:rPr>
                <w:rFonts w:hint="eastAsia"/>
                <w:b w:val="0"/>
                <w:color w:val="auto"/>
              </w:rPr>
              <w:t>住院病区查询机系统</w:t>
            </w:r>
          </w:p>
        </w:tc>
        <w:tc>
          <w:tcPr>
            <w:tcW w:w="3965" w:type="pct"/>
            <w:vAlign w:val="center"/>
          </w:tcPr>
          <w:p w14:paraId="19291F75">
            <w:pPr>
              <w:pStyle w:val="18"/>
              <w:rPr>
                <w:color w:val="auto"/>
              </w:rPr>
            </w:pPr>
            <w:r>
              <w:rPr>
                <w:rFonts w:hint="eastAsia"/>
                <w:color w:val="auto"/>
              </w:rPr>
              <w:t>支持患者凭就诊卡、身份证、社保卡、医保电子凭证、电子就诊卡登录，登录完成后，在诊区，患者可自助进行报到、充值（微信、支付宝、刷脸支付）、缴费、查询余额、打印小票等。</w:t>
            </w:r>
          </w:p>
        </w:tc>
      </w:tr>
    </w:tbl>
    <w:p w14:paraId="31F0BFC7">
      <w:pPr>
        <w:pStyle w:val="4"/>
        <w:numPr>
          <w:ilvl w:val="1"/>
          <w:numId w:val="0"/>
        </w:numPr>
        <w:ind w:left="576" w:leftChars="0" w:hanging="576" w:firstLineChars="0"/>
        <w:rPr>
          <w:color w:val="auto"/>
        </w:rPr>
      </w:pPr>
      <w:bookmarkStart w:id="173" w:name="_Toc208646550"/>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.28</w:t>
      </w:r>
      <w:r>
        <w:rPr>
          <w:rFonts w:hint="eastAsia"/>
          <w:color w:val="auto"/>
        </w:rPr>
        <w:t>多媒体分诊叫号系统</w:t>
      </w:r>
      <w:bookmarkEnd w:id="173"/>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7140"/>
      </w:tblGrid>
      <w:tr w14:paraId="3B44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shd w:val="clear" w:color="auto" w:fill="BEBEBE" w:themeFill="background1" w:themeFillShade="BF"/>
            <w:vAlign w:val="center"/>
          </w:tcPr>
          <w:p w14:paraId="7BF9FB1F">
            <w:pPr>
              <w:pStyle w:val="18"/>
              <w:jc w:val="center"/>
              <w:rPr>
                <w:b/>
                <w:color w:val="auto"/>
              </w:rPr>
            </w:pPr>
            <w:r>
              <w:rPr>
                <w:rFonts w:hint="eastAsia"/>
                <w:b/>
                <w:color w:val="auto"/>
              </w:rPr>
              <w:t>系统名称</w:t>
            </w:r>
          </w:p>
        </w:tc>
        <w:tc>
          <w:tcPr>
            <w:tcW w:w="3965" w:type="pct"/>
            <w:shd w:val="clear" w:color="auto" w:fill="BEBEBE" w:themeFill="background1" w:themeFillShade="BF"/>
            <w:vAlign w:val="center"/>
          </w:tcPr>
          <w:p w14:paraId="4023DF8E">
            <w:pPr>
              <w:pStyle w:val="18"/>
              <w:rPr>
                <w:b/>
                <w:color w:val="auto"/>
              </w:rPr>
            </w:pPr>
            <w:r>
              <w:rPr>
                <w:rFonts w:hint="eastAsia"/>
                <w:b/>
                <w:color w:val="auto"/>
              </w:rPr>
              <w:t>多媒体分诊叫号系统</w:t>
            </w:r>
          </w:p>
        </w:tc>
      </w:tr>
      <w:tr w14:paraId="32B9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vAlign w:val="center"/>
          </w:tcPr>
          <w:p w14:paraId="3E5350FF">
            <w:pPr>
              <w:pStyle w:val="18"/>
              <w:jc w:val="center"/>
              <w:rPr>
                <w:b w:val="0"/>
                <w:color w:val="auto"/>
              </w:rPr>
            </w:pPr>
            <w:r>
              <w:rPr>
                <w:rFonts w:hint="eastAsia"/>
                <w:b/>
                <w:bCs/>
                <w:color w:val="auto"/>
              </w:rPr>
              <w:t>系统概述</w:t>
            </w:r>
          </w:p>
        </w:tc>
        <w:tc>
          <w:tcPr>
            <w:tcW w:w="3965" w:type="pct"/>
            <w:vAlign w:val="center"/>
          </w:tcPr>
          <w:p w14:paraId="1D5721D4">
            <w:pPr>
              <w:pStyle w:val="18"/>
              <w:rPr>
                <w:color w:val="auto"/>
              </w:rPr>
            </w:pPr>
            <w:r>
              <w:rPr>
                <w:rFonts w:hint="eastAsia"/>
                <w:color w:val="auto"/>
              </w:rPr>
              <w:t>将传统排队叫号功能与多媒体信息发布深度融合，构建集就诊引导、排队叫号、智能分诊、秩序管理于一体的多媒体分诊叫号系统</w:t>
            </w:r>
            <w:r>
              <w:rPr>
                <w:color w:val="auto"/>
              </w:rPr>
              <w:t>‌</w:t>
            </w:r>
            <w:r>
              <w:rPr>
                <w:rFonts w:hint="eastAsia"/>
                <w:color w:val="auto"/>
              </w:rPr>
              <w:t>。</w:t>
            </w:r>
          </w:p>
        </w:tc>
      </w:tr>
      <w:tr w14:paraId="5616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vAlign w:val="center"/>
          </w:tcPr>
          <w:p w14:paraId="103090B3">
            <w:pPr>
              <w:pStyle w:val="18"/>
              <w:jc w:val="center"/>
              <w:rPr>
                <w:b/>
                <w:bCs/>
                <w:color w:val="auto"/>
              </w:rPr>
            </w:pPr>
            <w:r>
              <w:rPr>
                <w:rFonts w:hint="eastAsia"/>
                <w:b/>
                <w:bCs/>
                <w:color w:val="auto"/>
              </w:rPr>
              <w:t>子项名称</w:t>
            </w:r>
          </w:p>
        </w:tc>
        <w:tc>
          <w:tcPr>
            <w:tcW w:w="3965" w:type="pct"/>
            <w:vAlign w:val="center"/>
          </w:tcPr>
          <w:p w14:paraId="322BD1A2">
            <w:pPr>
              <w:pStyle w:val="18"/>
              <w:jc w:val="center"/>
              <w:rPr>
                <w:b/>
                <w:bCs/>
                <w:color w:val="auto"/>
              </w:rPr>
            </w:pPr>
            <w:r>
              <w:rPr>
                <w:rFonts w:hint="eastAsia"/>
                <w:b/>
                <w:bCs/>
                <w:color w:val="auto"/>
              </w:rPr>
              <w:t>技术和功能配置要求</w:t>
            </w:r>
          </w:p>
        </w:tc>
      </w:tr>
      <w:tr w14:paraId="0B87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vAlign w:val="center"/>
          </w:tcPr>
          <w:p w14:paraId="26FB5245">
            <w:pPr>
              <w:pStyle w:val="18"/>
              <w:jc w:val="center"/>
              <w:rPr>
                <w:b w:val="0"/>
                <w:color w:val="auto"/>
              </w:rPr>
            </w:pPr>
            <w:r>
              <w:rPr>
                <w:rFonts w:hint="eastAsia"/>
                <w:b w:val="0"/>
                <w:color w:val="auto"/>
              </w:rPr>
              <w:t>门诊多媒体医疗导引</w:t>
            </w:r>
          </w:p>
        </w:tc>
        <w:tc>
          <w:tcPr>
            <w:tcW w:w="3965" w:type="pct"/>
            <w:vAlign w:val="center"/>
          </w:tcPr>
          <w:p w14:paraId="128FD6F1">
            <w:pPr>
              <w:pStyle w:val="18"/>
              <w:rPr>
                <w:color w:val="auto"/>
              </w:rPr>
            </w:pPr>
            <w:r>
              <w:rPr>
                <w:rFonts w:hint="eastAsia"/>
                <w:color w:val="auto"/>
              </w:rPr>
              <w:t>1.系统应采用B/S架构，便于管理和维护，与医院预约系统实现无缝结合，可实时接收医院系统传来的患者挂号信息、预约信息，在预约取号时自动生成排队号码以及实现自动分诊。</w:t>
            </w:r>
          </w:p>
          <w:p w14:paraId="3335A608">
            <w:pPr>
              <w:pStyle w:val="18"/>
              <w:rPr>
                <w:color w:val="auto"/>
              </w:rPr>
            </w:pPr>
            <w:r>
              <w:rPr>
                <w:rFonts w:hint="eastAsia"/>
                <w:color w:val="auto"/>
              </w:rPr>
              <w:t>2.系统需支持全自动形成队列、人工报到形成队列（患者扫码报到、护士操作报到）两种模式。</w:t>
            </w:r>
          </w:p>
          <w:p w14:paraId="2C2F4983">
            <w:pPr>
              <w:pStyle w:val="18"/>
              <w:rPr>
                <w:color w:val="auto"/>
              </w:rPr>
            </w:pPr>
            <w:r>
              <w:rPr>
                <w:rFonts w:hint="eastAsia"/>
                <w:color w:val="auto"/>
              </w:rPr>
              <w:t>3.排队队列数据可直接推送到相对应的候诊区域分诊屏，显示各自对应的叫号信息。</w:t>
            </w:r>
          </w:p>
          <w:p w14:paraId="2D2400CE">
            <w:pPr>
              <w:pStyle w:val="18"/>
              <w:rPr>
                <w:color w:val="auto"/>
              </w:rPr>
            </w:pPr>
            <w:r>
              <w:rPr>
                <w:rFonts w:hint="eastAsia"/>
                <w:color w:val="auto"/>
              </w:rPr>
              <w:t>4.可实现在门诊护士站管控区域内对患者的就诊状态检索、排队队列管理等操作。</w:t>
            </w:r>
          </w:p>
          <w:p w14:paraId="593FACFC">
            <w:pPr>
              <w:pStyle w:val="18"/>
              <w:rPr>
                <w:color w:val="auto"/>
              </w:rPr>
            </w:pPr>
            <w:r>
              <w:rPr>
                <w:rFonts w:hint="eastAsia"/>
                <w:color w:val="auto"/>
              </w:rPr>
              <w:t>5.可根据需求进行顺序叫号、过号、结束诊疗等操作。</w:t>
            </w:r>
          </w:p>
          <w:p w14:paraId="7ADC2AB1">
            <w:pPr>
              <w:pStyle w:val="18"/>
              <w:rPr>
                <w:color w:val="auto"/>
              </w:rPr>
            </w:pPr>
            <w:r>
              <w:rPr>
                <w:rFonts w:hint="eastAsia"/>
                <w:color w:val="auto"/>
              </w:rPr>
              <w:t>6.系统具有联网和远程控制功能，应需支持跨路由控制，对终端可以远程管理和维护。需支持局域网，分诊管理端和播放端。</w:t>
            </w:r>
          </w:p>
          <w:p w14:paraId="6B5EBEC3">
            <w:pPr>
              <w:pStyle w:val="18"/>
              <w:rPr>
                <w:color w:val="auto"/>
              </w:rPr>
            </w:pPr>
            <w:r>
              <w:rPr>
                <w:rFonts w:hint="eastAsia"/>
                <w:color w:val="auto"/>
              </w:rPr>
              <w:t>7.可在局域网内的任意一台终端实现管理端功能。</w:t>
            </w:r>
          </w:p>
          <w:p w14:paraId="2CC91F6D">
            <w:pPr>
              <w:pStyle w:val="18"/>
              <w:rPr>
                <w:color w:val="auto"/>
              </w:rPr>
            </w:pPr>
            <w:r>
              <w:rPr>
                <w:rFonts w:hint="eastAsia"/>
                <w:color w:val="auto"/>
              </w:rPr>
              <w:t>8.系统需支持中文、数字的语音自动合成，叫号信息内容可灵活变更、设定。需支持实时人名呼叫。系统需支持普通话、英文播放。</w:t>
            </w:r>
          </w:p>
          <w:p w14:paraId="3AC75152">
            <w:pPr>
              <w:pStyle w:val="18"/>
              <w:rPr>
                <w:color w:val="auto"/>
              </w:rPr>
            </w:pPr>
            <w:r>
              <w:rPr>
                <w:rFonts w:hint="eastAsia"/>
                <w:color w:val="auto"/>
              </w:rPr>
              <w:t>9.系统可根据实际需求提供分诊管理相关的数据结果统计、历史数据查询等。</w:t>
            </w:r>
          </w:p>
        </w:tc>
      </w:tr>
      <w:tr w14:paraId="369C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vAlign w:val="center"/>
          </w:tcPr>
          <w:p w14:paraId="67E74323">
            <w:pPr>
              <w:pStyle w:val="18"/>
              <w:jc w:val="center"/>
              <w:rPr>
                <w:b w:val="0"/>
                <w:color w:val="auto"/>
              </w:rPr>
            </w:pPr>
            <w:r>
              <w:rPr>
                <w:rFonts w:hint="eastAsia"/>
                <w:b w:val="0"/>
                <w:color w:val="auto"/>
              </w:rPr>
              <w:t>检查分诊排队</w:t>
            </w:r>
          </w:p>
        </w:tc>
        <w:tc>
          <w:tcPr>
            <w:tcW w:w="3965" w:type="pct"/>
            <w:vAlign w:val="center"/>
          </w:tcPr>
          <w:p w14:paraId="2E077E2B">
            <w:pPr>
              <w:pStyle w:val="18"/>
              <w:rPr>
                <w:color w:val="auto"/>
              </w:rPr>
            </w:pPr>
            <w:r>
              <w:rPr>
                <w:rFonts w:hint="eastAsia"/>
                <w:color w:val="auto"/>
              </w:rPr>
              <w:t>1.系统应采用B/S架构，便于管理和维护，通过分诊台管理端支持针对基础信息维护，同步检查科室的信息数据，分诊管理人员可维护检查诊室信息，包括所属科室、诊室名称、诊室位置等信息，用于候诊患者数据获取、大小屏信息配置等。</w:t>
            </w:r>
          </w:p>
          <w:p w14:paraId="707FF309">
            <w:pPr>
              <w:pStyle w:val="18"/>
              <w:rPr>
                <w:color w:val="auto"/>
              </w:rPr>
            </w:pPr>
            <w:r>
              <w:rPr>
                <w:rFonts w:hint="eastAsia"/>
                <w:color w:val="auto"/>
              </w:rPr>
              <w:t>2.可实现检查科室候诊区大屏位置、大屏对应科室诊室、页面显示风格，提示语设置、呼叫内容、健康宣教等内容的配置，针对小屏位、页面风格，出诊欢迎页、健康宣教图片进行配置。</w:t>
            </w:r>
          </w:p>
          <w:p w14:paraId="779BA20B">
            <w:pPr>
              <w:pStyle w:val="18"/>
              <w:rPr>
                <w:color w:val="auto"/>
              </w:rPr>
            </w:pPr>
            <w:r>
              <w:rPr>
                <w:rFonts w:hint="eastAsia"/>
                <w:color w:val="auto"/>
              </w:rPr>
              <w:t>3.系统需支持全自动形成队列、人工报到形成队列（患者扫码报到、护士操作报到）两种模式。</w:t>
            </w:r>
          </w:p>
          <w:p w14:paraId="28A470EA">
            <w:pPr>
              <w:pStyle w:val="18"/>
              <w:rPr>
                <w:color w:val="auto"/>
              </w:rPr>
            </w:pPr>
            <w:r>
              <w:rPr>
                <w:rFonts w:hint="eastAsia"/>
                <w:color w:val="auto"/>
              </w:rPr>
              <w:t>4.排队队列数据可直接推送到相对应的候诊区域分诊屏，显示各自对应的叫号信息。</w:t>
            </w:r>
          </w:p>
          <w:p w14:paraId="478C90A8">
            <w:pPr>
              <w:pStyle w:val="18"/>
              <w:rPr>
                <w:color w:val="auto"/>
              </w:rPr>
            </w:pPr>
            <w:r>
              <w:rPr>
                <w:rFonts w:hint="eastAsia"/>
                <w:color w:val="auto"/>
              </w:rPr>
              <w:t>5.支持患者信息查询，医护人员可对患者呼叫、诊出、过号、优先操作，手动将过号患者签到重新进入候诊队列</w:t>
            </w:r>
          </w:p>
          <w:p w14:paraId="76965A17">
            <w:pPr>
              <w:pStyle w:val="18"/>
              <w:rPr>
                <w:color w:val="auto"/>
              </w:rPr>
            </w:pPr>
            <w:r>
              <w:rPr>
                <w:rFonts w:hint="eastAsia"/>
                <w:color w:val="auto"/>
              </w:rPr>
              <w:t>6.检查科室患者初诊签到、过号签到进入队列规则，各科室可根据患者就诊情况进行规则设置。支持设置是否签到进入队列。</w:t>
            </w:r>
          </w:p>
          <w:p w14:paraId="010B1520">
            <w:pPr>
              <w:pStyle w:val="18"/>
              <w:rPr>
                <w:color w:val="auto"/>
              </w:rPr>
            </w:pPr>
            <w:r>
              <w:rPr>
                <w:rFonts w:hint="eastAsia"/>
                <w:color w:val="auto"/>
              </w:rPr>
              <w:t>7.系统需支持中文、数字的语音自动合成，叫号信息内容可灵活变更、设定。需支持实时人名呼叫。系统需支持普通话、英文播放。</w:t>
            </w:r>
          </w:p>
          <w:p w14:paraId="21362E57">
            <w:pPr>
              <w:pStyle w:val="18"/>
              <w:rPr>
                <w:color w:val="auto"/>
              </w:rPr>
            </w:pPr>
            <w:r>
              <w:rPr>
                <w:rFonts w:hint="eastAsia"/>
                <w:color w:val="auto"/>
              </w:rPr>
              <w:t>8.系统可根据实际需求提供分诊管理相关的数据结果统计、历史数据查询等。</w:t>
            </w:r>
          </w:p>
        </w:tc>
      </w:tr>
      <w:tr w14:paraId="5212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vAlign w:val="center"/>
          </w:tcPr>
          <w:p w14:paraId="2CAF9604">
            <w:pPr>
              <w:pStyle w:val="18"/>
              <w:jc w:val="center"/>
              <w:rPr>
                <w:b w:val="0"/>
                <w:color w:val="auto"/>
              </w:rPr>
            </w:pPr>
            <w:r>
              <w:rPr>
                <w:rFonts w:hint="eastAsia"/>
                <w:b w:val="0"/>
                <w:color w:val="auto"/>
              </w:rPr>
              <w:t>药房取药分诊排队</w:t>
            </w:r>
          </w:p>
        </w:tc>
        <w:tc>
          <w:tcPr>
            <w:tcW w:w="3965" w:type="pct"/>
            <w:vAlign w:val="center"/>
          </w:tcPr>
          <w:p w14:paraId="671AEED1">
            <w:pPr>
              <w:pStyle w:val="18"/>
              <w:rPr>
                <w:color w:val="auto"/>
              </w:rPr>
            </w:pPr>
            <w:r>
              <w:rPr>
                <w:rFonts w:hint="eastAsia"/>
                <w:color w:val="auto"/>
              </w:rPr>
              <w:t>1.系统应采用B/S架构，便于管理和维护，通过分诊台管理端支持针对基础信息维护，支持分诊管理人员可维护药房窗口信息，包括窗口名称、窗口位置等信息，用于取药患者数据获取、窗口大屏信息配置，同时支持发药窗口大屏位置、大屏对应窗口、页面显示风格，提示语设置、呼叫内容、健康宣教等。</w:t>
            </w:r>
          </w:p>
          <w:p w14:paraId="0F48C030">
            <w:pPr>
              <w:pStyle w:val="18"/>
              <w:rPr>
                <w:color w:val="auto"/>
              </w:rPr>
            </w:pPr>
            <w:r>
              <w:rPr>
                <w:rFonts w:hint="eastAsia"/>
                <w:color w:val="auto"/>
              </w:rPr>
              <w:t>2.支持药房取药患者初次签到、过号签到进入队列规则，药房可根据患者取药情况进行规则设置。支持设置是否签到进入队列。</w:t>
            </w:r>
          </w:p>
          <w:p w14:paraId="7501B95E">
            <w:pPr>
              <w:pStyle w:val="18"/>
              <w:rPr>
                <w:color w:val="auto"/>
              </w:rPr>
            </w:pPr>
            <w:r>
              <w:rPr>
                <w:rFonts w:hint="eastAsia"/>
                <w:color w:val="auto"/>
              </w:rPr>
              <w:t>3.支持根据患者报到时间生成排队队列。取药患者通过签到机识别身份证信息、扫申请单条形码等方式进行报到，患者报到完成即可通过取药窗口大屏查看取药患者排队信息，在候诊区等待窗口药师呼叫。</w:t>
            </w:r>
          </w:p>
          <w:p w14:paraId="5E31335F">
            <w:pPr>
              <w:pStyle w:val="18"/>
              <w:rPr>
                <w:color w:val="auto"/>
              </w:rPr>
            </w:pPr>
            <w:r>
              <w:rPr>
                <w:color w:val="auto"/>
              </w:rPr>
              <w:t>4.诊区大屏是设置在药房取药窗口，用于显示取药窗口当前取药和等待患者信息。支持用户根据需求定制显示画面效果。</w:t>
            </w:r>
          </w:p>
          <w:p w14:paraId="208CB6D4">
            <w:pPr>
              <w:pStyle w:val="18"/>
              <w:rPr>
                <w:color w:val="auto"/>
              </w:rPr>
            </w:pPr>
            <w:r>
              <w:rPr>
                <w:rFonts w:hint="eastAsia"/>
                <w:color w:val="auto"/>
              </w:rPr>
              <w:t>5.药房药师通过虚拟呼叫器查看待取药患者信息，如等待取药患者、已取药患者。药师操作呼叫、重呼、完成。虚拟呼叫器弹框模式展示，医生根据需要可缩小或放大展示。</w:t>
            </w:r>
          </w:p>
          <w:p w14:paraId="514EAB65">
            <w:pPr>
              <w:pStyle w:val="18"/>
              <w:rPr>
                <w:color w:val="auto"/>
              </w:rPr>
            </w:pPr>
            <w:r>
              <w:rPr>
                <w:rFonts w:hint="eastAsia"/>
                <w:color w:val="auto"/>
              </w:rPr>
              <w:t>6.支持中文、数字的语音自动合成，叫号信息内容可灵活变更、设定。可达到正常人说话的效果，支持实时人名呼叫（如：“请患者张三到2号窗口取药”）。支持普通话、英文、播放。</w:t>
            </w:r>
          </w:p>
        </w:tc>
      </w:tr>
    </w:tbl>
    <w:p w14:paraId="1E63234D">
      <w:pPr>
        <w:pStyle w:val="4"/>
        <w:numPr>
          <w:ilvl w:val="1"/>
          <w:numId w:val="0"/>
        </w:numPr>
        <w:ind w:left="576" w:leftChars="0" w:hanging="576" w:firstLineChars="0"/>
        <w:rPr>
          <w:color w:val="auto"/>
        </w:rPr>
      </w:pPr>
      <w:bookmarkStart w:id="174" w:name="_Toc208646551"/>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.29</w:t>
      </w:r>
      <w:r>
        <w:rPr>
          <w:rFonts w:hint="eastAsia"/>
          <w:color w:val="auto"/>
        </w:rPr>
        <w:t>检验互认接入开发</w:t>
      </w:r>
      <w:bookmarkEnd w:id="174"/>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7140"/>
      </w:tblGrid>
      <w:tr w14:paraId="08B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shd w:val="clear" w:color="auto" w:fill="BEBEBE" w:themeFill="background1" w:themeFillShade="BF"/>
            <w:vAlign w:val="center"/>
          </w:tcPr>
          <w:p w14:paraId="5C4E04A2">
            <w:pPr>
              <w:pStyle w:val="18"/>
              <w:jc w:val="center"/>
              <w:rPr>
                <w:b w:val="0"/>
                <w:color w:val="auto"/>
              </w:rPr>
            </w:pPr>
            <w:r>
              <w:rPr>
                <w:rFonts w:hint="eastAsia"/>
                <w:b/>
                <w:color w:val="auto"/>
              </w:rPr>
              <w:t>服务名称</w:t>
            </w:r>
          </w:p>
        </w:tc>
        <w:tc>
          <w:tcPr>
            <w:tcW w:w="6579" w:type="dxa"/>
            <w:shd w:val="clear" w:color="auto" w:fill="BEBEBE" w:themeFill="background1" w:themeFillShade="BF"/>
            <w:vAlign w:val="center"/>
          </w:tcPr>
          <w:p w14:paraId="38149584">
            <w:pPr>
              <w:pStyle w:val="18"/>
              <w:rPr>
                <w:b/>
                <w:color w:val="auto"/>
              </w:rPr>
            </w:pPr>
            <w:r>
              <w:rPr>
                <w:rFonts w:hint="eastAsia"/>
                <w:b/>
                <w:color w:val="auto"/>
              </w:rPr>
              <w:t>检验互认接入开发</w:t>
            </w:r>
          </w:p>
        </w:tc>
      </w:tr>
      <w:tr w14:paraId="007E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31D985A5">
            <w:pPr>
              <w:pStyle w:val="18"/>
              <w:jc w:val="center"/>
              <w:rPr>
                <w:b/>
                <w:bCs/>
                <w:color w:val="auto"/>
              </w:rPr>
            </w:pPr>
            <w:r>
              <w:rPr>
                <w:rFonts w:hint="eastAsia"/>
                <w:b/>
                <w:bCs/>
                <w:color w:val="auto"/>
              </w:rPr>
              <w:t>服务要求</w:t>
            </w:r>
          </w:p>
        </w:tc>
        <w:tc>
          <w:tcPr>
            <w:tcW w:w="6579" w:type="dxa"/>
            <w:vAlign w:val="center"/>
          </w:tcPr>
          <w:p w14:paraId="00E8DD4B">
            <w:pPr>
              <w:pStyle w:val="18"/>
              <w:rPr>
                <w:color w:val="auto"/>
              </w:rPr>
            </w:pPr>
            <w:r>
              <w:rPr>
                <w:rFonts w:hint="eastAsia"/>
                <w:color w:val="auto"/>
              </w:rPr>
              <w:t>以卫健委检验互认平台对接标准为依据，实现彬州市中医医院与上级平台接入，达到跨机构检验互认的目标。</w:t>
            </w:r>
          </w:p>
        </w:tc>
      </w:tr>
    </w:tbl>
    <w:p w14:paraId="034E78D8">
      <w:pPr>
        <w:pStyle w:val="4"/>
        <w:numPr>
          <w:ilvl w:val="1"/>
          <w:numId w:val="0"/>
        </w:numPr>
        <w:ind w:left="576" w:leftChars="0" w:hanging="576" w:firstLineChars="0"/>
        <w:rPr>
          <w:color w:val="auto"/>
        </w:rPr>
      </w:pPr>
      <w:bookmarkStart w:id="175" w:name="_Toc208646552"/>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.30</w:t>
      </w:r>
      <w:r>
        <w:rPr>
          <w:rFonts w:hint="eastAsia"/>
          <w:color w:val="auto"/>
        </w:rPr>
        <w:t>影像云平台接入开发</w:t>
      </w:r>
      <w:bookmarkEnd w:id="175"/>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7141"/>
      </w:tblGrid>
      <w:tr w14:paraId="58BE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747EAABA">
            <w:pPr>
              <w:pStyle w:val="18"/>
              <w:jc w:val="center"/>
              <w:rPr>
                <w:b w:val="0"/>
                <w:color w:val="auto"/>
              </w:rPr>
            </w:pPr>
            <w:r>
              <w:rPr>
                <w:rFonts w:hint="eastAsia"/>
                <w:b/>
                <w:color w:val="auto"/>
              </w:rPr>
              <w:t>服务名称</w:t>
            </w:r>
          </w:p>
        </w:tc>
        <w:tc>
          <w:tcPr>
            <w:tcW w:w="6520" w:type="dxa"/>
            <w:shd w:val="clear" w:color="auto" w:fill="BEBEBE" w:themeFill="background1" w:themeFillShade="BF"/>
            <w:vAlign w:val="center"/>
          </w:tcPr>
          <w:p w14:paraId="3A68923C">
            <w:pPr>
              <w:pStyle w:val="18"/>
              <w:rPr>
                <w:b/>
                <w:color w:val="auto"/>
              </w:rPr>
            </w:pPr>
            <w:r>
              <w:rPr>
                <w:rFonts w:hint="eastAsia"/>
                <w:b/>
                <w:color w:val="auto"/>
              </w:rPr>
              <w:t>影像云平台接入开发</w:t>
            </w:r>
          </w:p>
        </w:tc>
      </w:tr>
      <w:tr w14:paraId="48EF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DDD3C26">
            <w:pPr>
              <w:pStyle w:val="18"/>
              <w:jc w:val="center"/>
              <w:rPr>
                <w:b/>
                <w:bCs/>
                <w:color w:val="auto"/>
              </w:rPr>
            </w:pPr>
            <w:r>
              <w:rPr>
                <w:rFonts w:hint="eastAsia"/>
                <w:b/>
                <w:bCs/>
                <w:color w:val="auto"/>
              </w:rPr>
              <w:t>服务要求</w:t>
            </w:r>
          </w:p>
        </w:tc>
        <w:tc>
          <w:tcPr>
            <w:tcW w:w="6520" w:type="dxa"/>
            <w:vAlign w:val="center"/>
          </w:tcPr>
          <w:p w14:paraId="1B593913">
            <w:pPr>
              <w:pStyle w:val="18"/>
              <w:rPr>
                <w:color w:val="auto"/>
              </w:rPr>
            </w:pPr>
            <w:r>
              <w:rPr>
                <w:rFonts w:hint="eastAsia"/>
                <w:color w:val="auto"/>
              </w:rPr>
              <w:t>以卫健委影像云平台对接标准为依据，实现彬州市中医医院与上级平台接入，达到跨机构影像互认的目标。</w:t>
            </w:r>
          </w:p>
        </w:tc>
      </w:tr>
    </w:tbl>
    <w:p w14:paraId="21916B09">
      <w:pPr>
        <w:pStyle w:val="4"/>
        <w:numPr>
          <w:ilvl w:val="1"/>
          <w:numId w:val="0"/>
        </w:numPr>
        <w:ind w:left="576" w:leftChars="0" w:hanging="576" w:firstLineChars="0"/>
        <w:rPr>
          <w:color w:val="auto"/>
        </w:rPr>
      </w:pPr>
      <w:bookmarkStart w:id="176" w:name="_Toc208646553"/>
      <w:bookmarkStart w:id="177" w:name="OLE_LINK2"/>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.31</w:t>
      </w:r>
      <w:r>
        <w:rPr>
          <w:rFonts w:hint="eastAsia"/>
          <w:color w:val="auto"/>
        </w:rPr>
        <w:t>院内信息系统对接彬州市医共体信息平台开发</w:t>
      </w:r>
      <w:bookmarkEnd w:id="176"/>
    </w:p>
    <w:bookmarkEnd w:id="177"/>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7141"/>
      </w:tblGrid>
      <w:tr w14:paraId="5F9A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BEBEBE" w:themeFill="background1" w:themeFillShade="BF"/>
            <w:vAlign w:val="center"/>
          </w:tcPr>
          <w:p w14:paraId="62C40718">
            <w:pPr>
              <w:pStyle w:val="18"/>
              <w:jc w:val="center"/>
              <w:rPr>
                <w:b w:val="0"/>
                <w:color w:val="auto"/>
              </w:rPr>
            </w:pPr>
            <w:r>
              <w:rPr>
                <w:rFonts w:hint="eastAsia"/>
                <w:b/>
                <w:color w:val="auto"/>
              </w:rPr>
              <w:t>服务名称</w:t>
            </w:r>
          </w:p>
        </w:tc>
        <w:tc>
          <w:tcPr>
            <w:tcW w:w="6520" w:type="dxa"/>
            <w:shd w:val="clear" w:color="auto" w:fill="BEBEBE" w:themeFill="background1" w:themeFillShade="BF"/>
            <w:vAlign w:val="center"/>
          </w:tcPr>
          <w:p w14:paraId="155100DC">
            <w:pPr>
              <w:pStyle w:val="18"/>
              <w:rPr>
                <w:b/>
                <w:color w:val="auto"/>
              </w:rPr>
            </w:pPr>
            <w:r>
              <w:rPr>
                <w:rFonts w:hint="eastAsia"/>
                <w:b/>
                <w:color w:val="auto"/>
              </w:rPr>
              <w:t>院内信息系统对接彬州市医共体信息平台开发服务</w:t>
            </w:r>
          </w:p>
        </w:tc>
      </w:tr>
      <w:tr w14:paraId="227C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A696857">
            <w:pPr>
              <w:pStyle w:val="18"/>
              <w:jc w:val="center"/>
              <w:rPr>
                <w:b/>
                <w:bCs/>
                <w:color w:val="auto"/>
              </w:rPr>
            </w:pPr>
            <w:r>
              <w:rPr>
                <w:rFonts w:hint="eastAsia"/>
                <w:b/>
                <w:bCs/>
                <w:color w:val="auto"/>
              </w:rPr>
              <w:t>服务要求</w:t>
            </w:r>
          </w:p>
        </w:tc>
        <w:tc>
          <w:tcPr>
            <w:tcW w:w="6520" w:type="dxa"/>
            <w:vAlign w:val="center"/>
          </w:tcPr>
          <w:p w14:paraId="48D4B051">
            <w:pPr>
              <w:pStyle w:val="18"/>
              <w:rPr>
                <w:color w:val="auto"/>
              </w:rPr>
            </w:pPr>
            <w:r>
              <w:rPr>
                <w:rFonts w:hint="eastAsia"/>
                <w:color w:val="auto"/>
              </w:rPr>
              <w:t>以彬州市医共体信息平台对接标准为依据，实现地域内患者医疗信息互联互通、业务共享协同，彬州市中医医院接入医共体平台，同时进行院内系统整体改造，院内信息系统按照医共体信息平台对接要求实现对接。</w:t>
            </w:r>
          </w:p>
        </w:tc>
      </w:tr>
    </w:tbl>
    <w:p w14:paraId="2B513647">
      <w:pPr>
        <w:pStyle w:val="4"/>
        <w:numPr>
          <w:ilvl w:val="1"/>
          <w:numId w:val="0"/>
        </w:numPr>
        <w:ind w:left="576" w:leftChars="0" w:hanging="576" w:firstLineChars="0"/>
        <w:rPr>
          <w:color w:val="auto"/>
        </w:rPr>
      </w:pPr>
      <w:bookmarkStart w:id="178" w:name="_Toc208646554"/>
      <w:r>
        <w:rPr>
          <w:rFonts w:hint="eastAsia" w:cs="Times New Roman"/>
          <w:b/>
          <w:bCs/>
          <w:color w:val="auto"/>
          <w:kern w:val="2"/>
          <w:sz w:val="32"/>
          <w:szCs w:val="32"/>
          <w:lang w:val="en-US" w:eastAsia="zh-CN" w:bidi="ar-SA"/>
        </w:rPr>
        <w:t>1</w:t>
      </w:r>
      <w:r>
        <w:rPr>
          <w:rFonts w:hint="eastAsia" w:ascii="Times New Roman" w:hAnsi="Times New Roman" w:eastAsia="宋体" w:cs="Times New Roman"/>
          <w:b/>
          <w:bCs/>
          <w:color w:val="auto"/>
          <w:kern w:val="2"/>
          <w:sz w:val="32"/>
          <w:szCs w:val="32"/>
          <w:lang w:val="en-US" w:eastAsia="zh-CN" w:bidi="ar-SA"/>
        </w:rPr>
        <w:t>.32</w:t>
      </w:r>
      <w:r>
        <w:rPr>
          <w:rFonts w:hint="eastAsia"/>
          <w:color w:val="auto"/>
        </w:rPr>
        <w:t>电子病历（智慧医疗）四级评级指导服务</w:t>
      </w:r>
      <w:bookmarkEnd w:id="178"/>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7140"/>
      </w:tblGrid>
      <w:tr w14:paraId="5399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shd w:val="clear" w:color="auto" w:fill="BEBEBE" w:themeFill="background1" w:themeFillShade="BF"/>
            <w:vAlign w:val="center"/>
          </w:tcPr>
          <w:p w14:paraId="659C0201">
            <w:pPr>
              <w:pStyle w:val="18"/>
              <w:jc w:val="center"/>
              <w:rPr>
                <w:b w:val="0"/>
                <w:color w:val="auto"/>
              </w:rPr>
            </w:pPr>
            <w:r>
              <w:rPr>
                <w:rFonts w:hint="eastAsia"/>
                <w:b/>
                <w:color w:val="auto"/>
              </w:rPr>
              <w:t>服务名称</w:t>
            </w:r>
          </w:p>
        </w:tc>
        <w:tc>
          <w:tcPr>
            <w:tcW w:w="6579" w:type="dxa"/>
            <w:shd w:val="clear" w:color="auto" w:fill="BEBEBE" w:themeFill="background1" w:themeFillShade="BF"/>
            <w:vAlign w:val="center"/>
          </w:tcPr>
          <w:p w14:paraId="2D05D3C1">
            <w:pPr>
              <w:pStyle w:val="18"/>
              <w:rPr>
                <w:b/>
                <w:color w:val="auto"/>
              </w:rPr>
            </w:pPr>
            <w:r>
              <w:rPr>
                <w:rFonts w:hint="eastAsia"/>
                <w:b/>
                <w:color w:val="auto"/>
              </w:rPr>
              <w:t>电子病历（智慧医疗）四级评级指导服务</w:t>
            </w:r>
          </w:p>
        </w:tc>
      </w:tr>
      <w:tr w14:paraId="73F6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3E63306B">
            <w:pPr>
              <w:pStyle w:val="18"/>
              <w:jc w:val="center"/>
              <w:rPr>
                <w:b/>
                <w:bCs/>
                <w:color w:val="auto"/>
              </w:rPr>
            </w:pPr>
            <w:r>
              <w:rPr>
                <w:rFonts w:hint="eastAsia"/>
                <w:b/>
                <w:bCs/>
                <w:color w:val="auto"/>
              </w:rPr>
              <w:t>服务要求</w:t>
            </w:r>
          </w:p>
        </w:tc>
        <w:tc>
          <w:tcPr>
            <w:tcW w:w="6579" w:type="dxa"/>
            <w:vAlign w:val="center"/>
          </w:tcPr>
          <w:p w14:paraId="7E4553C1">
            <w:pPr>
              <w:pStyle w:val="18"/>
              <w:rPr>
                <w:color w:val="auto"/>
              </w:rPr>
            </w:pPr>
            <w:r>
              <w:rPr>
                <w:rFonts w:hint="eastAsia"/>
                <w:color w:val="auto"/>
              </w:rPr>
              <w:t>承建方应为保障电子病历系统功能应用水平分级评价（智慧医疗）四级评级工作有序及规范的开展，结合评级标准及过程的理解，为评级项目提供评级整体的指导服务，包括提供差异分析及建设方案、评审过程指导、上报材料准备和审核、评级启动及迎检培训、模拟评审。</w:t>
            </w:r>
          </w:p>
          <w:p w14:paraId="44AB1FFA">
            <w:pPr>
              <w:pStyle w:val="18"/>
              <w:rPr>
                <w:color w:val="auto"/>
              </w:rPr>
            </w:pPr>
            <w:r>
              <w:rPr>
                <w:rFonts w:hint="eastAsia"/>
                <w:color w:val="auto"/>
              </w:rPr>
              <w:t>同时软件系统需配合医院完成等保测评，软件系统不可另行收取费用。</w:t>
            </w:r>
          </w:p>
        </w:tc>
      </w:tr>
    </w:tbl>
    <w:p w14:paraId="37D52B12">
      <w:pPr>
        <w:pStyle w:val="2"/>
        <w:numPr>
          <w:ilvl w:val="0"/>
          <w:numId w:val="0"/>
        </w:numPr>
        <w:ind w:left="432" w:leftChars="0" w:hanging="432" w:firstLineChars="0"/>
        <w:rPr>
          <w:color w:val="auto"/>
        </w:rPr>
      </w:pPr>
      <w:r>
        <w:rPr>
          <w:rFonts w:hint="eastAsia" w:cs="Times New Roman"/>
          <w:b/>
          <w:bCs/>
          <w:color w:val="auto"/>
          <w:kern w:val="44"/>
          <w:sz w:val="32"/>
          <w:szCs w:val="32"/>
          <w:lang w:val="en-US" w:eastAsia="zh-CN" w:bidi="ar-SA"/>
        </w:rPr>
        <w:t>2</w:t>
      </w:r>
      <w:r>
        <w:rPr>
          <w:rFonts w:hint="eastAsia"/>
          <w:color w:val="auto"/>
        </w:rPr>
        <w:t>硬件配套规格要求</w:t>
      </w:r>
    </w:p>
    <w:p w14:paraId="1F94FE93">
      <w:pPr>
        <w:pStyle w:val="4"/>
        <w:numPr>
          <w:ilvl w:val="1"/>
          <w:numId w:val="0"/>
        </w:numPr>
        <w:ind w:left="576" w:leftChars="0" w:hanging="576" w:firstLineChars="0"/>
        <w:rPr>
          <w:color w:val="auto"/>
        </w:rPr>
      </w:pPr>
      <w:r>
        <w:rPr>
          <w:rFonts w:hint="eastAsia" w:cs="Times New Roman"/>
          <w:b/>
          <w:bCs/>
          <w:color w:val="auto"/>
          <w:kern w:val="2"/>
          <w:sz w:val="32"/>
          <w:szCs w:val="32"/>
          <w:lang w:val="en-US" w:eastAsia="zh-CN" w:bidi="ar-SA"/>
        </w:rPr>
        <w:t>2</w:t>
      </w:r>
      <w:r>
        <w:rPr>
          <w:rFonts w:hint="eastAsia" w:ascii="Times New Roman" w:hAnsi="Times New Roman" w:eastAsia="宋体" w:cs="Times New Roman"/>
          <w:b/>
          <w:bCs/>
          <w:color w:val="auto"/>
          <w:kern w:val="2"/>
          <w:sz w:val="32"/>
          <w:szCs w:val="32"/>
          <w:lang w:val="en-US" w:eastAsia="zh-CN" w:bidi="ar-SA"/>
        </w:rPr>
        <w:t>.1</w:t>
      </w:r>
      <w:r>
        <w:rPr>
          <w:rFonts w:hint="eastAsia"/>
          <w:color w:val="auto"/>
        </w:rPr>
        <w:t>基础设施硬件设备</w:t>
      </w:r>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650"/>
        <w:gridCol w:w="5696"/>
        <w:gridCol w:w="659"/>
        <w:gridCol w:w="504"/>
      </w:tblGrid>
      <w:tr w14:paraId="69ED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shd w:val="clear" w:color="auto" w:fill="BEBEBE" w:themeFill="background1" w:themeFillShade="BF"/>
            <w:vAlign w:val="center"/>
          </w:tcPr>
          <w:p w14:paraId="2BC67022">
            <w:pPr>
              <w:pStyle w:val="18"/>
              <w:jc w:val="center"/>
              <w:rPr>
                <w:b/>
                <w:color w:val="auto"/>
              </w:rPr>
            </w:pPr>
            <w:r>
              <w:rPr>
                <w:rFonts w:hint="eastAsia"/>
                <w:b/>
                <w:color w:val="auto"/>
              </w:rPr>
              <w:t>序号</w:t>
            </w:r>
          </w:p>
        </w:tc>
        <w:tc>
          <w:tcPr>
            <w:tcW w:w="916" w:type="pct"/>
            <w:shd w:val="clear" w:color="auto" w:fill="BEBEBE" w:themeFill="background1" w:themeFillShade="BF"/>
            <w:vAlign w:val="center"/>
          </w:tcPr>
          <w:p w14:paraId="76C8972C">
            <w:pPr>
              <w:pStyle w:val="18"/>
              <w:jc w:val="center"/>
              <w:rPr>
                <w:b/>
                <w:color w:val="auto"/>
              </w:rPr>
            </w:pPr>
            <w:r>
              <w:rPr>
                <w:rFonts w:hint="eastAsia"/>
                <w:b/>
                <w:color w:val="auto"/>
              </w:rPr>
              <w:t>名称</w:t>
            </w:r>
          </w:p>
        </w:tc>
        <w:tc>
          <w:tcPr>
            <w:tcW w:w="3163" w:type="pct"/>
            <w:shd w:val="clear" w:color="auto" w:fill="BEBEBE" w:themeFill="background1" w:themeFillShade="BF"/>
            <w:vAlign w:val="center"/>
          </w:tcPr>
          <w:p w14:paraId="085C767D">
            <w:pPr>
              <w:pStyle w:val="18"/>
              <w:jc w:val="center"/>
              <w:rPr>
                <w:b/>
                <w:color w:val="auto"/>
              </w:rPr>
            </w:pPr>
            <w:r>
              <w:rPr>
                <w:rFonts w:hint="eastAsia"/>
                <w:b/>
                <w:color w:val="auto"/>
              </w:rPr>
              <w:t>主要配置</w:t>
            </w:r>
          </w:p>
        </w:tc>
        <w:tc>
          <w:tcPr>
            <w:tcW w:w="366" w:type="pct"/>
            <w:shd w:val="clear" w:color="auto" w:fill="BEBEBE" w:themeFill="background1" w:themeFillShade="BF"/>
            <w:vAlign w:val="center"/>
          </w:tcPr>
          <w:p w14:paraId="5E3A447E">
            <w:pPr>
              <w:pStyle w:val="18"/>
              <w:jc w:val="center"/>
              <w:rPr>
                <w:b/>
                <w:color w:val="auto"/>
              </w:rPr>
            </w:pPr>
            <w:r>
              <w:rPr>
                <w:rFonts w:hint="eastAsia"/>
                <w:b/>
                <w:color w:val="auto"/>
              </w:rPr>
              <w:t>数量</w:t>
            </w:r>
          </w:p>
        </w:tc>
        <w:tc>
          <w:tcPr>
            <w:tcW w:w="280" w:type="pct"/>
            <w:shd w:val="clear" w:color="auto" w:fill="BEBEBE" w:themeFill="background1" w:themeFillShade="BF"/>
            <w:vAlign w:val="center"/>
          </w:tcPr>
          <w:p w14:paraId="7C62809E">
            <w:pPr>
              <w:pStyle w:val="18"/>
              <w:jc w:val="center"/>
              <w:rPr>
                <w:b/>
                <w:color w:val="auto"/>
              </w:rPr>
            </w:pPr>
            <w:r>
              <w:rPr>
                <w:rFonts w:hint="eastAsia"/>
                <w:b/>
                <w:color w:val="auto"/>
              </w:rPr>
              <w:t>单位</w:t>
            </w:r>
          </w:p>
        </w:tc>
      </w:tr>
      <w:tr w14:paraId="3E24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vAlign w:val="center"/>
          </w:tcPr>
          <w:p w14:paraId="109EFB88">
            <w:pPr>
              <w:pStyle w:val="18"/>
              <w:jc w:val="center"/>
              <w:rPr>
                <w:b/>
                <w:bCs/>
                <w:color w:val="auto"/>
              </w:rPr>
            </w:pPr>
            <w:r>
              <w:rPr>
                <w:rFonts w:hint="eastAsia"/>
                <w:b/>
                <w:bCs/>
                <w:color w:val="auto"/>
              </w:rPr>
              <w:t>网络设备</w:t>
            </w:r>
          </w:p>
        </w:tc>
      </w:tr>
      <w:tr w14:paraId="4196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0EBA98E2">
            <w:pPr>
              <w:pStyle w:val="18"/>
              <w:jc w:val="center"/>
              <w:rPr>
                <w:b w:val="0"/>
                <w:color w:val="auto"/>
              </w:rPr>
            </w:pPr>
            <w:r>
              <w:rPr>
                <w:rFonts w:hint="eastAsia"/>
                <w:b w:val="0"/>
                <w:color w:val="auto"/>
              </w:rPr>
              <w:t>1</w:t>
            </w:r>
          </w:p>
        </w:tc>
        <w:tc>
          <w:tcPr>
            <w:tcW w:w="916" w:type="pct"/>
            <w:vAlign w:val="center"/>
          </w:tcPr>
          <w:p w14:paraId="2787CAA1">
            <w:pPr>
              <w:pStyle w:val="18"/>
              <w:jc w:val="center"/>
              <w:rPr>
                <w:color w:val="auto"/>
              </w:rPr>
            </w:pPr>
            <w:r>
              <w:rPr>
                <w:rFonts w:hint="eastAsia"/>
                <w:color w:val="auto"/>
              </w:rPr>
              <w:t>核心交换机</w:t>
            </w:r>
          </w:p>
        </w:tc>
        <w:tc>
          <w:tcPr>
            <w:tcW w:w="3163" w:type="pct"/>
            <w:vAlign w:val="center"/>
          </w:tcPr>
          <w:p w14:paraId="1F7542A1">
            <w:pPr>
              <w:pStyle w:val="18"/>
              <w:rPr>
                <w:color w:val="auto"/>
              </w:rPr>
            </w:pPr>
            <w:r>
              <w:rPr>
                <w:rFonts w:hint="eastAsia"/>
                <w:color w:val="auto"/>
              </w:rPr>
              <w:t>三层路由交换机，支持跨交换机链路聚合，包转发率不低于10000Mpps。业务接口配置：≥2端口40G以太网光口，≥48端口万兆以太网光口（SFP+），≥48端口千兆以太网电口（RJ45），满配光模块。</w:t>
            </w:r>
          </w:p>
        </w:tc>
        <w:tc>
          <w:tcPr>
            <w:tcW w:w="366" w:type="pct"/>
            <w:vAlign w:val="center"/>
          </w:tcPr>
          <w:p w14:paraId="7089E08B">
            <w:pPr>
              <w:pStyle w:val="18"/>
              <w:jc w:val="center"/>
              <w:rPr>
                <w:color w:val="auto"/>
              </w:rPr>
            </w:pPr>
            <w:r>
              <w:rPr>
                <w:rFonts w:hint="eastAsia"/>
                <w:color w:val="auto"/>
              </w:rPr>
              <w:t>2</w:t>
            </w:r>
          </w:p>
        </w:tc>
        <w:tc>
          <w:tcPr>
            <w:tcW w:w="280" w:type="pct"/>
            <w:vAlign w:val="center"/>
          </w:tcPr>
          <w:p w14:paraId="74782E54">
            <w:pPr>
              <w:pStyle w:val="18"/>
              <w:jc w:val="center"/>
              <w:rPr>
                <w:color w:val="auto"/>
              </w:rPr>
            </w:pPr>
            <w:r>
              <w:rPr>
                <w:rFonts w:hint="eastAsia"/>
                <w:color w:val="auto"/>
              </w:rPr>
              <w:t>台</w:t>
            </w:r>
          </w:p>
        </w:tc>
      </w:tr>
      <w:tr w14:paraId="56E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3A4FAB87">
            <w:pPr>
              <w:pStyle w:val="18"/>
              <w:jc w:val="center"/>
              <w:rPr>
                <w:b w:val="0"/>
                <w:color w:val="auto"/>
              </w:rPr>
            </w:pPr>
            <w:r>
              <w:rPr>
                <w:rFonts w:hint="eastAsia"/>
                <w:b w:val="0"/>
                <w:color w:val="auto"/>
              </w:rPr>
              <w:t>2</w:t>
            </w:r>
          </w:p>
        </w:tc>
        <w:tc>
          <w:tcPr>
            <w:tcW w:w="916" w:type="pct"/>
            <w:vAlign w:val="center"/>
          </w:tcPr>
          <w:p w14:paraId="1D742D84">
            <w:pPr>
              <w:pStyle w:val="18"/>
              <w:jc w:val="center"/>
              <w:rPr>
                <w:color w:val="auto"/>
              </w:rPr>
            </w:pPr>
            <w:r>
              <w:rPr>
                <w:rFonts w:hint="eastAsia"/>
                <w:color w:val="auto"/>
              </w:rPr>
              <w:t>服务器接入交换机</w:t>
            </w:r>
          </w:p>
        </w:tc>
        <w:tc>
          <w:tcPr>
            <w:tcW w:w="3163" w:type="pct"/>
            <w:vAlign w:val="center"/>
          </w:tcPr>
          <w:p w14:paraId="0D02E1C5">
            <w:pPr>
              <w:pStyle w:val="18"/>
              <w:rPr>
                <w:color w:val="auto"/>
              </w:rPr>
            </w:pPr>
            <w:r>
              <w:rPr>
                <w:rFonts w:hint="eastAsia"/>
                <w:color w:val="auto"/>
              </w:rPr>
              <w:t>三层交换机，包转发率不低于220Mpps，≥24端口千兆以太网电接口，≥4个10Gb SFP+接口，配置1条3米SFP+线缆，支持跨交换机链路聚合。</w:t>
            </w:r>
          </w:p>
        </w:tc>
        <w:tc>
          <w:tcPr>
            <w:tcW w:w="366" w:type="pct"/>
            <w:vAlign w:val="center"/>
          </w:tcPr>
          <w:p w14:paraId="429BFA9D">
            <w:pPr>
              <w:pStyle w:val="18"/>
              <w:jc w:val="center"/>
              <w:rPr>
                <w:color w:val="auto"/>
              </w:rPr>
            </w:pPr>
            <w:r>
              <w:rPr>
                <w:rFonts w:hint="eastAsia"/>
                <w:color w:val="auto"/>
              </w:rPr>
              <w:t>2</w:t>
            </w:r>
          </w:p>
        </w:tc>
        <w:tc>
          <w:tcPr>
            <w:tcW w:w="280" w:type="pct"/>
            <w:vAlign w:val="center"/>
          </w:tcPr>
          <w:p w14:paraId="74EA2DC7">
            <w:pPr>
              <w:pStyle w:val="18"/>
              <w:jc w:val="center"/>
              <w:rPr>
                <w:color w:val="auto"/>
              </w:rPr>
            </w:pPr>
            <w:r>
              <w:rPr>
                <w:rFonts w:hint="eastAsia"/>
                <w:color w:val="auto"/>
              </w:rPr>
              <w:t>台</w:t>
            </w:r>
          </w:p>
        </w:tc>
      </w:tr>
      <w:tr w14:paraId="24DF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vAlign w:val="center"/>
          </w:tcPr>
          <w:p w14:paraId="13B1BE56">
            <w:pPr>
              <w:pStyle w:val="18"/>
              <w:jc w:val="center"/>
              <w:rPr>
                <w:b/>
                <w:bCs/>
                <w:color w:val="auto"/>
              </w:rPr>
            </w:pPr>
            <w:r>
              <w:rPr>
                <w:rFonts w:hint="eastAsia"/>
                <w:b/>
                <w:bCs/>
                <w:color w:val="auto"/>
              </w:rPr>
              <w:t>服务器设备</w:t>
            </w:r>
          </w:p>
        </w:tc>
      </w:tr>
      <w:tr w14:paraId="1A0B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33D39643">
            <w:pPr>
              <w:pStyle w:val="18"/>
              <w:jc w:val="center"/>
              <w:rPr>
                <w:b w:val="0"/>
                <w:color w:val="auto"/>
              </w:rPr>
            </w:pPr>
            <w:r>
              <w:rPr>
                <w:rFonts w:hint="eastAsia"/>
                <w:b w:val="0"/>
                <w:color w:val="auto"/>
              </w:rPr>
              <w:t>3</w:t>
            </w:r>
          </w:p>
        </w:tc>
        <w:tc>
          <w:tcPr>
            <w:tcW w:w="916" w:type="pct"/>
            <w:vAlign w:val="center"/>
          </w:tcPr>
          <w:p w14:paraId="57386925">
            <w:pPr>
              <w:pStyle w:val="18"/>
              <w:jc w:val="center"/>
              <w:rPr>
                <w:color w:val="auto"/>
              </w:rPr>
            </w:pPr>
            <w:r>
              <w:rPr>
                <w:rFonts w:hint="eastAsia"/>
                <w:color w:val="auto"/>
              </w:rPr>
              <w:t>HIS/EMR数据库服务器</w:t>
            </w:r>
          </w:p>
        </w:tc>
        <w:tc>
          <w:tcPr>
            <w:tcW w:w="3163" w:type="pct"/>
            <w:vAlign w:val="center"/>
          </w:tcPr>
          <w:p w14:paraId="2A26A45B">
            <w:pPr>
              <w:pStyle w:val="18"/>
              <w:rPr>
                <w:color w:val="auto"/>
              </w:rPr>
            </w:pPr>
            <w:r>
              <w:rPr>
                <w:rFonts w:hint="eastAsia"/>
                <w:color w:val="auto"/>
              </w:rPr>
              <w:t>≥2* CPU（主频≥2.0GHz，≥20Core/CPU，≥33M 缓存)/≥256GB内存/≥2*960GB SSD硬盘/RAID卡，支持RAID 1/≥2*16Gbps单端口 FC HBA卡/≥2块双网口万兆以太网卡（SFP+，满配万兆多模模块）+≥4个千兆网络电口/冗余电源、风扇</w:t>
            </w:r>
          </w:p>
        </w:tc>
        <w:tc>
          <w:tcPr>
            <w:tcW w:w="366" w:type="pct"/>
            <w:vAlign w:val="center"/>
          </w:tcPr>
          <w:p w14:paraId="277C10D3">
            <w:pPr>
              <w:pStyle w:val="18"/>
              <w:jc w:val="center"/>
              <w:rPr>
                <w:color w:val="auto"/>
              </w:rPr>
            </w:pPr>
            <w:r>
              <w:rPr>
                <w:rFonts w:hint="eastAsia"/>
                <w:color w:val="auto"/>
              </w:rPr>
              <w:t>2</w:t>
            </w:r>
          </w:p>
        </w:tc>
        <w:tc>
          <w:tcPr>
            <w:tcW w:w="280" w:type="pct"/>
            <w:vAlign w:val="center"/>
          </w:tcPr>
          <w:p w14:paraId="5D9E395B">
            <w:pPr>
              <w:pStyle w:val="18"/>
              <w:jc w:val="center"/>
              <w:rPr>
                <w:color w:val="auto"/>
              </w:rPr>
            </w:pPr>
            <w:r>
              <w:rPr>
                <w:rFonts w:hint="eastAsia"/>
                <w:color w:val="auto"/>
              </w:rPr>
              <w:t>台</w:t>
            </w:r>
          </w:p>
        </w:tc>
      </w:tr>
      <w:tr w14:paraId="6089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gridSpan w:val="5"/>
            <w:vAlign w:val="center"/>
          </w:tcPr>
          <w:p w14:paraId="3B12EFE4">
            <w:pPr>
              <w:pStyle w:val="18"/>
              <w:jc w:val="center"/>
              <w:rPr>
                <w:b/>
                <w:bCs/>
                <w:color w:val="auto"/>
              </w:rPr>
            </w:pPr>
            <w:r>
              <w:rPr>
                <w:rFonts w:hint="eastAsia"/>
                <w:b/>
                <w:bCs/>
                <w:color w:val="auto"/>
              </w:rPr>
              <w:t>存储系统</w:t>
            </w:r>
          </w:p>
        </w:tc>
      </w:tr>
      <w:tr w14:paraId="1DED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218E3F08">
            <w:pPr>
              <w:pStyle w:val="18"/>
              <w:jc w:val="center"/>
              <w:rPr>
                <w:b w:val="0"/>
                <w:color w:val="auto"/>
              </w:rPr>
            </w:pPr>
            <w:r>
              <w:rPr>
                <w:rFonts w:hint="eastAsia"/>
                <w:b w:val="0"/>
                <w:color w:val="auto"/>
              </w:rPr>
              <w:t>4</w:t>
            </w:r>
          </w:p>
        </w:tc>
        <w:tc>
          <w:tcPr>
            <w:tcW w:w="916" w:type="pct"/>
            <w:vAlign w:val="center"/>
          </w:tcPr>
          <w:p w14:paraId="6914CE8D">
            <w:pPr>
              <w:pStyle w:val="18"/>
              <w:jc w:val="center"/>
              <w:rPr>
                <w:color w:val="auto"/>
              </w:rPr>
            </w:pPr>
            <w:r>
              <w:rPr>
                <w:rFonts w:hint="eastAsia"/>
                <w:color w:val="auto"/>
              </w:rPr>
              <w:t>核心存储</w:t>
            </w:r>
          </w:p>
        </w:tc>
        <w:tc>
          <w:tcPr>
            <w:tcW w:w="3163" w:type="pct"/>
            <w:vAlign w:val="center"/>
          </w:tcPr>
          <w:p w14:paraId="5E44DD59">
            <w:pPr>
              <w:pStyle w:val="18"/>
              <w:rPr>
                <w:color w:val="auto"/>
              </w:rPr>
            </w:pPr>
            <w:r>
              <w:rPr>
                <w:rFonts w:hint="eastAsia"/>
                <w:color w:val="auto"/>
              </w:rPr>
              <w:t>支持FC\iSCSI协议，双控制器，≥128GB缓存，≥8*16Gb FC接口，≥4个10Gb以太网端口（含万兆模块），≥ 6个 3.84TB NVMe SSD，冗余电源、风扇，配置存储双活授权,远程数据复制授权，支持VAAI。</w:t>
            </w:r>
          </w:p>
        </w:tc>
        <w:tc>
          <w:tcPr>
            <w:tcW w:w="366" w:type="pct"/>
            <w:vAlign w:val="center"/>
          </w:tcPr>
          <w:p w14:paraId="12EC8F47">
            <w:pPr>
              <w:pStyle w:val="18"/>
              <w:jc w:val="center"/>
              <w:rPr>
                <w:color w:val="auto"/>
              </w:rPr>
            </w:pPr>
            <w:r>
              <w:rPr>
                <w:rFonts w:hint="eastAsia"/>
                <w:color w:val="auto"/>
              </w:rPr>
              <w:t>2</w:t>
            </w:r>
          </w:p>
        </w:tc>
        <w:tc>
          <w:tcPr>
            <w:tcW w:w="280" w:type="pct"/>
            <w:vAlign w:val="center"/>
          </w:tcPr>
          <w:p w14:paraId="18415882">
            <w:pPr>
              <w:pStyle w:val="18"/>
              <w:jc w:val="center"/>
              <w:rPr>
                <w:color w:val="auto"/>
              </w:rPr>
            </w:pPr>
            <w:r>
              <w:rPr>
                <w:rFonts w:hint="eastAsia"/>
                <w:color w:val="auto"/>
              </w:rPr>
              <w:t>台</w:t>
            </w:r>
          </w:p>
        </w:tc>
      </w:tr>
      <w:tr w14:paraId="6258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2FAA6547">
            <w:pPr>
              <w:pStyle w:val="18"/>
              <w:jc w:val="center"/>
              <w:rPr>
                <w:b w:val="0"/>
                <w:color w:val="auto"/>
              </w:rPr>
            </w:pPr>
            <w:r>
              <w:rPr>
                <w:rFonts w:hint="eastAsia"/>
                <w:b w:val="0"/>
                <w:color w:val="auto"/>
              </w:rPr>
              <w:t>5</w:t>
            </w:r>
          </w:p>
        </w:tc>
        <w:tc>
          <w:tcPr>
            <w:tcW w:w="916" w:type="pct"/>
            <w:vAlign w:val="center"/>
          </w:tcPr>
          <w:p w14:paraId="36FC1D79">
            <w:pPr>
              <w:pStyle w:val="18"/>
              <w:jc w:val="center"/>
              <w:rPr>
                <w:color w:val="auto"/>
              </w:rPr>
            </w:pPr>
            <w:r>
              <w:rPr>
                <w:rFonts w:hint="eastAsia"/>
                <w:color w:val="auto"/>
              </w:rPr>
              <w:t>光纤交换机</w:t>
            </w:r>
          </w:p>
        </w:tc>
        <w:tc>
          <w:tcPr>
            <w:tcW w:w="3163" w:type="pct"/>
            <w:vAlign w:val="center"/>
          </w:tcPr>
          <w:p w14:paraId="01038C25">
            <w:pPr>
              <w:pStyle w:val="18"/>
              <w:rPr>
                <w:color w:val="auto"/>
              </w:rPr>
            </w:pPr>
            <w:r>
              <w:rPr>
                <w:rFonts w:hint="eastAsia"/>
                <w:color w:val="auto"/>
              </w:rPr>
              <w:t>光纤交换机：≥24端口16Gb光纤交换机，激活≥16端口，配置≥16个多模模块,配备级联授权，配置配套光纤跳线。</w:t>
            </w:r>
          </w:p>
        </w:tc>
        <w:tc>
          <w:tcPr>
            <w:tcW w:w="366" w:type="pct"/>
            <w:vAlign w:val="center"/>
          </w:tcPr>
          <w:p w14:paraId="00240B1D">
            <w:pPr>
              <w:pStyle w:val="18"/>
              <w:jc w:val="center"/>
              <w:rPr>
                <w:color w:val="auto"/>
              </w:rPr>
            </w:pPr>
            <w:r>
              <w:rPr>
                <w:rFonts w:hint="eastAsia"/>
                <w:color w:val="auto"/>
              </w:rPr>
              <w:t>2</w:t>
            </w:r>
          </w:p>
        </w:tc>
        <w:tc>
          <w:tcPr>
            <w:tcW w:w="280" w:type="pct"/>
            <w:vAlign w:val="center"/>
          </w:tcPr>
          <w:p w14:paraId="01CAF656">
            <w:pPr>
              <w:pStyle w:val="18"/>
              <w:jc w:val="center"/>
              <w:rPr>
                <w:color w:val="auto"/>
              </w:rPr>
            </w:pPr>
            <w:r>
              <w:rPr>
                <w:rFonts w:hint="eastAsia"/>
                <w:color w:val="auto"/>
              </w:rPr>
              <w:t>台</w:t>
            </w:r>
          </w:p>
        </w:tc>
      </w:tr>
      <w:tr w14:paraId="1547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096D6771">
            <w:pPr>
              <w:pStyle w:val="18"/>
              <w:jc w:val="center"/>
              <w:rPr>
                <w:b w:val="0"/>
                <w:color w:val="auto"/>
              </w:rPr>
            </w:pPr>
            <w:r>
              <w:rPr>
                <w:rFonts w:hint="eastAsia"/>
                <w:b w:val="0"/>
                <w:color w:val="auto"/>
              </w:rPr>
              <w:t>6</w:t>
            </w:r>
          </w:p>
        </w:tc>
        <w:tc>
          <w:tcPr>
            <w:tcW w:w="916" w:type="pct"/>
            <w:vAlign w:val="center"/>
          </w:tcPr>
          <w:p w14:paraId="452603A3">
            <w:pPr>
              <w:pStyle w:val="18"/>
              <w:jc w:val="center"/>
              <w:rPr>
                <w:color w:val="auto"/>
              </w:rPr>
            </w:pPr>
            <w:r>
              <w:rPr>
                <w:rFonts w:hint="eastAsia"/>
                <w:color w:val="auto"/>
              </w:rPr>
              <w:t>备份一体机</w:t>
            </w:r>
          </w:p>
        </w:tc>
        <w:tc>
          <w:tcPr>
            <w:tcW w:w="3163" w:type="pct"/>
            <w:vAlign w:val="center"/>
          </w:tcPr>
          <w:p w14:paraId="278B15DC">
            <w:pPr>
              <w:pStyle w:val="18"/>
              <w:rPr>
                <w:color w:val="auto"/>
              </w:rPr>
            </w:pPr>
            <w:r>
              <w:rPr>
                <w:rFonts w:hint="eastAsia"/>
                <w:color w:val="auto"/>
              </w:rPr>
              <w:t>企业级数据备份与恢复系统。</w:t>
            </w:r>
          </w:p>
          <w:p w14:paraId="1DD255FE">
            <w:pPr>
              <w:pStyle w:val="18"/>
              <w:rPr>
                <w:color w:val="auto"/>
              </w:rPr>
            </w:pPr>
            <w:r>
              <w:rPr>
                <w:rFonts w:hint="eastAsia"/>
                <w:color w:val="auto"/>
              </w:rPr>
              <w:t>1.采用通用X86/C86架构服务器，提供12个热插拔驱动器位，配置不少于两颗Intel@Xeon 4310 2.1G/12C CPU，系统盘2块240GB固态硬，6块8TB SATA机械硬盘；接口≥2千兆电口+2万兆光口;提供三年硬件质保、软件升级服务。配置40T备份容量授权。</w:t>
            </w:r>
          </w:p>
          <w:p w14:paraId="2939A62D">
            <w:pPr>
              <w:pStyle w:val="18"/>
              <w:rPr>
                <w:color w:val="auto"/>
              </w:rPr>
            </w:pPr>
            <w:r>
              <w:rPr>
                <w:rFonts w:hint="eastAsia"/>
                <w:color w:val="auto"/>
              </w:rPr>
              <w:t>2.对X86/C86架构下的物理机、虚拟机、超融合、私有云和公有云提供统一的将主机的操作系统、应用系统、数据库和数据/文件作为一个整体的一致性备份保护。</w:t>
            </w:r>
          </w:p>
          <w:p w14:paraId="23A8C8F7">
            <w:pPr>
              <w:pStyle w:val="18"/>
              <w:rPr>
                <w:color w:val="auto"/>
              </w:rPr>
            </w:pPr>
            <w:r>
              <w:rPr>
                <w:rFonts w:hint="eastAsia"/>
                <w:color w:val="auto"/>
              </w:rPr>
              <w:t>3.支持对WindowsXP/7/8/10及以上操作系统办公终端提供整机备份保护，按照策略实现历史时间点的整机回滚，保障重要办公终端数据安全。</w:t>
            </w:r>
          </w:p>
          <w:p w14:paraId="1D32838D">
            <w:pPr>
              <w:pStyle w:val="18"/>
              <w:rPr>
                <w:color w:val="auto"/>
              </w:rPr>
            </w:pPr>
            <w:r>
              <w:rPr>
                <w:rFonts w:hint="eastAsia"/>
                <w:color w:val="auto"/>
              </w:rPr>
              <w:t>4.支持断点续传，当备份链路中断修复或者备份任务重启后，可智能判断已经备份的数据，继续备份未备份的新增数据。</w:t>
            </w:r>
          </w:p>
          <w:p w14:paraId="35ED6734">
            <w:pPr>
              <w:pStyle w:val="18"/>
              <w:rPr>
                <w:color w:val="auto"/>
              </w:rPr>
            </w:pPr>
            <w:r>
              <w:rPr>
                <w:rFonts w:hint="eastAsia"/>
                <w:color w:val="auto"/>
              </w:rPr>
              <w:t>5.支持备份时通过备份系统进行网络带宽占用、源机磁盘IO读写占用进行限速，以确保备份时对生产网络以及主机的影响小并且在可控范围内全。</w:t>
            </w:r>
          </w:p>
          <w:p w14:paraId="6F9D0B75">
            <w:pPr>
              <w:pStyle w:val="18"/>
              <w:rPr>
                <w:color w:val="auto"/>
              </w:rPr>
            </w:pPr>
            <w:r>
              <w:rPr>
                <w:rFonts w:hint="eastAsia"/>
                <w:color w:val="auto"/>
              </w:rPr>
              <w:t>6.可自建隔离私有虚拟化验证环境，无论备份任务是否停止，可同时选一个备份任务的多个备份点执行虚拟化验证备份数据的一致性和可靠性，在灾难发生时采用二分法快速定位出最佳数据恢复的备份历史点。</w:t>
            </w:r>
          </w:p>
          <w:p w14:paraId="76CD71F9">
            <w:pPr>
              <w:pStyle w:val="18"/>
              <w:rPr>
                <w:color w:val="auto"/>
              </w:rPr>
            </w:pPr>
            <w:r>
              <w:rPr>
                <w:rFonts w:hint="eastAsia"/>
                <w:color w:val="auto"/>
              </w:rPr>
              <w:t>7.支持整机全场景恢复，无需部署配置操作系统、应用和数据库等系统环境，实现全场景带业务逻辑的整机灾难重建，无需人工手动安装驱动、更改注册表信息、应用配置信息等，极大降低灾难重建恢复难度和效率。</w:t>
            </w:r>
          </w:p>
          <w:p w14:paraId="429A6201">
            <w:pPr>
              <w:pStyle w:val="18"/>
              <w:rPr>
                <w:color w:val="auto"/>
              </w:rPr>
            </w:pPr>
            <w:r>
              <w:rPr>
                <w:rFonts w:hint="eastAsia"/>
                <w:color w:val="auto"/>
              </w:rPr>
              <w:t>8.支持对备份系统的用户的分级管理，如：超级管理员、系统管理员不同的角色，并且可以纪录所有的用户的操作情况。</w:t>
            </w:r>
          </w:p>
          <w:p w14:paraId="5E6656C9">
            <w:pPr>
              <w:pStyle w:val="18"/>
              <w:rPr>
                <w:color w:val="auto"/>
              </w:rPr>
            </w:pPr>
            <w:r>
              <w:rPr>
                <w:rFonts w:hint="eastAsia"/>
                <w:color w:val="auto"/>
              </w:rPr>
              <w:t>9、客户端安装、卸载过程不需要重新启动业务系统，即可实现在线完整备份。</w:t>
            </w:r>
          </w:p>
        </w:tc>
        <w:tc>
          <w:tcPr>
            <w:tcW w:w="366" w:type="pct"/>
            <w:vAlign w:val="center"/>
          </w:tcPr>
          <w:p w14:paraId="171C3D4E">
            <w:pPr>
              <w:pStyle w:val="18"/>
              <w:jc w:val="center"/>
              <w:rPr>
                <w:color w:val="auto"/>
              </w:rPr>
            </w:pPr>
            <w:r>
              <w:rPr>
                <w:rFonts w:hint="eastAsia"/>
                <w:color w:val="auto"/>
              </w:rPr>
              <w:t>1</w:t>
            </w:r>
          </w:p>
        </w:tc>
        <w:tc>
          <w:tcPr>
            <w:tcW w:w="280" w:type="pct"/>
            <w:vAlign w:val="center"/>
          </w:tcPr>
          <w:p w14:paraId="31689C79">
            <w:pPr>
              <w:pStyle w:val="18"/>
              <w:jc w:val="center"/>
              <w:rPr>
                <w:color w:val="auto"/>
              </w:rPr>
            </w:pPr>
            <w:r>
              <w:rPr>
                <w:rFonts w:hint="eastAsia"/>
                <w:color w:val="auto"/>
              </w:rPr>
              <w:t>套</w:t>
            </w:r>
          </w:p>
        </w:tc>
      </w:tr>
      <w:tr w14:paraId="1C59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778D1F55">
            <w:pPr>
              <w:pStyle w:val="18"/>
              <w:jc w:val="center"/>
              <w:rPr>
                <w:b w:val="0"/>
                <w:color w:val="auto"/>
              </w:rPr>
            </w:pPr>
            <w:r>
              <w:rPr>
                <w:rFonts w:hint="eastAsia"/>
                <w:b w:val="0"/>
                <w:color w:val="auto"/>
              </w:rPr>
              <w:t>7</w:t>
            </w:r>
          </w:p>
        </w:tc>
        <w:tc>
          <w:tcPr>
            <w:tcW w:w="916" w:type="pct"/>
            <w:vAlign w:val="center"/>
          </w:tcPr>
          <w:p w14:paraId="7BF7F60A">
            <w:pPr>
              <w:pStyle w:val="18"/>
              <w:jc w:val="center"/>
              <w:rPr>
                <w:color w:val="auto"/>
              </w:rPr>
            </w:pPr>
            <w:r>
              <w:rPr>
                <w:rFonts w:hint="eastAsia"/>
                <w:color w:val="auto"/>
              </w:rPr>
              <w:t>企业级网络存储NAS</w:t>
            </w:r>
          </w:p>
        </w:tc>
        <w:tc>
          <w:tcPr>
            <w:tcW w:w="3163" w:type="pct"/>
            <w:vAlign w:val="center"/>
          </w:tcPr>
          <w:p w14:paraId="72A6C8B4">
            <w:pPr>
              <w:pStyle w:val="18"/>
              <w:rPr>
                <w:color w:val="auto"/>
              </w:rPr>
            </w:pPr>
            <w:r>
              <w:rPr>
                <w:rFonts w:hint="eastAsia"/>
                <w:color w:val="auto"/>
              </w:rPr>
              <w:t>核心数≥4核，规格≥8盘NAS，网口数≥2个，配备硬盘容量≥128TB（16TB*8），内存≥32GB，PCle扩展插槽≥1个，M.2插槽≥2个，支持Docker，网口速率万兆，支持热插拔，支持定时开关机，支持来电自启动，支持万兆扩展卡，支持数据保护，输入电压100-240V交流电。</w:t>
            </w:r>
          </w:p>
        </w:tc>
        <w:tc>
          <w:tcPr>
            <w:tcW w:w="366" w:type="pct"/>
            <w:vAlign w:val="center"/>
          </w:tcPr>
          <w:p w14:paraId="036E90F6">
            <w:pPr>
              <w:pStyle w:val="18"/>
              <w:jc w:val="center"/>
              <w:rPr>
                <w:color w:val="auto"/>
              </w:rPr>
            </w:pPr>
            <w:r>
              <w:rPr>
                <w:rFonts w:hint="eastAsia"/>
                <w:color w:val="auto"/>
              </w:rPr>
              <w:t>1</w:t>
            </w:r>
          </w:p>
        </w:tc>
        <w:tc>
          <w:tcPr>
            <w:tcW w:w="280" w:type="pct"/>
            <w:vAlign w:val="center"/>
          </w:tcPr>
          <w:p w14:paraId="43BBF2AD">
            <w:pPr>
              <w:pStyle w:val="18"/>
              <w:jc w:val="center"/>
              <w:rPr>
                <w:color w:val="auto"/>
              </w:rPr>
            </w:pPr>
            <w:r>
              <w:rPr>
                <w:rFonts w:hint="eastAsia"/>
                <w:color w:val="auto"/>
              </w:rPr>
              <w:t>台</w:t>
            </w:r>
          </w:p>
        </w:tc>
      </w:tr>
      <w:tr w14:paraId="737B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vAlign w:val="center"/>
          </w:tcPr>
          <w:p w14:paraId="37F60072">
            <w:pPr>
              <w:pStyle w:val="18"/>
              <w:jc w:val="center"/>
              <w:rPr>
                <w:b w:val="0"/>
                <w:color w:val="auto"/>
              </w:rPr>
            </w:pPr>
            <w:r>
              <w:rPr>
                <w:rFonts w:hint="eastAsia"/>
                <w:b w:val="0"/>
                <w:color w:val="auto"/>
              </w:rPr>
              <w:t>基础软件</w:t>
            </w:r>
          </w:p>
        </w:tc>
      </w:tr>
      <w:tr w14:paraId="11E8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74B600DC">
            <w:pPr>
              <w:pStyle w:val="18"/>
              <w:jc w:val="center"/>
              <w:rPr>
                <w:b w:val="0"/>
                <w:color w:val="auto"/>
              </w:rPr>
            </w:pPr>
            <w:r>
              <w:rPr>
                <w:rFonts w:hint="eastAsia"/>
                <w:b w:val="0"/>
                <w:color w:val="auto"/>
              </w:rPr>
              <w:t>8</w:t>
            </w:r>
          </w:p>
        </w:tc>
        <w:tc>
          <w:tcPr>
            <w:tcW w:w="916" w:type="pct"/>
            <w:vAlign w:val="center"/>
          </w:tcPr>
          <w:p w14:paraId="054BF0C9">
            <w:pPr>
              <w:pStyle w:val="18"/>
              <w:jc w:val="center"/>
              <w:rPr>
                <w:color w:val="auto"/>
              </w:rPr>
            </w:pPr>
            <w:r>
              <w:rPr>
                <w:rFonts w:hint="eastAsia"/>
                <w:color w:val="auto"/>
              </w:rPr>
              <w:t>操作系统1</w:t>
            </w:r>
          </w:p>
        </w:tc>
        <w:tc>
          <w:tcPr>
            <w:tcW w:w="3163" w:type="pct"/>
            <w:vAlign w:val="top"/>
          </w:tcPr>
          <w:p w14:paraId="4D61020C">
            <w:pPr>
              <w:pStyle w:val="18"/>
              <w:rPr>
                <w:color w:val="auto"/>
              </w:rPr>
            </w:pPr>
            <w:r>
              <w:rPr>
                <w:rFonts w:hint="eastAsia"/>
                <w:color w:val="auto"/>
              </w:rPr>
              <w:t>Windows Server2016及以上标准版64Bit</w:t>
            </w:r>
          </w:p>
        </w:tc>
        <w:tc>
          <w:tcPr>
            <w:tcW w:w="366" w:type="pct"/>
            <w:vAlign w:val="center"/>
          </w:tcPr>
          <w:p w14:paraId="1D985496">
            <w:pPr>
              <w:pStyle w:val="18"/>
              <w:jc w:val="center"/>
              <w:rPr>
                <w:color w:val="auto"/>
              </w:rPr>
            </w:pPr>
            <w:r>
              <w:rPr>
                <w:rFonts w:hint="eastAsia"/>
                <w:color w:val="auto"/>
              </w:rPr>
              <w:t>2</w:t>
            </w:r>
          </w:p>
        </w:tc>
        <w:tc>
          <w:tcPr>
            <w:tcW w:w="280" w:type="pct"/>
            <w:vAlign w:val="center"/>
          </w:tcPr>
          <w:p w14:paraId="77F1CA3E">
            <w:pPr>
              <w:pStyle w:val="18"/>
              <w:jc w:val="center"/>
              <w:rPr>
                <w:color w:val="auto"/>
              </w:rPr>
            </w:pPr>
            <w:r>
              <w:rPr>
                <w:rFonts w:hint="eastAsia"/>
                <w:color w:val="auto"/>
              </w:rPr>
              <w:t>套</w:t>
            </w:r>
          </w:p>
        </w:tc>
      </w:tr>
      <w:tr w14:paraId="7999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24236552">
            <w:pPr>
              <w:pStyle w:val="18"/>
              <w:jc w:val="center"/>
              <w:rPr>
                <w:b w:val="0"/>
                <w:color w:val="auto"/>
              </w:rPr>
            </w:pPr>
            <w:r>
              <w:rPr>
                <w:rFonts w:hint="eastAsia"/>
                <w:b w:val="0"/>
                <w:color w:val="auto"/>
              </w:rPr>
              <w:t>9</w:t>
            </w:r>
          </w:p>
        </w:tc>
        <w:tc>
          <w:tcPr>
            <w:tcW w:w="916" w:type="pct"/>
            <w:vAlign w:val="center"/>
          </w:tcPr>
          <w:p w14:paraId="7CF2B6E1">
            <w:pPr>
              <w:pStyle w:val="18"/>
              <w:jc w:val="center"/>
              <w:rPr>
                <w:color w:val="auto"/>
              </w:rPr>
            </w:pPr>
            <w:r>
              <w:rPr>
                <w:rFonts w:hint="eastAsia"/>
                <w:color w:val="auto"/>
              </w:rPr>
              <w:t>操作系统2</w:t>
            </w:r>
          </w:p>
        </w:tc>
        <w:tc>
          <w:tcPr>
            <w:tcW w:w="3163" w:type="pct"/>
            <w:vAlign w:val="top"/>
          </w:tcPr>
          <w:p w14:paraId="065EC982">
            <w:pPr>
              <w:pStyle w:val="18"/>
              <w:rPr>
                <w:color w:val="auto"/>
              </w:rPr>
            </w:pPr>
            <w:r>
              <w:rPr>
                <w:rFonts w:hint="eastAsia"/>
                <w:color w:val="auto"/>
              </w:rPr>
              <w:t>Linux企业版64位7.9及以上版本</w:t>
            </w:r>
          </w:p>
        </w:tc>
        <w:tc>
          <w:tcPr>
            <w:tcW w:w="366" w:type="pct"/>
            <w:vAlign w:val="center"/>
          </w:tcPr>
          <w:p w14:paraId="7D6525C3">
            <w:pPr>
              <w:pStyle w:val="18"/>
              <w:jc w:val="center"/>
              <w:rPr>
                <w:color w:val="auto"/>
              </w:rPr>
            </w:pPr>
            <w:r>
              <w:rPr>
                <w:rFonts w:hint="eastAsia"/>
                <w:color w:val="auto"/>
              </w:rPr>
              <w:t>2</w:t>
            </w:r>
          </w:p>
        </w:tc>
        <w:tc>
          <w:tcPr>
            <w:tcW w:w="280" w:type="pct"/>
            <w:vAlign w:val="center"/>
          </w:tcPr>
          <w:p w14:paraId="2C66AA1E">
            <w:pPr>
              <w:pStyle w:val="18"/>
              <w:jc w:val="center"/>
              <w:rPr>
                <w:color w:val="auto"/>
              </w:rPr>
            </w:pPr>
            <w:r>
              <w:rPr>
                <w:rFonts w:hint="eastAsia"/>
                <w:color w:val="auto"/>
              </w:rPr>
              <w:t>套</w:t>
            </w:r>
          </w:p>
        </w:tc>
      </w:tr>
      <w:tr w14:paraId="6CDF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01759868">
            <w:pPr>
              <w:pStyle w:val="18"/>
              <w:jc w:val="center"/>
              <w:rPr>
                <w:b w:val="0"/>
                <w:color w:val="auto"/>
              </w:rPr>
            </w:pPr>
            <w:r>
              <w:rPr>
                <w:rFonts w:hint="eastAsia"/>
                <w:b w:val="0"/>
                <w:color w:val="auto"/>
              </w:rPr>
              <w:t>10</w:t>
            </w:r>
          </w:p>
        </w:tc>
        <w:tc>
          <w:tcPr>
            <w:tcW w:w="916" w:type="pct"/>
            <w:vAlign w:val="center"/>
          </w:tcPr>
          <w:p w14:paraId="1764762C">
            <w:pPr>
              <w:pStyle w:val="18"/>
              <w:jc w:val="center"/>
              <w:rPr>
                <w:color w:val="auto"/>
              </w:rPr>
            </w:pPr>
            <w:r>
              <w:rPr>
                <w:rFonts w:hint="eastAsia"/>
                <w:color w:val="auto"/>
              </w:rPr>
              <w:t>数据库系统服务</w:t>
            </w:r>
          </w:p>
        </w:tc>
        <w:tc>
          <w:tcPr>
            <w:tcW w:w="3163" w:type="pct"/>
            <w:vAlign w:val="top"/>
          </w:tcPr>
          <w:p w14:paraId="5541E7FA">
            <w:pPr>
              <w:pStyle w:val="18"/>
              <w:rPr>
                <w:rFonts w:hint="eastAsia"/>
                <w:color w:val="auto"/>
              </w:rPr>
            </w:pPr>
            <w:r>
              <w:rPr>
                <w:rFonts w:hint="eastAsia"/>
                <w:color w:val="auto"/>
              </w:rPr>
              <w:t>一、数据库日常监控与性能管理</w:t>
            </w:r>
          </w:p>
          <w:p w14:paraId="5C6D4ADE">
            <w:pPr>
              <w:pStyle w:val="18"/>
              <w:rPr>
                <w:rFonts w:hint="eastAsia"/>
                <w:color w:val="auto"/>
              </w:rPr>
            </w:pPr>
            <w:r>
              <w:rPr>
                <w:rFonts w:hint="eastAsia"/>
                <w:color w:val="auto"/>
              </w:rPr>
              <w:t>1.性能监控：</w:t>
            </w:r>
          </w:p>
          <w:p w14:paraId="67DE19D0">
            <w:pPr>
              <w:pStyle w:val="18"/>
              <w:rPr>
                <w:rFonts w:hint="eastAsia"/>
                <w:color w:val="auto"/>
              </w:rPr>
            </w:pPr>
            <w:r>
              <w:rPr>
                <w:rFonts w:hint="eastAsia"/>
                <w:color w:val="auto"/>
              </w:rPr>
              <w:t>资源监控：监控CPU、内存、磁盘I/O、网络流量等关键指标的使用情况。</w:t>
            </w:r>
          </w:p>
          <w:p w14:paraId="4E91215F">
            <w:pPr>
              <w:pStyle w:val="18"/>
              <w:rPr>
                <w:rFonts w:hint="eastAsia"/>
                <w:color w:val="auto"/>
              </w:rPr>
            </w:pPr>
            <w:r>
              <w:rPr>
                <w:rFonts w:hint="eastAsia"/>
                <w:color w:val="auto"/>
              </w:rPr>
              <w:t>数据库会话与连接：监控当前连接数、活跃会话、是否存在阻塞和死锁。</w:t>
            </w:r>
          </w:p>
          <w:p w14:paraId="30BA0710">
            <w:pPr>
              <w:pStyle w:val="18"/>
              <w:rPr>
                <w:rFonts w:hint="eastAsia"/>
                <w:color w:val="auto"/>
              </w:rPr>
            </w:pPr>
            <w:r>
              <w:rPr>
                <w:rFonts w:hint="eastAsia"/>
                <w:color w:val="auto"/>
              </w:rPr>
              <w:t>关键性能指标：监控查询响应时间、吞吐量、缓存命中率等。</w:t>
            </w:r>
          </w:p>
          <w:p w14:paraId="6BADCA93">
            <w:pPr>
              <w:pStyle w:val="18"/>
              <w:rPr>
                <w:rFonts w:hint="eastAsia"/>
                <w:color w:val="auto"/>
              </w:rPr>
            </w:pPr>
            <w:r>
              <w:rPr>
                <w:rFonts w:hint="eastAsia"/>
                <w:color w:val="auto"/>
              </w:rPr>
              <w:t>慢查询分析：识别并优化执行效率低下的SQL语句，这是提升性能的关键。</w:t>
            </w:r>
          </w:p>
          <w:p w14:paraId="05415A79">
            <w:pPr>
              <w:pStyle w:val="18"/>
              <w:rPr>
                <w:rFonts w:hint="eastAsia"/>
                <w:color w:val="auto"/>
              </w:rPr>
            </w:pPr>
            <w:r>
              <w:rPr>
                <w:rFonts w:hint="eastAsia"/>
                <w:color w:val="auto"/>
              </w:rPr>
              <w:t>2.空间管理：</w:t>
            </w:r>
          </w:p>
          <w:p w14:paraId="37388B2E">
            <w:pPr>
              <w:pStyle w:val="18"/>
              <w:rPr>
                <w:rFonts w:hint="eastAsia"/>
                <w:color w:val="auto"/>
              </w:rPr>
            </w:pPr>
            <w:r>
              <w:rPr>
                <w:rFonts w:hint="eastAsia"/>
                <w:color w:val="auto"/>
              </w:rPr>
              <w:t>磁盘空间监控：预测数据文件、日志文件的增长趋势，确保有足够的磁盘空间，避免因空间不足导致服务中断。</w:t>
            </w:r>
          </w:p>
          <w:p w14:paraId="0F403888">
            <w:pPr>
              <w:pStyle w:val="18"/>
              <w:rPr>
                <w:rFonts w:hint="eastAsia"/>
                <w:color w:val="auto"/>
              </w:rPr>
            </w:pPr>
            <w:r>
              <w:rPr>
                <w:rFonts w:hint="eastAsia"/>
                <w:color w:val="auto"/>
              </w:rPr>
              <w:t>表空间管理：管理数据库内各个表空间的使用情况，及时扩展或清理。</w:t>
            </w:r>
          </w:p>
          <w:p w14:paraId="2DC58490">
            <w:pPr>
              <w:pStyle w:val="18"/>
              <w:rPr>
                <w:rFonts w:hint="eastAsia"/>
                <w:color w:val="auto"/>
              </w:rPr>
            </w:pPr>
            <w:r>
              <w:rPr>
                <w:rFonts w:hint="eastAsia"/>
                <w:color w:val="auto"/>
              </w:rPr>
              <w:t>3.日志监控：</w:t>
            </w:r>
          </w:p>
          <w:p w14:paraId="4CC299C5">
            <w:pPr>
              <w:pStyle w:val="18"/>
              <w:rPr>
                <w:rFonts w:hint="eastAsia"/>
                <w:color w:val="auto"/>
              </w:rPr>
            </w:pPr>
            <w:r>
              <w:rPr>
                <w:rFonts w:hint="eastAsia"/>
                <w:color w:val="auto"/>
              </w:rPr>
              <w:t>定期检查数据库错误日志、警告日志，及时发现潜在的系统性风险。</w:t>
            </w:r>
          </w:p>
          <w:p w14:paraId="6091EC16">
            <w:pPr>
              <w:pStyle w:val="18"/>
              <w:rPr>
                <w:rFonts w:hint="eastAsia"/>
                <w:color w:val="auto"/>
              </w:rPr>
            </w:pPr>
            <w:r>
              <w:rPr>
                <w:rFonts w:hint="eastAsia"/>
                <w:color w:val="auto"/>
              </w:rPr>
              <w:t>二、数据库高可用性与容灾备份</w:t>
            </w:r>
          </w:p>
          <w:p w14:paraId="591AF9CF">
            <w:pPr>
              <w:pStyle w:val="18"/>
              <w:rPr>
                <w:rFonts w:hint="eastAsia"/>
                <w:color w:val="auto"/>
              </w:rPr>
            </w:pPr>
            <w:r>
              <w:rPr>
                <w:rFonts w:hint="eastAsia"/>
                <w:color w:val="auto"/>
              </w:rPr>
              <w:t>1.备份与恢复：</w:t>
            </w:r>
          </w:p>
          <w:p w14:paraId="7AEE50AA">
            <w:pPr>
              <w:pStyle w:val="18"/>
              <w:rPr>
                <w:rFonts w:hint="eastAsia"/>
                <w:color w:val="auto"/>
              </w:rPr>
            </w:pPr>
            <w:r>
              <w:rPr>
                <w:rFonts w:hint="eastAsia"/>
                <w:color w:val="auto"/>
              </w:rPr>
              <w:t>备份策略制定：根据数据重要性，制定全量、增量、差异备份策略（例如，每天全备，每小时事务日志备份）。</w:t>
            </w:r>
          </w:p>
          <w:p w14:paraId="23997B20">
            <w:pPr>
              <w:pStyle w:val="18"/>
              <w:rPr>
                <w:rFonts w:hint="eastAsia"/>
                <w:color w:val="auto"/>
              </w:rPr>
            </w:pPr>
            <w:r>
              <w:rPr>
                <w:rFonts w:hint="eastAsia"/>
                <w:color w:val="auto"/>
              </w:rPr>
              <w:t>备份验证：定期进行恢复演练，确保备份数据的有效性和可恢复性。</w:t>
            </w:r>
          </w:p>
          <w:p w14:paraId="52154DB8">
            <w:pPr>
              <w:pStyle w:val="18"/>
              <w:rPr>
                <w:rFonts w:hint="eastAsia"/>
                <w:color w:val="auto"/>
              </w:rPr>
            </w:pPr>
            <w:r>
              <w:rPr>
                <w:rFonts w:hint="eastAsia"/>
                <w:color w:val="auto"/>
              </w:rPr>
              <w:t>2.高可用架构：</w:t>
            </w:r>
          </w:p>
          <w:p w14:paraId="041625CB">
            <w:pPr>
              <w:pStyle w:val="18"/>
              <w:rPr>
                <w:color w:val="auto"/>
              </w:rPr>
            </w:pPr>
            <w:r>
              <w:rPr>
                <w:rFonts w:hint="eastAsia"/>
                <w:color w:val="auto"/>
              </w:rPr>
              <w:t>集群技术：采用数据库集群（如Oracle RAC，SQL Server Always On，MySQL Cluster）实现负载均衡和故障自动转移，确保单点故障时业务不中断。</w:t>
            </w:r>
          </w:p>
        </w:tc>
        <w:tc>
          <w:tcPr>
            <w:tcW w:w="366" w:type="pct"/>
            <w:vAlign w:val="center"/>
          </w:tcPr>
          <w:p w14:paraId="60B49760">
            <w:pPr>
              <w:pStyle w:val="18"/>
              <w:jc w:val="center"/>
              <w:rPr>
                <w:color w:val="auto"/>
              </w:rPr>
            </w:pPr>
            <w:r>
              <w:rPr>
                <w:rFonts w:hint="eastAsia"/>
                <w:color w:val="auto"/>
              </w:rPr>
              <w:t>1</w:t>
            </w:r>
          </w:p>
        </w:tc>
        <w:tc>
          <w:tcPr>
            <w:tcW w:w="280" w:type="pct"/>
            <w:vAlign w:val="center"/>
          </w:tcPr>
          <w:p w14:paraId="0B203008">
            <w:pPr>
              <w:pStyle w:val="18"/>
              <w:jc w:val="center"/>
              <w:rPr>
                <w:color w:val="auto"/>
              </w:rPr>
            </w:pPr>
            <w:r>
              <w:rPr>
                <w:rFonts w:hint="eastAsia"/>
                <w:color w:val="auto"/>
              </w:rPr>
              <w:t>项</w:t>
            </w:r>
          </w:p>
        </w:tc>
      </w:tr>
      <w:tr w14:paraId="6065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50521024">
            <w:pPr>
              <w:pStyle w:val="18"/>
              <w:jc w:val="center"/>
              <w:rPr>
                <w:b w:val="0"/>
                <w:color w:val="auto"/>
              </w:rPr>
            </w:pPr>
            <w:r>
              <w:rPr>
                <w:rFonts w:hint="eastAsia"/>
                <w:b w:val="0"/>
                <w:color w:val="auto"/>
              </w:rPr>
              <w:t>11</w:t>
            </w:r>
          </w:p>
        </w:tc>
        <w:tc>
          <w:tcPr>
            <w:tcW w:w="916" w:type="pct"/>
            <w:vAlign w:val="center"/>
          </w:tcPr>
          <w:p w14:paraId="77421F19">
            <w:pPr>
              <w:pStyle w:val="18"/>
              <w:jc w:val="center"/>
              <w:rPr>
                <w:color w:val="auto"/>
              </w:rPr>
            </w:pPr>
            <w:r>
              <w:rPr>
                <w:rFonts w:hint="eastAsia"/>
                <w:color w:val="auto"/>
              </w:rPr>
              <w:t>数据迁移</w:t>
            </w:r>
          </w:p>
        </w:tc>
        <w:tc>
          <w:tcPr>
            <w:tcW w:w="3163" w:type="pct"/>
            <w:vAlign w:val="top"/>
          </w:tcPr>
          <w:p w14:paraId="3EB0031C">
            <w:pPr>
              <w:pStyle w:val="18"/>
              <w:rPr>
                <w:color w:val="auto"/>
              </w:rPr>
            </w:pPr>
            <w:r>
              <w:rPr>
                <w:rFonts w:hint="eastAsia"/>
                <w:color w:val="auto"/>
              </w:rPr>
              <w:t>完成历史业务数据（HIS、EMR）的迁移，包含历史数据迁移及联调测试工作，确保软件系统和数据能够正常运行。</w:t>
            </w:r>
          </w:p>
        </w:tc>
        <w:tc>
          <w:tcPr>
            <w:tcW w:w="366" w:type="pct"/>
            <w:vAlign w:val="center"/>
          </w:tcPr>
          <w:p w14:paraId="01741AEC">
            <w:pPr>
              <w:pStyle w:val="18"/>
              <w:jc w:val="center"/>
              <w:rPr>
                <w:color w:val="auto"/>
              </w:rPr>
            </w:pPr>
            <w:r>
              <w:rPr>
                <w:rFonts w:hint="eastAsia"/>
                <w:color w:val="auto"/>
              </w:rPr>
              <w:t>1</w:t>
            </w:r>
          </w:p>
        </w:tc>
        <w:tc>
          <w:tcPr>
            <w:tcW w:w="280" w:type="pct"/>
            <w:vAlign w:val="center"/>
          </w:tcPr>
          <w:p w14:paraId="5E3989BA">
            <w:pPr>
              <w:pStyle w:val="18"/>
              <w:jc w:val="center"/>
              <w:rPr>
                <w:color w:val="auto"/>
              </w:rPr>
            </w:pPr>
            <w:r>
              <w:rPr>
                <w:rFonts w:hint="eastAsia"/>
                <w:color w:val="auto"/>
              </w:rPr>
              <w:t>项</w:t>
            </w:r>
          </w:p>
        </w:tc>
      </w:tr>
      <w:tr w14:paraId="5C9D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3413783A">
            <w:pPr>
              <w:pStyle w:val="18"/>
              <w:jc w:val="center"/>
              <w:rPr>
                <w:b w:val="0"/>
                <w:color w:val="auto"/>
              </w:rPr>
            </w:pPr>
            <w:r>
              <w:rPr>
                <w:rFonts w:hint="eastAsia"/>
                <w:b w:val="0"/>
                <w:color w:val="auto"/>
              </w:rPr>
              <w:t>12</w:t>
            </w:r>
          </w:p>
        </w:tc>
        <w:tc>
          <w:tcPr>
            <w:tcW w:w="916" w:type="pct"/>
            <w:vAlign w:val="center"/>
          </w:tcPr>
          <w:p w14:paraId="69F80982">
            <w:pPr>
              <w:pStyle w:val="18"/>
              <w:jc w:val="center"/>
              <w:rPr>
                <w:color w:val="auto"/>
              </w:rPr>
            </w:pPr>
            <w:r>
              <w:rPr>
                <w:rFonts w:hint="eastAsia"/>
                <w:color w:val="auto"/>
              </w:rPr>
              <w:t>集成服务</w:t>
            </w:r>
          </w:p>
        </w:tc>
        <w:tc>
          <w:tcPr>
            <w:tcW w:w="3163" w:type="pct"/>
            <w:vAlign w:val="top"/>
          </w:tcPr>
          <w:p w14:paraId="6B91A228">
            <w:pPr>
              <w:pStyle w:val="18"/>
              <w:rPr>
                <w:color w:val="auto"/>
              </w:rPr>
            </w:pPr>
            <w:r>
              <w:rPr>
                <w:rFonts w:hint="eastAsia"/>
                <w:color w:val="auto"/>
              </w:rPr>
              <w:t>负责整体软、硬件项目的实施管理、软件集成服务、性能调优、故障排查、业务巡检、运行报告等。</w:t>
            </w:r>
          </w:p>
        </w:tc>
        <w:tc>
          <w:tcPr>
            <w:tcW w:w="366" w:type="pct"/>
            <w:vAlign w:val="center"/>
          </w:tcPr>
          <w:p w14:paraId="4D06C1E1">
            <w:pPr>
              <w:pStyle w:val="18"/>
              <w:jc w:val="center"/>
              <w:rPr>
                <w:color w:val="auto"/>
              </w:rPr>
            </w:pPr>
            <w:r>
              <w:rPr>
                <w:rFonts w:hint="eastAsia"/>
                <w:color w:val="auto"/>
              </w:rPr>
              <w:t>1</w:t>
            </w:r>
          </w:p>
        </w:tc>
        <w:tc>
          <w:tcPr>
            <w:tcW w:w="280" w:type="pct"/>
            <w:vAlign w:val="center"/>
          </w:tcPr>
          <w:p w14:paraId="1748BD91">
            <w:pPr>
              <w:pStyle w:val="18"/>
              <w:jc w:val="center"/>
              <w:rPr>
                <w:color w:val="auto"/>
              </w:rPr>
            </w:pPr>
            <w:r>
              <w:rPr>
                <w:rFonts w:hint="eastAsia"/>
                <w:color w:val="auto"/>
              </w:rPr>
              <w:t>项</w:t>
            </w:r>
          </w:p>
        </w:tc>
      </w:tr>
    </w:tbl>
    <w:p w14:paraId="2E8B482E">
      <w:pPr>
        <w:pStyle w:val="4"/>
        <w:numPr>
          <w:ilvl w:val="1"/>
          <w:numId w:val="0"/>
        </w:numPr>
        <w:ind w:left="576" w:leftChars="0" w:hanging="576" w:firstLineChars="0"/>
        <w:rPr>
          <w:color w:val="auto"/>
        </w:rPr>
      </w:pPr>
      <w:r>
        <w:rPr>
          <w:rFonts w:hint="eastAsia" w:cs="Times New Roman"/>
          <w:b/>
          <w:bCs/>
          <w:color w:val="auto"/>
          <w:kern w:val="2"/>
          <w:sz w:val="32"/>
          <w:szCs w:val="32"/>
          <w:lang w:val="en-US" w:eastAsia="zh-CN" w:bidi="ar-SA"/>
        </w:rPr>
        <w:t>2</w:t>
      </w:r>
      <w:r>
        <w:rPr>
          <w:rFonts w:hint="eastAsia" w:ascii="Times New Roman" w:hAnsi="Times New Roman" w:eastAsia="宋体" w:cs="Times New Roman"/>
          <w:b/>
          <w:bCs/>
          <w:color w:val="auto"/>
          <w:kern w:val="2"/>
          <w:sz w:val="32"/>
          <w:szCs w:val="32"/>
          <w:lang w:val="en-US" w:eastAsia="zh-CN" w:bidi="ar-SA"/>
        </w:rPr>
        <w:t>.2</w:t>
      </w:r>
      <w:r>
        <w:rPr>
          <w:rFonts w:hint="eastAsia"/>
          <w:color w:val="auto"/>
        </w:rPr>
        <w:t>护理终端设施硬件设备</w:t>
      </w:r>
    </w:p>
    <w:tbl>
      <w:tblPr>
        <w:tblStyle w:val="9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654"/>
        <w:gridCol w:w="5694"/>
        <w:gridCol w:w="666"/>
        <w:gridCol w:w="495"/>
      </w:tblGrid>
      <w:tr w14:paraId="5FF8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shd w:val="clear" w:color="auto" w:fill="BEBEBE" w:themeFill="background1" w:themeFillShade="BF"/>
            <w:vAlign w:val="center"/>
          </w:tcPr>
          <w:p w14:paraId="22BB192C">
            <w:pPr>
              <w:pStyle w:val="18"/>
              <w:jc w:val="center"/>
              <w:rPr>
                <w:b/>
                <w:color w:val="auto"/>
              </w:rPr>
            </w:pPr>
            <w:r>
              <w:rPr>
                <w:rFonts w:hint="eastAsia"/>
                <w:b/>
                <w:color w:val="auto"/>
              </w:rPr>
              <w:t>序号</w:t>
            </w:r>
          </w:p>
        </w:tc>
        <w:tc>
          <w:tcPr>
            <w:tcW w:w="918" w:type="pct"/>
            <w:shd w:val="clear" w:color="auto" w:fill="BEBEBE" w:themeFill="background1" w:themeFillShade="BF"/>
            <w:vAlign w:val="center"/>
          </w:tcPr>
          <w:p w14:paraId="7EC17C05">
            <w:pPr>
              <w:pStyle w:val="18"/>
              <w:jc w:val="center"/>
              <w:rPr>
                <w:b/>
                <w:color w:val="auto"/>
              </w:rPr>
            </w:pPr>
            <w:r>
              <w:rPr>
                <w:rFonts w:hint="eastAsia"/>
                <w:b/>
                <w:color w:val="auto"/>
              </w:rPr>
              <w:t>名称</w:t>
            </w:r>
          </w:p>
        </w:tc>
        <w:tc>
          <w:tcPr>
            <w:tcW w:w="3161" w:type="pct"/>
            <w:shd w:val="clear" w:color="auto" w:fill="BEBEBE" w:themeFill="background1" w:themeFillShade="BF"/>
            <w:vAlign w:val="center"/>
          </w:tcPr>
          <w:p w14:paraId="5FBFD4F9">
            <w:pPr>
              <w:pStyle w:val="18"/>
              <w:jc w:val="center"/>
              <w:rPr>
                <w:b/>
                <w:color w:val="auto"/>
              </w:rPr>
            </w:pPr>
            <w:r>
              <w:rPr>
                <w:rFonts w:hint="eastAsia"/>
                <w:b/>
                <w:color w:val="auto"/>
              </w:rPr>
              <w:t>主要配置</w:t>
            </w:r>
          </w:p>
        </w:tc>
        <w:tc>
          <w:tcPr>
            <w:tcW w:w="370" w:type="pct"/>
            <w:shd w:val="clear" w:color="auto" w:fill="BEBEBE" w:themeFill="background1" w:themeFillShade="BF"/>
            <w:vAlign w:val="center"/>
          </w:tcPr>
          <w:p w14:paraId="5D5A2E25">
            <w:pPr>
              <w:pStyle w:val="18"/>
              <w:jc w:val="center"/>
              <w:rPr>
                <w:b/>
                <w:color w:val="auto"/>
              </w:rPr>
            </w:pPr>
            <w:r>
              <w:rPr>
                <w:rFonts w:hint="eastAsia"/>
                <w:b/>
                <w:color w:val="auto"/>
              </w:rPr>
              <w:t>数量</w:t>
            </w:r>
          </w:p>
        </w:tc>
        <w:tc>
          <w:tcPr>
            <w:tcW w:w="275" w:type="pct"/>
            <w:shd w:val="clear" w:color="auto" w:fill="BEBEBE" w:themeFill="background1" w:themeFillShade="BF"/>
            <w:vAlign w:val="center"/>
          </w:tcPr>
          <w:p w14:paraId="67A92B8A">
            <w:pPr>
              <w:pStyle w:val="18"/>
              <w:jc w:val="center"/>
              <w:rPr>
                <w:b/>
                <w:color w:val="auto"/>
              </w:rPr>
            </w:pPr>
            <w:r>
              <w:rPr>
                <w:rFonts w:hint="eastAsia"/>
                <w:b/>
                <w:color w:val="auto"/>
              </w:rPr>
              <w:t>单位</w:t>
            </w:r>
          </w:p>
        </w:tc>
      </w:tr>
      <w:tr w14:paraId="4D2E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1E5A7E53">
            <w:pPr>
              <w:pStyle w:val="18"/>
              <w:jc w:val="center"/>
              <w:rPr>
                <w:b w:val="0"/>
                <w:color w:val="auto"/>
              </w:rPr>
            </w:pPr>
            <w:r>
              <w:rPr>
                <w:rFonts w:hint="eastAsia"/>
                <w:b w:val="0"/>
                <w:color w:val="auto"/>
              </w:rPr>
              <w:t>1</w:t>
            </w:r>
          </w:p>
        </w:tc>
        <w:tc>
          <w:tcPr>
            <w:tcW w:w="918" w:type="pct"/>
            <w:vAlign w:val="center"/>
          </w:tcPr>
          <w:p w14:paraId="10ACFEFC">
            <w:pPr>
              <w:pStyle w:val="18"/>
              <w:jc w:val="center"/>
              <w:rPr>
                <w:color w:val="auto"/>
              </w:rPr>
            </w:pPr>
            <w:r>
              <w:rPr>
                <w:rFonts w:hint="eastAsia"/>
                <w:color w:val="auto"/>
              </w:rPr>
              <w:t>移动护理PDA</w:t>
            </w:r>
          </w:p>
        </w:tc>
        <w:tc>
          <w:tcPr>
            <w:tcW w:w="3161" w:type="pct"/>
            <w:vAlign w:val="center"/>
          </w:tcPr>
          <w:p w14:paraId="54F0666C">
            <w:pPr>
              <w:pStyle w:val="18"/>
              <w:rPr>
                <w:color w:val="auto"/>
              </w:rPr>
            </w:pPr>
            <w:r>
              <w:rPr>
                <w:rFonts w:hint="eastAsia"/>
                <w:color w:val="auto"/>
              </w:rPr>
              <w:t>1.CPU：≥8核2.0GHz</w:t>
            </w:r>
          </w:p>
          <w:p w14:paraId="2596101B">
            <w:pPr>
              <w:pStyle w:val="18"/>
              <w:rPr>
                <w:color w:val="auto"/>
              </w:rPr>
            </w:pPr>
            <w:r>
              <w:rPr>
                <w:rFonts w:hint="eastAsia"/>
                <w:color w:val="auto"/>
              </w:rPr>
              <w:t>2.操作系统≥Android 14.0及以上</w:t>
            </w:r>
          </w:p>
          <w:p w14:paraId="08F4B19B">
            <w:pPr>
              <w:pStyle w:val="18"/>
              <w:rPr>
                <w:color w:val="auto"/>
              </w:rPr>
            </w:pPr>
            <w:r>
              <w:rPr>
                <w:rFonts w:hint="eastAsia"/>
                <w:color w:val="auto"/>
              </w:rPr>
              <w:t>3.内存：≥8.2GB+128GB</w:t>
            </w:r>
          </w:p>
          <w:p w14:paraId="2E4E39F6">
            <w:pPr>
              <w:pStyle w:val="18"/>
              <w:rPr>
                <w:color w:val="auto"/>
              </w:rPr>
            </w:pPr>
            <w:r>
              <w:rPr>
                <w:rFonts w:hint="eastAsia"/>
                <w:color w:val="auto"/>
              </w:rPr>
              <w:t>4.nano SIM卡+nano SIM卡/nano SIM卡+TF卡</w:t>
            </w:r>
          </w:p>
          <w:p w14:paraId="0A12641E">
            <w:pPr>
              <w:pStyle w:val="18"/>
              <w:rPr>
                <w:color w:val="auto"/>
              </w:rPr>
            </w:pPr>
            <w:r>
              <w:rPr>
                <w:rFonts w:hint="eastAsia"/>
                <w:color w:val="auto"/>
              </w:rPr>
              <w:t>5.接口：Type C USB接口,OTG接口</w:t>
            </w:r>
          </w:p>
          <w:p w14:paraId="7E978CE4">
            <w:pPr>
              <w:pStyle w:val="18"/>
              <w:rPr>
                <w:color w:val="auto"/>
              </w:rPr>
            </w:pPr>
            <w:r>
              <w:rPr>
                <w:rFonts w:hint="eastAsia"/>
                <w:color w:val="auto"/>
              </w:rPr>
              <w:t>6.显示屏幕：≥5.5寸  分辨率≥1440*720</w:t>
            </w:r>
          </w:p>
          <w:p w14:paraId="1704F74C">
            <w:pPr>
              <w:pStyle w:val="18"/>
              <w:rPr>
                <w:color w:val="auto"/>
              </w:rPr>
            </w:pPr>
            <w:r>
              <w:rPr>
                <w:rFonts w:hint="eastAsia"/>
                <w:color w:val="auto"/>
              </w:rPr>
              <w:t>7.电源≥ 5000mAh锂离子电池，不可拆卸</w:t>
            </w:r>
          </w:p>
          <w:p w14:paraId="348FEAD0">
            <w:pPr>
              <w:pStyle w:val="18"/>
              <w:rPr>
                <w:color w:val="auto"/>
              </w:rPr>
            </w:pPr>
            <w:r>
              <w:rPr>
                <w:rFonts w:hint="eastAsia"/>
                <w:color w:val="auto"/>
              </w:rPr>
              <w:t>8.快充：设备支持≥18W快充</w:t>
            </w:r>
          </w:p>
          <w:p w14:paraId="102FFCFD">
            <w:pPr>
              <w:pStyle w:val="18"/>
              <w:rPr>
                <w:color w:val="auto"/>
              </w:rPr>
            </w:pPr>
            <w:r>
              <w:rPr>
                <w:rFonts w:hint="eastAsia"/>
                <w:color w:val="auto"/>
              </w:rPr>
              <w:t>9.指纹识别：支持背部指纹识别</w:t>
            </w:r>
          </w:p>
          <w:p w14:paraId="1C093E12">
            <w:pPr>
              <w:pStyle w:val="18"/>
              <w:rPr>
                <w:color w:val="auto"/>
              </w:rPr>
            </w:pPr>
            <w:r>
              <w:rPr>
                <w:rFonts w:hint="eastAsia"/>
                <w:color w:val="auto"/>
              </w:rPr>
              <w:t>10.声音、振动器、LED灯指示</w:t>
            </w:r>
          </w:p>
          <w:p w14:paraId="299EE8F2">
            <w:pPr>
              <w:pStyle w:val="18"/>
              <w:rPr>
                <w:color w:val="auto"/>
              </w:rPr>
            </w:pPr>
            <w:r>
              <w:rPr>
                <w:rFonts w:hint="eastAsia"/>
                <w:color w:val="auto"/>
              </w:rPr>
              <w:t>11.传感器：重力传感器（G-Sensor）、接近传感器、光线传感器</w:t>
            </w:r>
          </w:p>
          <w:p w14:paraId="505B4C6D">
            <w:pPr>
              <w:pStyle w:val="18"/>
              <w:rPr>
                <w:color w:val="auto"/>
              </w:rPr>
            </w:pPr>
            <w:r>
              <w:rPr>
                <w:rFonts w:hint="eastAsia"/>
                <w:color w:val="auto"/>
              </w:rPr>
              <w:t>12.重量：≤230g（含电池）</w:t>
            </w:r>
          </w:p>
          <w:p w14:paraId="598FDA7F">
            <w:pPr>
              <w:pStyle w:val="18"/>
              <w:rPr>
                <w:color w:val="auto"/>
              </w:rPr>
            </w:pPr>
            <w:r>
              <w:rPr>
                <w:rFonts w:hint="eastAsia"/>
                <w:color w:val="auto"/>
              </w:rPr>
              <w:t>13.工作温度：-20℃至+60℃</w:t>
            </w:r>
          </w:p>
          <w:p w14:paraId="7EBE1F5D">
            <w:pPr>
              <w:pStyle w:val="18"/>
              <w:rPr>
                <w:color w:val="auto"/>
              </w:rPr>
            </w:pPr>
            <w:r>
              <w:rPr>
                <w:rFonts w:hint="eastAsia"/>
                <w:color w:val="auto"/>
              </w:rPr>
              <w:t>14.存储温度：-40℃至+60℃</w:t>
            </w:r>
          </w:p>
          <w:p w14:paraId="5EC61BD5">
            <w:pPr>
              <w:pStyle w:val="18"/>
              <w:rPr>
                <w:color w:val="auto"/>
              </w:rPr>
            </w:pPr>
            <w:r>
              <w:rPr>
                <w:rFonts w:hint="eastAsia"/>
                <w:color w:val="auto"/>
              </w:rPr>
              <w:t>15.湿度：0 - 95% RH 无凝露状态</w:t>
            </w:r>
          </w:p>
          <w:p w14:paraId="7126ADB1">
            <w:pPr>
              <w:pStyle w:val="18"/>
              <w:rPr>
                <w:color w:val="auto"/>
              </w:rPr>
            </w:pPr>
            <w:r>
              <w:rPr>
                <w:rFonts w:hint="eastAsia"/>
                <w:color w:val="auto"/>
              </w:rPr>
              <w:t>16.工业：等级IP68及以上</w:t>
            </w:r>
          </w:p>
          <w:p w14:paraId="73E24E0B">
            <w:pPr>
              <w:pStyle w:val="18"/>
              <w:rPr>
                <w:color w:val="auto"/>
              </w:rPr>
            </w:pPr>
            <w:r>
              <w:rPr>
                <w:rFonts w:hint="eastAsia"/>
                <w:color w:val="auto"/>
              </w:rPr>
              <w:t>17.跌落等级：1.5m及以上</w:t>
            </w:r>
          </w:p>
          <w:p w14:paraId="4BD8E7D1">
            <w:pPr>
              <w:pStyle w:val="18"/>
              <w:rPr>
                <w:color w:val="auto"/>
              </w:rPr>
            </w:pPr>
            <w:r>
              <w:rPr>
                <w:rFonts w:hint="eastAsia"/>
                <w:color w:val="auto"/>
              </w:rPr>
              <w:t>18.摄像头：支持双摄像头（前置≥500万像素与后置≥1300万像素）</w:t>
            </w:r>
          </w:p>
          <w:p w14:paraId="5B422573">
            <w:pPr>
              <w:pStyle w:val="18"/>
              <w:rPr>
                <w:color w:val="auto"/>
              </w:rPr>
            </w:pPr>
            <w:r>
              <w:rPr>
                <w:rFonts w:hint="eastAsia"/>
                <w:color w:val="auto"/>
              </w:rPr>
              <w:t>19.条码引擎：支持国际通用的一维条码与二维条码</w:t>
            </w:r>
          </w:p>
          <w:p w14:paraId="13A39588">
            <w:pPr>
              <w:pStyle w:val="18"/>
              <w:rPr>
                <w:color w:val="auto"/>
              </w:rPr>
            </w:pPr>
            <w:r>
              <w:rPr>
                <w:rFonts w:hint="eastAsia"/>
                <w:color w:val="auto"/>
              </w:rPr>
              <w:t>20.NFC：支持NFC</w:t>
            </w:r>
          </w:p>
          <w:p w14:paraId="05AC3357">
            <w:pPr>
              <w:pStyle w:val="18"/>
              <w:rPr>
                <w:color w:val="auto"/>
              </w:rPr>
            </w:pPr>
            <w:r>
              <w:rPr>
                <w:rFonts w:hint="eastAsia"/>
                <w:color w:val="auto"/>
              </w:rPr>
              <w:t>21.定位：GPS/Glonass/北斗/AGPS/伽利略/QZSS</w:t>
            </w:r>
          </w:p>
          <w:p w14:paraId="3A3A352C">
            <w:pPr>
              <w:pStyle w:val="18"/>
              <w:rPr>
                <w:color w:val="auto"/>
              </w:rPr>
            </w:pPr>
            <w:r>
              <w:rPr>
                <w:rFonts w:hint="eastAsia"/>
                <w:color w:val="auto"/>
              </w:rPr>
              <w:t>22.WIFI：Wi-Fi 802.11 a/b/g/n/ac/d/e/h/i/j/k/r/v/w（双频 Wi-Fi: 2.4G+5G），具有Wifi 5GPA放大器功能</w:t>
            </w:r>
          </w:p>
          <w:p w14:paraId="6616A509">
            <w:pPr>
              <w:pStyle w:val="18"/>
              <w:rPr>
                <w:color w:val="auto"/>
              </w:rPr>
            </w:pPr>
            <w:r>
              <w:rPr>
                <w:rFonts w:hint="eastAsia"/>
                <w:color w:val="auto"/>
              </w:rPr>
              <w:t>23.网络：4G全网通</w:t>
            </w:r>
          </w:p>
          <w:p w14:paraId="0DC63220">
            <w:pPr>
              <w:pStyle w:val="18"/>
              <w:rPr>
                <w:color w:val="auto"/>
              </w:rPr>
            </w:pPr>
            <w:r>
              <w:rPr>
                <w:rFonts w:hint="eastAsia"/>
                <w:color w:val="auto"/>
              </w:rPr>
              <w:t>24.蓝牙：Bluetooth 5.0，支持BLE</w:t>
            </w:r>
          </w:p>
          <w:p w14:paraId="077D9FAA">
            <w:pPr>
              <w:pStyle w:val="18"/>
              <w:rPr>
                <w:color w:val="auto"/>
              </w:rPr>
            </w:pPr>
            <w:r>
              <w:rPr>
                <w:rFonts w:hint="eastAsia"/>
                <w:color w:val="auto"/>
              </w:rPr>
              <w:t>25.配件：USB数据线*1，电源适配器（充电）*1，手绳*1</w:t>
            </w:r>
          </w:p>
          <w:p w14:paraId="7962EC69">
            <w:pPr>
              <w:pStyle w:val="18"/>
              <w:rPr>
                <w:color w:val="auto"/>
              </w:rPr>
            </w:pPr>
            <w:r>
              <w:rPr>
                <w:rFonts w:hint="eastAsia"/>
                <w:color w:val="auto"/>
              </w:rPr>
              <w:t>26.消毒：为防止感染，设备需能经受过氧化氢及酒精擦拭，耐盐雾</w:t>
            </w:r>
          </w:p>
          <w:p w14:paraId="57BED24D">
            <w:pPr>
              <w:pStyle w:val="18"/>
              <w:rPr>
                <w:color w:val="auto"/>
              </w:rPr>
            </w:pPr>
            <w:r>
              <w:rPr>
                <w:rFonts w:hint="eastAsia"/>
                <w:color w:val="auto"/>
              </w:rPr>
              <w:t>27.设备认证：3C、CTA、SRRC、ROHS检测报告</w:t>
            </w:r>
          </w:p>
        </w:tc>
        <w:tc>
          <w:tcPr>
            <w:tcW w:w="370" w:type="pct"/>
            <w:vAlign w:val="center"/>
          </w:tcPr>
          <w:p w14:paraId="4E96BC1F">
            <w:pPr>
              <w:pStyle w:val="18"/>
              <w:jc w:val="center"/>
              <w:rPr>
                <w:color w:val="auto"/>
              </w:rPr>
            </w:pPr>
            <w:r>
              <w:rPr>
                <w:rFonts w:hint="eastAsia"/>
                <w:color w:val="auto"/>
              </w:rPr>
              <w:t>70</w:t>
            </w:r>
          </w:p>
        </w:tc>
        <w:tc>
          <w:tcPr>
            <w:tcW w:w="275" w:type="pct"/>
            <w:vAlign w:val="center"/>
          </w:tcPr>
          <w:p w14:paraId="07BBDD89">
            <w:pPr>
              <w:pStyle w:val="18"/>
              <w:jc w:val="center"/>
              <w:rPr>
                <w:color w:val="auto"/>
              </w:rPr>
            </w:pPr>
            <w:r>
              <w:rPr>
                <w:rFonts w:hint="eastAsia"/>
                <w:color w:val="auto"/>
              </w:rPr>
              <w:t>台</w:t>
            </w:r>
          </w:p>
        </w:tc>
      </w:tr>
      <w:tr w14:paraId="365B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0F48F765">
            <w:pPr>
              <w:pStyle w:val="18"/>
              <w:rPr>
                <w:b w:val="0"/>
                <w:color w:val="auto"/>
              </w:rPr>
            </w:pPr>
            <w:r>
              <w:rPr>
                <w:rFonts w:hint="eastAsia"/>
                <w:b w:val="0"/>
                <w:color w:val="auto"/>
              </w:rPr>
              <w:t>2</w:t>
            </w:r>
          </w:p>
        </w:tc>
        <w:tc>
          <w:tcPr>
            <w:tcW w:w="918" w:type="pct"/>
            <w:vAlign w:val="center"/>
          </w:tcPr>
          <w:p w14:paraId="7D4794FC">
            <w:pPr>
              <w:pStyle w:val="18"/>
              <w:jc w:val="center"/>
              <w:rPr>
                <w:color w:val="auto"/>
              </w:rPr>
            </w:pPr>
            <w:r>
              <w:rPr>
                <w:rFonts w:hint="eastAsia"/>
                <w:color w:val="auto"/>
              </w:rPr>
              <w:t>护理大屏</w:t>
            </w:r>
          </w:p>
        </w:tc>
        <w:tc>
          <w:tcPr>
            <w:tcW w:w="3161" w:type="pct"/>
            <w:vAlign w:val="center"/>
          </w:tcPr>
          <w:p w14:paraId="2BED27A4">
            <w:pPr>
              <w:pStyle w:val="18"/>
              <w:rPr>
                <w:color w:val="auto"/>
              </w:rPr>
            </w:pPr>
            <w:r>
              <w:rPr>
                <w:rFonts w:hint="eastAsia"/>
                <w:color w:val="auto"/>
              </w:rPr>
              <w:t>能够适配：1、作为护士站的智能交互平台，通过整合医疗数据和物联设备，实现病区信息可视化与流程数字化，集成患者监护、护理管理与医患交互功能，动态显示患者护理级别、高危预警、医嘱执行进度，自动推送待办任务。2、智能统计并展示今日入院、今日出院、病重、病危、今日转入、今日转出，护理级别，护理信息，调床信息，手术安排，检查安排，护理备注、重要通知等信息。</w:t>
            </w:r>
          </w:p>
          <w:p w14:paraId="2DDFE0B7">
            <w:pPr>
              <w:pStyle w:val="18"/>
              <w:rPr>
                <w:color w:val="auto"/>
              </w:rPr>
            </w:pPr>
            <w:r>
              <w:rPr>
                <w:rFonts w:hint="eastAsia"/>
                <w:color w:val="auto"/>
              </w:rPr>
              <w:t>液晶等级 全新A+液晶显示面板</w:t>
            </w:r>
          </w:p>
          <w:p w14:paraId="5C76F54D">
            <w:pPr>
              <w:pStyle w:val="18"/>
              <w:rPr>
                <w:color w:val="auto"/>
              </w:rPr>
            </w:pPr>
            <w:r>
              <w:rPr>
                <w:rFonts w:hint="eastAsia"/>
                <w:color w:val="auto"/>
              </w:rPr>
              <w:t>面板尺寸 ≥65英寸</w:t>
            </w:r>
          </w:p>
          <w:p w14:paraId="4B5461ED">
            <w:pPr>
              <w:pStyle w:val="18"/>
              <w:rPr>
                <w:color w:val="auto"/>
              </w:rPr>
            </w:pPr>
            <w:r>
              <w:rPr>
                <w:rFonts w:hint="eastAsia"/>
                <w:color w:val="auto"/>
              </w:rPr>
              <w:t>分 辨 率 ≥3840*2160</w:t>
            </w:r>
          </w:p>
          <w:p w14:paraId="7C8CD6E7">
            <w:pPr>
              <w:pStyle w:val="18"/>
              <w:rPr>
                <w:color w:val="auto"/>
              </w:rPr>
            </w:pPr>
            <w:r>
              <w:rPr>
                <w:rFonts w:hint="eastAsia"/>
                <w:color w:val="auto"/>
              </w:rPr>
              <w:t>可视角度 ≥89/89/89/89</w:t>
            </w:r>
          </w:p>
          <w:p w14:paraId="7C1BDABA">
            <w:pPr>
              <w:pStyle w:val="18"/>
              <w:rPr>
                <w:color w:val="auto"/>
              </w:rPr>
            </w:pPr>
            <w:r>
              <w:rPr>
                <w:rFonts w:hint="eastAsia"/>
                <w:color w:val="auto"/>
              </w:rPr>
              <w:t>显示面积 ≥1428.5*803.5mm（H×V）</w:t>
            </w:r>
          </w:p>
          <w:p w14:paraId="339FB739">
            <w:pPr>
              <w:pStyle w:val="18"/>
              <w:rPr>
                <w:color w:val="auto"/>
              </w:rPr>
            </w:pPr>
            <w:r>
              <w:rPr>
                <w:rFonts w:hint="eastAsia"/>
                <w:color w:val="auto"/>
              </w:rPr>
              <w:t>显示比例 16:9</w:t>
            </w:r>
          </w:p>
          <w:p w14:paraId="1B0166DE">
            <w:pPr>
              <w:pStyle w:val="18"/>
              <w:rPr>
                <w:color w:val="auto"/>
              </w:rPr>
            </w:pPr>
            <w:r>
              <w:rPr>
                <w:rFonts w:hint="eastAsia"/>
                <w:color w:val="auto"/>
              </w:rPr>
              <w:t>背光类型 E-LDE</w:t>
            </w:r>
          </w:p>
          <w:p w14:paraId="2887F6EC">
            <w:pPr>
              <w:pStyle w:val="18"/>
              <w:rPr>
                <w:color w:val="auto"/>
              </w:rPr>
            </w:pPr>
            <w:r>
              <w:rPr>
                <w:rFonts w:hint="eastAsia"/>
                <w:color w:val="auto"/>
              </w:rPr>
              <w:t>屏幕亮度 ≥350cd/m2（典型值）</w:t>
            </w:r>
          </w:p>
          <w:p w14:paraId="5E353C58">
            <w:pPr>
              <w:pStyle w:val="18"/>
              <w:rPr>
                <w:color w:val="auto"/>
              </w:rPr>
            </w:pPr>
            <w:r>
              <w:rPr>
                <w:rFonts w:hint="eastAsia"/>
                <w:color w:val="auto"/>
              </w:rPr>
              <w:t>刷新频率 ≥60HZ</w:t>
            </w:r>
          </w:p>
          <w:p w14:paraId="5CAD10BD">
            <w:pPr>
              <w:pStyle w:val="18"/>
              <w:rPr>
                <w:color w:val="auto"/>
              </w:rPr>
            </w:pPr>
            <w:r>
              <w:rPr>
                <w:rFonts w:hint="eastAsia"/>
                <w:color w:val="auto"/>
              </w:rPr>
              <w:t>表面处理 雾面（Haze1%）</w:t>
            </w:r>
          </w:p>
          <w:p w14:paraId="12761C53">
            <w:pPr>
              <w:pStyle w:val="18"/>
              <w:rPr>
                <w:color w:val="auto"/>
              </w:rPr>
            </w:pPr>
            <w:r>
              <w:rPr>
                <w:rFonts w:hint="eastAsia"/>
                <w:color w:val="auto"/>
              </w:rPr>
              <w:t>支持颜色 16.7M(8-bit)</w:t>
            </w:r>
          </w:p>
          <w:p w14:paraId="45451520">
            <w:pPr>
              <w:pStyle w:val="18"/>
              <w:rPr>
                <w:color w:val="auto"/>
              </w:rPr>
            </w:pPr>
            <w:r>
              <w:rPr>
                <w:rFonts w:hint="eastAsia"/>
                <w:color w:val="auto"/>
              </w:rPr>
              <w:t>触摸方案 非接触式红外感应技术</w:t>
            </w:r>
          </w:p>
          <w:p w14:paraId="1BDB6AE4">
            <w:pPr>
              <w:pStyle w:val="18"/>
              <w:rPr>
                <w:color w:val="auto"/>
              </w:rPr>
            </w:pPr>
            <w:r>
              <w:rPr>
                <w:rFonts w:hint="eastAsia"/>
                <w:color w:val="auto"/>
              </w:rPr>
              <w:t>触摸寿命 ＞50000万次</w:t>
            </w:r>
          </w:p>
          <w:p w14:paraId="640B5174">
            <w:pPr>
              <w:pStyle w:val="18"/>
              <w:rPr>
                <w:color w:val="auto"/>
              </w:rPr>
            </w:pPr>
            <w:r>
              <w:rPr>
                <w:rFonts w:hint="eastAsia"/>
                <w:color w:val="auto"/>
              </w:rPr>
              <w:t>触摸点数 默认10点触摸</w:t>
            </w:r>
          </w:p>
          <w:p w14:paraId="49FE2714">
            <w:pPr>
              <w:pStyle w:val="18"/>
              <w:rPr>
                <w:color w:val="auto"/>
              </w:rPr>
            </w:pPr>
            <w:r>
              <w:rPr>
                <w:rFonts w:hint="eastAsia"/>
                <w:color w:val="auto"/>
              </w:rPr>
              <w:t>触摸表面 4mm钢化玻璃(物理钢化莫氏7级防爆,防眩光，蚀刻需要特殊定制）</w:t>
            </w:r>
          </w:p>
          <w:p w14:paraId="1DB3D93E">
            <w:pPr>
              <w:pStyle w:val="18"/>
              <w:rPr>
                <w:color w:val="auto"/>
              </w:rPr>
            </w:pPr>
            <w:r>
              <w:rPr>
                <w:rFonts w:hint="eastAsia"/>
                <w:color w:val="auto"/>
              </w:rPr>
              <w:t>响应速度 单点模式：点击8ms 连续 3ms</w:t>
            </w:r>
          </w:p>
          <w:p w14:paraId="38A69BF6">
            <w:pPr>
              <w:pStyle w:val="18"/>
              <w:rPr>
                <w:color w:val="auto"/>
              </w:rPr>
            </w:pPr>
            <w:r>
              <w:rPr>
                <w:rFonts w:hint="eastAsia"/>
                <w:color w:val="auto"/>
              </w:rPr>
              <w:t>多点模式：点击 8ms 连续 5-8ms</w:t>
            </w:r>
          </w:p>
          <w:p w14:paraId="7E5BE79C">
            <w:pPr>
              <w:pStyle w:val="18"/>
              <w:rPr>
                <w:color w:val="auto"/>
              </w:rPr>
            </w:pPr>
            <w:r>
              <w:rPr>
                <w:rFonts w:hint="eastAsia"/>
                <w:color w:val="auto"/>
              </w:rPr>
              <w:t>触摸精度 ≦2mm</w:t>
            </w:r>
          </w:p>
          <w:p w14:paraId="47CE514F">
            <w:pPr>
              <w:pStyle w:val="18"/>
              <w:rPr>
                <w:color w:val="auto"/>
              </w:rPr>
            </w:pPr>
            <w:r>
              <w:rPr>
                <w:rFonts w:hint="eastAsia"/>
                <w:color w:val="auto"/>
              </w:rPr>
              <w:t>触摸方式 手指或者触摸笔</w:t>
            </w:r>
          </w:p>
          <w:p w14:paraId="4031DB3A">
            <w:pPr>
              <w:pStyle w:val="18"/>
              <w:rPr>
                <w:color w:val="auto"/>
              </w:rPr>
            </w:pPr>
            <w:r>
              <w:rPr>
                <w:rFonts w:hint="eastAsia"/>
                <w:color w:val="auto"/>
              </w:rPr>
              <w:t>输出方式 坐标</w:t>
            </w:r>
          </w:p>
          <w:p w14:paraId="3DA68496">
            <w:pPr>
              <w:pStyle w:val="18"/>
              <w:rPr>
                <w:color w:val="auto"/>
              </w:rPr>
            </w:pPr>
            <w:r>
              <w:rPr>
                <w:rFonts w:hint="eastAsia"/>
                <w:color w:val="auto"/>
              </w:rPr>
              <w:t>抗光性能 白炽灯(220V,100W)，垂直距离350mm以上太阳光射的照度达90000Lux</w:t>
            </w:r>
          </w:p>
          <w:p w14:paraId="089016F1">
            <w:pPr>
              <w:pStyle w:val="18"/>
              <w:rPr>
                <w:color w:val="auto"/>
              </w:rPr>
            </w:pPr>
            <w:r>
              <w:rPr>
                <w:rFonts w:hint="eastAsia"/>
                <w:color w:val="auto"/>
              </w:rPr>
              <w:t>驱动方式 USB免驱</w:t>
            </w:r>
          </w:p>
          <w:p w14:paraId="3FF81CA7">
            <w:pPr>
              <w:pStyle w:val="18"/>
              <w:rPr>
                <w:color w:val="auto"/>
              </w:rPr>
            </w:pPr>
            <w:r>
              <w:rPr>
                <w:rFonts w:hint="eastAsia"/>
                <w:color w:val="auto"/>
              </w:rPr>
              <w:t>操作系统 Android</w:t>
            </w:r>
          </w:p>
          <w:p w14:paraId="61158EFA">
            <w:pPr>
              <w:pStyle w:val="18"/>
              <w:rPr>
                <w:color w:val="auto"/>
              </w:rPr>
            </w:pPr>
            <w:r>
              <w:rPr>
                <w:rFonts w:hint="eastAsia"/>
                <w:color w:val="auto"/>
              </w:rPr>
              <w:t>系统版本 ≥11.0</w:t>
            </w:r>
          </w:p>
          <w:p w14:paraId="0A46509D">
            <w:pPr>
              <w:pStyle w:val="18"/>
              <w:rPr>
                <w:color w:val="auto"/>
              </w:rPr>
            </w:pPr>
            <w:r>
              <w:rPr>
                <w:rFonts w:hint="eastAsia"/>
                <w:color w:val="auto"/>
              </w:rPr>
              <w:t>主板芯片 RK3568或优于</w:t>
            </w:r>
          </w:p>
          <w:p w14:paraId="01DCB8C2">
            <w:pPr>
              <w:pStyle w:val="18"/>
              <w:rPr>
                <w:color w:val="auto"/>
              </w:rPr>
            </w:pPr>
            <w:r>
              <w:rPr>
                <w:rFonts w:hint="eastAsia"/>
                <w:color w:val="auto"/>
              </w:rPr>
              <w:t>运行内存 ≥DDR3 2GB</w:t>
            </w:r>
          </w:p>
          <w:p w14:paraId="5E1C92AF">
            <w:pPr>
              <w:pStyle w:val="18"/>
              <w:rPr>
                <w:color w:val="auto"/>
              </w:rPr>
            </w:pPr>
            <w:r>
              <w:rPr>
                <w:rFonts w:hint="eastAsia"/>
                <w:color w:val="auto"/>
              </w:rPr>
              <w:t>存储内存 ≥EMMC FLASH 16GB</w:t>
            </w:r>
          </w:p>
          <w:p w14:paraId="336F3218">
            <w:pPr>
              <w:pStyle w:val="18"/>
              <w:rPr>
                <w:color w:val="auto"/>
              </w:rPr>
            </w:pPr>
            <w:r>
              <w:rPr>
                <w:rFonts w:hint="eastAsia"/>
                <w:color w:val="auto"/>
              </w:rPr>
              <w:t>输入接口 USB*2 TF卡槽*1</w:t>
            </w:r>
          </w:p>
          <w:p w14:paraId="2848B6BF">
            <w:pPr>
              <w:pStyle w:val="18"/>
              <w:rPr>
                <w:color w:val="auto"/>
              </w:rPr>
            </w:pPr>
            <w:r>
              <w:rPr>
                <w:rFonts w:hint="eastAsia"/>
                <w:color w:val="auto"/>
              </w:rPr>
              <w:t>输出接口 HDMI*1</w:t>
            </w:r>
          </w:p>
          <w:p w14:paraId="361F10F5">
            <w:pPr>
              <w:pStyle w:val="18"/>
              <w:rPr>
                <w:color w:val="auto"/>
              </w:rPr>
            </w:pPr>
            <w:r>
              <w:rPr>
                <w:rFonts w:hint="eastAsia"/>
                <w:color w:val="auto"/>
              </w:rPr>
              <w:t>音频接口 3.5耳机座*1</w:t>
            </w:r>
          </w:p>
          <w:p w14:paraId="29FE0EC0">
            <w:pPr>
              <w:pStyle w:val="18"/>
              <w:rPr>
                <w:color w:val="auto"/>
              </w:rPr>
            </w:pPr>
            <w:r>
              <w:rPr>
                <w:rFonts w:hint="eastAsia"/>
                <w:color w:val="auto"/>
              </w:rPr>
              <w:t>网络通信 WiFi+以太网</w:t>
            </w:r>
          </w:p>
          <w:p w14:paraId="20CAFD9E">
            <w:pPr>
              <w:pStyle w:val="18"/>
              <w:rPr>
                <w:color w:val="auto"/>
              </w:rPr>
            </w:pPr>
            <w:r>
              <w:rPr>
                <w:rFonts w:hint="eastAsia"/>
                <w:color w:val="auto"/>
              </w:rPr>
              <w:t>预装软件 信息发布软件</w:t>
            </w:r>
          </w:p>
          <w:p w14:paraId="3EEB4FBC">
            <w:pPr>
              <w:pStyle w:val="18"/>
              <w:rPr>
                <w:color w:val="auto"/>
              </w:rPr>
            </w:pPr>
            <w:r>
              <w:rPr>
                <w:rFonts w:hint="eastAsia"/>
                <w:color w:val="auto"/>
              </w:rPr>
              <w:t>软件支持 可安装第三方应用软件</w:t>
            </w:r>
          </w:p>
          <w:p w14:paraId="1FC09319">
            <w:pPr>
              <w:pStyle w:val="18"/>
              <w:rPr>
                <w:color w:val="auto"/>
              </w:rPr>
            </w:pPr>
            <w:r>
              <w:rPr>
                <w:rFonts w:hint="eastAsia"/>
                <w:color w:val="auto"/>
              </w:rPr>
              <w:t>开机方式 通电自启</w:t>
            </w:r>
          </w:p>
          <w:p w14:paraId="2AE9FBCB">
            <w:pPr>
              <w:pStyle w:val="18"/>
              <w:rPr>
                <w:color w:val="auto"/>
              </w:rPr>
            </w:pPr>
            <w:r>
              <w:rPr>
                <w:rFonts w:hint="eastAsia"/>
                <w:color w:val="auto"/>
              </w:rPr>
              <w:t>系统权限 开放root 权限，可进行软件定制开发</w:t>
            </w:r>
          </w:p>
          <w:p w14:paraId="17755A54">
            <w:pPr>
              <w:pStyle w:val="18"/>
              <w:rPr>
                <w:color w:val="auto"/>
              </w:rPr>
            </w:pPr>
            <w:r>
              <w:rPr>
                <w:rFonts w:hint="eastAsia"/>
                <w:color w:val="auto"/>
              </w:rPr>
              <w:t>定时开关 支持自定义开关时间</w:t>
            </w:r>
          </w:p>
          <w:p w14:paraId="68D9906D">
            <w:pPr>
              <w:pStyle w:val="18"/>
              <w:rPr>
                <w:color w:val="auto"/>
              </w:rPr>
            </w:pPr>
            <w:r>
              <w:rPr>
                <w:rFonts w:hint="eastAsia"/>
                <w:color w:val="auto"/>
              </w:rPr>
              <w:t>语言选择 支持中文、繁体、英语等多国语言</w:t>
            </w:r>
          </w:p>
          <w:p w14:paraId="2F09D860">
            <w:pPr>
              <w:pStyle w:val="18"/>
              <w:rPr>
                <w:color w:val="auto"/>
              </w:rPr>
            </w:pPr>
            <w:r>
              <w:rPr>
                <w:rFonts w:hint="eastAsia"/>
                <w:color w:val="auto"/>
              </w:rPr>
              <w:t>屏幕旋转 支持0°、90°、180°、270旋转屏幕显示</w:t>
            </w:r>
          </w:p>
          <w:p w14:paraId="55EED2C7">
            <w:pPr>
              <w:pStyle w:val="18"/>
              <w:rPr>
                <w:color w:val="auto"/>
              </w:rPr>
            </w:pPr>
            <w:r>
              <w:rPr>
                <w:rFonts w:hint="eastAsia"/>
                <w:color w:val="auto"/>
              </w:rPr>
              <w:t>定制化 可自定义开机LOGO</w:t>
            </w:r>
          </w:p>
          <w:p w14:paraId="48D4EEEF">
            <w:pPr>
              <w:pStyle w:val="18"/>
              <w:rPr>
                <w:color w:val="auto"/>
              </w:rPr>
            </w:pPr>
            <w:r>
              <w:rPr>
                <w:rFonts w:hint="eastAsia"/>
                <w:color w:val="auto"/>
              </w:rPr>
              <w:t>音频功能 内置两个高功率优质高音喇叭</w:t>
            </w:r>
          </w:p>
          <w:p w14:paraId="2ACF619A">
            <w:pPr>
              <w:pStyle w:val="18"/>
              <w:rPr>
                <w:color w:val="auto"/>
              </w:rPr>
            </w:pPr>
            <w:r>
              <w:rPr>
                <w:rFonts w:hint="eastAsia"/>
                <w:color w:val="auto"/>
              </w:rPr>
              <w:t>鼠键功能 支持有线/无线鼠标、键盘热拔插</w:t>
            </w:r>
          </w:p>
          <w:p w14:paraId="3E2B89B3">
            <w:pPr>
              <w:pStyle w:val="18"/>
              <w:rPr>
                <w:color w:val="auto"/>
              </w:rPr>
            </w:pPr>
            <w:r>
              <w:rPr>
                <w:rFonts w:hint="eastAsia"/>
                <w:color w:val="auto"/>
              </w:rPr>
              <w:t>USB功能 升级/播放媒体文件/外接设备</w:t>
            </w:r>
          </w:p>
        </w:tc>
        <w:tc>
          <w:tcPr>
            <w:tcW w:w="370" w:type="pct"/>
            <w:vAlign w:val="center"/>
          </w:tcPr>
          <w:p w14:paraId="274E5F23">
            <w:pPr>
              <w:pStyle w:val="18"/>
              <w:jc w:val="center"/>
              <w:rPr>
                <w:color w:val="auto"/>
              </w:rPr>
            </w:pPr>
            <w:r>
              <w:rPr>
                <w:rFonts w:hint="eastAsia"/>
                <w:color w:val="auto"/>
              </w:rPr>
              <w:t>13</w:t>
            </w:r>
          </w:p>
        </w:tc>
        <w:tc>
          <w:tcPr>
            <w:tcW w:w="275" w:type="pct"/>
            <w:vAlign w:val="center"/>
          </w:tcPr>
          <w:p w14:paraId="04A483A8">
            <w:pPr>
              <w:pStyle w:val="18"/>
              <w:jc w:val="center"/>
              <w:rPr>
                <w:color w:val="auto"/>
              </w:rPr>
            </w:pPr>
            <w:r>
              <w:rPr>
                <w:rFonts w:hint="eastAsia"/>
                <w:color w:val="auto"/>
              </w:rPr>
              <w:t>台</w:t>
            </w:r>
          </w:p>
        </w:tc>
      </w:tr>
    </w:tbl>
    <w:p w14:paraId="518DF499">
      <w:pPr>
        <w:pStyle w:val="4"/>
        <w:numPr>
          <w:ilvl w:val="1"/>
          <w:numId w:val="0"/>
        </w:numPr>
        <w:ind w:left="576" w:leftChars="0" w:hanging="576" w:firstLineChars="0"/>
        <w:rPr>
          <w:color w:val="auto"/>
        </w:rPr>
      </w:pPr>
      <w:r>
        <w:rPr>
          <w:rFonts w:hint="eastAsia" w:cs="Times New Roman"/>
          <w:b/>
          <w:bCs/>
          <w:color w:val="auto"/>
          <w:kern w:val="2"/>
          <w:sz w:val="32"/>
          <w:szCs w:val="32"/>
          <w:lang w:val="en-US" w:eastAsia="zh-CN" w:bidi="ar-SA"/>
        </w:rPr>
        <w:t>2</w:t>
      </w:r>
      <w:r>
        <w:rPr>
          <w:rFonts w:hint="eastAsia" w:ascii="Times New Roman" w:hAnsi="Times New Roman" w:eastAsia="宋体" w:cs="Times New Roman"/>
          <w:b/>
          <w:bCs/>
          <w:color w:val="auto"/>
          <w:kern w:val="2"/>
          <w:sz w:val="32"/>
          <w:szCs w:val="32"/>
          <w:lang w:val="en-US" w:eastAsia="zh-CN" w:bidi="ar-SA"/>
        </w:rPr>
        <w:t>.3</w:t>
      </w:r>
      <w:r>
        <w:rPr>
          <w:rFonts w:hint="eastAsia"/>
          <w:color w:val="auto"/>
        </w:rPr>
        <w:t>基础终端设施硬件设备</w:t>
      </w:r>
    </w:p>
    <w:tbl>
      <w:tblPr>
        <w:tblStyle w:val="9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845"/>
        <w:gridCol w:w="5388"/>
        <w:gridCol w:w="672"/>
        <w:gridCol w:w="493"/>
      </w:tblGrid>
      <w:tr w14:paraId="1995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shd w:val="clear" w:color="auto" w:fill="BEBEBE" w:themeFill="background1" w:themeFillShade="BF"/>
            <w:vAlign w:val="center"/>
          </w:tcPr>
          <w:p w14:paraId="6CA4C2D0">
            <w:pPr>
              <w:pStyle w:val="18"/>
              <w:jc w:val="center"/>
              <w:rPr>
                <w:b/>
                <w:color w:val="auto"/>
              </w:rPr>
            </w:pPr>
            <w:r>
              <w:rPr>
                <w:rFonts w:hint="eastAsia"/>
                <w:b/>
                <w:color w:val="auto"/>
              </w:rPr>
              <w:t>序号</w:t>
            </w:r>
          </w:p>
        </w:tc>
        <w:tc>
          <w:tcPr>
            <w:tcW w:w="1024" w:type="pct"/>
            <w:shd w:val="clear" w:color="auto" w:fill="BEBEBE" w:themeFill="background1" w:themeFillShade="BF"/>
            <w:vAlign w:val="center"/>
          </w:tcPr>
          <w:p w14:paraId="07D2A0F9">
            <w:pPr>
              <w:pStyle w:val="18"/>
              <w:jc w:val="center"/>
              <w:rPr>
                <w:b/>
                <w:color w:val="auto"/>
              </w:rPr>
            </w:pPr>
            <w:r>
              <w:rPr>
                <w:rFonts w:hint="eastAsia"/>
                <w:b/>
                <w:color w:val="auto"/>
              </w:rPr>
              <w:t>名称</w:t>
            </w:r>
          </w:p>
        </w:tc>
        <w:tc>
          <w:tcPr>
            <w:tcW w:w="2990" w:type="pct"/>
            <w:shd w:val="clear" w:color="auto" w:fill="BEBEBE" w:themeFill="background1" w:themeFillShade="BF"/>
            <w:vAlign w:val="center"/>
          </w:tcPr>
          <w:p w14:paraId="36762A3A">
            <w:pPr>
              <w:pStyle w:val="18"/>
              <w:jc w:val="center"/>
              <w:rPr>
                <w:b/>
                <w:color w:val="auto"/>
              </w:rPr>
            </w:pPr>
            <w:r>
              <w:rPr>
                <w:rFonts w:hint="eastAsia"/>
                <w:b/>
                <w:color w:val="auto"/>
              </w:rPr>
              <w:t>主要配置</w:t>
            </w:r>
          </w:p>
        </w:tc>
        <w:tc>
          <w:tcPr>
            <w:tcW w:w="373" w:type="pct"/>
            <w:shd w:val="clear" w:color="auto" w:fill="BEBEBE" w:themeFill="background1" w:themeFillShade="BF"/>
            <w:vAlign w:val="center"/>
          </w:tcPr>
          <w:p w14:paraId="6E3ECEA1">
            <w:pPr>
              <w:pStyle w:val="18"/>
              <w:jc w:val="center"/>
              <w:rPr>
                <w:b/>
                <w:color w:val="auto"/>
              </w:rPr>
            </w:pPr>
            <w:r>
              <w:rPr>
                <w:rFonts w:hint="eastAsia"/>
                <w:b/>
                <w:color w:val="auto"/>
              </w:rPr>
              <w:t>数量</w:t>
            </w:r>
          </w:p>
        </w:tc>
        <w:tc>
          <w:tcPr>
            <w:tcW w:w="274" w:type="pct"/>
            <w:shd w:val="clear" w:color="auto" w:fill="BEBEBE" w:themeFill="background1" w:themeFillShade="BF"/>
            <w:vAlign w:val="center"/>
          </w:tcPr>
          <w:p w14:paraId="7A89F557">
            <w:pPr>
              <w:pStyle w:val="18"/>
              <w:jc w:val="center"/>
              <w:rPr>
                <w:b/>
                <w:color w:val="auto"/>
              </w:rPr>
            </w:pPr>
            <w:r>
              <w:rPr>
                <w:rFonts w:hint="eastAsia"/>
                <w:b/>
                <w:color w:val="auto"/>
              </w:rPr>
              <w:t>单位</w:t>
            </w:r>
          </w:p>
        </w:tc>
      </w:tr>
      <w:tr w14:paraId="4CE3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403EC1CB">
            <w:pPr>
              <w:pStyle w:val="18"/>
              <w:rPr>
                <w:b w:val="0"/>
                <w:color w:val="auto"/>
              </w:rPr>
            </w:pPr>
            <w:r>
              <w:rPr>
                <w:rFonts w:hint="eastAsia"/>
                <w:b w:val="0"/>
                <w:color w:val="auto"/>
              </w:rPr>
              <w:t>1</w:t>
            </w:r>
          </w:p>
        </w:tc>
        <w:tc>
          <w:tcPr>
            <w:tcW w:w="4661" w:type="pct"/>
            <w:gridSpan w:val="4"/>
            <w:vAlign w:val="center"/>
          </w:tcPr>
          <w:p w14:paraId="09A653A1">
            <w:pPr>
              <w:pStyle w:val="18"/>
              <w:rPr>
                <w:color w:val="auto"/>
              </w:rPr>
            </w:pPr>
            <w:r>
              <w:rPr>
                <w:rFonts w:hint="eastAsia"/>
                <w:color w:val="auto"/>
              </w:rPr>
              <w:t>医技护工作站（PC）</w:t>
            </w:r>
          </w:p>
        </w:tc>
      </w:tr>
      <w:tr w14:paraId="5D51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984FAB7">
            <w:pPr>
              <w:pStyle w:val="18"/>
              <w:rPr>
                <w:b w:val="0"/>
                <w:color w:val="auto"/>
              </w:rPr>
            </w:pPr>
            <w:r>
              <w:rPr>
                <w:rFonts w:hint="eastAsia"/>
                <w:b w:val="0"/>
                <w:color w:val="auto"/>
              </w:rPr>
              <w:t>1.1</w:t>
            </w:r>
          </w:p>
        </w:tc>
        <w:tc>
          <w:tcPr>
            <w:tcW w:w="1024" w:type="pct"/>
            <w:vAlign w:val="center"/>
          </w:tcPr>
          <w:p w14:paraId="6D930C1B">
            <w:pPr>
              <w:pStyle w:val="18"/>
              <w:rPr>
                <w:color w:val="auto"/>
              </w:rPr>
            </w:pPr>
            <w:r>
              <w:rPr>
                <w:rFonts w:hint="eastAsia"/>
                <w:color w:val="auto"/>
              </w:rPr>
              <w:t>云桌面服务器</w:t>
            </w:r>
          </w:p>
        </w:tc>
        <w:tc>
          <w:tcPr>
            <w:tcW w:w="2990" w:type="pct"/>
            <w:vAlign w:val="center"/>
          </w:tcPr>
          <w:p w14:paraId="61D37E54">
            <w:pPr>
              <w:pStyle w:val="18"/>
              <w:rPr>
                <w:color w:val="auto"/>
              </w:rPr>
            </w:pPr>
            <w:r>
              <w:rPr>
                <w:rFonts w:hint="eastAsia"/>
                <w:color w:val="auto"/>
              </w:rPr>
              <w:t>1.机架式服务器；</w:t>
            </w:r>
          </w:p>
          <w:p w14:paraId="32D1E747">
            <w:pPr>
              <w:pStyle w:val="18"/>
              <w:rPr>
                <w:color w:val="auto"/>
              </w:rPr>
            </w:pPr>
            <w:r>
              <w:rPr>
                <w:rFonts w:hint="eastAsia"/>
                <w:color w:val="auto"/>
              </w:rPr>
              <w:t>2.CPU：≥2颗X86/C86架构处理器，核数≥10核，主频≥2.2GHz；</w:t>
            </w:r>
          </w:p>
          <w:p w14:paraId="25F9A782">
            <w:pPr>
              <w:pStyle w:val="18"/>
              <w:rPr>
                <w:color w:val="auto"/>
              </w:rPr>
            </w:pPr>
            <w:r>
              <w:rPr>
                <w:rFonts w:hint="eastAsia"/>
                <w:color w:val="auto"/>
              </w:rPr>
              <w:t>3.内存：≥128G；</w:t>
            </w:r>
          </w:p>
          <w:p w14:paraId="7B84EBD0">
            <w:pPr>
              <w:pStyle w:val="18"/>
              <w:rPr>
                <w:color w:val="auto"/>
              </w:rPr>
            </w:pPr>
            <w:r>
              <w:rPr>
                <w:rFonts w:hint="eastAsia"/>
                <w:color w:val="auto"/>
              </w:rPr>
              <w:t>4.硬盘：≥2*240G SSD，≥2*4T 7.2k HDD；独立RAID卡；</w:t>
            </w:r>
          </w:p>
          <w:p w14:paraId="781D6DD9">
            <w:pPr>
              <w:pStyle w:val="18"/>
              <w:rPr>
                <w:color w:val="auto"/>
              </w:rPr>
            </w:pPr>
            <w:r>
              <w:rPr>
                <w:rFonts w:hint="eastAsia"/>
                <w:color w:val="auto"/>
              </w:rPr>
              <w:t>5.网口：≥2*万兆光口，≥2*千兆电口；</w:t>
            </w:r>
          </w:p>
          <w:p w14:paraId="151D514C">
            <w:pPr>
              <w:pStyle w:val="18"/>
              <w:rPr>
                <w:color w:val="auto"/>
              </w:rPr>
            </w:pPr>
            <w:r>
              <w:rPr>
                <w:rFonts w:hint="eastAsia"/>
                <w:color w:val="auto"/>
              </w:rPr>
              <w:t>6.电源：≥500w，1+1冗余电源。</w:t>
            </w:r>
          </w:p>
          <w:p w14:paraId="2E9EAB12">
            <w:pPr>
              <w:pStyle w:val="18"/>
              <w:rPr>
                <w:color w:val="auto"/>
              </w:rPr>
            </w:pPr>
            <w:r>
              <w:rPr>
                <w:rFonts w:hint="eastAsia"/>
                <w:color w:val="auto"/>
              </w:rPr>
              <w:t>7.管理界面具备自定义菜单管理功能，在界面内可按需增加、修改、删除菜单类型、目录、位置等，简便用户运维管理。</w:t>
            </w:r>
          </w:p>
          <w:p w14:paraId="0F8AFA60">
            <w:pPr>
              <w:pStyle w:val="18"/>
              <w:rPr>
                <w:color w:val="auto"/>
              </w:rPr>
            </w:pPr>
            <w:r>
              <w:rPr>
                <w:rFonts w:hint="eastAsia"/>
                <w:color w:val="auto"/>
              </w:rPr>
              <w:t>8.具备虚拟机/虚拟机镜像回收站功能，可查看云主机名称、IP地址、资源占用（CPU/内存/硬盘）、云主机域、来源、操作系统等信息。</w:t>
            </w:r>
          </w:p>
          <w:p w14:paraId="4D9DB99A">
            <w:pPr>
              <w:pStyle w:val="18"/>
              <w:rPr>
                <w:color w:val="auto"/>
              </w:rPr>
            </w:pPr>
            <w:r>
              <w:rPr>
                <w:rFonts w:hint="eastAsia"/>
                <w:color w:val="auto"/>
              </w:rPr>
              <w:t>9.具备动态网络拓扑功能，可根据不同项目组展示对应网络拓扑。可拖动云主机、路由、网络动态展现整体拓扑，动态实时反馈拓扑详情。</w:t>
            </w:r>
          </w:p>
          <w:p w14:paraId="33F1404A">
            <w:pPr>
              <w:pStyle w:val="18"/>
              <w:rPr>
                <w:color w:val="auto"/>
              </w:rPr>
            </w:pPr>
            <w:r>
              <w:rPr>
                <w:rFonts w:hint="eastAsia"/>
                <w:color w:val="auto"/>
              </w:rPr>
              <w:t>10.具备存储回收站功能，可查看云硬盘名称、大小、所挂载主机名称、云主机域等信息。</w:t>
            </w:r>
          </w:p>
          <w:p w14:paraId="3D44488B">
            <w:pPr>
              <w:pStyle w:val="18"/>
              <w:rPr>
                <w:color w:val="auto"/>
              </w:rPr>
            </w:pPr>
            <w:r>
              <w:rPr>
                <w:rFonts w:hint="eastAsia"/>
                <w:color w:val="auto"/>
              </w:rPr>
              <w:t>11.服务器预装桌面云平台管理软件。</w:t>
            </w:r>
          </w:p>
        </w:tc>
        <w:tc>
          <w:tcPr>
            <w:tcW w:w="373" w:type="pct"/>
            <w:vAlign w:val="center"/>
          </w:tcPr>
          <w:p w14:paraId="7F9FC326">
            <w:pPr>
              <w:pStyle w:val="18"/>
              <w:jc w:val="center"/>
              <w:rPr>
                <w:color w:val="auto"/>
              </w:rPr>
            </w:pPr>
            <w:r>
              <w:rPr>
                <w:rFonts w:hint="eastAsia"/>
                <w:color w:val="auto"/>
              </w:rPr>
              <w:t>1</w:t>
            </w:r>
          </w:p>
        </w:tc>
        <w:tc>
          <w:tcPr>
            <w:tcW w:w="274" w:type="pct"/>
            <w:vAlign w:val="center"/>
          </w:tcPr>
          <w:p w14:paraId="2F0E9406">
            <w:pPr>
              <w:pStyle w:val="18"/>
              <w:jc w:val="center"/>
              <w:rPr>
                <w:color w:val="auto"/>
              </w:rPr>
            </w:pPr>
            <w:r>
              <w:rPr>
                <w:rFonts w:hint="eastAsia"/>
                <w:color w:val="auto"/>
              </w:rPr>
              <w:t>台</w:t>
            </w:r>
          </w:p>
        </w:tc>
      </w:tr>
      <w:tr w14:paraId="1592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1857271E">
            <w:pPr>
              <w:pStyle w:val="18"/>
              <w:rPr>
                <w:b w:val="0"/>
                <w:color w:val="auto"/>
              </w:rPr>
            </w:pPr>
            <w:r>
              <w:rPr>
                <w:rFonts w:hint="eastAsia"/>
                <w:b w:val="0"/>
                <w:color w:val="auto"/>
              </w:rPr>
              <w:t>1.2</w:t>
            </w:r>
          </w:p>
        </w:tc>
        <w:tc>
          <w:tcPr>
            <w:tcW w:w="1024" w:type="pct"/>
            <w:vAlign w:val="center"/>
          </w:tcPr>
          <w:p w14:paraId="62845A3A">
            <w:pPr>
              <w:pStyle w:val="18"/>
              <w:rPr>
                <w:color w:val="auto"/>
              </w:rPr>
            </w:pPr>
            <w:r>
              <w:rPr>
                <w:rFonts w:hint="eastAsia"/>
                <w:color w:val="auto"/>
              </w:rPr>
              <w:t>云终端</w:t>
            </w:r>
          </w:p>
        </w:tc>
        <w:tc>
          <w:tcPr>
            <w:tcW w:w="2990" w:type="pct"/>
            <w:vAlign w:val="center"/>
          </w:tcPr>
          <w:p w14:paraId="0A8642FB">
            <w:pPr>
              <w:pStyle w:val="18"/>
              <w:rPr>
                <w:color w:val="auto"/>
              </w:rPr>
            </w:pPr>
            <w:r>
              <w:rPr>
                <w:rFonts w:hint="eastAsia"/>
                <w:color w:val="auto"/>
              </w:rPr>
              <w:t>处理器≥Intel i5 十二代，≥6核，主频≥2.0Ghz；内存≥16GB；存储≥512G SSD；集成显卡；网卡≥1个 2810/100/1000M 自适应以太网；接口：USB接口总数≥4个，≥1 * 3.5MM音频输入输出接口，≥1 * HDMI，≥1 * VGA，≥1 * DP，预装能够运行医院信息系统的Windows操作系统。</w:t>
            </w:r>
          </w:p>
        </w:tc>
        <w:tc>
          <w:tcPr>
            <w:tcW w:w="373" w:type="pct"/>
            <w:vAlign w:val="center"/>
          </w:tcPr>
          <w:p w14:paraId="5BC45DD7">
            <w:pPr>
              <w:pStyle w:val="18"/>
              <w:jc w:val="center"/>
              <w:rPr>
                <w:color w:val="auto"/>
              </w:rPr>
            </w:pPr>
            <w:r>
              <w:rPr>
                <w:rFonts w:hint="eastAsia"/>
                <w:color w:val="auto"/>
              </w:rPr>
              <w:t>280</w:t>
            </w:r>
          </w:p>
        </w:tc>
        <w:tc>
          <w:tcPr>
            <w:tcW w:w="274" w:type="pct"/>
            <w:vAlign w:val="center"/>
          </w:tcPr>
          <w:p w14:paraId="1750E5F6">
            <w:pPr>
              <w:pStyle w:val="18"/>
              <w:jc w:val="center"/>
              <w:rPr>
                <w:color w:val="auto"/>
              </w:rPr>
            </w:pPr>
            <w:r>
              <w:rPr>
                <w:rFonts w:hint="eastAsia"/>
                <w:color w:val="auto"/>
              </w:rPr>
              <w:t>台</w:t>
            </w:r>
          </w:p>
        </w:tc>
      </w:tr>
      <w:tr w14:paraId="0C23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CF1ECCF">
            <w:pPr>
              <w:pStyle w:val="18"/>
              <w:rPr>
                <w:b w:val="0"/>
                <w:color w:val="auto"/>
              </w:rPr>
            </w:pPr>
            <w:r>
              <w:rPr>
                <w:rFonts w:hint="eastAsia"/>
                <w:b w:val="0"/>
                <w:color w:val="auto"/>
              </w:rPr>
              <w:t>1.3</w:t>
            </w:r>
          </w:p>
        </w:tc>
        <w:tc>
          <w:tcPr>
            <w:tcW w:w="1024" w:type="pct"/>
            <w:vAlign w:val="center"/>
          </w:tcPr>
          <w:p w14:paraId="2816A023">
            <w:pPr>
              <w:pStyle w:val="18"/>
              <w:rPr>
                <w:color w:val="auto"/>
              </w:rPr>
            </w:pPr>
            <w:r>
              <w:rPr>
                <w:rFonts w:hint="eastAsia"/>
                <w:color w:val="auto"/>
              </w:rPr>
              <w:t>云桌面授权软件</w:t>
            </w:r>
          </w:p>
        </w:tc>
        <w:tc>
          <w:tcPr>
            <w:tcW w:w="2990" w:type="pct"/>
            <w:vAlign w:val="center"/>
          </w:tcPr>
          <w:p w14:paraId="070A1784">
            <w:pPr>
              <w:pStyle w:val="18"/>
              <w:rPr>
                <w:color w:val="auto"/>
              </w:rPr>
            </w:pPr>
            <w:r>
              <w:rPr>
                <w:rFonts w:hint="eastAsia"/>
                <w:color w:val="auto"/>
              </w:rPr>
              <w:t>提供桌面镜像管理、数据管理、用户管理、策略管理。</w:t>
            </w:r>
          </w:p>
        </w:tc>
        <w:tc>
          <w:tcPr>
            <w:tcW w:w="373" w:type="pct"/>
            <w:vAlign w:val="center"/>
          </w:tcPr>
          <w:p w14:paraId="2934CA4B">
            <w:pPr>
              <w:pStyle w:val="18"/>
              <w:jc w:val="center"/>
              <w:rPr>
                <w:color w:val="auto"/>
              </w:rPr>
            </w:pPr>
            <w:r>
              <w:rPr>
                <w:rFonts w:hint="eastAsia"/>
                <w:color w:val="auto"/>
              </w:rPr>
              <w:t>280</w:t>
            </w:r>
          </w:p>
        </w:tc>
        <w:tc>
          <w:tcPr>
            <w:tcW w:w="274" w:type="pct"/>
            <w:vAlign w:val="center"/>
          </w:tcPr>
          <w:p w14:paraId="69416095">
            <w:pPr>
              <w:pStyle w:val="18"/>
              <w:jc w:val="center"/>
              <w:rPr>
                <w:color w:val="auto"/>
              </w:rPr>
            </w:pPr>
            <w:r>
              <w:rPr>
                <w:rFonts w:hint="eastAsia"/>
                <w:color w:val="auto"/>
              </w:rPr>
              <w:t>套</w:t>
            </w:r>
          </w:p>
        </w:tc>
      </w:tr>
      <w:tr w14:paraId="60A7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A1A9AE7">
            <w:pPr>
              <w:pStyle w:val="18"/>
              <w:rPr>
                <w:b w:val="0"/>
                <w:color w:val="auto"/>
              </w:rPr>
            </w:pPr>
            <w:r>
              <w:rPr>
                <w:rFonts w:hint="eastAsia"/>
                <w:b w:val="0"/>
                <w:color w:val="auto"/>
              </w:rPr>
              <w:t>1.4</w:t>
            </w:r>
          </w:p>
        </w:tc>
        <w:tc>
          <w:tcPr>
            <w:tcW w:w="1024" w:type="pct"/>
            <w:vAlign w:val="center"/>
          </w:tcPr>
          <w:p w14:paraId="29B556BA">
            <w:pPr>
              <w:pStyle w:val="18"/>
              <w:rPr>
                <w:color w:val="auto"/>
              </w:rPr>
            </w:pPr>
            <w:r>
              <w:rPr>
                <w:rFonts w:hint="eastAsia"/>
                <w:color w:val="auto"/>
              </w:rPr>
              <w:t>显示器</w:t>
            </w:r>
          </w:p>
        </w:tc>
        <w:tc>
          <w:tcPr>
            <w:tcW w:w="2990" w:type="pct"/>
            <w:vAlign w:val="center"/>
          </w:tcPr>
          <w:p w14:paraId="2CCCEA00">
            <w:pPr>
              <w:pStyle w:val="18"/>
              <w:rPr>
                <w:color w:val="auto"/>
              </w:rPr>
            </w:pPr>
            <w:r>
              <w:rPr>
                <w:rFonts w:hint="eastAsia"/>
                <w:color w:val="auto"/>
              </w:rPr>
              <w:t>≥23.8寸，分辨率不低于1920×1080；水平及垂直可视角度≥178°，亮度≥200 cd/m²，对比度≥1000:1</w:t>
            </w:r>
          </w:p>
        </w:tc>
        <w:tc>
          <w:tcPr>
            <w:tcW w:w="373" w:type="pct"/>
            <w:vAlign w:val="center"/>
          </w:tcPr>
          <w:p w14:paraId="4C39BFF7">
            <w:pPr>
              <w:pStyle w:val="18"/>
              <w:jc w:val="center"/>
              <w:rPr>
                <w:color w:val="auto"/>
              </w:rPr>
            </w:pPr>
            <w:r>
              <w:rPr>
                <w:rFonts w:hint="eastAsia"/>
                <w:color w:val="auto"/>
              </w:rPr>
              <w:t>280</w:t>
            </w:r>
          </w:p>
        </w:tc>
        <w:tc>
          <w:tcPr>
            <w:tcW w:w="274" w:type="pct"/>
            <w:vAlign w:val="center"/>
          </w:tcPr>
          <w:p w14:paraId="5E8648E3">
            <w:pPr>
              <w:pStyle w:val="18"/>
              <w:jc w:val="center"/>
              <w:rPr>
                <w:color w:val="auto"/>
              </w:rPr>
            </w:pPr>
            <w:r>
              <w:rPr>
                <w:rFonts w:hint="eastAsia"/>
                <w:color w:val="auto"/>
              </w:rPr>
              <w:t>台</w:t>
            </w:r>
          </w:p>
        </w:tc>
      </w:tr>
      <w:tr w14:paraId="7E1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025EF360">
            <w:pPr>
              <w:pStyle w:val="18"/>
              <w:rPr>
                <w:b w:val="0"/>
                <w:color w:val="auto"/>
              </w:rPr>
            </w:pPr>
            <w:r>
              <w:rPr>
                <w:rFonts w:hint="eastAsia"/>
                <w:b w:val="0"/>
                <w:color w:val="auto"/>
              </w:rPr>
              <w:t>1.5</w:t>
            </w:r>
          </w:p>
        </w:tc>
        <w:tc>
          <w:tcPr>
            <w:tcW w:w="1024" w:type="pct"/>
            <w:vAlign w:val="center"/>
          </w:tcPr>
          <w:p w14:paraId="0FAB54F6">
            <w:pPr>
              <w:pStyle w:val="18"/>
              <w:rPr>
                <w:color w:val="auto"/>
              </w:rPr>
            </w:pPr>
            <w:r>
              <w:rPr>
                <w:rFonts w:hint="eastAsia"/>
                <w:color w:val="auto"/>
              </w:rPr>
              <w:t>键盘</w:t>
            </w:r>
          </w:p>
        </w:tc>
        <w:tc>
          <w:tcPr>
            <w:tcW w:w="2990" w:type="pct"/>
            <w:vAlign w:val="center"/>
          </w:tcPr>
          <w:p w14:paraId="3AE725DB">
            <w:pPr>
              <w:pStyle w:val="18"/>
              <w:rPr>
                <w:color w:val="auto"/>
              </w:rPr>
            </w:pPr>
            <w:r>
              <w:rPr>
                <w:rFonts w:hint="eastAsia"/>
                <w:color w:val="auto"/>
              </w:rPr>
              <w:t>USB接口；键盘104键，防泼溅</w:t>
            </w:r>
          </w:p>
        </w:tc>
        <w:tc>
          <w:tcPr>
            <w:tcW w:w="373" w:type="pct"/>
            <w:vAlign w:val="center"/>
          </w:tcPr>
          <w:p w14:paraId="50A40DC9">
            <w:pPr>
              <w:pStyle w:val="18"/>
              <w:jc w:val="center"/>
              <w:rPr>
                <w:color w:val="auto"/>
              </w:rPr>
            </w:pPr>
            <w:r>
              <w:rPr>
                <w:rFonts w:hint="eastAsia"/>
                <w:color w:val="auto"/>
              </w:rPr>
              <w:t>280</w:t>
            </w:r>
          </w:p>
        </w:tc>
        <w:tc>
          <w:tcPr>
            <w:tcW w:w="274" w:type="pct"/>
            <w:vAlign w:val="center"/>
          </w:tcPr>
          <w:p w14:paraId="40B1BFF2">
            <w:pPr>
              <w:pStyle w:val="18"/>
              <w:jc w:val="center"/>
              <w:rPr>
                <w:color w:val="auto"/>
              </w:rPr>
            </w:pPr>
            <w:r>
              <w:rPr>
                <w:rFonts w:hint="eastAsia"/>
                <w:color w:val="auto"/>
              </w:rPr>
              <w:t>台</w:t>
            </w:r>
          </w:p>
        </w:tc>
      </w:tr>
      <w:tr w14:paraId="4E8A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4C82620D">
            <w:pPr>
              <w:pStyle w:val="18"/>
              <w:rPr>
                <w:b w:val="0"/>
                <w:color w:val="auto"/>
              </w:rPr>
            </w:pPr>
            <w:r>
              <w:rPr>
                <w:rFonts w:hint="eastAsia"/>
                <w:b w:val="0"/>
                <w:color w:val="auto"/>
              </w:rPr>
              <w:t>1.6</w:t>
            </w:r>
          </w:p>
        </w:tc>
        <w:tc>
          <w:tcPr>
            <w:tcW w:w="1024" w:type="pct"/>
            <w:vAlign w:val="center"/>
          </w:tcPr>
          <w:p w14:paraId="40F87B18">
            <w:pPr>
              <w:pStyle w:val="18"/>
              <w:rPr>
                <w:color w:val="auto"/>
              </w:rPr>
            </w:pPr>
            <w:r>
              <w:rPr>
                <w:rFonts w:hint="eastAsia"/>
                <w:color w:val="auto"/>
              </w:rPr>
              <w:t>鼠标</w:t>
            </w:r>
          </w:p>
        </w:tc>
        <w:tc>
          <w:tcPr>
            <w:tcW w:w="2990" w:type="pct"/>
            <w:vAlign w:val="center"/>
          </w:tcPr>
          <w:p w14:paraId="1797108D">
            <w:pPr>
              <w:pStyle w:val="18"/>
              <w:rPr>
                <w:color w:val="auto"/>
              </w:rPr>
            </w:pPr>
            <w:r>
              <w:rPr>
                <w:rFonts w:hint="eastAsia"/>
                <w:color w:val="auto"/>
              </w:rPr>
              <w:t>光电（针光）鼠标，分辨率≥1000DPI，对称设计，3键，双向滚轮；线长1m以上</w:t>
            </w:r>
          </w:p>
        </w:tc>
        <w:tc>
          <w:tcPr>
            <w:tcW w:w="373" w:type="pct"/>
            <w:vAlign w:val="center"/>
          </w:tcPr>
          <w:p w14:paraId="1962B9FB">
            <w:pPr>
              <w:pStyle w:val="18"/>
              <w:jc w:val="center"/>
              <w:rPr>
                <w:color w:val="auto"/>
              </w:rPr>
            </w:pPr>
            <w:r>
              <w:rPr>
                <w:rFonts w:hint="eastAsia"/>
                <w:color w:val="auto"/>
              </w:rPr>
              <w:t>280</w:t>
            </w:r>
          </w:p>
        </w:tc>
        <w:tc>
          <w:tcPr>
            <w:tcW w:w="274" w:type="pct"/>
            <w:vAlign w:val="center"/>
          </w:tcPr>
          <w:p w14:paraId="7B8593F8">
            <w:pPr>
              <w:pStyle w:val="18"/>
              <w:jc w:val="center"/>
              <w:rPr>
                <w:color w:val="auto"/>
              </w:rPr>
            </w:pPr>
            <w:r>
              <w:rPr>
                <w:rFonts w:hint="eastAsia"/>
                <w:color w:val="auto"/>
              </w:rPr>
              <w:t>台</w:t>
            </w:r>
          </w:p>
        </w:tc>
      </w:tr>
      <w:tr w14:paraId="5EC1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1F844C2">
            <w:pPr>
              <w:pStyle w:val="18"/>
              <w:rPr>
                <w:b w:val="0"/>
                <w:color w:val="auto"/>
              </w:rPr>
            </w:pPr>
            <w:r>
              <w:rPr>
                <w:rFonts w:hint="eastAsia"/>
                <w:b w:val="0"/>
                <w:color w:val="auto"/>
              </w:rPr>
              <w:t>2</w:t>
            </w:r>
          </w:p>
        </w:tc>
        <w:tc>
          <w:tcPr>
            <w:tcW w:w="1024" w:type="pct"/>
            <w:vAlign w:val="center"/>
          </w:tcPr>
          <w:p w14:paraId="1C729681">
            <w:pPr>
              <w:pStyle w:val="18"/>
              <w:rPr>
                <w:color w:val="auto"/>
              </w:rPr>
            </w:pPr>
            <w:r>
              <w:rPr>
                <w:rFonts w:hint="eastAsia"/>
                <w:color w:val="auto"/>
              </w:rPr>
              <w:t>医用热敏腕带打印机</w:t>
            </w:r>
          </w:p>
        </w:tc>
        <w:tc>
          <w:tcPr>
            <w:tcW w:w="2990" w:type="pct"/>
            <w:vAlign w:val="center"/>
          </w:tcPr>
          <w:p w14:paraId="24BB9FAA">
            <w:pPr>
              <w:pStyle w:val="18"/>
              <w:rPr>
                <w:color w:val="auto"/>
              </w:rPr>
            </w:pPr>
            <w:r>
              <w:rPr>
                <w:rFonts w:hint="eastAsia"/>
                <w:color w:val="auto"/>
              </w:rPr>
              <w:t>1.打印模式 热敏</w:t>
            </w:r>
          </w:p>
          <w:p w14:paraId="24DE1FB7">
            <w:pPr>
              <w:pStyle w:val="18"/>
              <w:rPr>
                <w:color w:val="auto"/>
              </w:rPr>
            </w:pPr>
            <w:r>
              <w:rPr>
                <w:rFonts w:hint="eastAsia"/>
                <w:color w:val="auto"/>
              </w:rPr>
              <w:t>2.分辨率 ≥203dpi</w:t>
            </w:r>
          </w:p>
          <w:p w14:paraId="7DD340BB">
            <w:pPr>
              <w:pStyle w:val="18"/>
              <w:rPr>
                <w:color w:val="auto"/>
              </w:rPr>
            </w:pPr>
            <w:r>
              <w:rPr>
                <w:rFonts w:hint="eastAsia"/>
                <w:color w:val="auto"/>
              </w:rPr>
              <w:t>3.打印速度 ≥152mm/s</w:t>
            </w:r>
          </w:p>
          <w:p w14:paraId="13282560">
            <w:pPr>
              <w:pStyle w:val="18"/>
              <w:rPr>
                <w:color w:val="auto"/>
              </w:rPr>
            </w:pPr>
            <w:r>
              <w:rPr>
                <w:rFonts w:hint="eastAsia"/>
                <w:color w:val="auto"/>
              </w:rPr>
              <w:t>4.打印宽度 ≥56mm</w:t>
            </w:r>
          </w:p>
          <w:p w14:paraId="43F12383">
            <w:pPr>
              <w:pStyle w:val="18"/>
              <w:rPr>
                <w:color w:val="auto"/>
              </w:rPr>
            </w:pPr>
            <w:r>
              <w:rPr>
                <w:rFonts w:hint="eastAsia"/>
                <w:color w:val="auto"/>
              </w:rPr>
              <w:t>5.装纸宽度 ≥60mm</w:t>
            </w:r>
          </w:p>
          <w:p w14:paraId="436322A0">
            <w:pPr>
              <w:pStyle w:val="18"/>
              <w:rPr>
                <w:color w:val="auto"/>
              </w:rPr>
            </w:pPr>
            <w:r>
              <w:rPr>
                <w:rFonts w:hint="eastAsia"/>
                <w:color w:val="auto"/>
              </w:rPr>
              <w:t>6.显示屏 LED显示屏</w:t>
            </w:r>
          </w:p>
          <w:p w14:paraId="66838683">
            <w:pPr>
              <w:pStyle w:val="18"/>
              <w:rPr>
                <w:color w:val="auto"/>
              </w:rPr>
            </w:pPr>
            <w:r>
              <w:rPr>
                <w:rFonts w:hint="eastAsia"/>
                <w:color w:val="auto"/>
              </w:rPr>
              <w:t>7.内存 ≥8M SDRAM 8M Flash</w:t>
            </w:r>
          </w:p>
          <w:p w14:paraId="5BDF35CB">
            <w:pPr>
              <w:pStyle w:val="18"/>
              <w:rPr>
                <w:color w:val="auto"/>
              </w:rPr>
            </w:pPr>
            <w:r>
              <w:rPr>
                <w:rFonts w:hint="eastAsia"/>
                <w:color w:val="auto"/>
              </w:rPr>
              <w:t>8.接口配置 标配：USB接口</w:t>
            </w:r>
          </w:p>
          <w:p w14:paraId="5DABD7F7">
            <w:pPr>
              <w:pStyle w:val="18"/>
              <w:rPr>
                <w:color w:val="auto"/>
              </w:rPr>
            </w:pPr>
            <w:r>
              <w:rPr>
                <w:rFonts w:hint="eastAsia"/>
                <w:color w:val="auto"/>
              </w:rPr>
              <w:t>9.编程语言 支持语言：TSPL编程语言</w:t>
            </w:r>
          </w:p>
          <w:p w14:paraId="73048609">
            <w:pPr>
              <w:pStyle w:val="18"/>
              <w:rPr>
                <w:color w:val="auto"/>
              </w:rPr>
            </w:pPr>
            <w:r>
              <w:rPr>
                <w:rFonts w:hint="eastAsia"/>
                <w:color w:val="auto"/>
              </w:rPr>
              <w:t>10 .便利性功能 页首自动定位、首页不浪费</w:t>
            </w:r>
          </w:p>
        </w:tc>
        <w:tc>
          <w:tcPr>
            <w:tcW w:w="373" w:type="pct"/>
            <w:vAlign w:val="center"/>
          </w:tcPr>
          <w:p w14:paraId="0F9709CC">
            <w:pPr>
              <w:pStyle w:val="18"/>
              <w:jc w:val="center"/>
              <w:rPr>
                <w:color w:val="auto"/>
              </w:rPr>
            </w:pPr>
            <w:r>
              <w:rPr>
                <w:rFonts w:hint="eastAsia"/>
                <w:color w:val="auto"/>
              </w:rPr>
              <w:t>15</w:t>
            </w:r>
          </w:p>
        </w:tc>
        <w:tc>
          <w:tcPr>
            <w:tcW w:w="274" w:type="pct"/>
            <w:vAlign w:val="center"/>
          </w:tcPr>
          <w:p w14:paraId="305F9AC5">
            <w:pPr>
              <w:pStyle w:val="18"/>
              <w:jc w:val="center"/>
              <w:rPr>
                <w:color w:val="auto"/>
              </w:rPr>
            </w:pPr>
            <w:r>
              <w:rPr>
                <w:rFonts w:hint="eastAsia"/>
                <w:color w:val="auto"/>
              </w:rPr>
              <w:t>台</w:t>
            </w:r>
          </w:p>
        </w:tc>
      </w:tr>
      <w:tr w14:paraId="620B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97C7308">
            <w:pPr>
              <w:pStyle w:val="18"/>
              <w:rPr>
                <w:b w:val="0"/>
                <w:color w:val="auto"/>
              </w:rPr>
            </w:pPr>
            <w:r>
              <w:rPr>
                <w:rFonts w:hint="eastAsia"/>
                <w:b w:val="0"/>
                <w:color w:val="auto"/>
              </w:rPr>
              <w:t>3</w:t>
            </w:r>
          </w:p>
        </w:tc>
        <w:tc>
          <w:tcPr>
            <w:tcW w:w="1024" w:type="pct"/>
            <w:vAlign w:val="center"/>
          </w:tcPr>
          <w:p w14:paraId="7655CC53">
            <w:pPr>
              <w:pStyle w:val="18"/>
              <w:rPr>
                <w:color w:val="auto"/>
              </w:rPr>
            </w:pPr>
            <w:r>
              <w:rPr>
                <w:rFonts w:hint="eastAsia"/>
                <w:color w:val="auto"/>
              </w:rPr>
              <w:t>激光打印机</w:t>
            </w:r>
          </w:p>
        </w:tc>
        <w:tc>
          <w:tcPr>
            <w:tcW w:w="2990" w:type="pct"/>
            <w:vAlign w:val="center"/>
          </w:tcPr>
          <w:p w14:paraId="36A35FFA">
            <w:pPr>
              <w:pStyle w:val="18"/>
              <w:rPr>
                <w:color w:val="auto"/>
              </w:rPr>
            </w:pPr>
            <w:r>
              <w:rPr>
                <w:rFonts w:hint="eastAsia"/>
                <w:color w:val="auto"/>
              </w:rPr>
              <w:t>1.打印模式：黑白激光</w:t>
            </w:r>
          </w:p>
          <w:p w14:paraId="59202748">
            <w:pPr>
              <w:pStyle w:val="18"/>
              <w:rPr>
                <w:color w:val="auto"/>
              </w:rPr>
            </w:pPr>
            <w:r>
              <w:rPr>
                <w:rFonts w:hint="eastAsia"/>
                <w:color w:val="auto"/>
              </w:rPr>
              <w:t>2.分辨率：≥600*600dpi</w:t>
            </w:r>
          </w:p>
          <w:p w14:paraId="4518FD67">
            <w:pPr>
              <w:pStyle w:val="18"/>
              <w:rPr>
                <w:color w:val="auto"/>
              </w:rPr>
            </w:pPr>
            <w:r>
              <w:rPr>
                <w:rFonts w:hint="eastAsia"/>
                <w:color w:val="auto"/>
              </w:rPr>
              <w:t>3.打印速度：≥18页/分钟</w:t>
            </w:r>
          </w:p>
          <w:p w14:paraId="1EF6B001">
            <w:pPr>
              <w:pStyle w:val="18"/>
              <w:rPr>
                <w:color w:val="auto"/>
              </w:rPr>
            </w:pPr>
            <w:r>
              <w:rPr>
                <w:rFonts w:hint="eastAsia"/>
                <w:color w:val="auto"/>
              </w:rPr>
              <w:t>4.纸张尺寸：A4及以下</w:t>
            </w:r>
          </w:p>
          <w:p w14:paraId="169FAF6D">
            <w:pPr>
              <w:pStyle w:val="18"/>
              <w:rPr>
                <w:color w:val="auto"/>
              </w:rPr>
            </w:pPr>
            <w:r>
              <w:rPr>
                <w:rFonts w:hint="eastAsia"/>
                <w:color w:val="auto"/>
              </w:rPr>
              <w:t>5.打印语言：PCLm、PWG、PCLM</w:t>
            </w:r>
          </w:p>
          <w:p w14:paraId="7F8D73A7">
            <w:pPr>
              <w:pStyle w:val="18"/>
              <w:rPr>
                <w:color w:val="auto"/>
              </w:rPr>
            </w:pPr>
            <w:r>
              <w:rPr>
                <w:rFonts w:hint="eastAsia"/>
                <w:color w:val="auto"/>
              </w:rPr>
              <w:t>6.接口配置：USB接口</w:t>
            </w:r>
          </w:p>
          <w:p w14:paraId="7DC1B6CA">
            <w:pPr>
              <w:pStyle w:val="18"/>
              <w:rPr>
                <w:color w:val="auto"/>
              </w:rPr>
            </w:pPr>
            <w:r>
              <w:rPr>
                <w:rFonts w:hint="eastAsia"/>
                <w:color w:val="auto"/>
              </w:rPr>
              <w:t>7.内存：≥32MB</w:t>
            </w:r>
          </w:p>
          <w:p w14:paraId="160936F3">
            <w:pPr>
              <w:pStyle w:val="18"/>
              <w:rPr>
                <w:rFonts w:hint="eastAsia" w:eastAsia="宋体"/>
                <w:color w:val="auto"/>
                <w:lang w:eastAsia="zh-CN"/>
              </w:rPr>
            </w:pPr>
            <w:r>
              <w:rPr>
                <w:rFonts w:hint="eastAsia"/>
                <w:color w:val="auto"/>
                <w:lang w:val="en-US" w:eastAsia="zh-CN"/>
              </w:rPr>
              <w:t>8</w:t>
            </w:r>
            <w:r>
              <w:rPr>
                <w:rFonts w:hint="eastAsia"/>
                <w:color w:val="auto"/>
              </w:rPr>
              <w:t>.操作系统兼容性：Windows 1l、Windows 10、Linux或国产信创操作系统</w:t>
            </w:r>
            <w:r>
              <w:rPr>
                <w:rFonts w:hint="eastAsia"/>
                <w:color w:val="auto"/>
                <w:lang w:eastAsia="zh-CN"/>
              </w:rPr>
              <w:t>。</w:t>
            </w:r>
          </w:p>
          <w:p w14:paraId="0C869B95">
            <w:pPr>
              <w:pStyle w:val="18"/>
              <w:rPr>
                <w:color w:val="auto"/>
              </w:rPr>
            </w:pPr>
            <w:r>
              <w:rPr>
                <w:rFonts w:hint="eastAsia"/>
                <w:color w:val="auto"/>
              </w:rPr>
              <w:t>9.进纸容量：≥150页</w:t>
            </w:r>
          </w:p>
          <w:p w14:paraId="17B47883">
            <w:pPr>
              <w:pStyle w:val="3"/>
              <w:ind w:firstLine="0" w:firstLineChars="0"/>
              <w:rPr>
                <w:color w:val="auto"/>
              </w:rPr>
            </w:pPr>
            <w:r>
              <w:rPr>
                <w:rFonts w:hint="eastAsia"/>
                <w:color w:val="auto"/>
              </w:rPr>
              <w:t>1</w:t>
            </w:r>
            <w:r>
              <w:rPr>
                <w:color w:val="auto"/>
              </w:rPr>
              <w:t>0.</w:t>
            </w:r>
            <w:r>
              <w:rPr>
                <w:rFonts w:hint="eastAsia"/>
                <w:color w:val="auto"/>
              </w:rPr>
              <w:t>支持网络共享打印功能；</w:t>
            </w:r>
          </w:p>
          <w:p w14:paraId="548C84DC">
            <w:pPr>
              <w:pStyle w:val="3"/>
              <w:ind w:firstLine="0" w:firstLineChars="0"/>
              <w:rPr>
                <w:color w:val="auto"/>
              </w:rPr>
            </w:pPr>
            <w:r>
              <w:rPr>
                <w:rFonts w:hint="eastAsia"/>
                <w:color w:val="auto"/>
              </w:rPr>
              <w:t>1</w:t>
            </w:r>
            <w:r>
              <w:rPr>
                <w:color w:val="auto"/>
              </w:rPr>
              <w:t>1.</w:t>
            </w:r>
            <w:r>
              <w:rPr>
                <w:rFonts w:hint="eastAsia"/>
                <w:color w:val="auto"/>
              </w:rPr>
              <w:t>硒鼓支持12A或88A等。</w:t>
            </w:r>
          </w:p>
        </w:tc>
        <w:tc>
          <w:tcPr>
            <w:tcW w:w="373" w:type="pct"/>
            <w:vAlign w:val="center"/>
          </w:tcPr>
          <w:p w14:paraId="2DD1DDBD">
            <w:pPr>
              <w:pStyle w:val="18"/>
              <w:jc w:val="center"/>
              <w:rPr>
                <w:color w:val="auto"/>
              </w:rPr>
            </w:pPr>
            <w:r>
              <w:rPr>
                <w:rFonts w:hint="eastAsia"/>
                <w:color w:val="auto"/>
              </w:rPr>
              <w:t>40</w:t>
            </w:r>
          </w:p>
        </w:tc>
        <w:tc>
          <w:tcPr>
            <w:tcW w:w="274" w:type="pct"/>
            <w:vAlign w:val="center"/>
          </w:tcPr>
          <w:p w14:paraId="67347220">
            <w:pPr>
              <w:pStyle w:val="18"/>
              <w:jc w:val="center"/>
              <w:rPr>
                <w:color w:val="auto"/>
              </w:rPr>
            </w:pPr>
            <w:r>
              <w:rPr>
                <w:rFonts w:hint="eastAsia"/>
                <w:color w:val="auto"/>
              </w:rPr>
              <w:t>台</w:t>
            </w:r>
          </w:p>
        </w:tc>
      </w:tr>
      <w:tr w14:paraId="0FBE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60E3B14B">
            <w:pPr>
              <w:pStyle w:val="18"/>
              <w:rPr>
                <w:b w:val="0"/>
                <w:color w:val="auto"/>
              </w:rPr>
            </w:pPr>
            <w:r>
              <w:rPr>
                <w:rFonts w:hint="eastAsia"/>
                <w:b w:val="0"/>
                <w:color w:val="auto"/>
              </w:rPr>
              <w:t>4</w:t>
            </w:r>
          </w:p>
        </w:tc>
        <w:tc>
          <w:tcPr>
            <w:tcW w:w="1024" w:type="pct"/>
            <w:vAlign w:val="center"/>
          </w:tcPr>
          <w:p w14:paraId="1A156DFA">
            <w:pPr>
              <w:pStyle w:val="18"/>
              <w:rPr>
                <w:color w:val="auto"/>
              </w:rPr>
            </w:pPr>
            <w:r>
              <w:rPr>
                <w:rFonts w:hint="eastAsia"/>
                <w:color w:val="auto"/>
              </w:rPr>
              <w:t>读卡器</w:t>
            </w:r>
          </w:p>
        </w:tc>
        <w:tc>
          <w:tcPr>
            <w:tcW w:w="2990" w:type="pct"/>
            <w:vAlign w:val="center"/>
          </w:tcPr>
          <w:p w14:paraId="4583AE9A">
            <w:pPr>
              <w:pStyle w:val="18"/>
              <w:rPr>
                <w:color w:val="auto"/>
              </w:rPr>
            </w:pPr>
            <w:r>
              <w:rPr>
                <w:rFonts w:hint="eastAsia"/>
                <w:color w:val="auto"/>
              </w:rPr>
              <w:t>1．支持陕西社会保障卡、陕西居民健康卡、电子社保卡、电子健康卡、医保电子凭证、医院就诊卡、二代居民身份证(外国人永久居留身份证、港澳台居民居住证)信息阅读功能，兼容其他接触式IC卡和非接触式IC卡，同时提供陕西社会保障卡、医院就诊卡、二代居民身份证判断动态链接库文件；</w:t>
            </w:r>
          </w:p>
          <w:p w14:paraId="67CE2C19">
            <w:pPr>
              <w:pStyle w:val="18"/>
              <w:rPr>
                <w:color w:val="auto"/>
              </w:rPr>
            </w:pPr>
            <w:r>
              <w:rPr>
                <w:rFonts w:hint="eastAsia"/>
                <w:color w:val="auto"/>
              </w:rPr>
              <w:t>2．非接触式支持符合ISO14443TypeA标准的IC卡，射频感应距离为0-5cm，无盲区，读写防冲突；</w:t>
            </w:r>
          </w:p>
          <w:p w14:paraId="6B7EB955">
            <w:pPr>
              <w:pStyle w:val="18"/>
              <w:rPr>
                <w:color w:val="auto"/>
              </w:rPr>
            </w:pPr>
            <w:r>
              <w:rPr>
                <w:rFonts w:hint="eastAsia"/>
                <w:color w:val="auto"/>
              </w:rPr>
              <w:t>3．接触式支持符合ISO7816标准的IC卡，卡座插拔卡寿命≥20万次；</w:t>
            </w:r>
          </w:p>
          <w:p w14:paraId="7798F48D">
            <w:pPr>
              <w:pStyle w:val="18"/>
              <w:rPr>
                <w:color w:val="auto"/>
              </w:rPr>
            </w:pPr>
            <w:r>
              <w:rPr>
                <w:rFonts w:hint="eastAsia"/>
                <w:color w:val="auto"/>
              </w:rPr>
              <w:t>4.支持扫码读取（一维码、二维码）功能;</w:t>
            </w:r>
          </w:p>
          <w:p w14:paraId="41EABD09">
            <w:pPr>
              <w:pStyle w:val="18"/>
              <w:rPr>
                <w:color w:val="auto"/>
              </w:rPr>
            </w:pPr>
            <w:r>
              <w:rPr>
                <w:rFonts w:hint="eastAsia"/>
                <w:color w:val="auto"/>
              </w:rPr>
              <w:t>5.≥4个符合GSM11.11标准的SAM卡座；</w:t>
            </w:r>
          </w:p>
          <w:p w14:paraId="6562C6D4">
            <w:pPr>
              <w:pStyle w:val="18"/>
              <w:rPr>
                <w:color w:val="auto"/>
              </w:rPr>
            </w:pPr>
            <w:r>
              <w:rPr>
                <w:rFonts w:hint="eastAsia"/>
                <w:color w:val="auto"/>
              </w:rPr>
              <w:t>6．PC通信接口支持RS232或者USB，其中USB采用免驱动技术，支持带电热插拔；</w:t>
            </w:r>
          </w:p>
          <w:p w14:paraId="19729493">
            <w:pPr>
              <w:pStyle w:val="18"/>
              <w:rPr>
                <w:color w:val="auto"/>
              </w:rPr>
            </w:pPr>
            <w:r>
              <w:rPr>
                <w:rFonts w:hint="eastAsia"/>
                <w:color w:val="auto"/>
              </w:rPr>
              <w:t>7．有醒目的读卡区域标示；</w:t>
            </w:r>
          </w:p>
          <w:p w14:paraId="5BBA91E9">
            <w:pPr>
              <w:pStyle w:val="18"/>
              <w:rPr>
                <w:color w:val="auto"/>
              </w:rPr>
            </w:pPr>
            <w:r>
              <w:rPr>
                <w:rFonts w:hint="eastAsia"/>
                <w:color w:val="auto"/>
              </w:rPr>
              <w:t>8．≥4个LED指示灯；</w:t>
            </w:r>
          </w:p>
          <w:p w14:paraId="1F7C6E90">
            <w:pPr>
              <w:pStyle w:val="18"/>
              <w:rPr>
                <w:color w:val="auto"/>
              </w:rPr>
            </w:pPr>
            <w:r>
              <w:rPr>
                <w:rFonts w:hint="eastAsia"/>
                <w:color w:val="auto"/>
              </w:rPr>
              <w:t>9．蜂鸣器，对读卡器进行操作时有提示声；</w:t>
            </w:r>
          </w:p>
          <w:p w14:paraId="03AA58C4">
            <w:pPr>
              <w:pStyle w:val="18"/>
              <w:rPr>
                <w:color w:val="auto"/>
              </w:rPr>
            </w:pPr>
            <w:r>
              <w:rPr>
                <w:rFonts w:hint="eastAsia"/>
                <w:color w:val="auto"/>
              </w:rPr>
              <w:t>10．可外接密码键盘。</w:t>
            </w:r>
          </w:p>
          <w:p w14:paraId="391C1180">
            <w:pPr>
              <w:pStyle w:val="18"/>
              <w:rPr>
                <w:color w:val="auto"/>
              </w:rPr>
            </w:pPr>
            <w:r>
              <w:rPr>
                <w:rFonts w:hint="eastAsia"/>
                <w:color w:val="auto"/>
              </w:rPr>
              <w:t>11．支持Windows XP，Windows 7、8、10、1</w:t>
            </w:r>
            <w:r>
              <w:rPr>
                <w:color w:val="auto"/>
              </w:rPr>
              <w:t>1</w:t>
            </w:r>
            <w:r>
              <w:rPr>
                <w:rFonts w:hint="eastAsia"/>
                <w:color w:val="auto"/>
              </w:rPr>
              <w:t>，LINUX系列等操作系统；</w:t>
            </w:r>
          </w:p>
          <w:p w14:paraId="04D81B1E">
            <w:pPr>
              <w:pStyle w:val="18"/>
              <w:rPr>
                <w:color w:val="auto"/>
              </w:rPr>
            </w:pPr>
            <w:r>
              <w:rPr>
                <w:rFonts w:hint="eastAsia"/>
                <w:color w:val="auto"/>
              </w:rPr>
              <w:t>12．提供统一的读写动态链接库，支持多操作系统和多语言开发平台；</w:t>
            </w:r>
          </w:p>
          <w:p w14:paraId="7195098A">
            <w:pPr>
              <w:pStyle w:val="18"/>
              <w:rPr>
                <w:color w:val="auto"/>
              </w:rPr>
            </w:pPr>
            <w:r>
              <w:rPr>
                <w:rFonts w:hint="eastAsia"/>
                <w:color w:val="auto"/>
              </w:rPr>
              <w:t>13.该产品要即插即用，无需更改接口程序，不能对现有接口及程序运行有影响，和现有业务系统匹配。</w:t>
            </w:r>
          </w:p>
          <w:p w14:paraId="7D9BE372">
            <w:pPr>
              <w:pStyle w:val="18"/>
              <w:rPr>
                <w:color w:val="auto"/>
              </w:rPr>
            </w:pPr>
            <w:r>
              <w:rPr>
                <w:rFonts w:hint="eastAsia"/>
                <w:color w:val="auto"/>
              </w:rPr>
              <w:t>14．该产品必须是陕西省社会保障卡读写器采购项目的中标厂商制造生产，并可支持陕西社会保障卡及二代社保卡、三代社保卡的全业务应用；</w:t>
            </w:r>
          </w:p>
          <w:p w14:paraId="60719768">
            <w:pPr>
              <w:pStyle w:val="18"/>
              <w:rPr>
                <w:color w:val="auto"/>
              </w:rPr>
            </w:pPr>
            <w:r>
              <w:rPr>
                <w:rFonts w:hint="eastAsia"/>
                <w:color w:val="auto"/>
              </w:rPr>
              <w:t>15．须通过银行卡检测中心《PBOC2018非接触 IC 卡支付终端通讯协议测试》和PBOC2018借记／贷记终端 Levell 检测认证;</w:t>
            </w:r>
          </w:p>
          <w:p w14:paraId="4328E098">
            <w:pPr>
              <w:pStyle w:val="18"/>
              <w:rPr>
                <w:color w:val="auto"/>
              </w:rPr>
            </w:pPr>
            <w:r>
              <w:rPr>
                <w:rFonts w:hint="eastAsia"/>
                <w:color w:val="auto"/>
              </w:rPr>
              <w:t>16．该产品须具备国家人力资源和社会保障部资格认证，具有《社会保障卡读写器检测报告》、具有国家跨省异地就医《社会保障卡读写终端接口检测报告》；</w:t>
            </w:r>
          </w:p>
        </w:tc>
        <w:tc>
          <w:tcPr>
            <w:tcW w:w="373" w:type="pct"/>
            <w:vAlign w:val="center"/>
          </w:tcPr>
          <w:p w14:paraId="123CF9B8">
            <w:pPr>
              <w:pStyle w:val="18"/>
              <w:jc w:val="center"/>
              <w:rPr>
                <w:color w:val="auto"/>
              </w:rPr>
            </w:pPr>
            <w:r>
              <w:rPr>
                <w:rFonts w:hint="eastAsia"/>
                <w:color w:val="auto"/>
              </w:rPr>
              <w:t>120</w:t>
            </w:r>
          </w:p>
        </w:tc>
        <w:tc>
          <w:tcPr>
            <w:tcW w:w="274" w:type="pct"/>
            <w:vAlign w:val="center"/>
          </w:tcPr>
          <w:p w14:paraId="4844BACB">
            <w:pPr>
              <w:pStyle w:val="18"/>
              <w:jc w:val="center"/>
              <w:rPr>
                <w:color w:val="auto"/>
              </w:rPr>
            </w:pPr>
            <w:r>
              <w:rPr>
                <w:rFonts w:hint="eastAsia"/>
                <w:color w:val="auto"/>
              </w:rPr>
              <w:t>台</w:t>
            </w:r>
          </w:p>
        </w:tc>
      </w:tr>
    </w:tbl>
    <w:p w14:paraId="7F783F76">
      <w:pPr>
        <w:pStyle w:val="4"/>
        <w:numPr>
          <w:ilvl w:val="1"/>
          <w:numId w:val="0"/>
        </w:numPr>
        <w:ind w:left="576" w:leftChars="0" w:hanging="576" w:firstLineChars="0"/>
        <w:rPr>
          <w:color w:val="auto"/>
        </w:rPr>
      </w:pPr>
      <w:r>
        <w:rPr>
          <w:rFonts w:hint="eastAsia" w:cs="Times New Roman"/>
          <w:b/>
          <w:bCs/>
          <w:color w:val="auto"/>
          <w:kern w:val="2"/>
          <w:sz w:val="32"/>
          <w:szCs w:val="32"/>
          <w:lang w:val="en-US" w:eastAsia="zh-CN" w:bidi="ar-SA"/>
        </w:rPr>
        <w:t>2</w:t>
      </w:r>
      <w:r>
        <w:rPr>
          <w:rFonts w:hint="eastAsia" w:ascii="Times New Roman" w:hAnsi="Times New Roman" w:eastAsia="宋体" w:cs="Times New Roman"/>
          <w:b/>
          <w:bCs/>
          <w:color w:val="auto"/>
          <w:kern w:val="2"/>
          <w:sz w:val="32"/>
          <w:szCs w:val="32"/>
          <w:lang w:val="en-US" w:eastAsia="zh-CN" w:bidi="ar-SA"/>
        </w:rPr>
        <w:t>.4</w:t>
      </w:r>
      <w:r>
        <w:rPr>
          <w:rFonts w:hint="eastAsia"/>
          <w:color w:val="auto"/>
        </w:rPr>
        <w:t>智慧服务配套硬件设备</w:t>
      </w:r>
    </w:p>
    <w:tbl>
      <w:tblPr>
        <w:tblStyle w:val="9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539"/>
        <w:gridCol w:w="5693"/>
        <w:gridCol w:w="672"/>
        <w:gridCol w:w="496"/>
      </w:tblGrid>
      <w:tr w14:paraId="6E9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shd w:val="clear" w:color="auto" w:fill="BEBEBE" w:themeFill="background1" w:themeFillShade="BF"/>
            <w:vAlign w:val="center"/>
          </w:tcPr>
          <w:p w14:paraId="413EDBBE">
            <w:pPr>
              <w:pStyle w:val="18"/>
              <w:jc w:val="center"/>
              <w:rPr>
                <w:b/>
                <w:color w:val="auto"/>
              </w:rPr>
            </w:pPr>
            <w:r>
              <w:rPr>
                <w:rFonts w:hint="eastAsia"/>
                <w:b/>
                <w:color w:val="auto"/>
              </w:rPr>
              <w:t>序号</w:t>
            </w:r>
          </w:p>
        </w:tc>
        <w:tc>
          <w:tcPr>
            <w:tcW w:w="854" w:type="pct"/>
            <w:shd w:val="clear" w:color="auto" w:fill="BEBEBE" w:themeFill="background1" w:themeFillShade="BF"/>
            <w:vAlign w:val="center"/>
          </w:tcPr>
          <w:p w14:paraId="2380D7F9">
            <w:pPr>
              <w:pStyle w:val="18"/>
              <w:jc w:val="center"/>
              <w:rPr>
                <w:b/>
                <w:color w:val="auto"/>
              </w:rPr>
            </w:pPr>
            <w:r>
              <w:rPr>
                <w:rFonts w:hint="eastAsia"/>
                <w:b/>
                <w:color w:val="auto"/>
              </w:rPr>
              <w:t>名称</w:t>
            </w:r>
          </w:p>
        </w:tc>
        <w:tc>
          <w:tcPr>
            <w:tcW w:w="3159" w:type="pct"/>
            <w:shd w:val="clear" w:color="auto" w:fill="BEBEBE" w:themeFill="background1" w:themeFillShade="BF"/>
            <w:vAlign w:val="center"/>
          </w:tcPr>
          <w:p w14:paraId="20EA3E08">
            <w:pPr>
              <w:pStyle w:val="18"/>
              <w:jc w:val="center"/>
              <w:rPr>
                <w:b/>
                <w:color w:val="auto"/>
              </w:rPr>
            </w:pPr>
            <w:r>
              <w:rPr>
                <w:rFonts w:hint="eastAsia"/>
                <w:b/>
                <w:color w:val="auto"/>
              </w:rPr>
              <w:t>主要配置</w:t>
            </w:r>
          </w:p>
        </w:tc>
        <w:tc>
          <w:tcPr>
            <w:tcW w:w="373" w:type="pct"/>
            <w:shd w:val="clear" w:color="auto" w:fill="BEBEBE" w:themeFill="background1" w:themeFillShade="BF"/>
            <w:vAlign w:val="center"/>
          </w:tcPr>
          <w:p w14:paraId="555A72D3">
            <w:pPr>
              <w:pStyle w:val="18"/>
              <w:jc w:val="center"/>
              <w:rPr>
                <w:b/>
                <w:color w:val="auto"/>
              </w:rPr>
            </w:pPr>
            <w:r>
              <w:rPr>
                <w:rFonts w:hint="eastAsia"/>
                <w:b/>
                <w:color w:val="auto"/>
              </w:rPr>
              <w:t>数量</w:t>
            </w:r>
          </w:p>
        </w:tc>
        <w:tc>
          <w:tcPr>
            <w:tcW w:w="275" w:type="pct"/>
            <w:shd w:val="clear" w:color="auto" w:fill="BEBEBE" w:themeFill="background1" w:themeFillShade="BF"/>
            <w:vAlign w:val="center"/>
          </w:tcPr>
          <w:p w14:paraId="09F3F228">
            <w:pPr>
              <w:pStyle w:val="18"/>
              <w:jc w:val="center"/>
              <w:rPr>
                <w:b/>
                <w:color w:val="auto"/>
              </w:rPr>
            </w:pPr>
            <w:r>
              <w:rPr>
                <w:rFonts w:hint="eastAsia"/>
                <w:b/>
                <w:color w:val="auto"/>
              </w:rPr>
              <w:t>单位</w:t>
            </w:r>
          </w:p>
        </w:tc>
      </w:tr>
      <w:tr w14:paraId="0EA6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02EB866E">
            <w:pPr>
              <w:pStyle w:val="18"/>
              <w:jc w:val="center"/>
              <w:rPr>
                <w:b w:val="0"/>
                <w:color w:val="auto"/>
              </w:rPr>
            </w:pPr>
            <w:r>
              <w:rPr>
                <w:rFonts w:hint="eastAsia"/>
                <w:b w:val="0"/>
                <w:color w:val="auto"/>
              </w:rPr>
              <w:t>1</w:t>
            </w:r>
          </w:p>
        </w:tc>
        <w:tc>
          <w:tcPr>
            <w:tcW w:w="854" w:type="pct"/>
            <w:vAlign w:val="center"/>
          </w:tcPr>
          <w:p w14:paraId="2090E2FC">
            <w:pPr>
              <w:pStyle w:val="18"/>
              <w:jc w:val="center"/>
              <w:rPr>
                <w:color w:val="auto"/>
              </w:rPr>
            </w:pPr>
            <w:r>
              <w:rPr>
                <w:rFonts w:hint="eastAsia"/>
                <w:color w:val="auto"/>
              </w:rPr>
              <w:t>多媒体诊区大屏</w:t>
            </w:r>
          </w:p>
        </w:tc>
        <w:tc>
          <w:tcPr>
            <w:tcW w:w="3159" w:type="pct"/>
            <w:vAlign w:val="center"/>
          </w:tcPr>
          <w:p w14:paraId="730A66CE">
            <w:pPr>
              <w:pStyle w:val="18"/>
              <w:rPr>
                <w:color w:val="auto"/>
              </w:rPr>
            </w:pPr>
            <w:r>
              <w:rPr>
                <w:rFonts w:hint="eastAsia"/>
                <w:color w:val="auto"/>
              </w:rPr>
              <w:t>1.显示参数</w:t>
            </w:r>
          </w:p>
          <w:p w14:paraId="7116F4AE">
            <w:pPr>
              <w:pStyle w:val="18"/>
              <w:rPr>
                <w:color w:val="auto"/>
              </w:rPr>
            </w:pPr>
            <w:r>
              <w:rPr>
                <w:rFonts w:hint="eastAsia"/>
                <w:color w:val="auto"/>
              </w:rPr>
              <w:t>≥65英寸，全新A+液晶显示面板</w:t>
            </w:r>
          </w:p>
          <w:p w14:paraId="18B59D31">
            <w:pPr>
              <w:pStyle w:val="18"/>
              <w:rPr>
                <w:color w:val="auto"/>
              </w:rPr>
            </w:pPr>
            <w:r>
              <w:rPr>
                <w:rFonts w:hint="eastAsia"/>
                <w:color w:val="auto"/>
              </w:rPr>
              <w:t>分辨率 ≥3840*2160</w:t>
            </w:r>
          </w:p>
          <w:p w14:paraId="0A5C1C86">
            <w:pPr>
              <w:pStyle w:val="18"/>
              <w:rPr>
                <w:color w:val="auto"/>
              </w:rPr>
            </w:pPr>
            <w:r>
              <w:rPr>
                <w:rFonts w:hint="eastAsia"/>
                <w:color w:val="auto"/>
              </w:rPr>
              <w:t>可视角度89/89/89/89</w:t>
            </w:r>
          </w:p>
          <w:p w14:paraId="0ABEEB3E">
            <w:pPr>
              <w:pStyle w:val="18"/>
              <w:rPr>
                <w:color w:val="auto"/>
              </w:rPr>
            </w:pPr>
            <w:r>
              <w:rPr>
                <w:rFonts w:hint="eastAsia"/>
                <w:color w:val="auto"/>
              </w:rPr>
              <w:t>显示面积≥1428*803mm（H×V）</w:t>
            </w:r>
          </w:p>
          <w:p w14:paraId="59536397">
            <w:pPr>
              <w:pStyle w:val="18"/>
              <w:rPr>
                <w:color w:val="auto"/>
              </w:rPr>
            </w:pPr>
            <w:r>
              <w:rPr>
                <w:rFonts w:hint="eastAsia"/>
                <w:color w:val="auto"/>
              </w:rPr>
              <w:t>显示比例16:9</w:t>
            </w:r>
          </w:p>
          <w:p w14:paraId="6F208F4A">
            <w:pPr>
              <w:pStyle w:val="18"/>
              <w:rPr>
                <w:color w:val="auto"/>
              </w:rPr>
            </w:pPr>
            <w:r>
              <w:rPr>
                <w:rFonts w:hint="eastAsia"/>
                <w:color w:val="auto"/>
              </w:rPr>
              <w:t>背光类型E-LDE</w:t>
            </w:r>
          </w:p>
          <w:p w14:paraId="4F25F840">
            <w:pPr>
              <w:pStyle w:val="18"/>
              <w:rPr>
                <w:color w:val="auto"/>
              </w:rPr>
            </w:pPr>
            <w:r>
              <w:rPr>
                <w:rFonts w:hint="eastAsia"/>
                <w:color w:val="auto"/>
              </w:rPr>
              <w:t>屏幕亮度≥350cd/m2（典型值）</w:t>
            </w:r>
          </w:p>
          <w:p w14:paraId="7EB19E84">
            <w:pPr>
              <w:pStyle w:val="18"/>
              <w:rPr>
                <w:color w:val="auto"/>
              </w:rPr>
            </w:pPr>
            <w:r>
              <w:rPr>
                <w:rFonts w:hint="eastAsia"/>
                <w:color w:val="auto"/>
              </w:rPr>
              <w:t>刷新频率≥60HZ</w:t>
            </w:r>
          </w:p>
          <w:p w14:paraId="7F1B2409">
            <w:pPr>
              <w:pStyle w:val="18"/>
              <w:rPr>
                <w:color w:val="auto"/>
              </w:rPr>
            </w:pPr>
            <w:r>
              <w:rPr>
                <w:rFonts w:hint="eastAsia"/>
                <w:color w:val="auto"/>
              </w:rPr>
              <w:t>2.系统配置</w:t>
            </w:r>
          </w:p>
          <w:p w14:paraId="4F4277A9">
            <w:pPr>
              <w:pStyle w:val="18"/>
              <w:rPr>
                <w:color w:val="auto"/>
              </w:rPr>
            </w:pPr>
            <w:r>
              <w:rPr>
                <w:rFonts w:hint="eastAsia"/>
                <w:color w:val="auto"/>
              </w:rPr>
              <w:t>操作系统Android</w:t>
            </w:r>
          </w:p>
          <w:p w14:paraId="43F57B1E">
            <w:pPr>
              <w:pStyle w:val="18"/>
              <w:rPr>
                <w:color w:val="auto"/>
              </w:rPr>
            </w:pPr>
            <w:r>
              <w:rPr>
                <w:rFonts w:hint="eastAsia"/>
                <w:color w:val="auto"/>
              </w:rPr>
              <w:t>CPU频率≥1.5GHz</w:t>
            </w:r>
          </w:p>
          <w:p w14:paraId="3B80F6E1">
            <w:pPr>
              <w:pStyle w:val="18"/>
              <w:rPr>
                <w:color w:val="auto"/>
              </w:rPr>
            </w:pPr>
            <w:r>
              <w:rPr>
                <w:rFonts w:hint="eastAsia"/>
                <w:color w:val="auto"/>
              </w:rPr>
              <w:t>运行内存≥16GB</w:t>
            </w:r>
          </w:p>
          <w:p w14:paraId="5D8BEC6E">
            <w:pPr>
              <w:pStyle w:val="18"/>
              <w:rPr>
                <w:color w:val="auto"/>
              </w:rPr>
            </w:pPr>
            <w:r>
              <w:rPr>
                <w:rFonts w:hint="eastAsia"/>
                <w:color w:val="auto"/>
              </w:rPr>
              <w:t>存储内存≥ 16GB</w:t>
            </w:r>
          </w:p>
          <w:p w14:paraId="5BFA17DE">
            <w:pPr>
              <w:pStyle w:val="18"/>
              <w:rPr>
                <w:color w:val="auto"/>
              </w:rPr>
            </w:pPr>
            <w:r>
              <w:rPr>
                <w:rFonts w:hint="eastAsia"/>
                <w:color w:val="auto"/>
              </w:rPr>
              <w:t>网络通信WiFi+以太网</w:t>
            </w:r>
          </w:p>
          <w:p w14:paraId="24728CAC">
            <w:pPr>
              <w:pStyle w:val="18"/>
              <w:rPr>
                <w:color w:val="auto"/>
              </w:rPr>
            </w:pPr>
            <w:r>
              <w:rPr>
                <w:rFonts w:hint="eastAsia"/>
                <w:color w:val="auto"/>
              </w:rPr>
              <w:t>3G/4G/5G选装</w:t>
            </w:r>
          </w:p>
          <w:p w14:paraId="598B60F9">
            <w:pPr>
              <w:pStyle w:val="18"/>
              <w:rPr>
                <w:color w:val="auto"/>
              </w:rPr>
            </w:pPr>
            <w:r>
              <w:rPr>
                <w:rFonts w:hint="eastAsia"/>
                <w:color w:val="auto"/>
              </w:rPr>
              <w:t>预装软件 信息发布软件</w:t>
            </w:r>
          </w:p>
          <w:p w14:paraId="53141D07">
            <w:pPr>
              <w:pStyle w:val="18"/>
              <w:rPr>
                <w:color w:val="auto"/>
              </w:rPr>
            </w:pPr>
            <w:r>
              <w:rPr>
                <w:rFonts w:hint="eastAsia"/>
                <w:color w:val="auto"/>
              </w:rPr>
              <w:t>3.系统功能</w:t>
            </w:r>
          </w:p>
          <w:p w14:paraId="45AA76F3">
            <w:pPr>
              <w:pStyle w:val="18"/>
              <w:rPr>
                <w:color w:val="auto"/>
              </w:rPr>
            </w:pPr>
            <w:r>
              <w:rPr>
                <w:rFonts w:hint="eastAsia"/>
                <w:color w:val="auto"/>
              </w:rPr>
              <w:t>解码能力：支持2160P视频、图片解码播放</w:t>
            </w:r>
          </w:p>
          <w:p w14:paraId="37A22736">
            <w:pPr>
              <w:pStyle w:val="18"/>
              <w:rPr>
                <w:color w:val="auto"/>
              </w:rPr>
            </w:pPr>
            <w:r>
              <w:rPr>
                <w:rFonts w:hint="eastAsia"/>
                <w:color w:val="auto"/>
              </w:rPr>
              <w:t>软件应用：支持第三方软件安装</w:t>
            </w:r>
          </w:p>
          <w:p w14:paraId="62C721C6">
            <w:pPr>
              <w:pStyle w:val="18"/>
              <w:rPr>
                <w:color w:val="auto"/>
              </w:rPr>
            </w:pPr>
            <w:r>
              <w:rPr>
                <w:rFonts w:hint="eastAsia"/>
                <w:color w:val="auto"/>
              </w:rPr>
              <w:t>内存拓展：最高支持 32GB TF卡方式拓展</w:t>
            </w:r>
          </w:p>
          <w:p w14:paraId="0C679CFF">
            <w:pPr>
              <w:pStyle w:val="18"/>
              <w:rPr>
                <w:color w:val="auto"/>
              </w:rPr>
            </w:pPr>
            <w:r>
              <w:rPr>
                <w:rFonts w:hint="eastAsia"/>
                <w:color w:val="auto"/>
              </w:rPr>
              <w:t>语言选择：支持中文、繁体、英语等多国语言</w:t>
            </w:r>
          </w:p>
          <w:p w14:paraId="7DFEA3F9">
            <w:pPr>
              <w:pStyle w:val="18"/>
              <w:rPr>
                <w:color w:val="auto"/>
              </w:rPr>
            </w:pPr>
            <w:r>
              <w:rPr>
                <w:rFonts w:hint="eastAsia"/>
                <w:color w:val="auto"/>
              </w:rPr>
              <w:t>开机动画：支持开机动画自定义</w:t>
            </w:r>
          </w:p>
          <w:p w14:paraId="2CE57049">
            <w:pPr>
              <w:pStyle w:val="18"/>
              <w:rPr>
                <w:color w:val="auto"/>
              </w:rPr>
            </w:pPr>
            <w:r>
              <w:rPr>
                <w:rFonts w:hint="eastAsia"/>
                <w:color w:val="auto"/>
              </w:rPr>
              <w:t>红外遥控：支持遥控器操作系统</w:t>
            </w:r>
          </w:p>
          <w:p w14:paraId="7911587D">
            <w:pPr>
              <w:pStyle w:val="18"/>
              <w:rPr>
                <w:color w:val="auto"/>
              </w:rPr>
            </w:pPr>
            <w:r>
              <w:rPr>
                <w:rFonts w:hint="eastAsia"/>
                <w:color w:val="auto"/>
              </w:rPr>
              <w:t>音频功能：内置8欧 5瓦 双路音频功放输出</w:t>
            </w:r>
          </w:p>
          <w:p w14:paraId="297CA78D">
            <w:pPr>
              <w:pStyle w:val="18"/>
              <w:rPr>
                <w:color w:val="auto"/>
              </w:rPr>
            </w:pPr>
            <w:r>
              <w:rPr>
                <w:rFonts w:hint="eastAsia"/>
                <w:color w:val="auto"/>
              </w:rPr>
              <w:t>开关机：遥控开关/定时开关/网络唤醒/通电自启</w:t>
            </w:r>
          </w:p>
          <w:p w14:paraId="2E3494AE">
            <w:pPr>
              <w:pStyle w:val="18"/>
              <w:rPr>
                <w:color w:val="auto"/>
              </w:rPr>
            </w:pPr>
            <w:r>
              <w:rPr>
                <w:rFonts w:hint="eastAsia"/>
                <w:color w:val="auto"/>
              </w:rPr>
              <w:t>系统权限：开放root 权限，可进行软件定制开发</w:t>
            </w:r>
          </w:p>
          <w:p w14:paraId="3238A37D">
            <w:pPr>
              <w:pStyle w:val="18"/>
              <w:rPr>
                <w:color w:val="auto"/>
              </w:rPr>
            </w:pPr>
            <w:r>
              <w:rPr>
                <w:rFonts w:hint="eastAsia"/>
                <w:color w:val="auto"/>
              </w:rPr>
              <w:t>鼠标模式：支持有线/无线鼠标、键盘接入操作</w:t>
            </w:r>
          </w:p>
          <w:p w14:paraId="41E4C8CD">
            <w:pPr>
              <w:pStyle w:val="18"/>
              <w:rPr>
                <w:color w:val="auto"/>
              </w:rPr>
            </w:pPr>
            <w:r>
              <w:rPr>
                <w:rFonts w:hint="eastAsia"/>
                <w:color w:val="auto"/>
              </w:rPr>
              <w:t>系统升级 支持本地/远程升级</w:t>
            </w:r>
          </w:p>
          <w:p w14:paraId="00F84AE0">
            <w:pPr>
              <w:pStyle w:val="18"/>
              <w:rPr>
                <w:color w:val="auto"/>
              </w:rPr>
            </w:pPr>
            <w:r>
              <w:rPr>
                <w:rFonts w:hint="eastAsia"/>
                <w:color w:val="auto"/>
              </w:rPr>
              <w:t xml:space="preserve">4.播放支持 </w:t>
            </w:r>
          </w:p>
          <w:p w14:paraId="505D2427">
            <w:pPr>
              <w:pStyle w:val="18"/>
              <w:rPr>
                <w:color w:val="auto"/>
              </w:rPr>
            </w:pPr>
            <w:r>
              <w:rPr>
                <w:rFonts w:hint="eastAsia"/>
                <w:color w:val="auto"/>
              </w:rPr>
              <w:t>音频：MP3,WMA,WAV, APE, FLAC, AAC, OGG,M4A,3GPP 等格式</w:t>
            </w:r>
          </w:p>
          <w:p w14:paraId="2040CF87">
            <w:pPr>
              <w:pStyle w:val="18"/>
              <w:rPr>
                <w:color w:val="auto"/>
              </w:rPr>
            </w:pPr>
            <w:r>
              <w:rPr>
                <w:rFonts w:hint="eastAsia"/>
                <w:color w:val="auto"/>
              </w:rPr>
              <w:t>图片：支持JPG、BMP、PNG 等各种图片格式</w:t>
            </w:r>
          </w:p>
          <w:p w14:paraId="7166276F">
            <w:pPr>
              <w:pStyle w:val="18"/>
              <w:rPr>
                <w:color w:val="auto"/>
              </w:rPr>
            </w:pPr>
            <w:r>
              <w:rPr>
                <w:rFonts w:hint="eastAsia"/>
                <w:color w:val="auto"/>
              </w:rPr>
              <w:t>视频：AVI，rm，rmvb， MKV，WMV，MOV，MP4 等视频格式</w:t>
            </w:r>
          </w:p>
          <w:p w14:paraId="7703D2C5">
            <w:pPr>
              <w:pStyle w:val="18"/>
              <w:rPr>
                <w:color w:val="auto"/>
              </w:rPr>
            </w:pPr>
            <w:r>
              <w:rPr>
                <w:rFonts w:hint="eastAsia"/>
                <w:color w:val="auto"/>
              </w:rPr>
              <w:t>输入法 默认标准Android 键盘，可安装第三方输入法</w:t>
            </w:r>
          </w:p>
          <w:p w14:paraId="68B9BCBC">
            <w:pPr>
              <w:pStyle w:val="18"/>
              <w:rPr>
                <w:color w:val="auto"/>
              </w:rPr>
            </w:pPr>
            <w:r>
              <w:rPr>
                <w:rFonts w:hint="eastAsia"/>
                <w:color w:val="auto"/>
              </w:rPr>
              <w:t>5.软件功能</w:t>
            </w:r>
          </w:p>
          <w:p w14:paraId="388A6B2A">
            <w:pPr>
              <w:pStyle w:val="18"/>
              <w:rPr>
                <w:color w:val="auto"/>
              </w:rPr>
            </w:pPr>
            <w:r>
              <w:rPr>
                <w:rFonts w:hint="eastAsia"/>
                <w:color w:val="auto"/>
              </w:rPr>
              <w:t>后台支持：网页/手机（局域网/广域网）</w:t>
            </w:r>
          </w:p>
          <w:p w14:paraId="313DEF31">
            <w:pPr>
              <w:pStyle w:val="18"/>
              <w:rPr>
                <w:color w:val="auto"/>
              </w:rPr>
            </w:pPr>
            <w:r>
              <w:rPr>
                <w:rFonts w:hint="eastAsia"/>
                <w:color w:val="auto"/>
              </w:rPr>
              <w:t>播放模式：联网模式/单机模式</w:t>
            </w:r>
          </w:p>
          <w:p w14:paraId="300E08D6">
            <w:pPr>
              <w:pStyle w:val="18"/>
              <w:rPr>
                <w:color w:val="auto"/>
              </w:rPr>
            </w:pPr>
            <w:r>
              <w:rPr>
                <w:rFonts w:hint="eastAsia"/>
                <w:color w:val="auto"/>
              </w:rPr>
              <w:t>播放支持：支持视频、图片、字幕、PPT、网页、天气、时钟等混合播放</w:t>
            </w:r>
          </w:p>
          <w:p w14:paraId="2575D202">
            <w:pPr>
              <w:pStyle w:val="18"/>
              <w:rPr>
                <w:color w:val="auto"/>
              </w:rPr>
            </w:pPr>
            <w:r>
              <w:rPr>
                <w:rFonts w:hint="eastAsia"/>
                <w:color w:val="auto"/>
              </w:rPr>
              <w:t>智能分屏：支持自定义各种播放模块划分区域显示</w:t>
            </w:r>
          </w:p>
          <w:p w14:paraId="34066F85">
            <w:pPr>
              <w:pStyle w:val="18"/>
              <w:rPr>
                <w:color w:val="auto"/>
              </w:rPr>
            </w:pPr>
            <w:r>
              <w:rPr>
                <w:rFonts w:hint="eastAsia"/>
                <w:color w:val="auto"/>
              </w:rPr>
              <w:t>定时功能：支持自定义节目在指定时间段播放</w:t>
            </w:r>
          </w:p>
          <w:p w14:paraId="75F0FE28">
            <w:pPr>
              <w:pStyle w:val="18"/>
              <w:rPr>
                <w:color w:val="auto"/>
              </w:rPr>
            </w:pPr>
            <w:r>
              <w:rPr>
                <w:rFonts w:hint="eastAsia"/>
                <w:color w:val="auto"/>
              </w:rPr>
              <w:t>终端管理：可由管理员新建分级角色并进行分级权限的编辑和修改等操作</w:t>
            </w:r>
          </w:p>
          <w:p w14:paraId="39533141">
            <w:pPr>
              <w:pStyle w:val="18"/>
              <w:rPr>
                <w:color w:val="auto"/>
              </w:rPr>
            </w:pPr>
            <w:r>
              <w:rPr>
                <w:rFonts w:hint="eastAsia"/>
                <w:color w:val="auto"/>
              </w:rPr>
              <w:t>更多功能：请参考使用说明书/视频或联系厂家技术</w:t>
            </w:r>
          </w:p>
          <w:p w14:paraId="479553AB">
            <w:pPr>
              <w:pStyle w:val="18"/>
              <w:rPr>
                <w:color w:val="auto"/>
              </w:rPr>
            </w:pPr>
            <w:r>
              <w:rPr>
                <w:rFonts w:hint="eastAsia"/>
                <w:color w:val="auto"/>
              </w:rPr>
              <w:t>6.机身参数</w:t>
            </w:r>
          </w:p>
          <w:p w14:paraId="0E396872">
            <w:pPr>
              <w:pStyle w:val="18"/>
              <w:rPr>
                <w:color w:val="auto"/>
              </w:rPr>
            </w:pPr>
            <w:r>
              <w:rPr>
                <w:rFonts w:hint="eastAsia"/>
                <w:color w:val="auto"/>
              </w:rPr>
              <w:t>边框材质：铝型材（氧化拉丝）</w:t>
            </w:r>
          </w:p>
          <w:p w14:paraId="4B68A472">
            <w:pPr>
              <w:pStyle w:val="18"/>
              <w:rPr>
                <w:color w:val="auto"/>
              </w:rPr>
            </w:pPr>
            <w:r>
              <w:rPr>
                <w:rFonts w:hint="eastAsia"/>
                <w:color w:val="auto"/>
              </w:rPr>
              <w:t>机身材质：五金冷轧钢板（金属喷涂）</w:t>
            </w:r>
          </w:p>
          <w:p w14:paraId="1834C738">
            <w:pPr>
              <w:pStyle w:val="18"/>
              <w:rPr>
                <w:rFonts w:hint="eastAsia"/>
                <w:color w:val="auto"/>
              </w:rPr>
            </w:pPr>
            <w:r>
              <w:rPr>
                <w:rFonts w:hint="eastAsia"/>
                <w:color w:val="auto"/>
              </w:rPr>
              <w:t>表面材质：钢化玻璃(物理钢化)</w:t>
            </w:r>
          </w:p>
          <w:p w14:paraId="39CC995A">
            <w:pPr>
              <w:pStyle w:val="18"/>
              <w:rPr>
                <w:color w:val="auto"/>
              </w:rPr>
            </w:pPr>
            <w:r>
              <w:rPr>
                <w:rFonts w:hint="eastAsia"/>
                <w:color w:val="auto"/>
              </w:rPr>
              <w:t>壁挂支架：横/竖通用款</w:t>
            </w:r>
          </w:p>
          <w:p w14:paraId="716099CA">
            <w:pPr>
              <w:pStyle w:val="18"/>
              <w:rPr>
                <w:color w:val="auto"/>
              </w:rPr>
            </w:pPr>
            <w:r>
              <w:rPr>
                <w:rFonts w:hint="eastAsia"/>
                <w:color w:val="auto"/>
              </w:rPr>
              <w:t>安装方式：壁挂/嵌入/吊装/支架</w:t>
            </w:r>
          </w:p>
        </w:tc>
        <w:tc>
          <w:tcPr>
            <w:tcW w:w="373" w:type="pct"/>
            <w:vAlign w:val="center"/>
          </w:tcPr>
          <w:p w14:paraId="21F8CCBA">
            <w:pPr>
              <w:pStyle w:val="18"/>
              <w:rPr>
                <w:color w:val="auto"/>
              </w:rPr>
            </w:pPr>
            <w:r>
              <w:rPr>
                <w:rFonts w:hint="eastAsia"/>
                <w:color w:val="auto"/>
              </w:rPr>
              <w:t>4</w:t>
            </w:r>
          </w:p>
        </w:tc>
        <w:tc>
          <w:tcPr>
            <w:tcW w:w="275" w:type="pct"/>
            <w:vAlign w:val="center"/>
          </w:tcPr>
          <w:p w14:paraId="60D2B63D">
            <w:pPr>
              <w:pStyle w:val="18"/>
              <w:rPr>
                <w:color w:val="auto"/>
              </w:rPr>
            </w:pPr>
            <w:r>
              <w:rPr>
                <w:rFonts w:hint="eastAsia"/>
                <w:color w:val="auto"/>
              </w:rPr>
              <w:t>台</w:t>
            </w:r>
          </w:p>
        </w:tc>
      </w:tr>
      <w:tr w14:paraId="6723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16D78ECD">
            <w:pPr>
              <w:pStyle w:val="18"/>
              <w:jc w:val="center"/>
              <w:rPr>
                <w:b w:val="0"/>
                <w:color w:val="auto"/>
              </w:rPr>
            </w:pPr>
            <w:r>
              <w:rPr>
                <w:rFonts w:hint="eastAsia"/>
                <w:b w:val="0"/>
                <w:color w:val="auto"/>
              </w:rPr>
              <w:t>2</w:t>
            </w:r>
          </w:p>
        </w:tc>
        <w:tc>
          <w:tcPr>
            <w:tcW w:w="854" w:type="pct"/>
            <w:vAlign w:val="center"/>
          </w:tcPr>
          <w:p w14:paraId="668E1A4C">
            <w:pPr>
              <w:pStyle w:val="18"/>
              <w:jc w:val="center"/>
              <w:rPr>
                <w:color w:val="auto"/>
              </w:rPr>
            </w:pPr>
            <w:r>
              <w:rPr>
                <w:rFonts w:hint="eastAsia"/>
                <w:color w:val="auto"/>
              </w:rPr>
              <w:t>多媒体诊室小屏</w:t>
            </w:r>
          </w:p>
        </w:tc>
        <w:tc>
          <w:tcPr>
            <w:tcW w:w="3159" w:type="pct"/>
            <w:vAlign w:val="center"/>
          </w:tcPr>
          <w:p w14:paraId="0D1AD56C">
            <w:pPr>
              <w:pStyle w:val="18"/>
              <w:rPr>
                <w:color w:val="auto"/>
              </w:rPr>
            </w:pPr>
            <w:r>
              <w:rPr>
                <w:rFonts w:hint="eastAsia"/>
                <w:color w:val="auto"/>
              </w:rPr>
              <w:t>1.显示参数</w:t>
            </w:r>
          </w:p>
          <w:p w14:paraId="597A529F">
            <w:pPr>
              <w:pStyle w:val="18"/>
              <w:rPr>
                <w:color w:val="auto"/>
              </w:rPr>
            </w:pPr>
            <w:r>
              <w:rPr>
                <w:rFonts w:hint="eastAsia"/>
                <w:color w:val="auto"/>
              </w:rPr>
              <w:t>全新A+液晶≥21.5英寸</w:t>
            </w:r>
          </w:p>
          <w:p w14:paraId="44C0750E">
            <w:pPr>
              <w:pStyle w:val="18"/>
              <w:rPr>
                <w:color w:val="auto"/>
              </w:rPr>
            </w:pPr>
            <w:r>
              <w:rPr>
                <w:rFonts w:hint="eastAsia"/>
                <w:color w:val="auto"/>
              </w:rPr>
              <w:t>分辨率≥1920*1080</w:t>
            </w:r>
          </w:p>
          <w:p w14:paraId="26576504">
            <w:pPr>
              <w:pStyle w:val="18"/>
              <w:rPr>
                <w:color w:val="auto"/>
              </w:rPr>
            </w:pPr>
            <w:r>
              <w:rPr>
                <w:rFonts w:hint="eastAsia"/>
                <w:color w:val="auto"/>
              </w:rPr>
              <w:t>可视角度89/89/89/89 (Typ.)(CR≥10</w:t>
            </w:r>
          </w:p>
          <w:p w14:paraId="01CB1682">
            <w:pPr>
              <w:pStyle w:val="18"/>
              <w:rPr>
                <w:color w:val="auto"/>
              </w:rPr>
            </w:pPr>
            <w:r>
              <w:rPr>
                <w:rFonts w:hint="eastAsia"/>
                <w:color w:val="auto"/>
              </w:rPr>
              <w:t>显示区域476.5*268mm</w:t>
            </w:r>
          </w:p>
          <w:p w14:paraId="672B3AB6">
            <w:pPr>
              <w:pStyle w:val="18"/>
              <w:rPr>
                <w:color w:val="auto"/>
              </w:rPr>
            </w:pPr>
            <w:r>
              <w:rPr>
                <w:rFonts w:hint="eastAsia"/>
                <w:color w:val="auto"/>
              </w:rPr>
              <w:t>显示比例16:9</w:t>
            </w:r>
          </w:p>
          <w:p w14:paraId="00784EE3">
            <w:pPr>
              <w:pStyle w:val="18"/>
              <w:rPr>
                <w:color w:val="auto"/>
              </w:rPr>
            </w:pPr>
            <w:r>
              <w:rPr>
                <w:rFonts w:hint="eastAsia"/>
                <w:color w:val="auto"/>
              </w:rPr>
              <w:t>屏幕亮度≥250cd/m2（典型值）</w:t>
            </w:r>
          </w:p>
          <w:p w14:paraId="2276FAC3">
            <w:pPr>
              <w:pStyle w:val="18"/>
              <w:rPr>
                <w:color w:val="auto"/>
              </w:rPr>
            </w:pPr>
            <w:r>
              <w:rPr>
                <w:rFonts w:hint="eastAsia"/>
                <w:color w:val="auto"/>
              </w:rPr>
              <w:t>背光类型W-LED</w:t>
            </w:r>
          </w:p>
          <w:p w14:paraId="497EC955">
            <w:pPr>
              <w:pStyle w:val="18"/>
              <w:rPr>
                <w:color w:val="auto"/>
              </w:rPr>
            </w:pPr>
            <w:r>
              <w:rPr>
                <w:rFonts w:hint="eastAsia"/>
                <w:color w:val="auto"/>
              </w:rPr>
              <w:t>对比度1000:1</w:t>
            </w:r>
          </w:p>
          <w:p w14:paraId="1FFE9397">
            <w:pPr>
              <w:pStyle w:val="18"/>
              <w:rPr>
                <w:color w:val="auto"/>
              </w:rPr>
            </w:pPr>
            <w:r>
              <w:rPr>
                <w:rFonts w:hint="eastAsia"/>
                <w:color w:val="auto"/>
              </w:rPr>
              <w:t>2.安卓配置</w:t>
            </w:r>
          </w:p>
          <w:p w14:paraId="0470D197">
            <w:pPr>
              <w:pStyle w:val="18"/>
              <w:rPr>
                <w:color w:val="auto"/>
              </w:rPr>
            </w:pPr>
            <w:r>
              <w:rPr>
                <w:rFonts w:hint="eastAsia"/>
                <w:color w:val="auto"/>
              </w:rPr>
              <w:t>系统版本Android</w:t>
            </w:r>
          </w:p>
          <w:p w14:paraId="77253723">
            <w:pPr>
              <w:pStyle w:val="18"/>
              <w:rPr>
                <w:color w:val="auto"/>
              </w:rPr>
            </w:pPr>
            <w:r>
              <w:rPr>
                <w:rFonts w:hint="eastAsia"/>
                <w:color w:val="auto"/>
              </w:rPr>
              <w:t>主板芯片≥4核</w:t>
            </w:r>
          </w:p>
          <w:p w14:paraId="69C13D23">
            <w:pPr>
              <w:pStyle w:val="18"/>
              <w:rPr>
                <w:color w:val="auto"/>
              </w:rPr>
            </w:pPr>
            <w:r>
              <w:rPr>
                <w:rFonts w:hint="eastAsia"/>
                <w:color w:val="auto"/>
              </w:rPr>
              <w:t>运行内存≥1GB</w:t>
            </w:r>
          </w:p>
          <w:p w14:paraId="355358A2">
            <w:pPr>
              <w:pStyle w:val="18"/>
              <w:rPr>
                <w:color w:val="auto"/>
              </w:rPr>
            </w:pPr>
            <w:r>
              <w:rPr>
                <w:rFonts w:hint="eastAsia"/>
                <w:color w:val="auto"/>
              </w:rPr>
              <w:t>存储内存 ≥16GB</w:t>
            </w:r>
          </w:p>
          <w:p w14:paraId="597C0E6D">
            <w:pPr>
              <w:pStyle w:val="18"/>
              <w:rPr>
                <w:color w:val="auto"/>
              </w:rPr>
            </w:pPr>
            <w:r>
              <w:rPr>
                <w:rFonts w:hint="eastAsia"/>
                <w:color w:val="auto"/>
              </w:rPr>
              <w:t>3.系统功能</w:t>
            </w:r>
          </w:p>
          <w:p w14:paraId="074241B2">
            <w:pPr>
              <w:pStyle w:val="18"/>
              <w:rPr>
                <w:color w:val="auto"/>
              </w:rPr>
            </w:pPr>
            <w:r>
              <w:rPr>
                <w:rFonts w:hint="eastAsia"/>
                <w:color w:val="auto"/>
              </w:rPr>
              <w:t>内存拓展：最高支持 32GB TF卡方式拓展</w:t>
            </w:r>
          </w:p>
          <w:p w14:paraId="13DEF1D4">
            <w:pPr>
              <w:pStyle w:val="18"/>
              <w:rPr>
                <w:color w:val="auto"/>
              </w:rPr>
            </w:pPr>
            <w:r>
              <w:rPr>
                <w:rFonts w:hint="eastAsia"/>
                <w:color w:val="auto"/>
              </w:rPr>
              <w:t>预装软件：信息发布软件/可支持第三方软件</w:t>
            </w:r>
          </w:p>
          <w:p w14:paraId="6AF01347">
            <w:pPr>
              <w:pStyle w:val="18"/>
              <w:rPr>
                <w:color w:val="auto"/>
              </w:rPr>
            </w:pPr>
            <w:r>
              <w:rPr>
                <w:rFonts w:hint="eastAsia"/>
                <w:color w:val="auto"/>
              </w:rPr>
              <w:t>网络通信：支持有线网络连接和无线网络连接</w:t>
            </w:r>
          </w:p>
          <w:p w14:paraId="17206CA7">
            <w:pPr>
              <w:pStyle w:val="18"/>
              <w:rPr>
                <w:color w:val="auto"/>
              </w:rPr>
            </w:pPr>
            <w:r>
              <w:rPr>
                <w:rFonts w:hint="eastAsia"/>
                <w:color w:val="auto"/>
              </w:rPr>
              <w:t>选装3G/4G/5G</w:t>
            </w:r>
          </w:p>
          <w:p w14:paraId="51F4FED6">
            <w:pPr>
              <w:pStyle w:val="18"/>
              <w:rPr>
                <w:color w:val="auto"/>
              </w:rPr>
            </w:pPr>
            <w:r>
              <w:rPr>
                <w:rFonts w:hint="eastAsia"/>
                <w:color w:val="auto"/>
              </w:rPr>
              <w:t>视频解码：最高支持1080P视频、图片解码播放</w:t>
            </w:r>
          </w:p>
          <w:p w14:paraId="3EE12C1D">
            <w:pPr>
              <w:pStyle w:val="18"/>
              <w:rPr>
                <w:color w:val="auto"/>
              </w:rPr>
            </w:pPr>
            <w:r>
              <w:rPr>
                <w:rFonts w:hint="eastAsia"/>
                <w:color w:val="auto"/>
              </w:rPr>
              <w:t>开机方式：支持上电自启、定时开关、网络唤醒、遥控开关</w:t>
            </w:r>
          </w:p>
          <w:p w14:paraId="5F661C3D">
            <w:pPr>
              <w:pStyle w:val="18"/>
              <w:rPr>
                <w:color w:val="auto"/>
              </w:rPr>
            </w:pPr>
            <w:r>
              <w:rPr>
                <w:rFonts w:hint="eastAsia"/>
                <w:color w:val="auto"/>
              </w:rPr>
              <w:t>语言选择：支持中文、繁体、英语等多国语言</w:t>
            </w:r>
          </w:p>
          <w:p w14:paraId="6B5649D7">
            <w:pPr>
              <w:pStyle w:val="18"/>
              <w:rPr>
                <w:color w:val="auto"/>
              </w:rPr>
            </w:pPr>
            <w:r>
              <w:rPr>
                <w:rFonts w:hint="eastAsia"/>
                <w:color w:val="auto"/>
              </w:rPr>
              <w:t>音频功能：内置两个优质高音喇叭</w:t>
            </w:r>
          </w:p>
          <w:p w14:paraId="685BBCB5">
            <w:pPr>
              <w:pStyle w:val="18"/>
              <w:rPr>
                <w:color w:val="auto"/>
              </w:rPr>
            </w:pPr>
            <w:r>
              <w:rPr>
                <w:rFonts w:hint="eastAsia"/>
                <w:color w:val="auto"/>
              </w:rPr>
              <w:t>横竖切换：支持0°、90°、180°、270旋转屏幕显示</w:t>
            </w:r>
          </w:p>
          <w:p w14:paraId="2263527C">
            <w:pPr>
              <w:pStyle w:val="18"/>
              <w:rPr>
                <w:color w:val="auto"/>
              </w:rPr>
            </w:pPr>
            <w:r>
              <w:rPr>
                <w:rFonts w:hint="eastAsia"/>
                <w:color w:val="auto"/>
              </w:rPr>
              <w:t>分屏显示：可支持画面的任意切割、横式、直立式以及播放区域自由组合、划分等操作</w:t>
            </w:r>
          </w:p>
          <w:p w14:paraId="576013A5">
            <w:pPr>
              <w:pStyle w:val="18"/>
              <w:rPr>
                <w:color w:val="auto"/>
              </w:rPr>
            </w:pPr>
            <w:r>
              <w:rPr>
                <w:rFonts w:hint="eastAsia"/>
                <w:color w:val="auto"/>
              </w:rPr>
              <w:t>鼠标功能：支持插入鼠标键盘插入使用</w:t>
            </w:r>
          </w:p>
          <w:p w14:paraId="1BDE8E6A">
            <w:pPr>
              <w:pStyle w:val="18"/>
              <w:rPr>
                <w:color w:val="auto"/>
              </w:rPr>
            </w:pPr>
            <w:r>
              <w:rPr>
                <w:rFonts w:hint="eastAsia"/>
                <w:color w:val="auto"/>
              </w:rPr>
              <w:t>单机功能：支持USB节目导入播放</w:t>
            </w:r>
          </w:p>
          <w:p w14:paraId="440A3A72">
            <w:pPr>
              <w:pStyle w:val="18"/>
              <w:rPr>
                <w:color w:val="auto"/>
              </w:rPr>
            </w:pPr>
            <w:r>
              <w:rPr>
                <w:rFonts w:hint="eastAsia"/>
                <w:color w:val="auto"/>
              </w:rPr>
              <w:t>系统升级：支持系统后台升级和本地升级</w:t>
            </w:r>
          </w:p>
          <w:p w14:paraId="5770FB42">
            <w:pPr>
              <w:pStyle w:val="18"/>
              <w:rPr>
                <w:color w:val="auto"/>
              </w:rPr>
            </w:pPr>
            <w:r>
              <w:rPr>
                <w:rFonts w:hint="eastAsia"/>
                <w:color w:val="auto"/>
              </w:rPr>
              <w:t>遥控功能：支持遥控操作</w:t>
            </w:r>
          </w:p>
          <w:p w14:paraId="2463F6A2">
            <w:pPr>
              <w:pStyle w:val="18"/>
              <w:rPr>
                <w:color w:val="auto"/>
              </w:rPr>
            </w:pPr>
            <w:r>
              <w:rPr>
                <w:rFonts w:hint="eastAsia"/>
                <w:color w:val="auto"/>
              </w:rPr>
              <w:t>播放功能：支持视频、图片、字幕、PPT、网页、混合播放、应用程序、天气、时钟等</w:t>
            </w:r>
          </w:p>
          <w:p w14:paraId="29F96EA8">
            <w:pPr>
              <w:pStyle w:val="18"/>
              <w:rPr>
                <w:color w:val="auto"/>
              </w:rPr>
            </w:pPr>
            <w:r>
              <w:rPr>
                <w:rFonts w:hint="eastAsia"/>
                <w:color w:val="auto"/>
              </w:rPr>
              <w:t>图片格式：可支持 JPG、BMP、GIF 和 PNG 等格式图片文件</w:t>
            </w:r>
          </w:p>
          <w:p w14:paraId="6116F9A6">
            <w:pPr>
              <w:pStyle w:val="18"/>
              <w:rPr>
                <w:color w:val="auto"/>
              </w:rPr>
            </w:pPr>
            <w:r>
              <w:rPr>
                <w:rFonts w:hint="eastAsia"/>
                <w:color w:val="auto"/>
              </w:rPr>
              <w:t>视频格式：可支持 VOB、AVI、WMV、MOV、MKV、RMVB 以及 FLV等格式影音文件</w:t>
            </w:r>
          </w:p>
          <w:p w14:paraId="49742E3F">
            <w:pPr>
              <w:pStyle w:val="18"/>
              <w:rPr>
                <w:color w:val="auto"/>
              </w:rPr>
            </w:pPr>
            <w:r>
              <w:rPr>
                <w:rFonts w:hint="eastAsia"/>
                <w:color w:val="auto"/>
              </w:rPr>
              <w:t>音频格式：可支持MP3、AAC、APE、WMA、MAV等格式音频文件</w:t>
            </w:r>
          </w:p>
          <w:p w14:paraId="091EF1AB">
            <w:pPr>
              <w:pStyle w:val="18"/>
              <w:rPr>
                <w:color w:val="auto"/>
              </w:rPr>
            </w:pPr>
            <w:r>
              <w:rPr>
                <w:rFonts w:hint="eastAsia"/>
                <w:color w:val="auto"/>
              </w:rPr>
              <w:t>终端管理：支持本地和远程控制终端</w:t>
            </w:r>
          </w:p>
          <w:p w14:paraId="0329EB3E">
            <w:pPr>
              <w:pStyle w:val="18"/>
              <w:rPr>
                <w:color w:val="auto"/>
              </w:rPr>
            </w:pPr>
            <w:r>
              <w:rPr>
                <w:rFonts w:hint="eastAsia"/>
                <w:color w:val="auto"/>
              </w:rPr>
              <w:t>分级管理：可由管理员新建分级角色并进行分级权限的编辑和修改等操作</w:t>
            </w:r>
          </w:p>
          <w:p w14:paraId="7A324CE3">
            <w:pPr>
              <w:pStyle w:val="18"/>
              <w:rPr>
                <w:color w:val="auto"/>
              </w:rPr>
            </w:pPr>
            <w:r>
              <w:rPr>
                <w:rFonts w:hint="eastAsia"/>
                <w:color w:val="auto"/>
              </w:rPr>
              <w:t>4.机身参数</w:t>
            </w:r>
          </w:p>
          <w:p w14:paraId="3BE5BA63">
            <w:pPr>
              <w:pStyle w:val="18"/>
              <w:rPr>
                <w:color w:val="auto"/>
              </w:rPr>
            </w:pPr>
            <w:r>
              <w:rPr>
                <w:rFonts w:hint="eastAsia"/>
                <w:color w:val="auto"/>
              </w:rPr>
              <w:t>边框材质：镀锌板</w:t>
            </w:r>
          </w:p>
          <w:p w14:paraId="772C2960">
            <w:pPr>
              <w:pStyle w:val="18"/>
              <w:rPr>
                <w:color w:val="auto"/>
              </w:rPr>
            </w:pPr>
            <w:r>
              <w:rPr>
                <w:rFonts w:hint="eastAsia"/>
                <w:color w:val="auto"/>
              </w:rPr>
              <w:t>机身材质：五金冷轧板</w:t>
            </w:r>
          </w:p>
          <w:p w14:paraId="743C37AA">
            <w:pPr>
              <w:pStyle w:val="18"/>
              <w:rPr>
                <w:color w:val="auto"/>
              </w:rPr>
            </w:pPr>
            <w:r>
              <w:rPr>
                <w:rFonts w:hint="eastAsia"/>
                <w:color w:val="auto"/>
              </w:rPr>
              <w:t>表面材质：钢化玻璃</w:t>
            </w:r>
          </w:p>
          <w:p w14:paraId="7493CEEA">
            <w:pPr>
              <w:pStyle w:val="18"/>
              <w:rPr>
                <w:color w:val="auto"/>
              </w:rPr>
            </w:pPr>
            <w:r>
              <w:rPr>
                <w:rFonts w:hint="eastAsia"/>
                <w:color w:val="auto"/>
              </w:rPr>
              <w:t>安装方式：壁挂贴墙安装</w:t>
            </w:r>
          </w:p>
        </w:tc>
        <w:tc>
          <w:tcPr>
            <w:tcW w:w="373" w:type="pct"/>
            <w:vAlign w:val="center"/>
          </w:tcPr>
          <w:p w14:paraId="6575EA21">
            <w:pPr>
              <w:pStyle w:val="18"/>
              <w:rPr>
                <w:color w:val="auto"/>
              </w:rPr>
            </w:pPr>
            <w:r>
              <w:rPr>
                <w:rFonts w:hint="eastAsia"/>
                <w:color w:val="auto"/>
              </w:rPr>
              <w:t>42</w:t>
            </w:r>
          </w:p>
        </w:tc>
        <w:tc>
          <w:tcPr>
            <w:tcW w:w="275" w:type="pct"/>
            <w:vAlign w:val="center"/>
          </w:tcPr>
          <w:p w14:paraId="77A3EF64">
            <w:pPr>
              <w:pStyle w:val="18"/>
              <w:rPr>
                <w:color w:val="auto"/>
              </w:rPr>
            </w:pPr>
            <w:r>
              <w:rPr>
                <w:rFonts w:hint="eastAsia"/>
                <w:color w:val="auto"/>
              </w:rPr>
              <w:t>台</w:t>
            </w:r>
          </w:p>
        </w:tc>
      </w:tr>
      <w:tr w14:paraId="02D8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64CBFB7E">
            <w:pPr>
              <w:pStyle w:val="18"/>
              <w:jc w:val="center"/>
              <w:rPr>
                <w:b w:val="0"/>
                <w:color w:val="auto"/>
              </w:rPr>
            </w:pPr>
            <w:r>
              <w:rPr>
                <w:rFonts w:hint="eastAsia"/>
                <w:b w:val="0"/>
                <w:color w:val="auto"/>
              </w:rPr>
              <w:t>3</w:t>
            </w:r>
          </w:p>
        </w:tc>
        <w:tc>
          <w:tcPr>
            <w:tcW w:w="854" w:type="pct"/>
            <w:vAlign w:val="center"/>
          </w:tcPr>
          <w:p w14:paraId="007BFB53">
            <w:pPr>
              <w:pStyle w:val="18"/>
              <w:jc w:val="center"/>
              <w:rPr>
                <w:color w:val="auto"/>
              </w:rPr>
            </w:pPr>
            <w:r>
              <w:rPr>
                <w:rFonts w:hint="eastAsia"/>
                <w:color w:val="auto"/>
              </w:rPr>
              <w:t>服务器</w:t>
            </w:r>
          </w:p>
        </w:tc>
        <w:tc>
          <w:tcPr>
            <w:tcW w:w="3159" w:type="pct"/>
            <w:vAlign w:val="center"/>
          </w:tcPr>
          <w:p w14:paraId="3300EF32">
            <w:pPr>
              <w:pStyle w:val="18"/>
              <w:rPr>
                <w:color w:val="auto"/>
              </w:rPr>
            </w:pPr>
            <w:r>
              <w:rPr>
                <w:rFonts w:hint="eastAsia"/>
                <w:color w:val="auto"/>
              </w:rPr>
              <w:t>1、品牌：国产品牌</w:t>
            </w:r>
          </w:p>
          <w:p w14:paraId="45E532B8">
            <w:pPr>
              <w:pStyle w:val="18"/>
              <w:rPr>
                <w:color w:val="auto"/>
              </w:rPr>
            </w:pPr>
            <w:r>
              <w:rPr>
                <w:rFonts w:hint="eastAsia"/>
                <w:color w:val="auto"/>
              </w:rPr>
              <w:t>2、机箱：标准机架式服务器，长度&lt;800mm，含机架导轨；</w:t>
            </w:r>
          </w:p>
          <w:p w14:paraId="04D7A9B8">
            <w:pPr>
              <w:pStyle w:val="18"/>
              <w:rPr>
                <w:color w:val="auto"/>
              </w:rPr>
            </w:pPr>
            <w:r>
              <w:rPr>
                <w:rFonts w:hint="eastAsia"/>
                <w:color w:val="auto"/>
              </w:rPr>
              <w:t>3、处理器：支持2 颗处理器，配置≥2 颗Intel Xeon系列第二代处理器（单颗核数6C，主频1.9GHz）；</w:t>
            </w:r>
          </w:p>
          <w:p w14:paraId="6096A865">
            <w:pPr>
              <w:pStyle w:val="18"/>
              <w:rPr>
                <w:color w:val="auto"/>
              </w:rPr>
            </w:pPr>
            <w:r>
              <w:rPr>
                <w:rFonts w:hint="eastAsia"/>
                <w:color w:val="auto"/>
              </w:rPr>
              <w:t>4、内存：最大支持16个内存插槽，内存最大速度可达2666MT/s。支持RDIMM； LRDIMM内存。内存保护支持ECC、内存镜像、热备；配置≥32GB内存容量；</w:t>
            </w:r>
          </w:p>
          <w:p w14:paraId="0EC71F82">
            <w:pPr>
              <w:pStyle w:val="18"/>
              <w:rPr>
                <w:color w:val="auto"/>
              </w:rPr>
            </w:pPr>
            <w:r>
              <w:rPr>
                <w:rFonts w:hint="eastAsia"/>
                <w:color w:val="auto"/>
              </w:rPr>
              <w:t>5、硬盘：配置2块≥480GB SSD硬盘；可支持≥27个标准硬盘槽位，支持SAS/SATA接口，支持≥2个后置基于SATA总线的M.2 SSD硬盘或≥2块2.5 SATA硬盘；</w:t>
            </w:r>
          </w:p>
          <w:p w14:paraId="08107886">
            <w:pPr>
              <w:pStyle w:val="18"/>
              <w:rPr>
                <w:color w:val="auto"/>
              </w:rPr>
            </w:pPr>
            <w:r>
              <w:rPr>
                <w:rFonts w:hint="eastAsia"/>
                <w:color w:val="auto"/>
              </w:rPr>
              <w:t>6、接口：前置≥1个USB3.0接口，≥1个VGA接口，≥1个USB 3.0接口（支持USB2.0和外插LCD液晶管理模块）；后置≥2个USB3.0接口，≥1个VGA接口， ≥1个UART串口，≥1个管理口；内部≥2个USB3.0接口；</w:t>
            </w:r>
          </w:p>
          <w:p w14:paraId="7AEC6C4A">
            <w:pPr>
              <w:pStyle w:val="18"/>
              <w:rPr>
                <w:color w:val="auto"/>
              </w:rPr>
            </w:pPr>
            <w:r>
              <w:rPr>
                <w:rFonts w:hint="eastAsia"/>
                <w:color w:val="auto"/>
              </w:rPr>
              <w:t>7、RAID：支持12Gb/s SAS RAID；支持SAS/SATA/NVME混合模式; 支持RAID 0/1/5/6/10/50/60；</w:t>
            </w:r>
          </w:p>
          <w:p w14:paraId="5B035B40">
            <w:pPr>
              <w:pStyle w:val="18"/>
              <w:rPr>
                <w:color w:val="auto"/>
              </w:rPr>
            </w:pPr>
            <w:r>
              <w:rPr>
                <w:rFonts w:hint="eastAsia"/>
                <w:color w:val="auto"/>
              </w:rPr>
              <w:t>8、网口：支持标准1Gb/10Gb/25Gb/40G/100Gb以太网络,支持1/2/4个以太网接口，配置≥4个千兆网口；</w:t>
            </w:r>
          </w:p>
          <w:p w14:paraId="2AD09692">
            <w:pPr>
              <w:pStyle w:val="18"/>
              <w:rPr>
                <w:color w:val="auto"/>
              </w:rPr>
            </w:pPr>
            <w:r>
              <w:rPr>
                <w:rFonts w:hint="eastAsia"/>
                <w:color w:val="auto"/>
              </w:rPr>
              <w:t>9、PCIe扩展：支持≥2个PCIe x16后置插槽；支持≥4个PCIe x8后置插槽，其中≥1个PCIe x16槽位为x8信号；</w:t>
            </w:r>
          </w:p>
          <w:p w14:paraId="2F655DDE">
            <w:pPr>
              <w:pStyle w:val="18"/>
              <w:rPr>
                <w:color w:val="auto"/>
              </w:rPr>
            </w:pPr>
            <w:r>
              <w:rPr>
                <w:rFonts w:hint="eastAsia"/>
                <w:color w:val="auto"/>
              </w:rPr>
              <w:t>10、电源：配置两个冗余热插拔≥550W 铂金交流电源，支持-48V /336V 直流电源；</w:t>
            </w:r>
          </w:p>
        </w:tc>
        <w:tc>
          <w:tcPr>
            <w:tcW w:w="373" w:type="pct"/>
            <w:vAlign w:val="center"/>
          </w:tcPr>
          <w:p w14:paraId="5ECEE8C3">
            <w:pPr>
              <w:pStyle w:val="18"/>
              <w:rPr>
                <w:color w:val="auto"/>
              </w:rPr>
            </w:pPr>
            <w:r>
              <w:rPr>
                <w:rFonts w:hint="eastAsia"/>
                <w:color w:val="auto"/>
              </w:rPr>
              <w:t>2</w:t>
            </w:r>
          </w:p>
        </w:tc>
        <w:tc>
          <w:tcPr>
            <w:tcW w:w="275" w:type="pct"/>
            <w:vAlign w:val="center"/>
          </w:tcPr>
          <w:p w14:paraId="42C46163">
            <w:pPr>
              <w:pStyle w:val="18"/>
              <w:rPr>
                <w:color w:val="auto"/>
              </w:rPr>
            </w:pPr>
            <w:r>
              <w:rPr>
                <w:rFonts w:hint="eastAsia"/>
                <w:color w:val="auto"/>
              </w:rPr>
              <w:t>台</w:t>
            </w:r>
          </w:p>
        </w:tc>
      </w:tr>
      <w:tr w14:paraId="5110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5463AAA4">
            <w:pPr>
              <w:pStyle w:val="18"/>
              <w:jc w:val="center"/>
              <w:rPr>
                <w:b w:val="0"/>
                <w:color w:val="auto"/>
              </w:rPr>
            </w:pPr>
            <w:r>
              <w:rPr>
                <w:rFonts w:hint="eastAsia"/>
                <w:b w:val="0"/>
                <w:color w:val="auto"/>
              </w:rPr>
              <w:t>4</w:t>
            </w:r>
          </w:p>
        </w:tc>
        <w:tc>
          <w:tcPr>
            <w:tcW w:w="854" w:type="pct"/>
            <w:vAlign w:val="center"/>
          </w:tcPr>
          <w:p w14:paraId="0E963019">
            <w:pPr>
              <w:pStyle w:val="18"/>
              <w:jc w:val="center"/>
              <w:rPr>
                <w:color w:val="auto"/>
              </w:rPr>
            </w:pPr>
            <w:r>
              <w:rPr>
                <w:rFonts w:hint="eastAsia"/>
                <w:color w:val="auto"/>
              </w:rPr>
              <w:t>防火墙</w:t>
            </w:r>
          </w:p>
        </w:tc>
        <w:tc>
          <w:tcPr>
            <w:tcW w:w="3159" w:type="pct"/>
            <w:vAlign w:val="center"/>
          </w:tcPr>
          <w:p w14:paraId="32BFE362">
            <w:pPr>
              <w:pStyle w:val="18"/>
              <w:rPr>
                <w:color w:val="auto"/>
              </w:rPr>
            </w:pPr>
            <w:r>
              <w:rPr>
                <w:rFonts w:hint="eastAsia"/>
                <w:color w:val="auto"/>
              </w:rPr>
              <w:t>1.机架式设备，不少于6个千兆电口，不少于1个扩展槽位，2个USB口，不少于1对硬件bypass接口；整机吞吐量≥2Gbps，并发连接≥100W；具备IPSec VPN功能，实配隧道数不少于1000、客户端数不少于5个；包含一年应用识别与控制许可及升级服务；支持IPv6。具备防病毒防攻击功能。</w:t>
            </w:r>
          </w:p>
        </w:tc>
        <w:tc>
          <w:tcPr>
            <w:tcW w:w="373" w:type="pct"/>
            <w:vAlign w:val="center"/>
          </w:tcPr>
          <w:p w14:paraId="0682F834">
            <w:pPr>
              <w:pStyle w:val="18"/>
              <w:rPr>
                <w:color w:val="auto"/>
              </w:rPr>
            </w:pPr>
            <w:r>
              <w:rPr>
                <w:rFonts w:hint="eastAsia"/>
                <w:color w:val="auto"/>
              </w:rPr>
              <w:t>1</w:t>
            </w:r>
          </w:p>
        </w:tc>
        <w:tc>
          <w:tcPr>
            <w:tcW w:w="275" w:type="pct"/>
            <w:vAlign w:val="center"/>
          </w:tcPr>
          <w:p w14:paraId="69788EF2">
            <w:pPr>
              <w:pStyle w:val="18"/>
              <w:rPr>
                <w:color w:val="auto"/>
              </w:rPr>
            </w:pPr>
            <w:r>
              <w:rPr>
                <w:rFonts w:hint="eastAsia"/>
                <w:color w:val="auto"/>
              </w:rPr>
              <w:t>台</w:t>
            </w:r>
          </w:p>
        </w:tc>
      </w:tr>
      <w:tr w14:paraId="6D2E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0D6D0F82">
            <w:pPr>
              <w:pStyle w:val="18"/>
              <w:jc w:val="center"/>
              <w:rPr>
                <w:b w:val="0"/>
                <w:color w:val="auto"/>
              </w:rPr>
            </w:pPr>
            <w:r>
              <w:rPr>
                <w:b w:val="0"/>
                <w:color w:val="auto"/>
              </w:rPr>
              <w:t>5</w:t>
            </w:r>
          </w:p>
        </w:tc>
        <w:tc>
          <w:tcPr>
            <w:tcW w:w="854" w:type="pct"/>
            <w:vAlign w:val="center"/>
          </w:tcPr>
          <w:p w14:paraId="2BF8975D">
            <w:pPr>
              <w:pStyle w:val="18"/>
              <w:jc w:val="center"/>
              <w:rPr>
                <w:color w:val="auto"/>
              </w:rPr>
            </w:pPr>
            <w:r>
              <w:rPr>
                <w:rFonts w:hint="eastAsia"/>
                <w:color w:val="auto"/>
              </w:rPr>
              <w:t>门诊自助机</w:t>
            </w:r>
          </w:p>
        </w:tc>
        <w:tc>
          <w:tcPr>
            <w:tcW w:w="3159" w:type="pct"/>
            <w:vAlign w:val="center"/>
          </w:tcPr>
          <w:p w14:paraId="47AAE05F">
            <w:pPr>
              <w:pStyle w:val="18"/>
              <w:rPr>
                <w:color w:val="auto"/>
              </w:rPr>
            </w:pPr>
            <w:r>
              <w:rPr>
                <w:rFonts w:hint="eastAsia"/>
                <w:color w:val="auto"/>
              </w:rPr>
              <w:t>身份识别、预约挂号、门诊缴费、住院充值、自助报道、检验报告打印、电子发票打印、信息查询、满意度评价功能；</w:t>
            </w:r>
          </w:p>
          <w:p w14:paraId="07FB32A3">
            <w:pPr>
              <w:pStyle w:val="18"/>
              <w:rPr>
                <w:color w:val="auto"/>
              </w:rPr>
            </w:pPr>
            <w:r>
              <w:rPr>
                <w:rFonts w:hint="eastAsia"/>
                <w:color w:val="auto"/>
              </w:rPr>
              <w:t>1.主控模块：CPU：Intel ≥I5,内存≥8G,固态硬盘≥256G，≥2个100/1000M自适应以太网口，集成显卡声卡，≥2个视频接口，≥14个USB接口，≥10个串口，≥1个PS/2接口，≥1个MINI-PCIE接口，≥1个PCIE接口。</w:t>
            </w:r>
          </w:p>
          <w:p w14:paraId="7E4C3F35">
            <w:pPr>
              <w:pStyle w:val="18"/>
              <w:rPr>
                <w:color w:val="auto"/>
              </w:rPr>
            </w:pPr>
            <w:r>
              <w:rPr>
                <w:rFonts w:hint="eastAsia"/>
                <w:color w:val="auto"/>
              </w:rPr>
              <w:t>2.触显模块：≥43英寸电容触摸屏，分辨率：≥1920*1080，亮度：≥250cd/㎡；对比度≥1200：1；响应时间≤10ms；可视角度：水平≥ 178° 89°/89° 垂直 ≥178° 89°/89°，透光率≥85%。</w:t>
            </w:r>
          </w:p>
          <w:p w14:paraId="016D8F03">
            <w:pPr>
              <w:pStyle w:val="18"/>
              <w:rPr>
                <w:color w:val="auto"/>
              </w:rPr>
            </w:pPr>
            <w:r>
              <w:rPr>
                <w:rFonts w:hint="eastAsia"/>
                <w:color w:val="auto"/>
              </w:rPr>
              <w:t>3.读卡模块：支持磁条卡（符合ISO7810和7811标准）；支持接触式IC卡（符合ISO7816-2）；支持非接触卡的卡型为符合ISO14443 国标标准的Mifare 1 S50；</w:t>
            </w:r>
          </w:p>
          <w:p w14:paraId="16593384">
            <w:pPr>
              <w:pStyle w:val="18"/>
              <w:rPr>
                <w:color w:val="auto"/>
              </w:rPr>
            </w:pPr>
            <w:r>
              <w:rPr>
                <w:rFonts w:hint="eastAsia"/>
                <w:color w:val="auto"/>
              </w:rPr>
              <w:t>4.金属加密键盘模块：输入键盘：10个数字键、6个功能键；按键行程≥0.4mm；按键寿命：≥2000000次；</w:t>
            </w:r>
          </w:p>
          <w:p w14:paraId="3AAB5558">
            <w:pPr>
              <w:pStyle w:val="18"/>
              <w:rPr>
                <w:color w:val="auto"/>
              </w:rPr>
            </w:pPr>
            <w:r>
              <w:rPr>
                <w:rFonts w:hint="eastAsia"/>
                <w:color w:val="auto"/>
              </w:rPr>
              <w:t>处理能力：PIN加密、MAC运算、数据加密/解密、远程秘钥管理；符合ISO13490等标准；密钥管理：可存储16组128位的密钥；只能写入不能读出；支持传输秘钥下载、非法拆封自毁；认证：银联卡受理终端产品安全认证证书，商用密码产品型号证书。防尘，防暴、防钻（入侵）、防监听；</w:t>
            </w:r>
          </w:p>
          <w:p w14:paraId="46A60241">
            <w:pPr>
              <w:pStyle w:val="18"/>
              <w:rPr>
                <w:color w:val="auto"/>
              </w:rPr>
            </w:pPr>
            <w:r>
              <w:rPr>
                <w:rFonts w:hint="eastAsia"/>
                <w:color w:val="auto"/>
              </w:rPr>
              <w:t>5.凭条打印模块：高性能嵌入式热敏打印机，打印分辨率 ≥203×203dpi，打印速度：≥150mm/s，打印宽度Max.80mm，切刀寿命：≥100万次，打印头寿命：≥100km，介质类型：连续纸、黑标纸。</w:t>
            </w:r>
          </w:p>
          <w:p w14:paraId="54A548C2">
            <w:pPr>
              <w:pStyle w:val="18"/>
              <w:rPr>
                <w:color w:val="auto"/>
              </w:rPr>
            </w:pPr>
            <w:r>
              <w:rPr>
                <w:rFonts w:hint="eastAsia"/>
                <w:color w:val="auto"/>
              </w:rPr>
              <w:t>6.条码扫描模块：可识读标准一维码、二维码、医保电子凭证、电子诊疗卡，像素：≥640*480 pixels，光源：白光 LED，扫描类型：COMS影像式，视场角：≥83.0°（H），66.2°（V），转角，偏角:≥+55° +65°</w:t>
            </w:r>
          </w:p>
          <w:p w14:paraId="6654B894">
            <w:pPr>
              <w:pStyle w:val="18"/>
              <w:rPr>
                <w:color w:val="auto"/>
              </w:rPr>
            </w:pPr>
            <w:r>
              <w:rPr>
                <w:rFonts w:hint="eastAsia"/>
                <w:color w:val="auto"/>
              </w:rPr>
              <w:t>7.支付宝刷脸支付模块：利用结构光3D成像技术，深度范围：30cm-100cm，深度图分辨率：≥480x640@30fps，彩色图分辨率：≥960*1280@30fps  480*640@30fps，深度FOV:≥H54°+2V 68°3°，彩色FOV:≥H54+2V 68°+3°。</w:t>
            </w:r>
          </w:p>
          <w:p w14:paraId="597A29FE">
            <w:pPr>
              <w:pStyle w:val="18"/>
              <w:rPr>
                <w:color w:val="auto"/>
              </w:rPr>
            </w:pPr>
            <w:r>
              <w:rPr>
                <w:rFonts w:hint="eastAsia"/>
                <w:color w:val="auto"/>
              </w:rPr>
              <w:t>8.微信刷脸支付模块：工作距离：0.28~1m，深度数据类型：Raw Data 16bit，彩色数据格式：MJPEG，深度图像分辨率：≥640x400@30fps，彩色图像分辨率：≥1920x1080@30fps。</w:t>
            </w:r>
          </w:p>
          <w:p w14:paraId="15024B9F">
            <w:pPr>
              <w:pStyle w:val="18"/>
              <w:rPr>
                <w:color w:val="auto"/>
              </w:rPr>
            </w:pPr>
            <w:r>
              <w:rPr>
                <w:rFonts w:hint="eastAsia"/>
                <w:color w:val="auto"/>
              </w:rPr>
              <w:t>9.打印模块：最大打印幅面： A4，黑白打印速度：≥ 35ppm，最高分辨率： ≥1200×1200dpi，耗材类型： 鼓粉一体，标准进纸盒≥250页，首页打印输出时间：A4，就绪模式 ：≤7秒 A4，睡眠模式：≤9秒，含≥550张纸外置纸盒。</w:t>
            </w:r>
          </w:p>
          <w:p w14:paraId="7AD399E8">
            <w:pPr>
              <w:pStyle w:val="18"/>
              <w:rPr>
                <w:color w:val="auto"/>
              </w:rPr>
            </w:pPr>
            <w:r>
              <w:rPr>
                <w:rFonts w:hint="eastAsia"/>
                <w:color w:val="auto"/>
              </w:rPr>
              <w:t>10.二代身份证阅读模块：符合GA450-2013台式居民身份证阅读器通用技术要求，兼容ISO14443(TypeB)标准，阅读距离：0-30mm，读卡响应速度：小于1s，工作频率：≥13.56MHZ。</w:t>
            </w:r>
          </w:p>
        </w:tc>
        <w:tc>
          <w:tcPr>
            <w:tcW w:w="373" w:type="pct"/>
            <w:vAlign w:val="center"/>
          </w:tcPr>
          <w:p w14:paraId="22C4524B">
            <w:pPr>
              <w:pStyle w:val="18"/>
              <w:rPr>
                <w:color w:val="auto"/>
              </w:rPr>
            </w:pPr>
            <w:r>
              <w:rPr>
                <w:rFonts w:hint="eastAsia"/>
                <w:color w:val="auto"/>
              </w:rPr>
              <w:t>6</w:t>
            </w:r>
          </w:p>
        </w:tc>
        <w:tc>
          <w:tcPr>
            <w:tcW w:w="275" w:type="pct"/>
            <w:vAlign w:val="center"/>
          </w:tcPr>
          <w:p w14:paraId="6095C835">
            <w:pPr>
              <w:pStyle w:val="18"/>
              <w:rPr>
                <w:color w:val="auto"/>
              </w:rPr>
            </w:pPr>
            <w:r>
              <w:rPr>
                <w:rFonts w:hint="eastAsia"/>
                <w:color w:val="auto"/>
              </w:rPr>
              <w:t>台</w:t>
            </w:r>
          </w:p>
        </w:tc>
      </w:tr>
      <w:tr w14:paraId="460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CC83173">
            <w:pPr>
              <w:pStyle w:val="18"/>
              <w:jc w:val="center"/>
              <w:rPr>
                <w:b w:val="0"/>
                <w:color w:val="auto"/>
              </w:rPr>
            </w:pPr>
            <w:r>
              <w:rPr>
                <w:b w:val="0"/>
                <w:color w:val="auto"/>
              </w:rPr>
              <w:t>6</w:t>
            </w:r>
          </w:p>
        </w:tc>
        <w:tc>
          <w:tcPr>
            <w:tcW w:w="854" w:type="pct"/>
            <w:vAlign w:val="center"/>
          </w:tcPr>
          <w:p w14:paraId="171DCDCA">
            <w:pPr>
              <w:pStyle w:val="18"/>
              <w:jc w:val="center"/>
              <w:rPr>
                <w:color w:val="auto"/>
              </w:rPr>
            </w:pPr>
            <w:r>
              <w:rPr>
                <w:rFonts w:hint="eastAsia"/>
                <w:color w:val="auto"/>
              </w:rPr>
              <w:t>壁挂式查询机</w:t>
            </w:r>
          </w:p>
        </w:tc>
        <w:tc>
          <w:tcPr>
            <w:tcW w:w="3159" w:type="pct"/>
            <w:vAlign w:val="center"/>
          </w:tcPr>
          <w:p w14:paraId="0ABE8ABF">
            <w:pPr>
              <w:pStyle w:val="18"/>
              <w:rPr>
                <w:color w:val="auto"/>
              </w:rPr>
            </w:pPr>
            <w:r>
              <w:rPr>
                <w:rFonts w:hint="eastAsia"/>
                <w:color w:val="auto"/>
              </w:rPr>
              <w:t>身份识别、充值缴费、住院清单查询、余额查询、票据打印；</w:t>
            </w:r>
          </w:p>
          <w:p w14:paraId="6D6C7D05">
            <w:pPr>
              <w:pStyle w:val="18"/>
              <w:rPr>
                <w:color w:val="auto"/>
              </w:rPr>
            </w:pPr>
            <w:r>
              <w:rPr>
                <w:rFonts w:hint="eastAsia"/>
                <w:color w:val="auto"/>
              </w:rPr>
              <w:t>支持磁条卡（符合ISO7810和7811标准）；支持接触IC卡（符合ISO7816-1,2,3,4标准/EMV 4.1 L1/PBOC3.0 L1）；支持非接触IC卡(符合ISO14443-3,ISO14443-4)；支持身份证读取；寿命:磁头100万次以上；IC触点50万次以上(IC触点下压一次算一次)；电压:5V；通讯接口:USB；自带4个PSAM卡座</w:t>
            </w:r>
          </w:p>
        </w:tc>
        <w:tc>
          <w:tcPr>
            <w:tcW w:w="373" w:type="pct"/>
            <w:vAlign w:val="center"/>
          </w:tcPr>
          <w:p w14:paraId="76052352">
            <w:pPr>
              <w:pStyle w:val="18"/>
              <w:rPr>
                <w:color w:val="auto"/>
              </w:rPr>
            </w:pPr>
            <w:r>
              <w:rPr>
                <w:rFonts w:hint="eastAsia"/>
                <w:color w:val="auto"/>
              </w:rPr>
              <w:t>13</w:t>
            </w:r>
          </w:p>
        </w:tc>
        <w:tc>
          <w:tcPr>
            <w:tcW w:w="275" w:type="pct"/>
            <w:vAlign w:val="center"/>
          </w:tcPr>
          <w:p w14:paraId="3E290064">
            <w:pPr>
              <w:pStyle w:val="18"/>
              <w:rPr>
                <w:color w:val="auto"/>
              </w:rPr>
            </w:pPr>
            <w:r>
              <w:rPr>
                <w:rFonts w:hint="eastAsia"/>
                <w:color w:val="auto"/>
              </w:rPr>
              <w:t>台</w:t>
            </w:r>
          </w:p>
        </w:tc>
      </w:tr>
    </w:tbl>
    <w:p w14:paraId="2E06DAF4">
      <w:pPr>
        <w:pStyle w:val="4"/>
        <w:numPr>
          <w:ilvl w:val="1"/>
          <w:numId w:val="0"/>
        </w:numPr>
        <w:ind w:left="576" w:leftChars="0" w:hanging="576" w:firstLineChars="0"/>
        <w:rPr>
          <w:color w:val="auto"/>
        </w:rPr>
      </w:pPr>
      <w:r>
        <w:rPr>
          <w:rFonts w:hint="eastAsia" w:cs="Times New Roman"/>
          <w:b/>
          <w:bCs/>
          <w:color w:val="auto"/>
          <w:kern w:val="2"/>
          <w:sz w:val="32"/>
          <w:szCs w:val="32"/>
          <w:lang w:val="en-US" w:eastAsia="zh-CN" w:bidi="ar-SA"/>
        </w:rPr>
        <w:t>2</w:t>
      </w:r>
      <w:r>
        <w:rPr>
          <w:rFonts w:hint="eastAsia" w:ascii="Times New Roman" w:hAnsi="Times New Roman" w:eastAsia="宋体" w:cs="Times New Roman"/>
          <w:b/>
          <w:bCs/>
          <w:color w:val="auto"/>
          <w:kern w:val="2"/>
          <w:sz w:val="32"/>
          <w:szCs w:val="32"/>
          <w:lang w:val="en-US" w:eastAsia="zh-CN" w:bidi="ar-SA"/>
        </w:rPr>
        <w:t>.5</w:t>
      </w:r>
      <w:r>
        <w:rPr>
          <w:rFonts w:hint="eastAsia"/>
          <w:color w:val="auto"/>
        </w:rPr>
        <w:t>无线AP综合布线设备</w:t>
      </w:r>
    </w:p>
    <w:tbl>
      <w:tblPr>
        <w:tblStyle w:val="9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539"/>
        <w:gridCol w:w="5693"/>
        <w:gridCol w:w="672"/>
        <w:gridCol w:w="496"/>
      </w:tblGrid>
      <w:tr w14:paraId="7DEC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shd w:val="clear" w:color="auto" w:fill="BEBEBE" w:themeFill="background1" w:themeFillShade="BF"/>
            <w:vAlign w:val="center"/>
          </w:tcPr>
          <w:p w14:paraId="79D4FE91">
            <w:pPr>
              <w:pStyle w:val="18"/>
              <w:jc w:val="center"/>
              <w:rPr>
                <w:b/>
                <w:color w:val="auto"/>
              </w:rPr>
            </w:pPr>
            <w:r>
              <w:rPr>
                <w:rFonts w:hint="eastAsia"/>
                <w:b/>
                <w:color w:val="auto"/>
              </w:rPr>
              <w:t>序号</w:t>
            </w:r>
          </w:p>
        </w:tc>
        <w:tc>
          <w:tcPr>
            <w:tcW w:w="854" w:type="pct"/>
            <w:shd w:val="clear" w:color="auto" w:fill="BEBEBE" w:themeFill="background1" w:themeFillShade="BF"/>
            <w:vAlign w:val="center"/>
          </w:tcPr>
          <w:p w14:paraId="7B3709B7">
            <w:pPr>
              <w:pStyle w:val="18"/>
              <w:jc w:val="center"/>
              <w:rPr>
                <w:b/>
                <w:color w:val="auto"/>
              </w:rPr>
            </w:pPr>
            <w:r>
              <w:rPr>
                <w:rFonts w:hint="eastAsia"/>
                <w:b/>
                <w:color w:val="auto"/>
              </w:rPr>
              <w:t>名称</w:t>
            </w:r>
          </w:p>
        </w:tc>
        <w:tc>
          <w:tcPr>
            <w:tcW w:w="3159" w:type="pct"/>
            <w:shd w:val="clear" w:color="auto" w:fill="BEBEBE" w:themeFill="background1" w:themeFillShade="BF"/>
            <w:vAlign w:val="center"/>
          </w:tcPr>
          <w:p w14:paraId="097CBA3A">
            <w:pPr>
              <w:pStyle w:val="18"/>
              <w:jc w:val="center"/>
              <w:rPr>
                <w:b/>
                <w:color w:val="auto"/>
              </w:rPr>
            </w:pPr>
            <w:r>
              <w:rPr>
                <w:rFonts w:hint="eastAsia"/>
                <w:b/>
                <w:color w:val="auto"/>
              </w:rPr>
              <w:t>主要配置</w:t>
            </w:r>
          </w:p>
        </w:tc>
        <w:tc>
          <w:tcPr>
            <w:tcW w:w="373" w:type="pct"/>
            <w:shd w:val="clear" w:color="auto" w:fill="BEBEBE" w:themeFill="background1" w:themeFillShade="BF"/>
            <w:vAlign w:val="center"/>
          </w:tcPr>
          <w:p w14:paraId="11010995">
            <w:pPr>
              <w:pStyle w:val="18"/>
              <w:jc w:val="center"/>
              <w:rPr>
                <w:b/>
                <w:color w:val="auto"/>
              </w:rPr>
            </w:pPr>
            <w:r>
              <w:rPr>
                <w:rFonts w:hint="eastAsia"/>
                <w:b/>
                <w:color w:val="auto"/>
              </w:rPr>
              <w:t>数量</w:t>
            </w:r>
          </w:p>
        </w:tc>
        <w:tc>
          <w:tcPr>
            <w:tcW w:w="275" w:type="pct"/>
            <w:shd w:val="clear" w:color="auto" w:fill="BEBEBE" w:themeFill="background1" w:themeFillShade="BF"/>
            <w:vAlign w:val="center"/>
          </w:tcPr>
          <w:p w14:paraId="6FD949AE">
            <w:pPr>
              <w:pStyle w:val="18"/>
              <w:jc w:val="center"/>
              <w:rPr>
                <w:b/>
                <w:color w:val="auto"/>
              </w:rPr>
            </w:pPr>
            <w:r>
              <w:rPr>
                <w:rFonts w:hint="eastAsia"/>
                <w:b/>
                <w:color w:val="auto"/>
              </w:rPr>
              <w:t>单位</w:t>
            </w:r>
          </w:p>
        </w:tc>
      </w:tr>
      <w:tr w14:paraId="1B65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610F71D9">
            <w:pPr>
              <w:pStyle w:val="18"/>
              <w:jc w:val="center"/>
              <w:rPr>
                <w:b w:val="0"/>
                <w:color w:val="auto"/>
              </w:rPr>
            </w:pPr>
            <w:r>
              <w:rPr>
                <w:rFonts w:hint="eastAsia"/>
                <w:b w:val="0"/>
                <w:color w:val="auto"/>
              </w:rPr>
              <w:t>1</w:t>
            </w:r>
          </w:p>
        </w:tc>
        <w:tc>
          <w:tcPr>
            <w:tcW w:w="854" w:type="pct"/>
            <w:vAlign w:val="center"/>
          </w:tcPr>
          <w:p w14:paraId="288F6F45">
            <w:pPr>
              <w:pStyle w:val="18"/>
              <w:jc w:val="center"/>
              <w:rPr>
                <w:color w:val="auto"/>
              </w:rPr>
            </w:pPr>
            <w:r>
              <w:rPr>
                <w:rFonts w:hint="eastAsia"/>
                <w:color w:val="auto"/>
              </w:rPr>
              <w:t>全千兆交换机8口千兆电口</w:t>
            </w:r>
          </w:p>
        </w:tc>
        <w:tc>
          <w:tcPr>
            <w:tcW w:w="3159" w:type="pct"/>
            <w:vAlign w:val="center"/>
          </w:tcPr>
          <w:p w14:paraId="21AC70F3">
            <w:pPr>
              <w:pStyle w:val="18"/>
              <w:rPr>
                <w:color w:val="auto"/>
              </w:rPr>
            </w:pPr>
            <w:r>
              <w:rPr>
                <w:rFonts w:hint="eastAsia"/>
                <w:color w:val="auto"/>
              </w:rPr>
              <w:t>8个千兆电口+2个千兆上联光口，交换机容量20Gbps，包转发率15Mpps，非网管型交换机，可上机架。</w:t>
            </w:r>
          </w:p>
        </w:tc>
        <w:tc>
          <w:tcPr>
            <w:tcW w:w="373" w:type="pct"/>
            <w:vAlign w:val="center"/>
          </w:tcPr>
          <w:p w14:paraId="6F75EDAC">
            <w:pPr>
              <w:pStyle w:val="18"/>
              <w:jc w:val="center"/>
              <w:rPr>
                <w:color w:val="auto"/>
              </w:rPr>
            </w:pPr>
            <w:r>
              <w:rPr>
                <w:rFonts w:hint="eastAsia"/>
                <w:color w:val="auto"/>
              </w:rPr>
              <w:t>1</w:t>
            </w:r>
          </w:p>
        </w:tc>
        <w:tc>
          <w:tcPr>
            <w:tcW w:w="275" w:type="pct"/>
            <w:vAlign w:val="center"/>
          </w:tcPr>
          <w:p w14:paraId="1A2BBFB2">
            <w:pPr>
              <w:pStyle w:val="18"/>
              <w:jc w:val="center"/>
              <w:rPr>
                <w:color w:val="auto"/>
              </w:rPr>
            </w:pPr>
            <w:r>
              <w:rPr>
                <w:rFonts w:hint="eastAsia"/>
                <w:color w:val="auto"/>
              </w:rPr>
              <w:t>个</w:t>
            </w:r>
          </w:p>
        </w:tc>
      </w:tr>
      <w:tr w14:paraId="5E6B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B497EC0">
            <w:pPr>
              <w:pStyle w:val="18"/>
              <w:jc w:val="center"/>
              <w:rPr>
                <w:b w:val="0"/>
                <w:color w:val="auto"/>
              </w:rPr>
            </w:pPr>
            <w:r>
              <w:rPr>
                <w:rFonts w:hint="eastAsia"/>
                <w:b w:val="0"/>
                <w:color w:val="auto"/>
              </w:rPr>
              <w:t>2</w:t>
            </w:r>
          </w:p>
        </w:tc>
        <w:tc>
          <w:tcPr>
            <w:tcW w:w="854" w:type="pct"/>
            <w:vAlign w:val="center"/>
          </w:tcPr>
          <w:p w14:paraId="3D905375">
            <w:pPr>
              <w:pStyle w:val="18"/>
              <w:jc w:val="center"/>
              <w:rPr>
                <w:color w:val="auto"/>
              </w:rPr>
            </w:pPr>
            <w:r>
              <w:rPr>
                <w:rFonts w:hint="eastAsia"/>
                <w:color w:val="auto"/>
              </w:rPr>
              <w:t>全千兆交换机8口POE交换机</w:t>
            </w:r>
          </w:p>
        </w:tc>
        <w:tc>
          <w:tcPr>
            <w:tcW w:w="3159" w:type="pct"/>
            <w:vAlign w:val="center"/>
          </w:tcPr>
          <w:p w14:paraId="64DE82D2">
            <w:pPr>
              <w:pStyle w:val="18"/>
              <w:rPr>
                <w:color w:val="auto"/>
              </w:rPr>
            </w:pPr>
            <w:r>
              <w:rPr>
                <w:rFonts w:hint="eastAsia"/>
                <w:color w:val="auto"/>
              </w:rPr>
              <w:t>8个10/100/1000Mbps自适应电口+1个10/100/1000Mbps自适应上联电口+1个1000Mbps上联Combo口，其中8个口支持PoE/PoE+供电，整机最大PoE输出功率120W，交换容量192Gbps，包转发率40Mpps，网管型交换机，金属外壳，6kV防雷。</w:t>
            </w:r>
          </w:p>
        </w:tc>
        <w:tc>
          <w:tcPr>
            <w:tcW w:w="373" w:type="pct"/>
            <w:vAlign w:val="center"/>
          </w:tcPr>
          <w:p w14:paraId="474DB1E4">
            <w:pPr>
              <w:pStyle w:val="18"/>
              <w:jc w:val="center"/>
              <w:rPr>
                <w:color w:val="auto"/>
              </w:rPr>
            </w:pPr>
            <w:r>
              <w:rPr>
                <w:rFonts w:hint="eastAsia"/>
                <w:color w:val="auto"/>
              </w:rPr>
              <w:t>1</w:t>
            </w:r>
          </w:p>
        </w:tc>
        <w:tc>
          <w:tcPr>
            <w:tcW w:w="275" w:type="pct"/>
            <w:vAlign w:val="center"/>
          </w:tcPr>
          <w:p w14:paraId="0AAE5E7C">
            <w:pPr>
              <w:pStyle w:val="18"/>
              <w:jc w:val="center"/>
              <w:rPr>
                <w:color w:val="auto"/>
              </w:rPr>
            </w:pPr>
            <w:r>
              <w:rPr>
                <w:rFonts w:hint="eastAsia"/>
                <w:color w:val="auto"/>
              </w:rPr>
              <w:t>个</w:t>
            </w:r>
          </w:p>
        </w:tc>
      </w:tr>
      <w:tr w14:paraId="616C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599BA670">
            <w:pPr>
              <w:pStyle w:val="18"/>
              <w:jc w:val="center"/>
              <w:rPr>
                <w:b w:val="0"/>
                <w:color w:val="auto"/>
              </w:rPr>
            </w:pPr>
            <w:r>
              <w:rPr>
                <w:rFonts w:hint="eastAsia"/>
                <w:b w:val="0"/>
                <w:color w:val="auto"/>
              </w:rPr>
              <w:t>3</w:t>
            </w:r>
          </w:p>
        </w:tc>
        <w:tc>
          <w:tcPr>
            <w:tcW w:w="854" w:type="pct"/>
            <w:vAlign w:val="center"/>
          </w:tcPr>
          <w:p w14:paraId="434CFE9D">
            <w:pPr>
              <w:pStyle w:val="18"/>
              <w:jc w:val="center"/>
              <w:rPr>
                <w:color w:val="auto"/>
              </w:rPr>
            </w:pPr>
            <w:r>
              <w:rPr>
                <w:rFonts w:hint="eastAsia"/>
                <w:color w:val="auto"/>
              </w:rPr>
              <w:t>全千兆交换机8口POE交换机</w:t>
            </w:r>
          </w:p>
        </w:tc>
        <w:tc>
          <w:tcPr>
            <w:tcW w:w="3159" w:type="pct"/>
            <w:vAlign w:val="center"/>
          </w:tcPr>
          <w:p w14:paraId="7BD0A466">
            <w:pPr>
              <w:pStyle w:val="18"/>
              <w:rPr>
                <w:color w:val="auto"/>
              </w:rPr>
            </w:pPr>
            <w:r>
              <w:rPr>
                <w:rFonts w:hint="eastAsia"/>
                <w:color w:val="auto"/>
              </w:rPr>
              <w:t>8个10/100/1000Mbps自适应电口+1个10/100/1000Mbps自适应上联电口+1个1000Mbps上联Combo口，其中8个口支持PoE/PoE+供电，整机最大PoE输出功率120W，交换容量192Gbps，包转发率40Mpps，网管型交换机，金属外壳，6kV防雷。</w:t>
            </w:r>
          </w:p>
        </w:tc>
        <w:tc>
          <w:tcPr>
            <w:tcW w:w="373" w:type="pct"/>
            <w:vAlign w:val="center"/>
          </w:tcPr>
          <w:p w14:paraId="0E3FD551">
            <w:pPr>
              <w:pStyle w:val="18"/>
              <w:jc w:val="center"/>
              <w:rPr>
                <w:color w:val="auto"/>
              </w:rPr>
            </w:pPr>
            <w:r>
              <w:rPr>
                <w:rFonts w:hint="eastAsia"/>
                <w:color w:val="auto"/>
              </w:rPr>
              <w:t>1</w:t>
            </w:r>
          </w:p>
        </w:tc>
        <w:tc>
          <w:tcPr>
            <w:tcW w:w="275" w:type="pct"/>
            <w:vAlign w:val="center"/>
          </w:tcPr>
          <w:p w14:paraId="41E74C6F">
            <w:pPr>
              <w:pStyle w:val="18"/>
              <w:jc w:val="center"/>
              <w:rPr>
                <w:color w:val="auto"/>
              </w:rPr>
            </w:pPr>
            <w:r>
              <w:rPr>
                <w:rFonts w:hint="eastAsia"/>
                <w:color w:val="auto"/>
              </w:rPr>
              <w:t>个</w:t>
            </w:r>
          </w:p>
        </w:tc>
      </w:tr>
      <w:tr w14:paraId="656F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085B524A">
            <w:pPr>
              <w:pStyle w:val="18"/>
              <w:jc w:val="center"/>
              <w:rPr>
                <w:b w:val="0"/>
                <w:color w:val="auto"/>
              </w:rPr>
            </w:pPr>
            <w:r>
              <w:rPr>
                <w:rFonts w:hint="eastAsia"/>
                <w:b w:val="0"/>
                <w:color w:val="auto"/>
              </w:rPr>
              <w:t>4</w:t>
            </w:r>
          </w:p>
        </w:tc>
        <w:tc>
          <w:tcPr>
            <w:tcW w:w="854" w:type="pct"/>
            <w:vAlign w:val="center"/>
          </w:tcPr>
          <w:p w14:paraId="3270A2AC">
            <w:pPr>
              <w:pStyle w:val="18"/>
              <w:jc w:val="center"/>
              <w:rPr>
                <w:color w:val="auto"/>
              </w:rPr>
            </w:pPr>
            <w:r>
              <w:rPr>
                <w:rFonts w:hint="eastAsia"/>
                <w:color w:val="auto"/>
              </w:rPr>
              <w:t>全千兆交换机24口POE交换机</w:t>
            </w:r>
          </w:p>
        </w:tc>
        <w:tc>
          <w:tcPr>
            <w:tcW w:w="3159" w:type="pct"/>
            <w:vAlign w:val="center"/>
          </w:tcPr>
          <w:p w14:paraId="261D6665">
            <w:pPr>
              <w:pStyle w:val="18"/>
              <w:rPr>
                <w:color w:val="auto"/>
              </w:rPr>
            </w:pPr>
            <w:r>
              <w:rPr>
                <w:rFonts w:hint="eastAsia"/>
                <w:color w:val="auto"/>
              </w:rPr>
              <w:t>24个10/100/1000Mbps自适应电口+2个10/100/1000Mbps自适应上联电口+2个1000Mbps上联SFP光口，其中24个口支持PoE/PoE+供电，整机最大PoE输出功率370W，交换容量336Gbps，包转发率92Mpps，网管型交换机，金属外壳，6kV防雷。</w:t>
            </w:r>
          </w:p>
        </w:tc>
        <w:tc>
          <w:tcPr>
            <w:tcW w:w="373" w:type="pct"/>
            <w:vAlign w:val="center"/>
          </w:tcPr>
          <w:p w14:paraId="50EDF639">
            <w:pPr>
              <w:pStyle w:val="18"/>
              <w:jc w:val="center"/>
              <w:rPr>
                <w:color w:val="auto"/>
              </w:rPr>
            </w:pPr>
            <w:r>
              <w:rPr>
                <w:rFonts w:hint="eastAsia"/>
                <w:color w:val="auto"/>
              </w:rPr>
              <w:t>4</w:t>
            </w:r>
          </w:p>
        </w:tc>
        <w:tc>
          <w:tcPr>
            <w:tcW w:w="275" w:type="pct"/>
            <w:vAlign w:val="center"/>
          </w:tcPr>
          <w:p w14:paraId="540BD820">
            <w:pPr>
              <w:pStyle w:val="18"/>
              <w:jc w:val="center"/>
              <w:rPr>
                <w:color w:val="auto"/>
              </w:rPr>
            </w:pPr>
            <w:r>
              <w:rPr>
                <w:rFonts w:hint="eastAsia"/>
                <w:color w:val="auto"/>
              </w:rPr>
              <w:t>台</w:t>
            </w:r>
          </w:p>
        </w:tc>
      </w:tr>
      <w:tr w14:paraId="0392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735CC94E">
            <w:pPr>
              <w:pStyle w:val="18"/>
              <w:jc w:val="center"/>
              <w:rPr>
                <w:b w:val="0"/>
                <w:color w:val="auto"/>
              </w:rPr>
            </w:pPr>
            <w:r>
              <w:rPr>
                <w:rFonts w:hint="eastAsia"/>
                <w:b w:val="0"/>
                <w:color w:val="auto"/>
              </w:rPr>
              <w:t>5</w:t>
            </w:r>
          </w:p>
        </w:tc>
        <w:tc>
          <w:tcPr>
            <w:tcW w:w="854" w:type="pct"/>
            <w:vAlign w:val="center"/>
          </w:tcPr>
          <w:p w14:paraId="49A3A2BB">
            <w:pPr>
              <w:pStyle w:val="18"/>
              <w:jc w:val="center"/>
              <w:rPr>
                <w:color w:val="auto"/>
              </w:rPr>
            </w:pPr>
            <w:r>
              <w:rPr>
                <w:rFonts w:hint="eastAsia"/>
                <w:color w:val="auto"/>
              </w:rPr>
              <w:t>AP</w:t>
            </w:r>
          </w:p>
        </w:tc>
        <w:tc>
          <w:tcPr>
            <w:tcW w:w="3159" w:type="pct"/>
            <w:vAlign w:val="center"/>
          </w:tcPr>
          <w:p w14:paraId="25A6C144">
            <w:pPr>
              <w:pStyle w:val="18"/>
              <w:rPr>
                <w:color w:val="auto"/>
              </w:rPr>
            </w:pPr>
            <w:r>
              <w:rPr>
                <w:rFonts w:hint="eastAsia"/>
                <w:color w:val="auto"/>
              </w:rPr>
              <w:t>2976M双频千兆吸顶AP，1个千兆LAN口上联，内置天线，支持2.4GHz/5GHz双频通信，支持802.11a/b/g/n/ac Wave1/Wave2/ax协议。支持AP与路由两种工作模式，支持二层智能漫游，支持一体化组网，支持APP管理。支持802.3at PoE供电和本地供电</w:t>
            </w:r>
          </w:p>
        </w:tc>
        <w:tc>
          <w:tcPr>
            <w:tcW w:w="373" w:type="pct"/>
            <w:vAlign w:val="center"/>
          </w:tcPr>
          <w:p w14:paraId="095125AC">
            <w:pPr>
              <w:pStyle w:val="18"/>
              <w:jc w:val="center"/>
              <w:rPr>
                <w:color w:val="auto"/>
              </w:rPr>
            </w:pPr>
            <w:r>
              <w:rPr>
                <w:rFonts w:hint="eastAsia"/>
                <w:color w:val="auto"/>
              </w:rPr>
              <w:t>62</w:t>
            </w:r>
          </w:p>
        </w:tc>
        <w:tc>
          <w:tcPr>
            <w:tcW w:w="275" w:type="pct"/>
            <w:vAlign w:val="center"/>
          </w:tcPr>
          <w:p w14:paraId="091EF468">
            <w:pPr>
              <w:pStyle w:val="18"/>
              <w:jc w:val="center"/>
              <w:rPr>
                <w:color w:val="auto"/>
              </w:rPr>
            </w:pPr>
            <w:r>
              <w:rPr>
                <w:rFonts w:hint="eastAsia"/>
                <w:color w:val="auto"/>
              </w:rPr>
              <w:t>个</w:t>
            </w:r>
          </w:p>
        </w:tc>
      </w:tr>
      <w:tr w14:paraId="64F8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4C4C43F">
            <w:pPr>
              <w:pStyle w:val="18"/>
              <w:jc w:val="center"/>
              <w:rPr>
                <w:b w:val="0"/>
                <w:color w:val="auto"/>
              </w:rPr>
            </w:pPr>
            <w:r>
              <w:rPr>
                <w:rFonts w:hint="eastAsia"/>
                <w:b w:val="0"/>
                <w:color w:val="auto"/>
              </w:rPr>
              <w:t>6</w:t>
            </w:r>
          </w:p>
        </w:tc>
        <w:tc>
          <w:tcPr>
            <w:tcW w:w="854" w:type="pct"/>
            <w:vAlign w:val="center"/>
          </w:tcPr>
          <w:p w14:paraId="7BA97BF3">
            <w:pPr>
              <w:pStyle w:val="18"/>
              <w:jc w:val="center"/>
              <w:rPr>
                <w:color w:val="auto"/>
              </w:rPr>
            </w:pPr>
            <w:r>
              <w:rPr>
                <w:rFonts w:hint="eastAsia"/>
                <w:color w:val="auto"/>
              </w:rPr>
              <w:t>AC</w:t>
            </w:r>
          </w:p>
        </w:tc>
        <w:tc>
          <w:tcPr>
            <w:tcW w:w="3159" w:type="pct"/>
            <w:vAlign w:val="center"/>
          </w:tcPr>
          <w:p w14:paraId="30051C07">
            <w:pPr>
              <w:pStyle w:val="18"/>
              <w:rPr>
                <w:color w:val="auto"/>
              </w:rPr>
            </w:pPr>
            <w:r>
              <w:rPr>
                <w:rFonts w:hint="eastAsia"/>
                <w:color w:val="auto"/>
              </w:rPr>
              <w:t>2个万兆光口，4个2.5G电口，4个千兆电口，免License授权，最大可管理1200台网关/交换/AP等设备；支持旁挂模式部署于二层或三层网络中，无需改动原有网络架构，设备自组网，可集中管理设备，全网可视化运维，支持二三层无线漫游、智能射频管理、终端公平访问优化等，提升无线访问体验。</w:t>
            </w:r>
          </w:p>
        </w:tc>
        <w:tc>
          <w:tcPr>
            <w:tcW w:w="373" w:type="pct"/>
            <w:vAlign w:val="center"/>
          </w:tcPr>
          <w:p w14:paraId="4F111108">
            <w:pPr>
              <w:pStyle w:val="18"/>
              <w:jc w:val="center"/>
              <w:rPr>
                <w:color w:val="auto"/>
              </w:rPr>
            </w:pPr>
            <w:r>
              <w:rPr>
                <w:rFonts w:hint="eastAsia"/>
                <w:color w:val="auto"/>
              </w:rPr>
              <w:t>1</w:t>
            </w:r>
          </w:p>
        </w:tc>
        <w:tc>
          <w:tcPr>
            <w:tcW w:w="275" w:type="pct"/>
            <w:vAlign w:val="center"/>
          </w:tcPr>
          <w:p w14:paraId="5CC74D9A">
            <w:pPr>
              <w:pStyle w:val="18"/>
              <w:jc w:val="center"/>
              <w:rPr>
                <w:color w:val="auto"/>
              </w:rPr>
            </w:pPr>
            <w:r>
              <w:rPr>
                <w:rFonts w:hint="eastAsia"/>
                <w:color w:val="auto"/>
              </w:rPr>
              <w:t>个</w:t>
            </w:r>
          </w:p>
        </w:tc>
      </w:tr>
      <w:tr w14:paraId="1AD3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B4783DD">
            <w:pPr>
              <w:pStyle w:val="18"/>
              <w:jc w:val="center"/>
              <w:rPr>
                <w:b w:val="0"/>
                <w:color w:val="auto"/>
              </w:rPr>
            </w:pPr>
            <w:r>
              <w:rPr>
                <w:rFonts w:hint="eastAsia"/>
                <w:b w:val="0"/>
                <w:color w:val="auto"/>
              </w:rPr>
              <w:t>7</w:t>
            </w:r>
          </w:p>
        </w:tc>
        <w:tc>
          <w:tcPr>
            <w:tcW w:w="854" w:type="pct"/>
            <w:vAlign w:val="center"/>
          </w:tcPr>
          <w:p w14:paraId="419A9A10">
            <w:pPr>
              <w:pStyle w:val="18"/>
              <w:jc w:val="center"/>
              <w:rPr>
                <w:color w:val="auto"/>
              </w:rPr>
            </w:pPr>
            <w:r>
              <w:rPr>
                <w:rFonts w:hint="eastAsia"/>
                <w:color w:val="auto"/>
              </w:rPr>
              <w:t>光缆</w:t>
            </w:r>
          </w:p>
        </w:tc>
        <w:tc>
          <w:tcPr>
            <w:tcW w:w="3159" w:type="pct"/>
            <w:vAlign w:val="center"/>
          </w:tcPr>
          <w:p w14:paraId="63153D6A">
            <w:pPr>
              <w:pStyle w:val="18"/>
              <w:rPr>
                <w:color w:val="auto"/>
              </w:rPr>
            </w:pPr>
            <w:r>
              <w:rPr>
                <w:rFonts w:hint="eastAsia"/>
                <w:color w:val="auto"/>
              </w:rPr>
              <w:t>单模铠装光缆（24 芯），产品需完全符合 GB/T 7424.1-2022《光纤光缆 第 1 部分：总规范》、GB/T 9771.1-2022《通信用单模光纤 第 1 部分：B1 类单模光纤》 及 YD/T 901-2018《通信用层绞式光缆》</w:t>
            </w:r>
          </w:p>
        </w:tc>
        <w:tc>
          <w:tcPr>
            <w:tcW w:w="373" w:type="pct"/>
            <w:vAlign w:val="center"/>
          </w:tcPr>
          <w:p w14:paraId="40E1F109">
            <w:pPr>
              <w:pStyle w:val="18"/>
              <w:jc w:val="center"/>
              <w:rPr>
                <w:color w:val="auto"/>
              </w:rPr>
            </w:pPr>
            <w:r>
              <w:rPr>
                <w:rFonts w:hint="eastAsia"/>
                <w:color w:val="auto"/>
              </w:rPr>
              <w:t>600</w:t>
            </w:r>
          </w:p>
        </w:tc>
        <w:tc>
          <w:tcPr>
            <w:tcW w:w="275" w:type="pct"/>
            <w:vAlign w:val="center"/>
          </w:tcPr>
          <w:p w14:paraId="36E8C4D4">
            <w:pPr>
              <w:pStyle w:val="18"/>
              <w:jc w:val="center"/>
              <w:rPr>
                <w:color w:val="auto"/>
              </w:rPr>
            </w:pPr>
            <w:r>
              <w:rPr>
                <w:rFonts w:hint="eastAsia"/>
                <w:color w:val="auto"/>
              </w:rPr>
              <w:t>米</w:t>
            </w:r>
          </w:p>
        </w:tc>
      </w:tr>
      <w:tr w14:paraId="312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4CA01DF8">
            <w:pPr>
              <w:pStyle w:val="18"/>
              <w:jc w:val="center"/>
              <w:rPr>
                <w:b w:val="0"/>
                <w:color w:val="auto"/>
              </w:rPr>
            </w:pPr>
            <w:r>
              <w:rPr>
                <w:rFonts w:hint="eastAsia"/>
                <w:b w:val="0"/>
                <w:color w:val="auto"/>
              </w:rPr>
              <w:t>8</w:t>
            </w:r>
          </w:p>
        </w:tc>
        <w:tc>
          <w:tcPr>
            <w:tcW w:w="854" w:type="pct"/>
            <w:vAlign w:val="center"/>
          </w:tcPr>
          <w:p w14:paraId="35AA98EC">
            <w:pPr>
              <w:pStyle w:val="18"/>
              <w:jc w:val="center"/>
              <w:rPr>
                <w:color w:val="auto"/>
              </w:rPr>
            </w:pPr>
            <w:r>
              <w:rPr>
                <w:rFonts w:hint="eastAsia"/>
                <w:color w:val="auto"/>
              </w:rPr>
              <w:t>熔纤</w:t>
            </w:r>
          </w:p>
        </w:tc>
        <w:tc>
          <w:tcPr>
            <w:tcW w:w="3159" w:type="pct"/>
            <w:vAlign w:val="center"/>
          </w:tcPr>
          <w:p w14:paraId="6CB969CD">
            <w:pPr>
              <w:pStyle w:val="18"/>
              <w:rPr>
                <w:color w:val="auto"/>
              </w:rPr>
            </w:pPr>
            <w:r>
              <w:rPr>
                <w:rFonts w:hint="eastAsia"/>
                <w:color w:val="auto"/>
              </w:rPr>
              <w:t>涵盖单模光纤（如 G.652.D）、多模光纤（如 OM3/OM4 50/125μm）的熔接作业，包括光纤端面处理、熔接操作、熔接点保护、链路测试及文档交付，需适配项目中光缆类型，需符合 GB 50311-2016《综合布线系统工程设计规范》、YD/T 1272.1-2022《光纤熔接技术要求 第 1 部分：总则》 及 TIA/EIA-568-C.3 光纤布线标准，确保熔接质量与传输性能达标。</w:t>
            </w:r>
          </w:p>
        </w:tc>
        <w:tc>
          <w:tcPr>
            <w:tcW w:w="373" w:type="pct"/>
            <w:vAlign w:val="center"/>
          </w:tcPr>
          <w:p w14:paraId="201CD609">
            <w:pPr>
              <w:pStyle w:val="18"/>
              <w:jc w:val="center"/>
              <w:rPr>
                <w:color w:val="auto"/>
              </w:rPr>
            </w:pPr>
            <w:r>
              <w:rPr>
                <w:rFonts w:hint="eastAsia"/>
                <w:color w:val="auto"/>
              </w:rPr>
              <w:t>96</w:t>
            </w:r>
          </w:p>
        </w:tc>
        <w:tc>
          <w:tcPr>
            <w:tcW w:w="275" w:type="pct"/>
            <w:vAlign w:val="center"/>
          </w:tcPr>
          <w:p w14:paraId="0D4BD4CA">
            <w:pPr>
              <w:pStyle w:val="18"/>
              <w:jc w:val="center"/>
              <w:rPr>
                <w:color w:val="auto"/>
              </w:rPr>
            </w:pPr>
            <w:r>
              <w:rPr>
                <w:rFonts w:hint="eastAsia"/>
                <w:color w:val="auto"/>
              </w:rPr>
              <w:t>芯</w:t>
            </w:r>
          </w:p>
        </w:tc>
      </w:tr>
      <w:tr w14:paraId="1C05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73622D2F">
            <w:pPr>
              <w:pStyle w:val="18"/>
              <w:jc w:val="center"/>
              <w:rPr>
                <w:b w:val="0"/>
                <w:color w:val="auto"/>
              </w:rPr>
            </w:pPr>
            <w:r>
              <w:rPr>
                <w:rFonts w:hint="eastAsia"/>
                <w:b w:val="0"/>
                <w:color w:val="auto"/>
              </w:rPr>
              <w:t>9</w:t>
            </w:r>
          </w:p>
        </w:tc>
        <w:tc>
          <w:tcPr>
            <w:tcW w:w="854" w:type="pct"/>
            <w:vAlign w:val="center"/>
          </w:tcPr>
          <w:p w14:paraId="186C6481">
            <w:pPr>
              <w:pStyle w:val="18"/>
              <w:jc w:val="center"/>
              <w:rPr>
                <w:color w:val="auto"/>
              </w:rPr>
            </w:pPr>
            <w:r>
              <w:rPr>
                <w:rFonts w:hint="eastAsia"/>
                <w:color w:val="auto"/>
              </w:rPr>
              <w:t>光纤配线架（单模24芯）</w:t>
            </w:r>
          </w:p>
        </w:tc>
        <w:tc>
          <w:tcPr>
            <w:tcW w:w="3159" w:type="pct"/>
            <w:vAlign w:val="center"/>
          </w:tcPr>
          <w:p w14:paraId="1158693B">
            <w:pPr>
              <w:pStyle w:val="18"/>
              <w:rPr>
                <w:color w:val="auto"/>
              </w:rPr>
            </w:pPr>
            <w:r>
              <w:rPr>
                <w:rFonts w:hint="eastAsia"/>
                <w:color w:val="auto"/>
              </w:rPr>
              <w:t>OM3万兆多模50/125,产品需完全符合 ISO/IEC 11801:2017（信息技术 用户建筑群通用布线标准）、TIA/EIA-568-C.3（光纤布线组件标准）及 GB/T 13993.1-2019（通信用光缆 第 1 部分：总规范）国家标准</w:t>
            </w:r>
          </w:p>
        </w:tc>
        <w:tc>
          <w:tcPr>
            <w:tcW w:w="373" w:type="pct"/>
            <w:vAlign w:val="center"/>
          </w:tcPr>
          <w:p w14:paraId="07C9B109">
            <w:pPr>
              <w:pStyle w:val="18"/>
              <w:jc w:val="center"/>
              <w:rPr>
                <w:color w:val="auto"/>
              </w:rPr>
            </w:pPr>
            <w:r>
              <w:rPr>
                <w:rFonts w:hint="eastAsia"/>
                <w:color w:val="auto"/>
              </w:rPr>
              <w:t>4</w:t>
            </w:r>
          </w:p>
        </w:tc>
        <w:tc>
          <w:tcPr>
            <w:tcW w:w="275" w:type="pct"/>
            <w:vAlign w:val="center"/>
          </w:tcPr>
          <w:p w14:paraId="5F996D60">
            <w:pPr>
              <w:pStyle w:val="18"/>
              <w:jc w:val="center"/>
              <w:rPr>
                <w:color w:val="auto"/>
              </w:rPr>
            </w:pPr>
            <w:r>
              <w:rPr>
                <w:rFonts w:hint="eastAsia"/>
                <w:color w:val="auto"/>
              </w:rPr>
              <w:t>个</w:t>
            </w:r>
          </w:p>
        </w:tc>
      </w:tr>
      <w:tr w14:paraId="4CC1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90F6632">
            <w:pPr>
              <w:pStyle w:val="18"/>
              <w:jc w:val="center"/>
              <w:rPr>
                <w:b w:val="0"/>
                <w:color w:val="auto"/>
              </w:rPr>
            </w:pPr>
            <w:r>
              <w:rPr>
                <w:rFonts w:hint="eastAsia"/>
                <w:b w:val="0"/>
                <w:color w:val="auto"/>
              </w:rPr>
              <w:t>10</w:t>
            </w:r>
          </w:p>
        </w:tc>
        <w:tc>
          <w:tcPr>
            <w:tcW w:w="854" w:type="pct"/>
            <w:vAlign w:val="center"/>
          </w:tcPr>
          <w:p w14:paraId="4ED04974">
            <w:pPr>
              <w:pStyle w:val="18"/>
              <w:jc w:val="center"/>
              <w:rPr>
                <w:color w:val="auto"/>
              </w:rPr>
            </w:pPr>
            <w:r>
              <w:rPr>
                <w:rFonts w:hint="eastAsia"/>
                <w:color w:val="auto"/>
              </w:rPr>
              <w:t>全千兆交换机24口交换机</w:t>
            </w:r>
          </w:p>
        </w:tc>
        <w:tc>
          <w:tcPr>
            <w:tcW w:w="3159" w:type="pct"/>
            <w:vAlign w:val="center"/>
          </w:tcPr>
          <w:p w14:paraId="279ED74F">
            <w:pPr>
              <w:pStyle w:val="18"/>
              <w:rPr>
                <w:color w:val="auto"/>
              </w:rPr>
            </w:pPr>
            <w:r>
              <w:rPr>
                <w:rFonts w:hint="eastAsia"/>
                <w:color w:val="auto"/>
              </w:rPr>
              <w:t>24个10/100/1000Mbps自适应电口+2个1000Mbps上联SFP光口，交换容量336Gbps，包转发率92Mpps，网管型交换机，金属外壳，6kV防雷，机架式。</w:t>
            </w:r>
          </w:p>
        </w:tc>
        <w:tc>
          <w:tcPr>
            <w:tcW w:w="373" w:type="pct"/>
            <w:vAlign w:val="center"/>
          </w:tcPr>
          <w:p w14:paraId="13B6C852">
            <w:pPr>
              <w:pStyle w:val="18"/>
              <w:jc w:val="center"/>
              <w:rPr>
                <w:color w:val="auto"/>
              </w:rPr>
            </w:pPr>
            <w:r>
              <w:rPr>
                <w:rFonts w:hint="eastAsia"/>
                <w:color w:val="auto"/>
              </w:rPr>
              <w:t>4</w:t>
            </w:r>
          </w:p>
        </w:tc>
        <w:tc>
          <w:tcPr>
            <w:tcW w:w="275" w:type="pct"/>
            <w:vAlign w:val="center"/>
          </w:tcPr>
          <w:p w14:paraId="662FA45D">
            <w:pPr>
              <w:pStyle w:val="18"/>
              <w:jc w:val="center"/>
              <w:rPr>
                <w:color w:val="auto"/>
              </w:rPr>
            </w:pPr>
            <w:r>
              <w:rPr>
                <w:rFonts w:hint="eastAsia"/>
                <w:color w:val="auto"/>
              </w:rPr>
              <w:t>台</w:t>
            </w:r>
          </w:p>
        </w:tc>
      </w:tr>
      <w:tr w14:paraId="711C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34AF8C94">
            <w:pPr>
              <w:pStyle w:val="18"/>
              <w:jc w:val="center"/>
              <w:rPr>
                <w:b w:val="0"/>
                <w:color w:val="auto"/>
              </w:rPr>
            </w:pPr>
            <w:r>
              <w:rPr>
                <w:rFonts w:hint="eastAsia"/>
                <w:b w:val="0"/>
                <w:color w:val="auto"/>
              </w:rPr>
              <w:t>11</w:t>
            </w:r>
          </w:p>
        </w:tc>
        <w:tc>
          <w:tcPr>
            <w:tcW w:w="854" w:type="pct"/>
            <w:vAlign w:val="center"/>
          </w:tcPr>
          <w:p w14:paraId="4DB0D37F">
            <w:pPr>
              <w:pStyle w:val="18"/>
              <w:jc w:val="center"/>
              <w:rPr>
                <w:color w:val="auto"/>
              </w:rPr>
            </w:pPr>
            <w:r>
              <w:rPr>
                <w:rFonts w:hint="eastAsia"/>
                <w:color w:val="auto"/>
              </w:rPr>
              <w:t>配线架理线器</w:t>
            </w:r>
          </w:p>
        </w:tc>
        <w:tc>
          <w:tcPr>
            <w:tcW w:w="3159" w:type="pct"/>
            <w:vAlign w:val="center"/>
          </w:tcPr>
          <w:p w14:paraId="2DB38A21">
            <w:pPr>
              <w:pStyle w:val="18"/>
              <w:rPr>
                <w:color w:val="auto"/>
              </w:rPr>
            </w:pPr>
            <w:r>
              <w:rPr>
                <w:color w:val="auto"/>
              </w:rPr>
              <w:t>‌尺寸‌：19英寸标准机架安装，高度为1U（约44.45mm），支持标准19英寸机架兼容性。</w:t>
            </w:r>
          </w:p>
          <w:p w14:paraId="789BFB53">
            <w:pPr>
              <w:pStyle w:val="18"/>
              <w:rPr>
                <w:color w:val="auto"/>
              </w:rPr>
            </w:pPr>
            <w:r>
              <w:rPr>
                <w:color w:val="auto"/>
              </w:rPr>
              <w:t>‌材料‌：主体采用Q235以上优质冷轧钢板，表面经静电喷塑处理，具备防腐蚀、易清洁特性。</w:t>
            </w:r>
          </w:p>
          <w:p w14:paraId="13AE7ECA">
            <w:pPr>
              <w:pStyle w:val="18"/>
              <w:rPr>
                <w:color w:val="auto"/>
              </w:rPr>
            </w:pPr>
            <w:r>
              <w:rPr>
                <w:color w:val="auto"/>
              </w:rPr>
              <w:t>‌结构‌：模块化设计，支持灵活搭配不同功能模块，便于维护升级。</w:t>
            </w:r>
          </w:p>
        </w:tc>
        <w:tc>
          <w:tcPr>
            <w:tcW w:w="373" w:type="pct"/>
            <w:vAlign w:val="center"/>
          </w:tcPr>
          <w:p w14:paraId="2842C215">
            <w:pPr>
              <w:pStyle w:val="18"/>
              <w:jc w:val="center"/>
              <w:rPr>
                <w:color w:val="auto"/>
              </w:rPr>
            </w:pPr>
            <w:r>
              <w:rPr>
                <w:rFonts w:hint="eastAsia"/>
                <w:color w:val="auto"/>
              </w:rPr>
              <w:t>8</w:t>
            </w:r>
          </w:p>
        </w:tc>
        <w:tc>
          <w:tcPr>
            <w:tcW w:w="275" w:type="pct"/>
            <w:vAlign w:val="center"/>
          </w:tcPr>
          <w:p w14:paraId="241C6A09">
            <w:pPr>
              <w:pStyle w:val="18"/>
              <w:jc w:val="center"/>
              <w:rPr>
                <w:color w:val="auto"/>
              </w:rPr>
            </w:pPr>
            <w:r>
              <w:rPr>
                <w:rFonts w:hint="eastAsia"/>
                <w:color w:val="auto"/>
              </w:rPr>
              <w:t>套</w:t>
            </w:r>
          </w:p>
        </w:tc>
      </w:tr>
      <w:tr w14:paraId="3112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71BC4E9D">
            <w:pPr>
              <w:pStyle w:val="18"/>
              <w:jc w:val="center"/>
              <w:rPr>
                <w:b w:val="0"/>
                <w:color w:val="auto"/>
              </w:rPr>
            </w:pPr>
            <w:r>
              <w:rPr>
                <w:rFonts w:hint="eastAsia"/>
                <w:b w:val="0"/>
                <w:color w:val="auto"/>
              </w:rPr>
              <w:t>12</w:t>
            </w:r>
          </w:p>
        </w:tc>
        <w:tc>
          <w:tcPr>
            <w:tcW w:w="854" w:type="pct"/>
            <w:vAlign w:val="center"/>
          </w:tcPr>
          <w:p w14:paraId="6020D13F">
            <w:pPr>
              <w:pStyle w:val="18"/>
              <w:jc w:val="center"/>
              <w:rPr>
                <w:color w:val="auto"/>
              </w:rPr>
            </w:pPr>
            <w:r>
              <w:rPr>
                <w:rFonts w:hint="eastAsia"/>
                <w:color w:val="auto"/>
              </w:rPr>
              <w:t>网线</w:t>
            </w:r>
          </w:p>
        </w:tc>
        <w:tc>
          <w:tcPr>
            <w:tcW w:w="3159" w:type="pct"/>
            <w:vAlign w:val="center"/>
          </w:tcPr>
          <w:p w14:paraId="66085399">
            <w:pPr>
              <w:pStyle w:val="18"/>
              <w:rPr>
                <w:color w:val="auto"/>
              </w:rPr>
            </w:pPr>
            <w:r>
              <w:rPr>
                <w:rFonts w:hint="eastAsia"/>
                <w:color w:val="auto"/>
              </w:rPr>
              <w:t>该类电缆的传输频率为1MHZ~250MHz,六类布线系统在200MHz时综合衰减串扰比(PS-ACR)应该有较大的余量,布线标准采用星形的拓扑结构,要求的布线距离为:永久链路的长度不能超过90m,信道长度不能超过100m。产品需完全符合国际标准 ISO/IEC 11801:2017 及国家标准 GB 50311-2016《综合布线系统工程设计规范》 中对 6 类非屏蔽双绞线的技术要求，传输性能达到 Class E 级别。</w:t>
            </w:r>
          </w:p>
        </w:tc>
        <w:tc>
          <w:tcPr>
            <w:tcW w:w="373" w:type="pct"/>
            <w:vAlign w:val="center"/>
          </w:tcPr>
          <w:p w14:paraId="687BFC21">
            <w:pPr>
              <w:pStyle w:val="18"/>
              <w:jc w:val="center"/>
              <w:rPr>
                <w:color w:val="auto"/>
              </w:rPr>
            </w:pPr>
            <w:r>
              <w:rPr>
                <w:rFonts w:hint="eastAsia"/>
                <w:color w:val="auto"/>
              </w:rPr>
              <w:t>6000</w:t>
            </w:r>
          </w:p>
        </w:tc>
        <w:tc>
          <w:tcPr>
            <w:tcW w:w="275" w:type="pct"/>
            <w:vAlign w:val="center"/>
          </w:tcPr>
          <w:p w14:paraId="77847F3D">
            <w:pPr>
              <w:pStyle w:val="18"/>
              <w:jc w:val="center"/>
              <w:rPr>
                <w:color w:val="auto"/>
              </w:rPr>
            </w:pPr>
            <w:r>
              <w:rPr>
                <w:rFonts w:hint="eastAsia"/>
                <w:color w:val="auto"/>
              </w:rPr>
              <w:t>米</w:t>
            </w:r>
          </w:p>
        </w:tc>
      </w:tr>
      <w:tr w14:paraId="171B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16E98D1">
            <w:pPr>
              <w:pStyle w:val="18"/>
              <w:jc w:val="center"/>
              <w:rPr>
                <w:b w:val="0"/>
                <w:color w:val="auto"/>
              </w:rPr>
            </w:pPr>
            <w:r>
              <w:rPr>
                <w:rFonts w:hint="eastAsia"/>
                <w:b w:val="0"/>
                <w:color w:val="auto"/>
              </w:rPr>
              <w:t>13</w:t>
            </w:r>
          </w:p>
        </w:tc>
        <w:tc>
          <w:tcPr>
            <w:tcW w:w="854" w:type="pct"/>
            <w:vAlign w:val="center"/>
          </w:tcPr>
          <w:p w14:paraId="2AE95D66">
            <w:pPr>
              <w:pStyle w:val="18"/>
              <w:jc w:val="center"/>
              <w:rPr>
                <w:color w:val="auto"/>
              </w:rPr>
            </w:pPr>
            <w:r>
              <w:rPr>
                <w:rFonts w:hint="eastAsia"/>
                <w:color w:val="auto"/>
              </w:rPr>
              <w:t>信息插座</w:t>
            </w:r>
          </w:p>
        </w:tc>
        <w:tc>
          <w:tcPr>
            <w:tcW w:w="3159" w:type="pct"/>
            <w:vAlign w:val="center"/>
          </w:tcPr>
          <w:p w14:paraId="55B0D2DE">
            <w:pPr>
              <w:pStyle w:val="18"/>
              <w:rPr>
                <w:color w:val="auto"/>
              </w:rPr>
            </w:pPr>
            <w:r>
              <w:rPr>
                <w:rFonts w:hint="eastAsia"/>
                <w:color w:val="auto"/>
              </w:rPr>
              <w:t>单口 86 型加厚电脑阻燃面板 + 六类非屏蔽免打信息模块</w:t>
            </w:r>
          </w:p>
        </w:tc>
        <w:tc>
          <w:tcPr>
            <w:tcW w:w="373" w:type="pct"/>
            <w:vAlign w:val="center"/>
          </w:tcPr>
          <w:p w14:paraId="7B966D0E">
            <w:pPr>
              <w:pStyle w:val="18"/>
              <w:jc w:val="center"/>
              <w:rPr>
                <w:color w:val="auto"/>
              </w:rPr>
            </w:pPr>
            <w:r>
              <w:rPr>
                <w:rFonts w:hint="eastAsia"/>
                <w:color w:val="auto"/>
              </w:rPr>
              <w:t>145</w:t>
            </w:r>
          </w:p>
        </w:tc>
        <w:tc>
          <w:tcPr>
            <w:tcW w:w="275" w:type="pct"/>
            <w:vAlign w:val="center"/>
          </w:tcPr>
          <w:p w14:paraId="54E2AD31">
            <w:pPr>
              <w:pStyle w:val="18"/>
              <w:jc w:val="center"/>
              <w:rPr>
                <w:color w:val="auto"/>
              </w:rPr>
            </w:pPr>
            <w:r>
              <w:rPr>
                <w:rFonts w:hint="eastAsia"/>
                <w:color w:val="auto"/>
              </w:rPr>
              <w:t>套</w:t>
            </w:r>
          </w:p>
        </w:tc>
      </w:tr>
      <w:tr w14:paraId="4F78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05F7EA49">
            <w:pPr>
              <w:pStyle w:val="18"/>
              <w:jc w:val="center"/>
              <w:rPr>
                <w:b w:val="0"/>
                <w:color w:val="auto"/>
              </w:rPr>
            </w:pPr>
            <w:r>
              <w:rPr>
                <w:rFonts w:hint="eastAsia"/>
                <w:b w:val="0"/>
                <w:color w:val="auto"/>
              </w:rPr>
              <w:t>14</w:t>
            </w:r>
          </w:p>
        </w:tc>
        <w:tc>
          <w:tcPr>
            <w:tcW w:w="854" w:type="pct"/>
            <w:vAlign w:val="center"/>
          </w:tcPr>
          <w:p w14:paraId="12E3A327">
            <w:pPr>
              <w:pStyle w:val="18"/>
              <w:jc w:val="center"/>
              <w:rPr>
                <w:color w:val="auto"/>
              </w:rPr>
            </w:pPr>
            <w:r>
              <w:rPr>
                <w:rFonts w:hint="eastAsia"/>
                <w:color w:val="auto"/>
              </w:rPr>
              <w:t>综合布线</w:t>
            </w:r>
          </w:p>
        </w:tc>
        <w:tc>
          <w:tcPr>
            <w:tcW w:w="3159" w:type="pct"/>
            <w:vAlign w:val="center"/>
          </w:tcPr>
          <w:p w14:paraId="41F6BE39">
            <w:pPr>
              <w:pStyle w:val="18"/>
              <w:rPr>
                <w:color w:val="auto"/>
              </w:rPr>
            </w:pPr>
            <w:r>
              <w:rPr>
                <w:rFonts w:hint="eastAsia"/>
                <w:color w:val="auto"/>
              </w:rPr>
              <w:t>综合布线系统为千兆到桌面，涵盖工作区子系统、水平布线子系统、干线子系统、设备间子系统、管理子系统，支持数据、语音、视频等多媒体信号传输，满足当前及未来 10 年网络升级需求，完全符合 GB 50311-2016《综合布线系统工程设计规范》、GB 50312-2016《综合布线系统工程验收规范》、ISO/IEC 11801:2017（Class E/F 级） 及 TIA/EIA-568-C.2 国际标准，核心传输链路需达到六类 / 超六类（数据）、OM3 万兆多模（干线）、G.652.D 单模（建筑群） 性能等级。</w:t>
            </w:r>
          </w:p>
        </w:tc>
        <w:tc>
          <w:tcPr>
            <w:tcW w:w="373" w:type="pct"/>
            <w:vAlign w:val="center"/>
          </w:tcPr>
          <w:p w14:paraId="31EC6D3F">
            <w:pPr>
              <w:pStyle w:val="18"/>
              <w:jc w:val="center"/>
              <w:rPr>
                <w:color w:val="auto"/>
              </w:rPr>
            </w:pPr>
            <w:r>
              <w:rPr>
                <w:rFonts w:hint="eastAsia"/>
                <w:color w:val="auto"/>
              </w:rPr>
              <w:t>6000</w:t>
            </w:r>
          </w:p>
        </w:tc>
        <w:tc>
          <w:tcPr>
            <w:tcW w:w="275" w:type="pct"/>
            <w:vAlign w:val="center"/>
          </w:tcPr>
          <w:p w14:paraId="5627C9E0">
            <w:pPr>
              <w:pStyle w:val="18"/>
              <w:jc w:val="center"/>
              <w:rPr>
                <w:color w:val="auto"/>
              </w:rPr>
            </w:pPr>
            <w:r>
              <w:rPr>
                <w:rFonts w:hint="eastAsia"/>
                <w:color w:val="auto"/>
              </w:rPr>
              <w:t>米</w:t>
            </w:r>
          </w:p>
        </w:tc>
      </w:tr>
      <w:tr w14:paraId="395C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5B27F7A2">
            <w:pPr>
              <w:pStyle w:val="18"/>
              <w:jc w:val="center"/>
              <w:rPr>
                <w:b w:val="0"/>
                <w:color w:val="auto"/>
              </w:rPr>
            </w:pPr>
            <w:r>
              <w:rPr>
                <w:rFonts w:hint="eastAsia"/>
                <w:b w:val="0"/>
                <w:color w:val="auto"/>
              </w:rPr>
              <w:t>15</w:t>
            </w:r>
          </w:p>
        </w:tc>
        <w:tc>
          <w:tcPr>
            <w:tcW w:w="854" w:type="pct"/>
            <w:vAlign w:val="center"/>
          </w:tcPr>
          <w:p w14:paraId="2753E848">
            <w:pPr>
              <w:pStyle w:val="18"/>
              <w:jc w:val="center"/>
              <w:rPr>
                <w:color w:val="auto"/>
              </w:rPr>
            </w:pPr>
            <w:r>
              <w:rPr>
                <w:rFonts w:hint="eastAsia"/>
                <w:color w:val="auto"/>
              </w:rPr>
              <w:t>AP安装实施费用</w:t>
            </w:r>
          </w:p>
        </w:tc>
        <w:tc>
          <w:tcPr>
            <w:tcW w:w="3159" w:type="pct"/>
            <w:vAlign w:val="center"/>
          </w:tcPr>
          <w:p w14:paraId="5902D13F">
            <w:pPr>
              <w:pStyle w:val="18"/>
              <w:rPr>
                <w:color w:val="auto"/>
              </w:rPr>
            </w:pPr>
            <w:r>
              <w:rPr>
                <w:rFonts w:hint="eastAsia"/>
                <w:color w:val="auto"/>
              </w:rPr>
              <w:t>本项目为AP（无线接入点）安装实施服务，包括但不限于 AP设备开箱验货、点位勘察确认、安装固定、线缆布放与端接、设备调试、网络联调</w:t>
            </w:r>
          </w:p>
        </w:tc>
        <w:tc>
          <w:tcPr>
            <w:tcW w:w="373" w:type="pct"/>
            <w:vAlign w:val="center"/>
          </w:tcPr>
          <w:p w14:paraId="5C22357A">
            <w:pPr>
              <w:pStyle w:val="18"/>
              <w:jc w:val="center"/>
              <w:rPr>
                <w:color w:val="auto"/>
              </w:rPr>
            </w:pPr>
            <w:r>
              <w:rPr>
                <w:rFonts w:hint="eastAsia"/>
                <w:color w:val="auto"/>
              </w:rPr>
              <w:t>62</w:t>
            </w:r>
          </w:p>
        </w:tc>
        <w:tc>
          <w:tcPr>
            <w:tcW w:w="275" w:type="pct"/>
            <w:vAlign w:val="center"/>
          </w:tcPr>
          <w:p w14:paraId="276A7020">
            <w:pPr>
              <w:pStyle w:val="18"/>
              <w:jc w:val="center"/>
              <w:rPr>
                <w:color w:val="auto"/>
              </w:rPr>
            </w:pPr>
            <w:r>
              <w:rPr>
                <w:rFonts w:hint="eastAsia"/>
                <w:color w:val="auto"/>
              </w:rPr>
              <w:t>套</w:t>
            </w:r>
          </w:p>
        </w:tc>
      </w:tr>
      <w:tr w14:paraId="495B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21BE3C27">
            <w:pPr>
              <w:pStyle w:val="18"/>
              <w:jc w:val="center"/>
              <w:rPr>
                <w:b w:val="0"/>
                <w:color w:val="auto"/>
              </w:rPr>
            </w:pPr>
            <w:r>
              <w:rPr>
                <w:rFonts w:hint="eastAsia"/>
                <w:b w:val="0"/>
                <w:color w:val="auto"/>
              </w:rPr>
              <w:t>16</w:t>
            </w:r>
          </w:p>
        </w:tc>
        <w:tc>
          <w:tcPr>
            <w:tcW w:w="854" w:type="pct"/>
            <w:vAlign w:val="center"/>
          </w:tcPr>
          <w:p w14:paraId="1A16667B">
            <w:pPr>
              <w:pStyle w:val="18"/>
              <w:jc w:val="center"/>
              <w:rPr>
                <w:color w:val="auto"/>
              </w:rPr>
            </w:pPr>
            <w:r>
              <w:rPr>
                <w:rFonts w:hint="eastAsia"/>
                <w:color w:val="auto"/>
              </w:rPr>
              <w:t>设备安装调试费用</w:t>
            </w:r>
          </w:p>
        </w:tc>
        <w:tc>
          <w:tcPr>
            <w:tcW w:w="3159" w:type="pct"/>
            <w:vAlign w:val="center"/>
          </w:tcPr>
          <w:p w14:paraId="68664D01">
            <w:pPr>
              <w:pStyle w:val="18"/>
              <w:rPr>
                <w:color w:val="auto"/>
              </w:rPr>
            </w:pPr>
            <w:r>
              <w:rPr>
                <w:rFonts w:hint="eastAsia"/>
                <w:color w:val="auto"/>
              </w:rPr>
              <w:t>本项目为医疗场景多媒体设备安装调试服务，涵盖多媒体诊区大屏、多媒体诊室小屏、壁挂式查询机、护理大屏四类设备，具体服务包括设备现场点位勘察确认、线缆布放与端接、系统调试（含软硬件联调）、功能验证、用户培训及技术支持</w:t>
            </w:r>
          </w:p>
        </w:tc>
        <w:tc>
          <w:tcPr>
            <w:tcW w:w="373" w:type="pct"/>
            <w:vAlign w:val="center"/>
          </w:tcPr>
          <w:p w14:paraId="37A514C7">
            <w:pPr>
              <w:pStyle w:val="18"/>
              <w:jc w:val="center"/>
              <w:rPr>
                <w:color w:val="auto"/>
              </w:rPr>
            </w:pPr>
            <w:r>
              <w:rPr>
                <w:rFonts w:hint="eastAsia"/>
                <w:color w:val="auto"/>
              </w:rPr>
              <w:t>83</w:t>
            </w:r>
          </w:p>
        </w:tc>
        <w:tc>
          <w:tcPr>
            <w:tcW w:w="275" w:type="pct"/>
            <w:vAlign w:val="center"/>
          </w:tcPr>
          <w:p w14:paraId="531AE1F8">
            <w:pPr>
              <w:pStyle w:val="18"/>
              <w:jc w:val="center"/>
              <w:rPr>
                <w:color w:val="auto"/>
              </w:rPr>
            </w:pPr>
            <w:r>
              <w:rPr>
                <w:rFonts w:hint="eastAsia"/>
                <w:color w:val="auto"/>
              </w:rPr>
              <w:t>套</w:t>
            </w:r>
          </w:p>
        </w:tc>
      </w:tr>
      <w:tr w14:paraId="13AD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62A6043B">
            <w:pPr>
              <w:pStyle w:val="18"/>
              <w:jc w:val="center"/>
              <w:rPr>
                <w:b w:val="0"/>
                <w:color w:val="auto"/>
              </w:rPr>
            </w:pPr>
            <w:r>
              <w:rPr>
                <w:rFonts w:hint="eastAsia"/>
                <w:b w:val="0"/>
                <w:color w:val="auto"/>
              </w:rPr>
              <w:t>17</w:t>
            </w:r>
          </w:p>
        </w:tc>
        <w:tc>
          <w:tcPr>
            <w:tcW w:w="854" w:type="pct"/>
            <w:vAlign w:val="center"/>
          </w:tcPr>
          <w:p w14:paraId="15FD45F2">
            <w:pPr>
              <w:pStyle w:val="18"/>
              <w:jc w:val="center"/>
              <w:rPr>
                <w:color w:val="auto"/>
              </w:rPr>
            </w:pPr>
            <w:r>
              <w:rPr>
                <w:rFonts w:hint="eastAsia"/>
                <w:color w:val="auto"/>
              </w:rPr>
              <w:t>电源线</w:t>
            </w:r>
          </w:p>
        </w:tc>
        <w:tc>
          <w:tcPr>
            <w:tcW w:w="3159" w:type="pct"/>
            <w:vAlign w:val="center"/>
          </w:tcPr>
          <w:p w14:paraId="307107B7">
            <w:pPr>
              <w:pStyle w:val="18"/>
              <w:rPr>
                <w:color w:val="auto"/>
              </w:rPr>
            </w:pPr>
            <w:r>
              <w:rPr>
                <w:color w:val="auto"/>
              </w:rPr>
              <w:t>3 芯 ×2.5mm² 铜芯绝缘线缆，产品需完全符合 GB/T 5023.3-2008《额定电压 450/750V 及以下聚氯乙烯绝缘电缆 第 3 部分：固定布线用无护套电缆》、GB 9706.1-2020《医用电气设备 第 1 部分：基本安全和基本性能的通用要求》</w:t>
            </w:r>
          </w:p>
        </w:tc>
        <w:tc>
          <w:tcPr>
            <w:tcW w:w="373" w:type="pct"/>
            <w:vAlign w:val="center"/>
          </w:tcPr>
          <w:p w14:paraId="7B41D729">
            <w:pPr>
              <w:pStyle w:val="18"/>
              <w:jc w:val="center"/>
              <w:rPr>
                <w:color w:val="auto"/>
              </w:rPr>
            </w:pPr>
            <w:r>
              <w:rPr>
                <w:rFonts w:hint="eastAsia"/>
                <w:color w:val="auto"/>
              </w:rPr>
              <w:t>500</w:t>
            </w:r>
          </w:p>
        </w:tc>
        <w:tc>
          <w:tcPr>
            <w:tcW w:w="275" w:type="pct"/>
            <w:vAlign w:val="center"/>
          </w:tcPr>
          <w:p w14:paraId="27E83E60">
            <w:pPr>
              <w:pStyle w:val="18"/>
              <w:jc w:val="center"/>
              <w:rPr>
                <w:color w:val="auto"/>
              </w:rPr>
            </w:pPr>
            <w:r>
              <w:rPr>
                <w:rFonts w:hint="eastAsia"/>
                <w:color w:val="auto"/>
              </w:rPr>
              <w:t>米</w:t>
            </w:r>
          </w:p>
        </w:tc>
      </w:tr>
      <w:tr w14:paraId="1ADF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09D4D205">
            <w:pPr>
              <w:pStyle w:val="18"/>
              <w:jc w:val="center"/>
              <w:rPr>
                <w:b w:val="0"/>
                <w:color w:val="auto"/>
              </w:rPr>
            </w:pPr>
            <w:r>
              <w:rPr>
                <w:rFonts w:hint="eastAsia"/>
                <w:b w:val="0"/>
                <w:color w:val="auto"/>
              </w:rPr>
              <w:t>18</w:t>
            </w:r>
          </w:p>
        </w:tc>
        <w:tc>
          <w:tcPr>
            <w:tcW w:w="854" w:type="pct"/>
            <w:vAlign w:val="center"/>
          </w:tcPr>
          <w:p w14:paraId="4489CF6D">
            <w:pPr>
              <w:pStyle w:val="18"/>
              <w:jc w:val="center"/>
              <w:rPr>
                <w:color w:val="auto"/>
              </w:rPr>
            </w:pPr>
            <w:r>
              <w:rPr>
                <w:rFonts w:hint="eastAsia"/>
                <w:color w:val="auto"/>
              </w:rPr>
              <w:t>数据跳线</w:t>
            </w:r>
          </w:p>
        </w:tc>
        <w:tc>
          <w:tcPr>
            <w:tcW w:w="3159" w:type="pct"/>
            <w:vAlign w:val="center"/>
          </w:tcPr>
          <w:p w14:paraId="75E7589E">
            <w:pPr>
              <w:pStyle w:val="18"/>
              <w:rPr>
                <w:color w:val="auto"/>
              </w:rPr>
            </w:pPr>
            <w:r>
              <w:rPr>
                <w:rFonts w:hint="eastAsia"/>
                <w:color w:val="auto"/>
              </w:rPr>
              <w:t>RJ45-RJ45，六类非屏蔽</w:t>
            </w:r>
          </w:p>
        </w:tc>
        <w:tc>
          <w:tcPr>
            <w:tcW w:w="373" w:type="pct"/>
            <w:vAlign w:val="center"/>
          </w:tcPr>
          <w:p w14:paraId="473FA54D">
            <w:pPr>
              <w:pStyle w:val="18"/>
              <w:jc w:val="center"/>
              <w:rPr>
                <w:color w:val="auto"/>
              </w:rPr>
            </w:pPr>
            <w:r>
              <w:rPr>
                <w:rFonts w:hint="eastAsia"/>
                <w:color w:val="auto"/>
              </w:rPr>
              <w:t>300</w:t>
            </w:r>
          </w:p>
        </w:tc>
        <w:tc>
          <w:tcPr>
            <w:tcW w:w="275" w:type="pct"/>
            <w:vAlign w:val="center"/>
          </w:tcPr>
          <w:p w14:paraId="6FB55735">
            <w:pPr>
              <w:pStyle w:val="18"/>
              <w:jc w:val="center"/>
              <w:rPr>
                <w:color w:val="auto"/>
              </w:rPr>
            </w:pPr>
            <w:r>
              <w:rPr>
                <w:rFonts w:hint="eastAsia"/>
                <w:color w:val="auto"/>
              </w:rPr>
              <w:t>根</w:t>
            </w:r>
          </w:p>
        </w:tc>
      </w:tr>
      <w:tr w14:paraId="23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0ACEF0D7">
            <w:pPr>
              <w:pStyle w:val="18"/>
              <w:jc w:val="center"/>
              <w:rPr>
                <w:b w:val="0"/>
                <w:color w:val="auto"/>
              </w:rPr>
            </w:pPr>
            <w:r>
              <w:rPr>
                <w:rFonts w:hint="eastAsia"/>
                <w:b w:val="0"/>
                <w:color w:val="auto"/>
              </w:rPr>
              <w:t>19</w:t>
            </w:r>
          </w:p>
        </w:tc>
        <w:tc>
          <w:tcPr>
            <w:tcW w:w="854" w:type="pct"/>
            <w:vAlign w:val="center"/>
          </w:tcPr>
          <w:p w14:paraId="3FFA29E5">
            <w:pPr>
              <w:pStyle w:val="18"/>
              <w:jc w:val="center"/>
              <w:rPr>
                <w:color w:val="auto"/>
              </w:rPr>
            </w:pPr>
            <w:r>
              <w:rPr>
                <w:rFonts w:hint="eastAsia"/>
                <w:color w:val="auto"/>
              </w:rPr>
              <w:t>光纤跳线</w:t>
            </w:r>
          </w:p>
        </w:tc>
        <w:tc>
          <w:tcPr>
            <w:tcW w:w="3159" w:type="pct"/>
            <w:vAlign w:val="center"/>
          </w:tcPr>
          <w:p w14:paraId="7B25FC19">
            <w:pPr>
              <w:pStyle w:val="18"/>
              <w:rPr>
                <w:color w:val="auto"/>
              </w:rPr>
            </w:pPr>
            <w:r>
              <w:rPr>
                <w:rFonts w:hint="eastAsia"/>
                <w:color w:val="auto"/>
              </w:rPr>
              <w:t>单模双芯LC-LC 万兆尾纤线，防鼠抗拉抗弯曲</w:t>
            </w:r>
          </w:p>
        </w:tc>
        <w:tc>
          <w:tcPr>
            <w:tcW w:w="373" w:type="pct"/>
            <w:vAlign w:val="center"/>
          </w:tcPr>
          <w:p w14:paraId="7B4536FA">
            <w:pPr>
              <w:pStyle w:val="18"/>
              <w:jc w:val="center"/>
              <w:rPr>
                <w:color w:val="auto"/>
              </w:rPr>
            </w:pPr>
            <w:r>
              <w:rPr>
                <w:rFonts w:hint="eastAsia"/>
                <w:color w:val="auto"/>
              </w:rPr>
              <w:t>96</w:t>
            </w:r>
          </w:p>
        </w:tc>
        <w:tc>
          <w:tcPr>
            <w:tcW w:w="275" w:type="pct"/>
            <w:vAlign w:val="center"/>
          </w:tcPr>
          <w:p w14:paraId="295B043E">
            <w:pPr>
              <w:pStyle w:val="18"/>
              <w:jc w:val="center"/>
              <w:rPr>
                <w:color w:val="auto"/>
              </w:rPr>
            </w:pPr>
            <w:r>
              <w:rPr>
                <w:rFonts w:hint="eastAsia"/>
                <w:color w:val="auto"/>
              </w:rPr>
              <w:t>根</w:t>
            </w:r>
          </w:p>
        </w:tc>
      </w:tr>
      <w:tr w14:paraId="2046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vAlign w:val="center"/>
          </w:tcPr>
          <w:p w14:paraId="5CBDB4F2">
            <w:pPr>
              <w:pStyle w:val="18"/>
              <w:jc w:val="center"/>
              <w:rPr>
                <w:b w:val="0"/>
                <w:color w:val="auto"/>
              </w:rPr>
            </w:pPr>
            <w:r>
              <w:rPr>
                <w:rFonts w:hint="eastAsia"/>
                <w:b w:val="0"/>
                <w:color w:val="auto"/>
              </w:rPr>
              <w:t>20</w:t>
            </w:r>
          </w:p>
        </w:tc>
        <w:tc>
          <w:tcPr>
            <w:tcW w:w="854" w:type="pct"/>
            <w:vAlign w:val="center"/>
          </w:tcPr>
          <w:p w14:paraId="74D3912F">
            <w:pPr>
              <w:pStyle w:val="18"/>
              <w:jc w:val="center"/>
              <w:rPr>
                <w:color w:val="auto"/>
              </w:rPr>
            </w:pPr>
            <w:r>
              <w:rPr>
                <w:rFonts w:hint="eastAsia"/>
                <w:color w:val="auto"/>
              </w:rPr>
              <w:t>辅材</w:t>
            </w:r>
          </w:p>
        </w:tc>
        <w:tc>
          <w:tcPr>
            <w:tcW w:w="3159" w:type="pct"/>
            <w:vAlign w:val="center"/>
          </w:tcPr>
          <w:p w14:paraId="7375C024">
            <w:pPr>
              <w:pStyle w:val="18"/>
              <w:rPr>
                <w:color w:val="auto"/>
              </w:rPr>
            </w:pPr>
            <w:r>
              <w:rPr>
                <w:rFonts w:hint="eastAsia"/>
                <w:color w:val="auto"/>
              </w:rPr>
              <w:t>含PVC线管、线槽、水晶头、打标等（所有辅材需符合国家及行业相关标准，环保要求需符合 RoHS 2.0（EU 2011/65/EU） 指令，铅、汞、镉等有害物质含量不超过标准限值）</w:t>
            </w:r>
          </w:p>
        </w:tc>
        <w:tc>
          <w:tcPr>
            <w:tcW w:w="373" w:type="pct"/>
            <w:vAlign w:val="center"/>
          </w:tcPr>
          <w:p w14:paraId="07591FE4">
            <w:pPr>
              <w:pStyle w:val="18"/>
              <w:jc w:val="center"/>
              <w:rPr>
                <w:color w:val="auto"/>
              </w:rPr>
            </w:pPr>
            <w:r>
              <w:rPr>
                <w:rFonts w:hint="eastAsia"/>
                <w:color w:val="auto"/>
              </w:rPr>
              <w:t>1</w:t>
            </w:r>
          </w:p>
        </w:tc>
        <w:tc>
          <w:tcPr>
            <w:tcW w:w="275" w:type="pct"/>
            <w:vAlign w:val="center"/>
          </w:tcPr>
          <w:p w14:paraId="01291638">
            <w:pPr>
              <w:pStyle w:val="18"/>
              <w:jc w:val="center"/>
              <w:rPr>
                <w:color w:val="auto"/>
              </w:rPr>
            </w:pPr>
            <w:r>
              <w:rPr>
                <w:rFonts w:hint="eastAsia"/>
                <w:color w:val="auto"/>
              </w:rPr>
              <w:t>批</w:t>
            </w:r>
          </w:p>
        </w:tc>
      </w:tr>
    </w:tbl>
    <w:p w14:paraId="07B14051">
      <w:pPr>
        <w:pStyle w:val="3"/>
        <w:ind w:firstLine="480"/>
        <w:rPr>
          <w:color w:val="auto"/>
        </w:rPr>
      </w:pPr>
    </w:p>
    <w:p w14:paraId="42B2E3CE">
      <w:pPr>
        <w:tabs>
          <w:tab w:val="left" w:pos="927"/>
        </w:tabs>
        <w:snapToGrid w:val="0"/>
        <w:spacing w:before="0" w:beforeAutospacing="0" w:after="0" w:afterAutospacing="0" w:line="360" w:lineRule="auto"/>
        <w:ind w:firstLine="4200" w:firstLineChars="2000"/>
        <w:jc w:val="left"/>
        <w:textAlignment w:val="baseline"/>
        <w:rPr>
          <w:rFonts w:hint="eastAsia" w:ascii="宋体" w:hAnsi="宋体" w:eastAsia="宋体" w:cs="宋体"/>
          <w:b w:val="0"/>
          <w:i w:val="0"/>
          <w:caps w:val="0"/>
          <w:color w:val="auto"/>
          <w:spacing w:val="0"/>
          <w:w w:val="100"/>
          <w:kern w:val="21"/>
          <w:sz w:val="21"/>
          <w:szCs w:val="21"/>
          <w:highlight w:val="none"/>
        </w:rPr>
      </w:pPr>
    </w:p>
    <w:p w14:paraId="5AC6FE8E">
      <w:pPr>
        <w:pStyle w:val="14"/>
        <w:rPr>
          <w:rFonts w:hint="eastAsia" w:ascii="宋体" w:hAnsi="宋体" w:eastAsia="宋体" w:cs="宋体"/>
          <w:b w:val="0"/>
          <w:i w:val="0"/>
          <w:caps w:val="0"/>
          <w:color w:val="auto"/>
          <w:spacing w:val="0"/>
          <w:w w:val="100"/>
          <w:kern w:val="21"/>
          <w:sz w:val="20"/>
          <w:szCs w:val="21"/>
          <w:highlight w:val="none"/>
        </w:rPr>
      </w:pPr>
    </w:p>
    <w:sectPr>
      <w:footerReference r:id="rId13" w:type="default"/>
      <w:pgSz w:w="11906" w:h="16838"/>
      <w:pgMar w:top="1440" w:right="1701" w:bottom="1440" w:left="1417" w:header="850"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B94D">
    <w:pPr>
      <w:pStyle w:val="21"/>
      <w:framePr w:wrap="around" w:vAnchor="text" w:hAnchor="page" w:x="1260" w:y="3"/>
      <w:ind w:right="360"/>
      <w:rPr>
        <w:rStyle w:val="33"/>
      </w:rPr>
    </w:pPr>
  </w:p>
  <w:p w14:paraId="20F550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B25">
    <w:pPr>
      <w:pStyle w:val="21"/>
      <w:framePr w:wrap="around" w:vAnchor="text" w:hAnchor="margin" w:xAlign="center" w:y="1"/>
      <w:rPr>
        <w:rStyle w:val="33"/>
      </w:rPr>
    </w:pPr>
    <w:r>
      <w:fldChar w:fldCharType="begin"/>
    </w:r>
    <w:r>
      <w:rPr>
        <w:rStyle w:val="33"/>
      </w:rPr>
      <w:instrText xml:space="preserve">PAGE  </w:instrText>
    </w:r>
    <w:r>
      <w:fldChar w:fldCharType="end"/>
    </w:r>
  </w:p>
  <w:p w14:paraId="2FBAE096">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F44E">
    <w:pPr>
      <w:pStyle w:val="21"/>
      <w:framePr w:wrap="around" w:vAnchor="text" w:hAnchor="margin" w:xAlign="center" w:y="1"/>
      <w:rPr>
        <w:rStyle w:val="33"/>
      </w:rPr>
    </w:pPr>
  </w:p>
  <w:p w14:paraId="143E81FC">
    <w:pPr>
      <w:pStyle w:val="21"/>
      <w:rPr>
        <w:szCs w:val="21"/>
      </w:rPr>
    </w:pPr>
  </w:p>
  <w:p w14:paraId="4AC8EE59">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A5511">
    <w:pPr>
      <w:pStyle w:val="21"/>
      <w:framePr w:wrap="around" w:vAnchor="text" w:hAnchor="page" w:x="1260" w:y="3"/>
      <w:ind w:right="360"/>
      <w:rPr>
        <w:rStyle w:val="33"/>
      </w:rPr>
    </w:pPr>
  </w:p>
  <w:p w14:paraId="57FC85F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B7FD">
    <w:pPr>
      <w:pStyle w:val="21"/>
      <w:ind w:right="360"/>
      <w:rPr>
        <w:rStyle w:val="3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789A2">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6789A2">
                    <w:pPr>
                      <w:pStyle w:val="21"/>
                    </w:pPr>
                    <w:r>
                      <w:fldChar w:fldCharType="begin"/>
                    </w:r>
                    <w:r>
                      <w:instrText xml:space="preserve"> PAGE  \* MERGEFORMAT </w:instrText>
                    </w:r>
                    <w:r>
                      <w:fldChar w:fldCharType="separate"/>
                    </w:r>
                    <w:r>
                      <w:t>2</w:t>
                    </w:r>
                    <w:r>
                      <w:fldChar w:fldCharType="end"/>
                    </w:r>
                  </w:p>
                </w:txbxContent>
              </v:textbox>
            </v:shape>
          </w:pict>
        </mc:Fallback>
      </mc:AlternateContent>
    </w:r>
  </w:p>
  <w:p w14:paraId="37B72C0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D8BA">
    <w:pPr>
      <w:pStyle w:val="21"/>
      <w:rPr>
        <w:rStyle w:val="3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2065" b="1270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0914A4">
                          <w:pPr>
                            <w:pStyle w:val="2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80914A4">
                    <w:pPr>
                      <w:pStyle w:val="21"/>
                    </w:pPr>
                    <w:r>
                      <w:fldChar w:fldCharType="begin"/>
                    </w:r>
                    <w:r>
                      <w:instrText xml:space="preserve"> PAGE  \* MERGEFORMAT </w:instrText>
                    </w:r>
                    <w:r>
                      <w:fldChar w:fldCharType="separate"/>
                    </w:r>
                    <w:r>
                      <w:t>17</w:t>
                    </w:r>
                    <w:r>
                      <w:fldChar w:fldCharType="end"/>
                    </w:r>
                  </w:p>
                </w:txbxContent>
              </v:textbox>
            </v:shape>
          </w:pict>
        </mc:Fallback>
      </mc:AlternateContent>
    </w:r>
  </w:p>
  <w:p w14:paraId="7C2AA18E">
    <w:pPr>
      <w:pStyle w:val="21"/>
      <w:rPr>
        <w:szCs w:val="21"/>
      </w:rPr>
    </w:pPr>
  </w:p>
  <w:p w14:paraId="16C73184">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EBC1">
    <w:pPr>
      <w:pStyle w:val="21"/>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B73A2">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BB73A2">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13B8">
    <w:pPr>
      <w:pStyle w:val="21"/>
      <w:tabs>
        <w:tab w:val="left" w:pos="9000"/>
        <w:tab w:val="left" w:pos="9050"/>
        <w:tab w:val="clear" w:pos="8306"/>
      </w:tabs>
      <w:ind w:right="22"/>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92F17">
                          <w:pPr>
                            <w:pStyle w:val="2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692F17">
                    <w:pPr>
                      <w:pStyle w:val="21"/>
                    </w:pPr>
                    <w:r>
                      <w:fldChar w:fldCharType="begin"/>
                    </w:r>
                    <w:r>
                      <w:instrText xml:space="preserve"> PAGE  \* MERGEFORMAT </w:instrText>
                    </w:r>
                    <w:r>
                      <w:fldChar w:fldCharType="separate"/>
                    </w:r>
                    <w:r>
                      <w:t>60</w:t>
                    </w:r>
                    <w:r>
                      <w:fldChar w:fldCharType="end"/>
                    </w:r>
                  </w:p>
                </w:txbxContent>
              </v:textbox>
            </v:shape>
          </w:pict>
        </mc:Fallback>
      </mc:AlternateContent>
    </w:r>
  </w:p>
  <w:p w14:paraId="7812B3E7">
    <w:pPr>
      <w:pStyle w:val="2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3C44">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2E902"/>
    <w:multiLevelType w:val="singleLevel"/>
    <w:tmpl w:val="B412E902"/>
    <w:lvl w:ilvl="0" w:tentative="0">
      <w:start w:val="1"/>
      <w:numFmt w:val="decimal"/>
      <w:suff w:val="space"/>
      <w:lvlText w:val="%1、"/>
      <w:lvlJc w:val="left"/>
    </w:lvl>
  </w:abstractNum>
  <w:abstractNum w:abstractNumId="1">
    <w:nsid w:val="368F8060"/>
    <w:multiLevelType w:val="singleLevel"/>
    <w:tmpl w:val="368F8060"/>
    <w:lvl w:ilvl="0" w:tentative="0">
      <w:start w:val="1"/>
      <w:numFmt w:val="bullet"/>
      <w:pStyle w:val="1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4MmEyNjIwNzY3ZGJkYmY3ZGQzMWI0ZmJkZDdhZTkifQ=="/>
  </w:docVars>
  <w:rsids>
    <w:rsidRoot w:val="70AE1CF9"/>
    <w:rsid w:val="00025CF3"/>
    <w:rsid w:val="00031AB1"/>
    <w:rsid w:val="00040E9E"/>
    <w:rsid w:val="00042BCF"/>
    <w:rsid w:val="000621C5"/>
    <w:rsid w:val="00080EC2"/>
    <w:rsid w:val="000F4B12"/>
    <w:rsid w:val="0011590D"/>
    <w:rsid w:val="00170282"/>
    <w:rsid w:val="001F3A31"/>
    <w:rsid w:val="0022415E"/>
    <w:rsid w:val="00281880"/>
    <w:rsid w:val="002873BD"/>
    <w:rsid w:val="0035622D"/>
    <w:rsid w:val="00385E8E"/>
    <w:rsid w:val="003A5015"/>
    <w:rsid w:val="00413AB0"/>
    <w:rsid w:val="0044277C"/>
    <w:rsid w:val="00445403"/>
    <w:rsid w:val="004B0034"/>
    <w:rsid w:val="004C2A90"/>
    <w:rsid w:val="004C56B1"/>
    <w:rsid w:val="00524EC8"/>
    <w:rsid w:val="00527C67"/>
    <w:rsid w:val="00533429"/>
    <w:rsid w:val="00536E85"/>
    <w:rsid w:val="005800D9"/>
    <w:rsid w:val="0059634E"/>
    <w:rsid w:val="005C6E44"/>
    <w:rsid w:val="005F481F"/>
    <w:rsid w:val="00613713"/>
    <w:rsid w:val="006D2A98"/>
    <w:rsid w:val="00794FFA"/>
    <w:rsid w:val="007A6CB3"/>
    <w:rsid w:val="007F0B7C"/>
    <w:rsid w:val="008364E1"/>
    <w:rsid w:val="00840FF7"/>
    <w:rsid w:val="00871053"/>
    <w:rsid w:val="00890B9E"/>
    <w:rsid w:val="0089330F"/>
    <w:rsid w:val="008C722E"/>
    <w:rsid w:val="008D55C9"/>
    <w:rsid w:val="008E4AE3"/>
    <w:rsid w:val="00901A81"/>
    <w:rsid w:val="00906B8F"/>
    <w:rsid w:val="00914AB1"/>
    <w:rsid w:val="00925DFB"/>
    <w:rsid w:val="00944C98"/>
    <w:rsid w:val="00953D9C"/>
    <w:rsid w:val="009B17AE"/>
    <w:rsid w:val="009B1A5B"/>
    <w:rsid w:val="009B7F34"/>
    <w:rsid w:val="009E11B1"/>
    <w:rsid w:val="00A67BF9"/>
    <w:rsid w:val="00AB723E"/>
    <w:rsid w:val="00B07DFD"/>
    <w:rsid w:val="00B850B9"/>
    <w:rsid w:val="00BB0B8F"/>
    <w:rsid w:val="00BC4DCC"/>
    <w:rsid w:val="00BD3DB7"/>
    <w:rsid w:val="00BE1854"/>
    <w:rsid w:val="00BE7BBC"/>
    <w:rsid w:val="00C259C7"/>
    <w:rsid w:val="00C652B6"/>
    <w:rsid w:val="00CA313E"/>
    <w:rsid w:val="00CD0DEC"/>
    <w:rsid w:val="00CE520A"/>
    <w:rsid w:val="00D400C3"/>
    <w:rsid w:val="00D56B4D"/>
    <w:rsid w:val="00D9005D"/>
    <w:rsid w:val="00E635DD"/>
    <w:rsid w:val="00E71A35"/>
    <w:rsid w:val="00E85783"/>
    <w:rsid w:val="00E92239"/>
    <w:rsid w:val="00EB2BD9"/>
    <w:rsid w:val="00ED0787"/>
    <w:rsid w:val="00EE1A20"/>
    <w:rsid w:val="00F14BD5"/>
    <w:rsid w:val="00F64A08"/>
    <w:rsid w:val="00F97312"/>
    <w:rsid w:val="00FC5273"/>
    <w:rsid w:val="015758DC"/>
    <w:rsid w:val="01591BDF"/>
    <w:rsid w:val="015F0319"/>
    <w:rsid w:val="016A66C9"/>
    <w:rsid w:val="018C7FEA"/>
    <w:rsid w:val="018D458D"/>
    <w:rsid w:val="018F4996"/>
    <w:rsid w:val="019114A7"/>
    <w:rsid w:val="01981761"/>
    <w:rsid w:val="019A7795"/>
    <w:rsid w:val="01A52B9E"/>
    <w:rsid w:val="01CC715B"/>
    <w:rsid w:val="01CC76A2"/>
    <w:rsid w:val="01E81872"/>
    <w:rsid w:val="01F92046"/>
    <w:rsid w:val="02147470"/>
    <w:rsid w:val="023901A4"/>
    <w:rsid w:val="02531427"/>
    <w:rsid w:val="026F666C"/>
    <w:rsid w:val="027602D1"/>
    <w:rsid w:val="02776CA0"/>
    <w:rsid w:val="027A3207"/>
    <w:rsid w:val="027D616F"/>
    <w:rsid w:val="02867D59"/>
    <w:rsid w:val="029F64F8"/>
    <w:rsid w:val="02BA269B"/>
    <w:rsid w:val="02BC4184"/>
    <w:rsid w:val="02C170CB"/>
    <w:rsid w:val="02C43EF6"/>
    <w:rsid w:val="02CC16DB"/>
    <w:rsid w:val="02CC544F"/>
    <w:rsid w:val="02D81C83"/>
    <w:rsid w:val="02FF7BF3"/>
    <w:rsid w:val="03175D5D"/>
    <w:rsid w:val="031B4B26"/>
    <w:rsid w:val="0324189B"/>
    <w:rsid w:val="033C43E3"/>
    <w:rsid w:val="03476C80"/>
    <w:rsid w:val="03604B36"/>
    <w:rsid w:val="03764359"/>
    <w:rsid w:val="037D1816"/>
    <w:rsid w:val="039D3404"/>
    <w:rsid w:val="03B06889"/>
    <w:rsid w:val="03B14AAA"/>
    <w:rsid w:val="03BF1CB9"/>
    <w:rsid w:val="03C57EE2"/>
    <w:rsid w:val="03D53E88"/>
    <w:rsid w:val="03DE1B0C"/>
    <w:rsid w:val="03DE7C28"/>
    <w:rsid w:val="03E56BFD"/>
    <w:rsid w:val="04063CFC"/>
    <w:rsid w:val="0411649B"/>
    <w:rsid w:val="04402271"/>
    <w:rsid w:val="04440D73"/>
    <w:rsid w:val="0461265F"/>
    <w:rsid w:val="04844293"/>
    <w:rsid w:val="048562A3"/>
    <w:rsid w:val="048B5D40"/>
    <w:rsid w:val="04B36180"/>
    <w:rsid w:val="04B4792B"/>
    <w:rsid w:val="04BE4571"/>
    <w:rsid w:val="04D10A4C"/>
    <w:rsid w:val="04D61722"/>
    <w:rsid w:val="04EC6FFF"/>
    <w:rsid w:val="05245CAD"/>
    <w:rsid w:val="052E5567"/>
    <w:rsid w:val="05347EDC"/>
    <w:rsid w:val="05382D10"/>
    <w:rsid w:val="05620DB6"/>
    <w:rsid w:val="05703205"/>
    <w:rsid w:val="057B1924"/>
    <w:rsid w:val="057E0087"/>
    <w:rsid w:val="057E12A3"/>
    <w:rsid w:val="058D5283"/>
    <w:rsid w:val="05964A0E"/>
    <w:rsid w:val="059C429B"/>
    <w:rsid w:val="05B52C63"/>
    <w:rsid w:val="05BF49BA"/>
    <w:rsid w:val="05F00E5E"/>
    <w:rsid w:val="05F66669"/>
    <w:rsid w:val="05FE41B5"/>
    <w:rsid w:val="06072539"/>
    <w:rsid w:val="060A6629"/>
    <w:rsid w:val="061D6D0E"/>
    <w:rsid w:val="06247FF5"/>
    <w:rsid w:val="064D77C7"/>
    <w:rsid w:val="06503C66"/>
    <w:rsid w:val="0663484A"/>
    <w:rsid w:val="066466EB"/>
    <w:rsid w:val="069166C1"/>
    <w:rsid w:val="069F463B"/>
    <w:rsid w:val="06A41AE0"/>
    <w:rsid w:val="06AD2713"/>
    <w:rsid w:val="06E147B2"/>
    <w:rsid w:val="06F26E04"/>
    <w:rsid w:val="07292A89"/>
    <w:rsid w:val="073275EC"/>
    <w:rsid w:val="073B5A49"/>
    <w:rsid w:val="073F23E5"/>
    <w:rsid w:val="07571DAC"/>
    <w:rsid w:val="075D064C"/>
    <w:rsid w:val="075F130D"/>
    <w:rsid w:val="07745CCE"/>
    <w:rsid w:val="0789526F"/>
    <w:rsid w:val="07904DDD"/>
    <w:rsid w:val="0790647D"/>
    <w:rsid w:val="07922FE4"/>
    <w:rsid w:val="07996868"/>
    <w:rsid w:val="07A52587"/>
    <w:rsid w:val="07AE1E05"/>
    <w:rsid w:val="07B807B9"/>
    <w:rsid w:val="07C51946"/>
    <w:rsid w:val="07D41A77"/>
    <w:rsid w:val="07E77B47"/>
    <w:rsid w:val="07F1308D"/>
    <w:rsid w:val="07FD51C4"/>
    <w:rsid w:val="082B13A2"/>
    <w:rsid w:val="082F41E1"/>
    <w:rsid w:val="0854183B"/>
    <w:rsid w:val="086D4837"/>
    <w:rsid w:val="08A41A55"/>
    <w:rsid w:val="08A518F1"/>
    <w:rsid w:val="08A952DC"/>
    <w:rsid w:val="08E96474"/>
    <w:rsid w:val="08ED209D"/>
    <w:rsid w:val="091A12E3"/>
    <w:rsid w:val="091A2FCA"/>
    <w:rsid w:val="09257712"/>
    <w:rsid w:val="094753A3"/>
    <w:rsid w:val="095E5D03"/>
    <w:rsid w:val="09620DFD"/>
    <w:rsid w:val="096F3813"/>
    <w:rsid w:val="097430E9"/>
    <w:rsid w:val="099E2EA1"/>
    <w:rsid w:val="09B30F22"/>
    <w:rsid w:val="09B72142"/>
    <w:rsid w:val="09B9722A"/>
    <w:rsid w:val="09BA05FB"/>
    <w:rsid w:val="09BC3A88"/>
    <w:rsid w:val="09C534D4"/>
    <w:rsid w:val="09CB6A81"/>
    <w:rsid w:val="09D0293C"/>
    <w:rsid w:val="09EC5024"/>
    <w:rsid w:val="09F61D50"/>
    <w:rsid w:val="09FF11CC"/>
    <w:rsid w:val="0A02443D"/>
    <w:rsid w:val="0A1162EC"/>
    <w:rsid w:val="0A1D07D0"/>
    <w:rsid w:val="0A200E81"/>
    <w:rsid w:val="0A3A060D"/>
    <w:rsid w:val="0A423184"/>
    <w:rsid w:val="0A5A5C3A"/>
    <w:rsid w:val="0A621101"/>
    <w:rsid w:val="0A683BF3"/>
    <w:rsid w:val="0A7E3AF3"/>
    <w:rsid w:val="0AB630C6"/>
    <w:rsid w:val="0ABD1AEB"/>
    <w:rsid w:val="0AC74376"/>
    <w:rsid w:val="0AE8320E"/>
    <w:rsid w:val="0B0A5018"/>
    <w:rsid w:val="0B0A799D"/>
    <w:rsid w:val="0B10092E"/>
    <w:rsid w:val="0B1C2DDF"/>
    <w:rsid w:val="0B344986"/>
    <w:rsid w:val="0B3C19E4"/>
    <w:rsid w:val="0B4A13F5"/>
    <w:rsid w:val="0B4C7A65"/>
    <w:rsid w:val="0B503357"/>
    <w:rsid w:val="0B980D32"/>
    <w:rsid w:val="0BA56A3C"/>
    <w:rsid w:val="0BB377CC"/>
    <w:rsid w:val="0BD41173"/>
    <w:rsid w:val="0BDB4F85"/>
    <w:rsid w:val="0BE070F4"/>
    <w:rsid w:val="0BE41F0B"/>
    <w:rsid w:val="0BE44F57"/>
    <w:rsid w:val="0BF0390F"/>
    <w:rsid w:val="0BF44CE8"/>
    <w:rsid w:val="0C0F04B1"/>
    <w:rsid w:val="0C1B7AB6"/>
    <w:rsid w:val="0C237B9D"/>
    <w:rsid w:val="0C237E4D"/>
    <w:rsid w:val="0C2D291F"/>
    <w:rsid w:val="0C2D70CE"/>
    <w:rsid w:val="0C306D98"/>
    <w:rsid w:val="0C4458C2"/>
    <w:rsid w:val="0C4F0870"/>
    <w:rsid w:val="0C4F42C4"/>
    <w:rsid w:val="0C8129D9"/>
    <w:rsid w:val="0C8B1C5B"/>
    <w:rsid w:val="0C9D2860"/>
    <w:rsid w:val="0CC10126"/>
    <w:rsid w:val="0CD21D13"/>
    <w:rsid w:val="0CE642FD"/>
    <w:rsid w:val="0CFA0190"/>
    <w:rsid w:val="0CFF225D"/>
    <w:rsid w:val="0D13203A"/>
    <w:rsid w:val="0D25767F"/>
    <w:rsid w:val="0D627DB7"/>
    <w:rsid w:val="0D73026A"/>
    <w:rsid w:val="0D7A1A4C"/>
    <w:rsid w:val="0D7B65C1"/>
    <w:rsid w:val="0D98260F"/>
    <w:rsid w:val="0D995B09"/>
    <w:rsid w:val="0DD85FBA"/>
    <w:rsid w:val="0DDA2C6C"/>
    <w:rsid w:val="0DE40F79"/>
    <w:rsid w:val="0DE62B40"/>
    <w:rsid w:val="0DF30354"/>
    <w:rsid w:val="0E0A5244"/>
    <w:rsid w:val="0E0F7F72"/>
    <w:rsid w:val="0E116792"/>
    <w:rsid w:val="0E404EED"/>
    <w:rsid w:val="0E4304B6"/>
    <w:rsid w:val="0E5F6D9D"/>
    <w:rsid w:val="0E675F12"/>
    <w:rsid w:val="0E7476E7"/>
    <w:rsid w:val="0E791D0C"/>
    <w:rsid w:val="0E9F5F24"/>
    <w:rsid w:val="0EA90EB2"/>
    <w:rsid w:val="0EB77A85"/>
    <w:rsid w:val="0EC04E6D"/>
    <w:rsid w:val="0EC437F1"/>
    <w:rsid w:val="0EE52491"/>
    <w:rsid w:val="0F03173B"/>
    <w:rsid w:val="0F096081"/>
    <w:rsid w:val="0F0C5330"/>
    <w:rsid w:val="0F114283"/>
    <w:rsid w:val="0F2103E2"/>
    <w:rsid w:val="0F24110D"/>
    <w:rsid w:val="0F4852A9"/>
    <w:rsid w:val="0F53554E"/>
    <w:rsid w:val="0F670766"/>
    <w:rsid w:val="0F712918"/>
    <w:rsid w:val="0F7928FA"/>
    <w:rsid w:val="0F7C2C48"/>
    <w:rsid w:val="0F907BDA"/>
    <w:rsid w:val="0F914664"/>
    <w:rsid w:val="0FA57E40"/>
    <w:rsid w:val="0FA76CEF"/>
    <w:rsid w:val="0FB0749E"/>
    <w:rsid w:val="0FB237AD"/>
    <w:rsid w:val="0FB83603"/>
    <w:rsid w:val="0FDA08BF"/>
    <w:rsid w:val="0FDF0B42"/>
    <w:rsid w:val="101F7783"/>
    <w:rsid w:val="102972BC"/>
    <w:rsid w:val="10422B59"/>
    <w:rsid w:val="10596791"/>
    <w:rsid w:val="1067316C"/>
    <w:rsid w:val="108C0825"/>
    <w:rsid w:val="108C6159"/>
    <w:rsid w:val="10913D58"/>
    <w:rsid w:val="10D93A5C"/>
    <w:rsid w:val="10E17C7C"/>
    <w:rsid w:val="10E30B54"/>
    <w:rsid w:val="110A1AED"/>
    <w:rsid w:val="11161D7A"/>
    <w:rsid w:val="111C28DF"/>
    <w:rsid w:val="11256FA0"/>
    <w:rsid w:val="119127C4"/>
    <w:rsid w:val="11951E4E"/>
    <w:rsid w:val="11AB504E"/>
    <w:rsid w:val="11B4319E"/>
    <w:rsid w:val="11B73A89"/>
    <w:rsid w:val="11E37DCA"/>
    <w:rsid w:val="11F540FC"/>
    <w:rsid w:val="11F8418B"/>
    <w:rsid w:val="12206A68"/>
    <w:rsid w:val="122633BA"/>
    <w:rsid w:val="12503FC7"/>
    <w:rsid w:val="128F669A"/>
    <w:rsid w:val="12AB337C"/>
    <w:rsid w:val="12F73247"/>
    <w:rsid w:val="12F901BB"/>
    <w:rsid w:val="12FA7766"/>
    <w:rsid w:val="13046BAC"/>
    <w:rsid w:val="1313746B"/>
    <w:rsid w:val="13144FF5"/>
    <w:rsid w:val="131B1060"/>
    <w:rsid w:val="132A41B1"/>
    <w:rsid w:val="133C13AD"/>
    <w:rsid w:val="13406A19"/>
    <w:rsid w:val="13457A25"/>
    <w:rsid w:val="135453AA"/>
    <w:rsid w:val="13AE369B"/>
    <w:rsid w:val="13AE7338"/>
    <w:rsid w:val="13B64EB3"/>
    <w:rsid w:val="13D57F67"/>
    <w:rsid w:val="13DA67C6"/>
    <w:rsid w:val="13DD3B62"/>
    <w:rsid w:val="13EE5846"/>
    <w:rsid w:val="142E0901"/>
    <w:rsid w:val="1433010B"/>
    <w:rsid w:val="14337DA6"/>
    <w:rsid w:val="143A418C"/>
    <w:rsid w:val="144404C1"/>
    <w:rsid w:val="14471E66"/>
    <w:rsid w:val="14475684"/>
    <w:rsid w:val="1457097E"/>
    <w:rsid w:val="14635592"/>
    <w:rsid w:val="146F3957"/>
    <w:rsid w:val="147B65E3"/>
    <w:rsid w:val="149019C4"/>
    <w:rsid w:val="14CA6C6C"/>
    <w:rsid w:val="14CF52E3"/>
    <w:rsid w:val="14D74ACA"/>
    <w:rsid w:val="14D75622"/>
    <w:rsid w:val="14DD4787"/>
    <w:rsid w:val="14EE4584"/>
    <w:rsid w:val="150F7F05"/>
    <w:rsid w:val="15107A3E"/>
    <w:rsid w:val="15152121"/>
    <w:rsid w:val="15205E5E"/>
    <w:rsid w:val="152D239E"/>
    <w:rsid w:val="153B0F5F"/>
    <w:rsid w:val="15520C0A"/>
    <w:rsid w:val="15591FA2"/>
    <w:rsid w:val="156118D4"/>
    <w:rsid w:val="15701D1E"/>
    <w:rsid w:val="15893CA1"/>
    <w:rsid w:val="15A34E02"/>
    <w:rsid w:val="15BD7BC5"/>
    <w:rsid w:val="15BF65E3"/>
    <w:rsid w:val="15D026F8"/>
    <w:rsid w:val="15DC6F4F"/>
    <w:rsid w:val="15FA1DCC"/>
    <w:rsid w:val="160C1D9D"/>
    <w:rsid w:val="16104199"/>
    <w:rsid w:val="161340AB"/>
    <w:rsid w:val="16241C0B"/>
    <w:rsid w:val="16253243"/>
    <w:rsid w:val="16312A3E"/>
    <w:rsid w:val="163278E7"/>
    <w:rsid w:val="16461969"/>
    <w:rsid w:val="165B7881"/>
    <w:rsid w:val="166D339A"/>
    <w:rsid w:val="167A5AB7"/>
    <w:rsid w:val="167F131F"/>
    <w:rsid w:val="16836BF7"/>
    <w:rsid w:val="16912488"/>
    <w:rsid w:val="1692326D"/>
    <w:rsid w:val="16923C16"/>
    <w:rsid w:val="16994D4F"/>
    <w:rsid w:val="169B2EA1"/>
    <w:rsid w:val="16A91D7E"/>
    <w:rsid w:val="16D0666A"/>
    <w:rsid w:val="16D17678"/>
    <w:rsid w:val="16D85088"/>
    <w:rsid w:val="16EB2E0F"/>
    <w:rsid w:val="16F13B74"/>
    <w:rsid w:val="16F82C18"/>
    <w:rsid w:val="16F96BB1"/>
    <w:rsid w:val="16FC224A"/>
    <w:rsid w:val="16FD4261"/>
    <w:rsid w:val="170C144E"/>
    <w:rsid w:val="1713335E"/>
    <w:rsid w:val="171E2177"/>
    <w:rsid w:val="172123D6"/>
    <w:rsid w:val="1728365B"/>
    <w:rsid w:val="17296BEE"/>
    <w:rsid w:val="172B0B5F"/>
    <w:rsid w:val="17493D83"/>
    <w:rsid w:val="174D592F"/>
    <w:rsid w:val="175643AA"/>
    <w:rsid w:val="17741AF8"/>
    <w:rsid w:val="17884151"/>
    <w:rsid w:val="17A23B24"/>
    <w:rsid w:val="17B00D43"/>
    <w:rsid w:val="17CF4429"/>
    <w:rsid w:val="183425AB"/>
    <w:rsid w:val="1839071C"/>
    <w:rsid w:val="185367E6"/>
    <w:rsid w:val="18745314"/>
    <w:rsid w:val="18873D5A"/>
    <w:rsid w:val="188B4B8B"/>
    <w:rsid w:val="18C32734"/>
    <w:rsid w:val="18CF11B8"/>
    <w:rsid w:val="18E66950"/>
    <w:rsid w:val="18FA60CD"/>
    <w:rsid w:val="1906204F"/>
    <w:rsid w:val="19153F28"/>
    <w:rsid w:val="191B7919"/>
    <w:rsid w:val="19455E27"/>
    <w:rsid w:val="196D4085"/>
    <w:rsid w:val="198A2263"/>
    <w:rsid w:val="19970238"/>
    <w:rsid w:val="19AC2505"/>
    <w:rsid w:val="19AC66BE"/>
    <w:rsid w:val="19B219FD"/>
    <w:rsid w:val="19B3437A"/>
    <w:rsid w:val="19B4089D"/>
    <w:rsid w:val="19CF47BA"/>
    <w:rsid w:val="19E119B0"/>
    <w:rsid w:val="19E7626A"/>
    <w:rsid w:val="1A0527B9"/>
    <w:rsid w:val="1A075621"/>
    <w:rsid w:val="1A09062F"/>
    <w:rsid w:val="1A125B73"/>
    <w:rsid w:val="1A392122"/>
    <w:rsid w:val="1A396FF3"/>
    <w:rsid w:val="1A670680"/>
    <w:rsid w:val="1A8E7D82"/>
    <w:rsid w:val="1AA20036"/>
    <w:rsid w:val="1ABC3B86"/>
    <w:rsid w:val="1AC9700C"/>
    <w:rsid w:val="1ACE47F3"/>
    <w:rsid w:val="1AD82CC8"/>
    <w:rsid w:val="1AD97F3D"/>
    <w:rsid w:val="1AE7025C"/>
    <w:rsid w:val="1AF74213"/>
    <w:rsid w:val="1B12018A"/>
    <w:rsid w:val="1B295301"/>
    <w:rsid w:val="1B301C22"/>
    <w:rsid w:val="1B3903E5"/>
    <w:rsid w:val="1B4A3D54"/>
    <w:rsid w:val="1B55063E"/>
    <w:rsid w:val="1B5B3B0E"/>
    <w:rsid w:val="1B742AD4"/>
    <w:rsid w:val="1B775A9B"/>
    <w:rsid w:val="1B7B31E5"/>
    <w:rsid w:val="1B7C3EF9"/>
    <w:rsid w:val="1B867AB9"/>
    <w:rsid w:val="1B8D3B96"/>
    <w:rsid w:val="1BCF44A5"/>
    <w:rsid w:val="1BF04F73"/>
    <w:rsid w:val="1BFA2409"/>
    <w:rsid w:val="1C033E58"/>
    <w:rsid w:val="1C0A36CD"/>
    <w:rsid w:val="1C214039"/>
    <w:rsid w:val="1C346708"/>
    <w:rsid w:val="1C3803D7"/>
    <w:rsid w:val="1C5E5503"/>
    <w:rsid w:val="1C6F7FCB"/>
    <w:rsid w:val="1C7A6810"/>
    <w:rsid w:val="1CB82E95"/>
    <w:rsid w:val="1CBD1416"/>
    <w:rsid w:val="1CE52B09"/>
    <w:rsid w:val="1D3A5FA0"/>
    <w:rsid w:val="1D4D4A4E"/>
    <w:rsid w:val="1D4F79D7"/>
    <w:rsid w:val="1D6337A4"/>
    <w:rsid w:val="1D6969A4"/>
    <w:rsid w:val="1D6D1ED1"/>
    <w:rsid w:val="1D752B34"/>
    <w:rsid w:val="1D954F84"/>
    <w:rsid w:val="1DC156E1"/>
    <w:rsid w:val="1DEA1774"/>
    <w:rsid w:val="1DEA25BF"/>
    <w:rsid w:val="1DEC6348"/>
    <w:rsid w:val="1DEF0B38"/>
    <w:rsid w:val="1E0D3365"/>
    <w:rsid w:val="1E0E0051"/>
    <w:rsid w:val="1E1206B4"/>
    <w:rsid w:val="1E29330A"/>
    <w:rsid w:val="1E2B4190"/>
    <w:rsid w:val="1E430444"/>
    <w:rsid w:val="1E492EB8"/>
    <w:rsid w:val="1E4F0336"/>
    <w:rsid w:val="1E5D20DC"/>
    <w:rsid w:val="1EA23321"/>
    <w:rsid w:val="1EA50417"/>
    <w:rsid w:val="1EB13010"/>
    <w:rsid w:val="1EB37DB8"/>
    <w:rsid w:val="1ECF78AB"/>
    <w:rsid w:val="1EDE0FF0"/>
    <w:rsid w:val="1EF80A5C"/>
    <w:rsid w:val="1F052539"/>
    <w:rsid w:val="1F0D56A6"/>
    <w:rsid w:val="1F2111C5"/>
    <w:rsid w:val="1F2527A2"/>
    <w:rsid w:val="1F3876E0"/>
    <w:rsid w:val="1F5E1D2E"/>
    <w:rsid w:val="1F611F57"/>
    <w:rsid w:val="1F6A1FD7"/>
    <w:rsid w:val="1F8F3B47"/>
    <w:rsid w:val="1F9F668C"/>
    <w:rsid w:val="1FB9272D"/>
    <w:rsid w:val="1FC61FDF"/>
    <w:rsid w:val="1FCD2A54"/>
    <w:rsid w:val="1FD61052"/>
    <w:rsid w:val="1FDC6FD8"/>
    <w:rsid w:val="1FE65ED6"/>
    <w:rsid w:val="20016347"/>
    <w:rsid w:val="202B22B3"/>
    <w:rsid w:val="202C0071"/>
    <w:rsid w:val="202F16C0"/>
    <w:rsid w:val="204607B7"/>
    <w:rsid w:val="205774A7"/>
    <w:rsid w:val="2061413D"/>
    <w:rsid w:val="20715AB7"/>
    <w:rsid w:val="207F4FA4"/>
    <w:rsid w:val="20CE74AE"/>
    <w:rsid w:val="20D87AB2"/>
    <w:rsid w:val="20E07305"/>
    <w:rsid w:val="20F71F9F"/>
    <w:rsid w:val="20FD3B30"/>
    <w:rsid w:val="21222FD3"/>
    <w:rsid w:val="213B4D82"/>
    <w:rsid w:val="214A4F44"/>
    <w:rsid w:val="215E689A"/>
    <w:rsid w:val="2176725F"/>
    <w:rsid w:val="21823A71"/>
    <w:rsid w:val="218B6D1D"/>
    <w:rsid w:val="219A6C4E"/>
    <w:rsid w:val="21AE4866"/>
    <w:rsid w:val="21C127EB"/>
    <w:rsid w:val="21C1459A"/>
    <w:rsid w:val="21EF1A93"/>
    <w:rsid w:val="21EF7359"/>
    <w:rsid w:val="21F11549"/>
    <w:rsid w:val="22044FB8"/>
    <w:rsid w:val="220A205C"/>
    <w:rsid w:val="221B63A0"/>
    <w:rsid w:val="22285264"/>
    <w:rsid w:val="22510D34"/>
    <w:rsid w:val="22560E7D"/>
    <w:rsid w:val="225F4D23"/>
    <w:rsid w:val="226545F7"/>
    <w:rsid w:val="227E0995"/>
    <w:rsid w:val="228757E3"/>
    <w:rsid w:val="22D0478E"/>
    <w:rsid w:val="22D7735A"/>
    <w:rsid w:val="22E26EBD"/>
    <w:rsid w:val="22EB1DC5"/>
    <w:rsid w:val="22F049F2"/>
    <w:rsid w:val="231654B8"/>
    <w:rsid w:val="23176CF8"/>
    <w:rsid w:val="231B29A3"/>
    <w:rsid w:val="231F5E36"/>
    <w:rsid w:val="23206F88"/>
    <w:rsid w:val="23431A09"/>
    <w:rsid w:val="2366189C"/>
    <w:rsid w:val="2367049C"/>
    <w:rsid w:val="236A6727"/>
    <w:rsid w:val="23824554"/>
    <w:rsid w:val="23951A3B"/>
    <w:rsid w:val="239D4B92"/>
    <w:rsid w:val="23AF701F"/>
    <w:rsid w:val="23B32608"/>
    <w:rsid w:val="23B36D9D"/>
    <w:rsid w:val="23BC7037"/>
    <w:rsid w:val="23C26EEE"/>
    <w:rsid w:val="23C519D9"/>
    <w:rsid w:val="23CE11F0"/>
    <w:rsid w:val="23DC40A3"/>
    <w:rsid w:val="23E75FAB"/>
    <w:rsid w:val="23EB4DC1"/>
    <w:rsid w:val="24135FAD"/>
    <w:rsid w:val="24166AB9"/>
    <w:rsid w:val="24376D95"/>
    <w:rsid w:val="247E3820"/>
    <w:rsid w:val="248A5117"/>
    <w:rsid w:val="248B1F8D"/>
    <w:rsid w:val="248E7E34"/>
    <w:rsid w:val="24900A94"/>
    <w:rsid w:val="24CF7C0D"/>
    <w:rsid w:val="24EB6E82"/>
    <w:rsid w:val="24EE36D9"/>
    <w:rsid w:val="24FB1D1B"/>
    <w:rsid w:val="251C3F54"/>
    <w:rsid w:val="252C0564"/>
    <w:rsid w:val="25302162"/>
    <w:rsid w:val="253703AC"/>
    <w:rsid w:val="253D4A94"/>
    <w:rsid w:val="254C008B"/>
    <w:rsid w:val="255950FB"/>
    <w:rsid w:val="256B5465"/>
    <w:rsid w:val="257266D0"/>
    <w:rsid w:val="257D111F"/>
    <w:rsid w:val="258F7DE8"/>
    <w:rsid w:val="25932338"/>
    <w:rsid w:val="259663F9"/>
    <w:rsid w:val="259F2E44"/>
    <w:rsid w:val="25B34CEF"/>
    <w:rsid w:val="25E21195"/>
    <w:rsid w:val="25EB3DDD"/>
    <w:rsid w:val="25F2341A"/>
    <w:rsid w:val="25F77334"/>
    <w:rsid w:val="260920F1"/>
    <w:rsid w:val="264B4D7A"/>
    <w:rsid w:val="264C0720"/>
    <w:rsid w:val="267E1C8A"/>
    <w:rsid w:val="26893BD0"/>
    <w:rsid w:val="268B69EF"/>
    <w:rsid w:val="26A95CC1"/>
    <w:rsid w:val="26B1140E"/>
    <w:rsid w:val="26B172D2"/>
    <w:rsid w:val="26B675D4"/>
    <w:rsid w:val="26BC3FD8"/>
    <w:rsid w:val="26CC36F9"/>
    <w:rsid w:val="26DB6BF1"/>
    <w:rsid w:val="26FA6FE4"/>
    <w:rsid w:val="26FF0AE8"/>
    <w:rsid w:val="27084794"/>
    <w:rsid w:val="27095F1B"/>
    <w:rsid w:val="270C7B0C"/>
    <w:rsid w:val="27133BBE"/>
    <w:rsid w:val="2740374A"/>
    <w:rsid w:val="2765535C"/>
    <w:rsid w:val="27717249"/>
    <w:rsid w:val="27776AFB"/>
    <w:rsid w:val="27862E67"/>
    <w:rsid w:val="279F4E61"/>
    <w:rsid w:val="27BC351D"/>
    <w:rsid w:val="27BD2A3D"/>
    <w:rsid w:val="27D26B25"/>
    <w:rsid w:val="27E83481"/>
    <w:rsid w:val="27E92C02"/>
    <w:rsid w:val="280974C5"/>
    <w:rsid w:val="28153891"/>
    <w:rsid w:val="28215888"/>
    <w:rsid w:val="28217250"/>
    <w:rsid w:val="28355CE1"/>
    <w:rsid w:val="28447BAD"/>
    <w:rsid w:val="286749ED"/>
    <w:rsid w:val="286D05E1"/>
    <w:rsid w:val="28741132"/>
    <w:rsid w:val="287B5E3F"/>
    <w:rsid w:val="28A433D5"/>
    <w:rsid w:val="28A7300E"/>
    <w:rsid w:val="28C0138F"/>
    <w:rsid w:val="28E017BB"/>
    <w:rsid w:val="28EE4017"/>
    <w:rsid w:val="28F35C2E"/>
    <w:rsid w:val="28F6552F"/>
    <w:rsid w:val="28FE4325"/>
    <w:rsid w:val="290E75ED"/>
    <w:rsid w:val="29121365"/>
    <w:rsid w:val="291750BF"/>
    <w:rsid w:val="291D49D4"/>
    <w:rsid w:val="29224331"/>
    <w:rsid w:val="29293878"/>
    <w:rsid w:val="292F6531"/>
    <w:rsid w:val="293E4722"/>
    <w:rsid w:val="29472A6A"/>
    <w:rsid w:val="294A29A1"/>
    <w:rsid w:val="29631CE7"/>
    <w:rsid w:val="29713C74"/>
    <w:rsid w:val="29813395"/>
    <w:rsid w:val="29871071"/>
    <w:rsid w:val="298C3431"/>
    <w:rsid w:val="29992818"/>
    <w:rsid w:val="299C5FEA"/>
    <w:rsid w:val="29A9603F"/>
    <w:rsid w:val="29AA3B8E"/>
    <w:rsid w:val="29B93765"/>
    <w:rsid w:val="29D7107B"/>
    <w:rsid w:val="29DF6008"/>
    <w:rsid w:val="29EC799D"/>
    <w:rsid w:val="29F467C5"/>
    <w:rsid w:val="29FE5D4A"/>
    <w:rsid w:val="2A072182"/>
    <w:rsid w:val="2A0C2620"/>
    <w:rsid w:val="2A11198A"/>
    <w:rsid w:val="2A242801"/>
    <w:rsid w:val="2A321BF7"/>
    <w:rsid w:val="2A4346E5"/>
    <w:rsid w:val="2A717A2F"/>
    <w:rsid w:val="2A781714"/>
    <w:rsid w:val="2A8B0FB7"/>
    <w:rsid w:val="2A953842"/>
    <w:rsid w:val="2A9C1FAF"/>
    <w:rsid w:val="2AA42CAA"/>
    <w:rsid w:val="2AAA2B6C"/>
    <w:rsid w:val="2ABC2C3A"/>
    <w:rsid w:val="2AC739F5"/>
    <w:rsid w:val="2ADB54B8"/>
    <w:rsid w:val="2B165956"/>
    <w:rsid w:val="2B185425"/>
    <w:rsid w:val="2B3D27B6"/>
    <w:rsid w:val="2B4E31C2"/>
    <w:rsid w:val="2B8E7BE2"/>
    <w:rsid w:val="2B910A4E"/>
    <w:rsid w:val="2B964CE9"/>
    <w:rsid w:val="2B991D4E"/>
    <w:rsid w:val="2B996587"/>
    <w:rsid w:val="2BA2368E"/>
    <w:rsid w:val="2BAB264A"/>
    <w:rsid w:val="2BB242BF"/>
    <w:rsid w:val="2BB936C7"/>
    <w:rsid w:val="2BB94533"/>
    <w:rsid w:val="2BE6006D"/>
    <w:rsid w:val="2BF210E6"/>
    <w:rsid w:val="2C11436F"/>
    <w:rsid w:val="2C42328E"/>
    <w:rsid w:val="2C536736"/>
    <w:rsid w:val="2C663688"/>
    <w:rsid w:val="2CAD5C46"/>
    <w:rsid w:val="2CE120E6"/>
    <w:rsid w:val="2CE5649C"/>
    <w:rsid w:val="2CF15417"/>
    <w:rsid w:val="2D2020CB"/>
    <w:rsid w:val="2D297497"/>
    <w:rsid w:val="2D2C262C"/>
    <w:rsid w:val="2D2C2713"/>
    <w:rsid w:val="2D361382"/>
    <w:rsid w:val="2D410C84"/>
    <w:rsid w:val="2D6959AC"/>
    <w:rsid w:val="2D8B63C8"/>
    <w:rsid w:val="2D910488"/>
    <w:rsid w:val="2DA41B08"/>
    <w:rsid w:val="2DA53E72"/>
    <w:rsid w:val="2DA86D89"/>
    <w:rsid w:val="2DB15E0A"/>
    <w:rsid w:val="2DC23DD1"/>
    <w:rsid w:val="2DEB290D"/>
    <w:rsid w:val="2DFF7FFC"/>
    <w:rsid w:val="2E080E1F"/>
    <w:rsid w:val="2E0A2B41"/>
    <w:rsid w:val="2E114AFB"/>
    <w:rsid w:val="2E1F7E2F"/>
    <w:rsid w:val="2E2B2D7C"/>
    <w:rsid w:val="2E3E352D"/>
    <w:rsid w:val="2E656033"/>
    <w:rsid w:val="2E884DBD"/>
    <w:rsid w:val="2E894249"/>
    <w:rsid w:val="2E8951D1"/>
    <w:rsid w:val="2EC27BA3"/>
    <w:rsid w:val="2ECB6048"/>
    <w:rsid w:val="2ECE29F6"/>
    <w:rsid w:val="2ED84057"/>
    <w:rsid w:val="2EF24123"/>
    <w:rsid w:val="2EFA10EB"/>
    <w:rsid w:val="2F2458CF"/>
    <w:rsid w:val="2F602231"/>
    <w:rsid w:val="2F666780"/>
    <w:rsid w:val="2F683779"/>
    <w:rsid w:val="2F8F1DCC"/>
    <w:rsid w:val="2F98468B"/>
    <w:rsid w:val="2FAF440E"/>
    <w:rsid w:val="2FBD52BE"/>
    <w:rsid w:val="2FEB5531"/>
    <w:rsid w:val="300C0546"/>
    <w:rsid w:val="3016145D"/>
    <w:rsid w:val="30226B4B"/>
    <w:rsid w:val="30483802"/>
    <w:rsid w:val="3054606C"/>
    <w:rsid w:val="30546461"/>
    <w:rsid w:val="306D4C4E"/>
    <w:rsid w:val="30775E71"/>
    <w:rsid w:val="309736D3"/>
    <w:rsid w:val="30A338CE"/>
    <w:rsid w:val="30AE0CC0"/>
    <w:rsid w:val="30B97129"/>
    <w:rsid w:val="30D81900"/>
    <w:rsid w:val="30E630B4"/>
    <w:rsid w:val="30FF2D93"/>
    <w:rsid w:val="310E74AC"/>
    <w:rsid w:val="311863BD"/>
    <w:rsid w:val="31383790"/>
    <w:rsid w:val="31405D78"/>
    <w:rsid w:val="314078CF"/>
    <w:rsid w:val="31486001"/>
    <w:rsid w:val="316B64FA"/>
    <w:rsid w:val="31850CA5"/>
    <w:rsid w:val="31F4290D"/>
    <w:rsid w:val="321708A4"/>
    <w:rsid w:val="321A71AB"/>
    <w:rsid w:val="32353ACB"/>
    <w:rsid w:val="324777E8"/>
    <w:rsid w:val="3253763F"/>
    <w:rsid w:val="32676E8E"/>
    <w:rsid w:val="32741A1B"/>
    <w:rsid w:val="327C14AD"/>
    <w:rsid w:val="329809CF"/>
    <w:rsid w:val="32AE0FEC"/>
    <w:rsid w:val="32B411C0"/>
    <w:rsid w:val="32DA4AA2"/>
    <w:rsid w:val="32E56AC1"/>
    <w:rsid w:val="32F72511"/>
    <w:rsid w:val="330D3549"/>
    <w:rsid w:val="33136FC7"/>
    <w:rsid w:val="33215CC1"/>
    <w:rsid w:val="33245282"/>
    <w:rsid w:val="33274478"/>
    <w:rsid w:val="33433D97"/>
    <w:rsid w:val="33457C42"/>
    <w:rsid w:val="334A7C4E"/>
    <w:rsid w:val="334D13AA"/>
    <w:rsid w:val="335758BF"/>
    <w:rsid w:val="33674872"/>
    <w:rsid w:val="338D79C0"/>
    <w:rsid w:val="33A819B6"/>
    <w:rsid w:val="33B74C4B"/>
    <w:rsid w:val="33B977C6"/>
    <w:rsid w:val="33C56746"/>
    <w:rsid w:val="33D92BA0"/>
    <w:rsid w:val="33E32825"/>
    <w:rsid w:val="341D4B99"/>
    <w:rsid w:val="3441360E"/>
    <w:rsid w:val="34440293"/>
    <w:rsid w:val="346277E7"/>
    <w:rsid w:val="346A15B8"/>
    <w:rsid w:val="3478796F"/>
    <w:rsid w:val="3487316C"/>
    <w:rsid w:val="34A664F0"/>
    <w:rsid w:val="34AC3CB0"/>
    <w:rsid w:val="34B10B8A"/>
    <w:rsid w:val="34B90B94"/>
    <w:rsid w:val="34C91645"/>
    <w:rsid w:val="34F339F8"/>
    <w:rsid w:val="34F81B01"/>
    <w:rsid w:val="34FB5477"/>
    <w:rsid w:val="35020764"/>
    <w:rsid w:val="35073253"/>
    <w:rsid w:val="352C120D"/>
    <w:rsid w:val="353336F7"/>
    <w:rsid w:val="3547101B"/>
    <w:rsid w:val="354948F3"/>
    <w:rsid w:val="35550768"/>
    <w:rsid w:val="355754E9"/>
    <w:rsid w:val="35655A62"/>
    <w:rsid w:val="35A428FB"/>
    <w:rsid w:val="35C826C3"/>
    <w:rsid w:val="35D02246"/>
    <w:rsid w:val="35E22743"/>
    <w:rsid w:val="35F90E8D"/>
    <w:rsid w:val="3612101F"/>
    <w:rsid w:val="363B3CAD"/>
    <w:rsid w:val="367244CE"/>
    <w:rsid w:val="368106FE"/>
    <w:rsid w:val="368D09BB"/>
    <w:rsid w:val="36A374CD"/>
    <w:rsid w:val="36A43635"/>
    <w:rsid w:val="36BC714A"/>
    <w:rsid w:val="36D6068F"/>
    <w:rsid w:val="36D77766"/>
    <w:rsid w:val="36DF5796"/>
    <w:rsid w:val="36F12565"/>
    <w:rsid w:val="36F12CDB"/>
    <w:rsid w:val="372B04E6"/>
    <w:rsid w:val="374A0AA6"/>
    <w:rsid w:val="37554036"/>
    <w:rsid w:val="3758250C"/>
    <w:rsid w:val="376932B2"/>
    <w:rsid w:val="376A6BD4"/>
    <w:rsid w:val="3776289F"/>
    <w:rsid w:val="379F0946"/>
    <w:rsid w:val="37A832AC"/>
    <w:rsid w:val="37A83DDA"/>
    <w:rsid w:val="37AA5DF4"/>
    <w:rsid w:val="37B00EE0"/>
    <w:rsid w:val="37C9684A"/>
    <w:rsid w:val="37CF2F6C"/>
    <w:rsid w:val="37DD2B26"/>
    <w:rsid w:val="37EB2E8D"/>
    <w:rsid w:val="3801356E"/>
    <w:rsid w:val="38132511"/>
    <w:rsid w:val="381E16CF"/>
    <w:rsid w:val="383D54BB"/>
    <w:rsid w:val="384B4A75"/>
    <w:rsid w:val="384E76B0"/>
    <w:rsid w:val="3868400B"/>
    <w:rsid w:val="386E40A6"/>
    <w:rsid w:val="386F0186"/>
    <w:rsid w:val="387829CB"/>
    <w:rsid w:val="387F17BE"/>
    <w:rsid w:val="388275F0"/>
    <w:rsid w:val="3885411B"/>
    <w:rsid w:val="389D1999"/>
    <w:rsid w:val="38A547BD"/>
    <w:rsid w:val="38A65114"/>
    <w:rsid w:val="38AC5B4C"/>
    <w:rsid w:val="38AE25F6"/>
    <w:rsid w:val="38B17E17"/>
    <w:rsid w:val="38B56C50"/>
    <w:rsid w:val="38DA1551"/>
    <w:rsid w:val="38E0458C"/>
    <w:rsid w:val="38E37976"/>
    <w:rsid w:val="38E80E20"/>
    <w:rsid w:val="390A7F84"/>
    <w:rsid w:val="39194863"/>
    <w:rsid w:val="392E2EF8"/>
    <w:rsid w:val="395B74CB"/>
    <w:rsid w:val="39604F6B"/>
    <w:rsid w:val="396155C6"/>
    <w:rsid w:val="39793242"/>
    <w:rsid w:val="397B202E"/>
    <w:rsid w:val="39A5407B"/>
    <w:rsid w:val="39B03208"/>
    <w:rsid w:val="39B5231B"/>
    <w:rsid w:val="39B71802"/>
    <w:rsid w:val="39D54C96"/>
    <w:rsid w:val="39E54BD5"/>
    <w:rsid w:val="39F25803"/>
    <w:rsid w:val="3A0176FE"/>
    <w:rsid w:val="3A081B5F"/>
    <w:rsid w:val="3A1C6708"/>
    <w:rsid w:val="3A1E6FF8"/>
    <w:rsid w:val="3A22100D"/>
    <w:rsid w:val="3A305DF4"/>
    <w:rsid w:val="3A315334"/>
    <w:rsid w:val="3A3D18EE"/>
    <w:rsid w:val="3A463A68"/>
    <w:rsid w:val="3A5E69D2"/>
    <w:rsid w:val="3A692953"/>
    <w:rsid w:val="3A69474D"/>
    <w:rsid w:val="3A8A27FB"/>
    <w:rsid w:val="3AA27206"/>
    <w:rsid w:val="3AB84785"/>
    <w:rsid w:val="3AC63D0D"/>
    <w:rsid w:val="3ADA2753"/>
    <w:rsid w:val="3AF235BE"/>
    <w:rsid w:val="3AFD30FB"/>
    <w:rsid w:val="3B155C5C"/>
    <w:rsid w:val="3B1B7536"/>
    <w:rsid w:val="3B305506"/>
    <w:rsid w:val="3B6235D8"/>
    <w:rsid w:val="3B6B584A"/>
    <w:rsid w:val="3B6C410D"/>
    <w:rsid w:val="3B79243D"/>
    <w:rsid w:val="3B7C7C1F"/>
    <w:rsid w:val="3B7D37CF"/>
    <w:rsid w:val="3B822B94"/>
    <w:rsid w:val="3B844C05"/>
    <w:rsid w:val="3BA674E7"/>
    <w:rsid w:val="3BA945C4"/>
    <w:rsid w:val="3BC46D08"/>
    <w:rsid w:val="3BD96F77"/>
    <w:rsid w:val="3BE757E7"/>
    <w:rsid w:val="3BF7615D"/>
    <w:rsid w:val="3C024052"/>
    <w:rsid w:val="3C0E12F5"/>
    <w:rsid w:val="3C12622E"/>
    <w:rsid w:val="3C13415A"/>
    <w:rsid w:val="3C232975"/>
    <w:rsid w:val="3C2A2A29"/>
    <w:rsid w:val="3C3F0A85"/>
    <w:rsid w:val="3C420D4A"/>
    <w:rsid w:val="3C553E04"/>
    <w:rsid w:val="3C6743AF"/>
    <w:rsid w:val="3C7E77FF"/>
    <w:rsid w:val="3C9A4915"/>
    <w:rsid w:val="3CC43492"/>
    <w:rsid w:val="3CC70F95"/>
    <w:rsid w:val="3CD13FDF"/>
    <w:rsid w:val="3CD236A7"/>
    <w:rsid w:val="3CD327EC"/>
    <w:rsid w:val="3CD75B6B"/>
    <w:rsid w:val="3CD86286"/>
    <w:rsid w:val="3CF15267"/>
    <w:rsid w:val="3CFD76D7"/>
    <w:rsid w:val="3D202664"/>
    <w:rsid w:val="3D311F70"/>
    <w:rsid w:val="3D373B94"/>
    <w:rsid w:val="3D451C79"/>
    <w:rsid w:val="3D4E6F79"/>
    <w:rsid w:val="3D550658"/>
    <w:rsid w:val="3D5A7D0D"/>
    <w:rsid w:val="3D67725C"/>
    <w:rsid w:val="3D71351A"/>
    <w:rsid w:val="3D827051"/>
    <w:rsid w:val="3D9D690B"/>
    <w:rsid w:val="3DA92EC4"/>
    <w:rsid w:val="3DAB6E3A"/>
    <w:rsid w:val="3DC50054"/>
    <w:rsid w:val="3DC627CD"/>
    <w:rsid w:val="3DDB33FD"/>
    <w:rsid w:val="3DE90AE1"/>
    <w:rsid w:val="3E11344D"/>
    <w:rsid w:val="3E2C7844"/>
    <w:rsid w:val="3E2C7924"/>
    <w:rsid w:val="3E32696F"/>
    <w:rsid w:val="3E3A7756"/>
    <w:rsid w:val="3E545FBD"/>
    <w:rsid w:val="3EB44463"/>
    <w:rsid w:val="3ED40106"/>
    <w:rsid w:val="3ED63990"/>
    <w:rsid w:val="3EF142B8"/>
    <w:rsid w:val="3F03315B"/>
    <w:rsid w:val="3F167130"/>
    <w:rsid w:val="3F2273BA"/>
    <w:rsid w:val="3F2444AD"/>
    <w:rsid w:val="3F2C52F0"/>
    <w:rsid w:val="3F3E6DD2"/>
    <w:rsid w:val="3F3F7E1C"/>
    <w:rsid w:val="3F4B2EFF"/>
    <w:rsid w:val="3F5C44BD"/>
    <w:rsid w:val="3F60343A"/>
    <w:rsid w:val="3F786988"/>
    <w:rsid w:val="3F9568FA"/>
    <w:rsid w:val="3F9D0721"/>
    <w:rsid w:val="3FB50656"/>
    <w:rsid w:val="3FC27A03"/>
    <w:rsid w:val="3FC45B90"/>
    <w:rsid w:val="3FD94F02"/>
    <w:rsid w:val="3FEC1377"/>
    <w:rsid w:val="3FF20B9D"/>
    <w:rsid w:val="3FFB1581"/>
    <w:rsid w:val="4001512C"/>
    <w:rsid w:val="400224F5"/>
    <w:rsid w:val="40300E10"/>
    <w:rsid w:val="40303510"/>
    <w:rsid w:val="403F62E1"/>
    <w:rsid w:val="40490124"/>
    <w:rsid w:val="404B79F8"/>
    <w:rsid w:val="4063340D"/>
    <w:rsid w:val="407217E4"/>
    <w:rsid w:val="407E01FD"/>
    <w:rsid w:val="408627EB"/>
    <w:rsid w:val="408758A6"/>
    <w:rsid w:val="4088478B"/>
    <w:rsid w:val="40AE44E3"/>
    <w:rsid w:val="40E67037"/>
    <w:rsid w:val="40E83499"/>
    <w:rsid w:val="40F30B62"/>
    <w:rsid w:val="41160006"/>
    <w:rsid w:val="41190D6E"/>
    <w:rsid w:val="411E0051"/>
    <w:rsid w:val="412D38F6"/>
    <w:rsid w:val="413D7BA8"/>
    <w:rsid w:val="4140499F"/>
    <w:rsid w:val="414B1ABB"/>
    <w:rsid w:val="414F6B3C"/>
    <w:rsid w:val="41526B64"/>
    <w:rsid w:val="4163597E"/>
    <w:rsid w:val="41675F8F"/>
    <w:rsid w:val="416A1DFD"/>
    <w:rsid w:val="416D1BF0"/>
    <w:rsid w:val="41A07B21"/>
    <w:rsid w:val="41C85A6F"/>
    <w:rsid w:val="41CA19A3"/>
    <w:rsid w:val="41E9658A"/>
    <w:rsid w:val="41EA3CE1"/>
    <w:rsid w:val="41EC3153"/>
    <w:rsid w:val="41F320F5"/>
    <w:rsid w:val="42274E4D"/>
    <w:rsid w:val="42425D13"/>
    <w:rsid w:val="424A0617"/>
    <w:rsid w:val="425A2B86"/>
    <w:rsid w:val="425B7C8B"/>
    <w:rsid w:val="425D25F7"/>
    <w:rsid w:val="426A6A0C"/>
    <w:rsid w:val="428A5679"/>
    <w:rsid w:val="428E5875"/>
    <w:rsid w:val="42A121E7"/>
    <w:rsid w:val="42C36458"/>
    <w:rsid w:val="42C64D86"/>
    <w:rsid w:val="42E549D7"/>
    <w:rsid w:val="42EA6F82"/>
    <w:rsid w:val="42EC2BB7"/>
    <w:rsid w:val="42EF2F58"/>
    <w:rsid w:val="42F158B2"/>
    <w:rsid w:val="42F75C15"/>
    <w:rsid w:val="43014CE6"/>
    <w:rsid w:val="439052B1"/>
    <w:rsid w:val="43A139EF"/>
    <w:rsid w:val="43A15B81"/>
    <w:rsid w:val="43A2595E"/>
    <w:rsid w:val="43A3570C"/>
    <w:rsid w:val="43D626DC"/>
    <w:rsid w:val="43F02B4B"/>
    <w:rsid w:val="44136A7F"/>
    <w:rsid w:val="44290ED5"/>
    <w:rsid w:val="443722F3"/>
    <w:rsid w:val="446077EA"/>
    <w:rsid w:val="44687169"/>
    <w:rsid w:val="446A4688"/>
    <w:rsid w:val="449A0F4E"/>
    <w:rsid w:val="44B54BC7"/>
    <w:rsid w:val="44BA4F62"/>
    <w:rsid w:val="44C30C7D"/>
    <w:rsid w:val="44C649A4"/>
    <w:rsid w:val="44C93D05"/>
    <w:rsid w:val="44EA2EE3"/>
    <w:rsid w:val="44F05F37"/>
    <w:rsid w:val="44F25334"/>
    <w:rsid w:val="450214B8"/>
    <w:rsid w:val="45195D5C"/>
    <w:rsid w:val="45224328"/>
    <w:rsid w:val="452627E2"/>
    <w:rsid w:val="452E1696"/>
    <w:rsid w:val="45375398"/>
    <w:rsid w:val="454076ED"/>
    <w:rsid w:val="454659ED"/>
    <w:rsid w:val="45563F7F"/>
    <w:rsid w:val="456357D5"/>
    <w:rsid w:val="45691C24"/>
    <w:rsid w:val="457C4676"/>
    <w:rsid w:val="45937483"/>
    <w:rsid w:val="45BB3D67"/>
    <w:rsid w:val="45CD22EF"/>
    <w:rsid w:val="45DF6BAF"/>
    <w:rsid w:val="45F67C81"/>
    <w:rsid w:val="460A659F"/>
    <w:rsid w:val="460C7C2A"/>
    <w:rsid w:val="4613720A"/>
    <w:rsid w:val="461D17D8"/>
    <w:rsid w:val="46203691"/>
    <w:rsid w:val="463D7DE3"/>
    <w:rsid w:val="464861B7"/>
    <w:rsid w:val="467C2DCF"/>
    <w:rsid w:val="467D0B27"/>
    <w:rsid w:val="468E3448"/>
    <w:rsid w:val="469E7CDB"/>
    <w:rsid w:val="46A02F65"/>
    <w:rsid w:val="46C85CA8"/>
    <w:rsid w:val="46D24E96"/>
    <w:rsid w:val="46D41E76"/>
    <w:rsid w:val="46DC75FC"/>
    <w:rsid w:val="46FF5899"/>
    <w:rsid w:val="47103C6C"/>
    <w:rsid w:val="47122729"/>
    <w:rsid w:val="47841241"/>
    <w:rsid w:val="478915DC"/>
    <w:rsid w:val="478A52AA"/>
    <w:rsid w:val="47AE4A2F"/>
    <w:rsid w:val="47AE4A73"/>
    <w:rsid w:val="47B94E24"/>
    <w:rsid w:val="47BA52F9"/>
    <w:rsid w:val="47DF6FCF"/>
    <w:rsid w:val="47E677C6"/>
    <w:rsid w:val="480F476A"/>
    <w:rsid w:val="482473CB"/>
    <w:rsid w:val="48344E78"/>
    <w:rsid w:val="48422F71"/>
    <w:rsid w:val="485B5E90"/>
    <w:rsid w:val="486E4D3D"/>
    <w:rsid w:val="486F34EB"/>
    <w:rsid w:val="48702C6B"/>
    <w:rsid w:val="487E3B47"/>
    <w:rsid w:val="48846B8C"/>
    <w:rsid w:val="489E4206"/>
    <w:rsid w:val="48A94EE4"/>
    <w:rsid w:val="48AF2588"/>
    <w:rsid w:val="48B04636"/>
    <w:rsid w:val="48F143F3"/>
    <w:rsid w:val="48F329B4"/>
    <w:rsid w:val="49110799"/>
    <w:rsid w:val="49146D8F"/>
    <w:rsid w:val="491C0CCF"/>
    <w:rsid w:val="491D7C19"/>
    <w:rsid w:val="492443CF"/>
    <w:rsid w:val="492C1F21"/>
    <w:rsid w:val="4931055C"/>
    <w:rsid w:val="49416051"/>
    <w:rsid w:val="4967780B"/>
    <w:rsid w:val="49713436"/>
    <w:rsid w:val="497D2F92"/>
    <w:rsid w:val="498A0E55"/>
    <w:rsid w:val="49A56CE5"/>
    <w:rsid w:val="49B93C25"/>
    <w:rsid w:val="49C11FE5"/>
    <w:rsid w:val="49CE0996"/>
    <w:rsid w:val="49CE4CB8"/>
    <w:rsid w:val="49DB7DCC"/>
    <w:rsid w:val="49E7677A"/>
    <w:rsid w:val="49EC6C94"/>
    <w:rsid w:val="49ED54FE"/>
    <w:rsid w:val="4A245C00"/>
    <w:rsid w:val="4A254BAB"/>
    <w:rsid w:val="4A383130"/>
    <w:rsid w:val="4A407BDE"/>
    <w:rsid w:val="4A4756D4"/>
    <w:rsid w:val="4A5D0EB9"/>
    <w:rsid w:val="4A630034"/>
    <w:rsid w:val="4A752442"/>
    <w:rsid w:val="4A790F37"/>
    <w:rsid w:val="4A7F0C35"/>
    <w:rsid w:val="4A9E3ADB"/>
    <w:rsid w:val="4AA5064D"/>
    <w:rsid w:val="4ABD14F2"/>
    <w:rsid w:val="4AC10B3A"/>
    <w:rsid w:val="4ADE262A"/>
    <w:rsid w:val="4AE64EED"/>
    <w:rsid w:val="4AE66C9B"/>
    <w:rsid w:val="4AEF016C"/>
    <w:rsid w:val="4B160B81"/>
    <w:rsid w:val="4B443A07"/>
    <w:rsid w:val="4B507744"/>
    <w:rsid w:val="4B5E1DF0"/>
    <w:rsid w:val="4B8D35BB"/>
    <w:rsid w:val="4BAF4C43"/>
    <w:rsid w:val="4BC0573E"/>
    <w:rsid w:val="4BC55115"/>
    <w:rsid w:val="4BCA4161"/>
    <w:rsid w:val="4BD65489"/>
    <w:rsid w:val="4BE60F1D"/>
    <w:rsid w:val="4BF75BC1"/>
    <w:rsid w:val="4BFC0B66"/>
    <w:rsid w:val="4C061D1C"/>
    <w:rsid w:val="4C12322A"/>
    <w:rsid w:val="4C2109FA"/>
    <w:rsid w:val="4C323D00"/>
    <w:rsid w:val="4C350CC1"/>
    <w:rsid w:val="4C3B2B35"/>
    <w:rsid w:val="4C3D6D8F"/>
    <w:rsid w:val="4C3F5C4F"/>
    <w:rsid w:val="4C3F769C"/>
    <w:rsid w:val="4C526190"/>
    <w:rsid w:val="4C64077B"/>
    <w:rsid w:val="4C7465B8"/>
    <w:rsid w:val="4C9340F1"/>
    <w:rsid w:val="4C96305C"/>
    <w:rsid w:val="4CA553D4"/>
    <w:rsid w:val="4CB1496B"/>
    <w:rsid w:val="4CC37109"/>
    <w:rsid w:val="4CCB089B"/>
    <w:rsid w:val="4CD73262"/>
    <w:rsid w:val="4CDE6B02"/>
    <w:rsid w:val="4CE23492"/>
    <w:rsid w:val="4CE27132"/>
    <w:rsid w:val="4CE4661F"/>
    <w:rsid w:val="4CE65F64"/>
    <w:rsid w:val="4CE721AF"/>
    <w:rsid w:val="4CE808BC"/>
    <w:rsid w:val="4CF40011"/>
    <w:rsid w:val="4CF84A64"/>
    <w:rsid w:val="4CFA1F6F"/>
    <w:rsid w:val="4D3C60FD"/>
    <w:rsid w:val="4D3F61E0"/>
    <w:rsid w:val="4D483ED9"/>
    <w:rsid w:val="4D573D65"/>
    <w:rsid w:val="4D624F91"/>
    <w:rsid w:val="4D6A6214"/>
    <w:rsid w:val="4D7754BD"/>
    <w:rsid w:val="4DA43B2A"/>
    <w:rsid w:val="4DDC20DF"/>
    <w:rsid w:val="4DF47921"/>
    <w:rsid w:val="4DF606F7"/>
    <w:rsid w:val="4E0E53DC"/>
    <w:rsid w:val="4E165AE9"/>
    <w:rsid w:val="4E1A51C4"/>
    <w:rsid w:val="4E2F0959"/>
    <w:rsid w:val="4E4F2DA9"/>
    <w:rsid w:val="4E52698B"/>
    <w:rsid w:val="4E5932DD"/>
    <w:rsid w:val="4E602135"/>
    <w:rsid w:val="4E867A13"/>
    <w:rsid w:val="4E870F87"/>
    <w:rsid w:val="4E872543"/>
    <w:rsid w:val="4EAD1EB8"/>
    <w:rsid w:val="4EC37353"/>
    <w:rsid w:val="4EC55AC0"/>
    <w:rsid w:val="4ECF63E8"/>
    <w:rsid w:val="4ED1083B"/>
    <w:rsid w:val="4F070090"/>
    <w:rsid w:val="4F2A3CC5"/>
    <w:rsid w:val="4F3924F3"/>
    <w:rsid w:val="4F4016C2"/>
    <w:rsid w:val="4F441285"/>
    <w:rsid w:val="4F4B5457"/>
    <w:rsid w:val="4F563CC4"/>
    <w:rsid w:val="4F5B7DA6"/>
    <w:rsid w:val="4F637BFA"/>
    <w:rsid w:val="4F6E25B7"/>
    <w:rsid w:val="4F8160A7"/>
    <w:rsid w:val="4F834F3D"/>
    <w:rsid w:val="4F952A3E"/>
    <w:rsid w:val="4F974F08"/>
    <w:rsid w:val="4FA5729F"/>
    <w:rsid w:val="4FBD2B2B"/>
    <w:rsid w:val="4FC60E49"/>
    <w:rsid w:val="4FC85113"/>
    <w:rsid w:val="4FCA47FC"/>
    <w:rsid w:val="4FD903D5"/>
    <w:rsid w:val="4FDA48F5"/>
    <w:rsid w:val="4FDC1EC5"/>
    <w:rsid w:val="4FE87396"/>
    <w:rsid w:val="4FF260E2"/>
    <w:rsid w:val="4FF65F27"/>
    <w:rsid w:val="4FF9075D"/>
    <w:rsid w:val="50063557"/>
    <w:rsid w:val="50113B22"/>
    <w:rsid w:val="50196DC7"/>
    <w:rsid w:val="50217D58"/>
    <w:rsid w:val="502A762A"/>
    <w:rsid w:val="503A516F"/>
    <w:rsid w:val="504A1353"/>
    <w:rsid w:val="50681761"/>
    <w:rsid w:val="506E7DF4"/>
    <w:rsid w:val="509E1F4E"/>
    <w:rsid w:val="50A63CC5"/>
    <w:rsid w:val="50BB11D4"/>
    <w:rsid w:val="50BE6B0C"/>
    <w:rsid w:val="50CC7D6D"/>
    <w:rsid w:val="50E00F96"/>
    <w:rsid w:val="50F933F5"/>
    <w:rsid w:val="50FB43B0"/>
    <w:rsid w:val="511B254C"/>
    <w:rsid w:val="51390638"/>
    <w:rsid w:val="514A46EB"/>
    <w:rsid w:val="514F6C40"/>
    <w:rsid w:val="515A27EC"/>
    <w:rsid w:val="51672E4B"/>
    <w:rsid w:val="518E1E3B"/>
    <w:rsid w:val="51B72C78"/>
    <w:rsid w:val="51CC0424"/>
    <w:rsid w:val="51E6211E"/>
    <w:rsid w:val="51E71124"/>
    <w:rsid w:val="521D07F2"/>
    <w:rsid w:val="523F0E86"/>
    <w:rsid w:val="52434790"/>
    <w:rsid w:val="524713A9"/>
    <w:rsid w:val="524B05D7"/>
    <w:rsid w:val="52545E12"/>
    <w:rsid w:val="52586EFC"/>
    <w:rsid w:val="525E1825"/>
    <w:rsid w:val="526C45F2"/>
    <w:rsid w:val="5277440D"/>
    <w:rsid w:val="528F7C18"/>
    <w:rsid w:val="52C678E6"/>
    <w:rsid w:val="52D36F29"/>
    <w:rsid w:val="52E13C96"/>
    <w:rsid w:val="52E141EC"/>
    <w:rsid w:val="52FF10B8"/>
    <w:rsid w:val="53054ACF"/>
    <w:rsid w:val="530A63A1"/>
    <w:rsid w:val="531D70C2"/>
    <w:rsid w:val="53267C63"/>
    <w:rsid w:val="532800C1"/>
    <w:rsid w:val="533501BC"/>
    <w:rsid w:val="53400F13"/>
    <w:rsid w:val="534C3D5B"/>
    <w:rsid w:val="53584D43"/>
    <w:rsid w:val="53620BF3"/>
    <w:rsid w:val="537469DF"/>
    <w:rsid w:val="537D5CC3"/>
    <w:rsid w:val="53887808"/>
    <w:rsid w:val="53894668"/>
    <w:rsid w:val="5394059D"/>
    <w:rsid w:val="53A87AD2"/>
    <w:rsid w:val="53C13AC5"/>
    <w:rsid w:val="53D0274A"/>
    <w:rsid w:val="53FE3036"/>
    <w:rsid w:val="54060DA8"/>
    <w:rsid w:val="541106DC"/>
    <w:rsid w:val="5418538F"/>
    <w:rsid w:val="542C1980"/>
    <w:rsid w:val="542E5B59"/>
    <w:rsid w:val="54384B95"/>
    <w:rsid w:val="54387E3C"/>
    <w:rsid w:val="54391F46"/>
    <w:rsid w:val="54395845"/>
    <w:rsid w:val="54403C12"/>
    <w:rsid w:val="546F2427"/>
    <w:rsid w:val="54781FE5"/>
    <w:rsid w:val="5489369C"/>
    <w:rsid w:val="549F3C42"/>
    <w:rsid w:val="54A733FA"/>
    <w:rsid w:val="54A76E71"/>
    <w:rsid w:val="54AD10DF"/>
    <w:rsid w:val="54B46D2D"/>
    <w:rsid w:val="54B54780"/>
    <w:rsid w:val="54E72208"/>
    <w:rsid w:val="551239A9"/>
    <w:rsid w:val="551B39E5"/>
    <w:rsid w:val="551E0F92"/>
    <w:rsid w:val="55207F15"/>
    <w:rsid w:val="55300510"/>
    <w:rsid w:val="55373E52"/>
    <w:rsid w:val="55404A27"/>
    <w:rsid w:val="554E6B3B"/>
    <w:rsid w:val="556D351B"/>
    <w:rsid w:val="55A6413A"/>
    <w:rsid w:val="55B74BA2"/>
    <w:rsid w:val="55BA69F6"/>
    <w:rsid w:val="55BE764A"/>
    <w:rsid w:val="55C0458D"/>
    <w:rsid w:val="55DA38A0"/>
    <w:rsid w:val="55DB2BC7"/>
    <w:rsid w:val="55DE688E"/>
    <w:rsid w:val="55E95892"/>
    <w:rsid w:val="55F837AB"/>
    <w:rsid w:val="55FF6348"/>
    <w:rsid w:val="56156D9A"/>
    <w:rsid w:val="561E1FC4"/>
    <w:rsid w:val="562005EE"/>
    <w:rsid w:val="562B4DF0"/>
    <w:rsid w:val="562C1C22"/>
    <w:rsid w:val="56384123"/>
    <w:rsid w:val="56573FB8"/>
    <w:rsid w:val="565C17AF"/>
    <w:rsid w:val="56A95CAE"/>
    <w:rsid w:val="56BC35CB"/>
    <w:rsid w:val="56D35BC9"/>
    <w:rsid w:val="56D71B8E"/>
    <w:rsid w:val="56EB3BF3"/>
    <w:rsid w:val="56EB5FA8"/>
    <w:rsid w:val="56FB2B71"/>
    <w:rsid w:val="570B1838"/>
    <w:rsid w:val="571050A0"/>
    <w:rsid w:val="5714693E"/>
    <w:rsid w:val="571F6310"/>
    <w:rsid w:val="574B42C1"/>
    <w:rsid w:val="57612B27"/>
    <w:rsid w:val="577A690A"/>
    <w:rsid w:val="578C57D7"/>
    <w:rsid w:val="57C50AF3"/>
    <w:rsid w:val="57C85F13"/>
    <w:rsid w:val="57D01D4E"/>
    <w:rsid w:val="57D51636"/>
    <w:rsid w:val="57D81AF0"/>
    <w:rsid w:val="57D91275"/>
    <w:rsid w:val="57EA2E86"/>
    <w:rsid w:val="57EA34F6"/>
    <w:rsid w:val="57F624E8"/>
    <w:rsid w:val="57F81DBC"/>
    <w:rsid w:val="58093F64"/>
    <w:rsid w:val="580B5DD1"/>
    <w:rsid w:val="58122A09"/>
    <w:rsid w:val="58124D0C"/>
    <w:rsid w:val="581C721E"/>
    <w:rsid w:val="581E2EB9"/>
    <w:rsid w:val="582D20D8"/>
    <w:rsid w:val="58360128"/>
    <w:rsid w:val="583F79EB"/>
    <w:rsid w:val="58411738"/>
    <w:rsid w:val="58492225"/>
    <w:rsid w:val="5850435D"/>
    <w:rsid w:val="586631C9"/>
    <w:rsid w:val="587B479B"/>
    <w:rsid w:val="58840FA9"/>
    <w:rsid w:val="58871392"/>
    <w:rsid w:val="58A253FD"/>
    <w:rsid w:val="58AD791B"/>
    <w:rsid w:val="58C107AA"/>
    <w:rsid w:val="58E6430A"/>
    <w:rsid w:val="58E94309"/>
    <w:rsid w:val="59030A5A"/>
    <w:rsid w:val="59193140"/>
    <w:rsid w:val="5919648E"/>
    <w:rsid w:val="591D6F59"/>
    <w:rsid w:val="591F781C"/>
    <w:rsid w:val="5927061C"/>
    <w:rsid w:val="59272B94"/>
    <w:rsid w:val="59367040"/>
    <w:rsid w:val="593E7483"/>
    <w:rsid w:val="59462432"/>
    <w:rsid w:val="5950323B"/>
    <w:rsid w:val="5954396A"/>
    <w:rsid w:val="596653A1"/>
    <w:rsid w:val="5980023B"/>
    <w:rsid w:val="59943D66"/>
    <w:rsid w:val="59C358E6"/>
    <w:rsid w:val="59EA1BD8"/>
    <w:rsid w:val="59EA607C"/>
    <w:rsid w:val="5A04713E"/>
    <w:rsid w:val="5A126077"/>
    <w:rsid w:val="5A180741"/>
    <w:rsid w:val="5A1C6CC1"/>
    <w:rsid w:val="5A274734"/>
    <w:rsid w:val="5A2F4FBC"/>
    <w:rsid w:val="5A4968FF"/>
    <w:rsid w:val="5A4C2893"/>
    <w:rsid w:val="5A4F1A6A"/>
    <w:rsid w:val="5A4F7C8D"/>
    <w:rsid w:val="5A551E5E"/>
    <w:rsid w:val="5A6035A8"/>
    <w:rsid w:val="5A634CA9"/>
    <w:rsid w:val="5A851901"/>
    <w:rsid w:val="5A9B3800"/>
    <w:rsid w:val="5AB33AC9"/>
    <w:rsid w:val="5AB4694A"/>
    <w:rsid w:val="5ABB3A1A"/>
    <w:rsid w:val="5ABD3779"/>
    <w:rsid w:val="5AC91E16"/>
    <w:rsid w:val="5AC95C92"/>
    <w:rsid w:val="5ADC643A"/>
    <w:rsid w:val="5AE32816"/>
    <w:rsid w:val="5AED347E"/>
    <w:rsid w:val="5AF6161A"/>
    <w:rsid w:val="5B026CF9"/>
    <w:rsid w:val="5B0B6457"/>
    <w:rsid w:val="5B0D2022"/>
    <w:rsid w:val="5B1540FA"/>
    <w:rsid w:val="5B1B6FE3"/>
    <w:rsid w:val="5B2260AC"/>
    <w:rsid w:val="5B250E62"/>
    <w:rsid w:val="5B286E5C"/>
    <w:rsid w:val="5B3C2897"/>
    <w:rsid w:val="5B3F4618"/>
    <w:rsid w:val="5B422855"/>
    <w:rsid w:val="5B5C1037"/>
    <w:rsid w:val="5B721E85"/>
    <w:rsid w:val="5B750232"/>
    <w:rsid w:val="5B75159A"/>
    <w:rsid w:val="5BA67D81"/>
    <w:rsid w:val="5BB9542A"/>
    <w:rsid w:val="5BC664DB"/>
    <w:rsid w:val="5BC9245E"/>
    <w:rsid w:val="5BCA0B6E"/>
    <w:rsid w:val="5BD3501A"/>
    <w:rsid w:val="5BF61575"/>
    <w:rsid w:val="5C0034D2"/>
    <w:rsid w:val="5C052CF9"/>
    <w:rsid w:val="5C1D6295"/>
    <w:rsid w:val="5C25744E"/>
    <w:rsid w:val="5C295359"/>
    <w:rsid w:val="5C400C2B"/>
    <w:rsid w:val="5C4F4A93"/>
    <w:rsid w:val="5C6309B0"/>
    <w:rsid w:val="5C652F99"/>
    <w:rsid w:val="5C8304B2"/>
    <w:rsid w:val="5C886DDE"/>
    <w:rsid w:val="5C9D1184"/>
    <w:rsid w:val="5CAA00FA"/>
    <w:rsid w:val="5CB4594C"/>
    <w:rsid w:val="5CCE35AA"/>
    <w:rsid w:val="5CD0670B"/>
    <w:rsid w:val="5CD211DE"/>
    <w:rsid w:val="5D03277F"/>
    <w:rsid w:val="5D3F2C48"/>
    <w:rsid w:val="5D52375F"/>
    <w:rsid w:val="5D55654F"/>
    <w:rsid w:val="5D576A54"/>
    <w:rsid w:val="5D6905BD"/>
    <w:rsid w:val="5D7021DA"/>
    <w:rsid w:val="5D771A24"/>
    <w:rsid w:val="5D926A87"/>
    <w:rsid w:val="5D9E7D6F"/>
    <w:rsid w:val="5D9F5DCE"/>
    <w:rsid w:val="5DB22A0D"/>
    <w:rsid w:val="5DB537EA"/>
    <w:rsid w:val="5DB94C4C"/>
    <w:rsid w:val="5DDC6A46"/>
    <w:rsid w:val="5DEA2710"/>
    <w:rsid w:val="5DF4292A"/>
    <w:rsid w:val="5DF862C4"/>
    <w:rsid w:val="5E046A44"/>
    <w:rsid w:val="5E100230"/>
    <w:rsid w:val="5E1A368B"/>
    <w:rsid w:val="5E497F6A"/>
    <w:rsid w:val="5E501BC8"/>
    <w:rsid w:val="5E6700EC"/>
    <w:rsid w:val="5E6E2F63"/>
    <w:rsid w:val="5E7C66A5"/>
    <w:rsid w:val="5E7D7BF5"/>
    <w:rsid w:val="5E897C12"/>
    <w:rsid w:val="5EB23EA2"/>
    <w:rsid w:val="5EC167BC"/>
    <w:rsid w:val="5EF13A09"/>
    <w:rsid w:val="5F08322C"/>
    <w:rsid w:val="5F096FA4"/>
    <w:rsid w:val="5F1B4773"/>
    <w:rsid w:val="5F1C2834"/>
    <w:rsid w:val="5F492843"/>
    <w:rsid w:val="5F793BD8"/>
    <w:rsid w:val="5F805DCA"/>
    <w:rsid w:val="5FB014FA"/>
    <w:rsid w:val="5FBF6F73"/>
    <w:rsid w:val="5FCB43BC"/>
    <w:rsid w:val="5FD03052"/>
    <w:rsid w:val="5FD21AAD"/>
    <w:rsid w:val="5FD2383A"/>
    <w:rsid w:val="5FD6527D"/>
    <w:rsid w:val="5FDC6467"/>
    <w:rsid w:val="5FDF2D5A"/>
    <w:rsid w:val="601A26A7"/>
    <w:rsid w:val="6023084E"/>
    <w:rsid w:val="602D14C4"/>
    <w:rsid w:val="60437E48"/>
    <w:rsid w:val="609509C2"/>
    <w:rsid w:val="60A35164"/>
    <w:rsid w:val="60AC4BFA"/>
    <w:rsid w:val="60B67654"/>
    <w:rsid w:val="60C14B50"/>
    <w:rsid w:val="60E80562"/>
    <w:rsid w:val="60FE42A0"/>
    <w:rsid w:val="61250687"/>
    <w:rsid w:val="61250D7A"/>
    <w:rsid w:val="61377BC5"/>
    <w:rsid w:val="614A0657"/>
    <w:rsid w:val="617A505E"/>
    <w:rsid w:val="618714DB"/>
    <w:rsid w:val="618B2FDE"/>
    <w:rsid w:val="618C17C7"/>
    <w:rsid w:val="619A4A7D"/>
    <w:rsid w:val="619F405B"/>
    <w:rsid w:val="61C56271"/>
    <w:rsid w:val="61CD767D"/>
    <w:rsid w:val="61CF6391"/>
    <w:rsid w:val="61D90741"/>
    <w:rsid w:val="61DD3D9D"/>
    <w:rsid w:val="62122E52"/>
    <w:rsid w:val="62233B87"/>
    <w:rsid w:val="62247372"/>
    <w:rsid w:val="62307892"/>
    <w:rsid w:val="62473FC5"/>
    <w:rsid w:val="625A6BE2"/>
    <w:rsid w:val="62611A1F"/>
    <w:rsid w:val="626A77C0"/>
    <w:rsid w:val="62761928"/>
    <w:rsid w:val="62A536DC"/>
    <w:rsid w:val="62B578E8"/>
    <w:rsid w:val="62B81964"/>
    <w:rsid w:val="62B875E0"/>
    <w:rsid w:val="62BB0AA0"/>
    <w:rsid w:val="62C47889"/>
    <w:rsid w:val="62CF191B"/>
    <w:rsid w:val="62DA2F20"/>
    <w:rsid w:val="62DA57D1"/>
    <w:rsid w:val="62F31875"/>
    <w:rsid w:val="63220635"/>
    <w:rsid w:val="634467FD"/>
    <w:rsid w:val="634D7E0A"/>
    <w:rsid w:val="6364629F"/>
    <w:rsid w:val="6391635C"/>
    <w:rsid w:val="639D7B83"/>
    <w:rsid w:val="63A3313D"/>
    <w:rsid w:val="63AA6F09"/>
    <w:rsid w:val="63BE2D85"/>
    <w:rsid w:val="63C92265"/>
    <w:rsid w:val="63EA74B0"/>
    <w:rsid w:val="63F37528"/>
    <w:rsid w:val="63FD3A36"/>
    <w:rsid w:val="6401649C"/>
    <w:rsid w:val="64182784"/>
    <w:rsid w:val="641E730E"/>
    <w:rsid w:val="643169FB"/>
    <w:rsid w:val="64337678"/>
    <w:rsid w:val="643F4F39"/>
    <w:rsid w:val="64437D18"/>
    <w:rsid w:val="64487C27"/>
    <w:rsid w:val="644A7E43"/>
    <w:rsid w:val="64506FC2"/>
    <w:rsid w:val="645D479C"/>
    <w:rsid w:val="6469690A"/>
    <w:rsid w:val="6470717E"/>
    <w:rsid w:val="649524E9"/>
    <w:rsid w:val="64A156D8"/>
    <w:rsid w:val="64AA4347"/>
    <w:rsid w:val="64B654D9"/>
    <w:rsid w:val="64C942B3"/>
    <w:rsid w:val="64C96F51"/>
    <w:rsid w:val="64DA2213"/>
    <w:rsid w:val="65081760"/>
    <w:rsid w:val="65166247"/>
    <w:rsid w:val="652D7852"/>
    <w:rsid w:val="65472065"/>
    <w:rsid w:val="65510D5D"/>
    <w:rsid w:val="65530F79"/>
    <w:rsid w:val="65646CE3"/>
    <w:rsid w:val="656B50AB"/>
    <w:rsid w:val="657607C4"/>
    <w:rsid w:val="6593384B"/>
    <w:rsid w:val="6596083B"/>
    <w:rsid w:val="6597728E"/>
    <w:rsid w:val="659C7FAC"/>
    <w:rsid w:val="65A75455"/>
    <w:rsid w:val="65B066E0"/>
    <w:rsid w:val="65BE65F0"/>
    <w:rsid w:val="65CE15A8"/>
    <w:rsid w:val="65D46E83"/>
    <w:rsid w:val="65F4310D"/>
    <w:rsid w:val="66054725"/>
    <w:rsid w:val="66083B12"/>
    <w:rsid w:val="660F63D6"/>
    <w:rsid w:val="66173FF3"/>
    <w:rsid w:val="66424FF7"/>
    <w:rsid w:val="66453FF9"/>
    <w:rsid w:val="66576AC0"/>
    <w:rsid w:val="66583ECE"/>
    <w:rsid w:val="665C5260"/>
    <w:rsid w:val="666B2809"/>
    <w:rsid w:val="667012A6"/>
    <w:rsid w:val="66855163"/>
    <w:rsid w:val="66A52EBE"/>
    <w:rsid w:val="66BF74EB"/>
    <w:rsid w:val="66C269EC"/>
    <w:rsid w:val="66D86815"/>
    <w:rsid w:val="66E859DE"/>
    <w:rsid w:val="6734188A"/>
    <w:rsid w:val="67356846"/>
    <w:rsid w:val="67360290"/>
    <w:rsid w:val="6745739C"/>
    <w:rsid w:val="675A5351"/>
    <w:rsid w:val="676D572B"/>
    <w:rsid w:val="6773029D"/>
    <w:rsid w:val="677A4146"/>
    <w:rsid w:val="6781748B"/>
    <w:rsid w:val="67C9543B"/>
    <w:rsid w:val="67ED35AF"/>
    <w:rsid w:val="67FA4E23"/>
    <w:rsid w:val="680159C4"/>
    <w:rsid w:val="680553EE"/>
    <w:rsid w:val="680D7B21"/>
    <w:rsid w:val="681E586F"/>
    <w:rsid w:val="68325C2D"/>
    <w:rsid w:val="683C39FE"/>
    <w:rsid w:val="687F727E"/>
    <w:rsid w:val="68817386"/>
    <w:rsid w:val="68914658"/>
    <w:rsid w:val="689D2C85"/>
    <w:rsid w:val="68A613C0"/>
    <w:rsid w:val="68D20407"/>
    <w:rsid w:val="692D1AE1"/>
    <w:rsid w:val="693271D0"/>
    <w:rsid w:val="69356FC7"/>
    <w:rsid w:val="694110E9"/>
    <w:rsid w:val="69497DD9"/>
    <w:rsid w:val="694A0D42"/>
    <w:rsid w:val="695F76C5"/>
    <w:rsid w:val="698B6C49"/>
    <w:rsid w:val="698F1514"/>
    <w:rsid w:val="699F7DD9"/>
    <w:rsid w:val="69A264C4"/>
    <w:rsid w:val="69A46E8F"/>
    <w:rsid w:val="69BC3E5F"/>
    <w:rsid w:val="69BC5EB2"/>
    <w:rsid w:val="69BF7F54"/>
    <w:rsid w:val="69CE1765"/>
    <w:rsid w:val="69E0199E"/>
    <w:rsid w:val="69F44237"/>
    <w:rsid w:val="69FC5DD4"/>
    <w:rsid w:val="6A290BDE"/>
    <w:rsid w:val="6A344B55"/>
    <w:rsid w:val="6A705E72"/>
    <w:rsid w:val="6A731E08"/>
    <w:rsid w:val="6A837FB4"/>
    <w:rsid w:val="6A84216A"/>
    <w:rsid w:val="6A8C5E74"/>
    <w:rsid w:val="6AA135BF"/>
    <w:rsid w:val="6AAE2881"/>
    <w:rsid w:val="6AB3199A"/>
    <w:rsid w:val="6AB9197C"/>
    <w:rsid w:val="6AC33DB7"/>
    <w:rsid w:val="6AD34F8E"/>
    <w:rsid w:val="6AE43386"/>
    <w:rsid w:val="6B0E732E"/>
    <w:rsid w:val="6B102FAD"/>
    <w:rsid w:val="6B286A04"/>
    <w:rsid w:val="6B526992"/>
    <w:rsid w:val="6B543E60"/>
    <w:rsid w:val="6B5F243D"/>
    <w:rsid w:val="6B6B7CD1"/>
    <w:rsid w:val="6B6D34B6"/>
    <w:rsid w:val="6B6F1CE5"/>
    <w:rsid w:val="6B705B27"/>
    <w:rsid w:val="6B7779AC"/>
    <w:rsid w:val="6BF11370"/>
    <w:rsid w:val="6BF27671"/>
    <w:rsid w:val="6C017247"/>
    <w:rsid w:val="6C111246"/>
    <w:rsid w:val="6C1737F6"/>
    <w:rsid w:val="6C2159BE"/>
    <w:rsid w:val="6C292899"/>
    <w:rsid w:val="6C3B5C05"/>
    <w:rsid w:val="6C510ED6"/>
    <w:rsid w:val="6C64444E"/>
    <w:rsid w:val="6C7E3E60"/>
    <w:rsid w:val="6C800520"/>
    <w:rsid w:val="6C851F8A"/>
    <w:rsid w:val="6CBC51B3"/>
    <w:rsid w:val="6CC56895"/>
    <w:rsid w:val="6CCD21D2"/>
    <w:rsid w:val="6CD27D15"/>
    <w:rsid w:val="6CD93408"/>
    <w:rsid w:val="6CE04D44"/>
    <w:rsid w:val="6CF46B9E"/>
    <w:rsid w:val="6D4159E8"/>
    <w:rsid w:val="6D5063C0"/>
    <w:rsid w:val="6D5C4743"/>
    <w:rsid w:val="6D71216F"/>
    <w:rsid w:val="6D764E6F"/>
    <w:rsid w:val="6D8E3E85"/>
    <w:rsid w:val="6D9B58A4"/>
    <w:rsid w:val="6DDA6CE9"/>
    <w:rsid w:val="6DDD26B6"/>
    <w:rsid w:val="6DE34159"/>
    <w:rsid w:val="6E1F725E"/>
    <w:rsid w:val="6E253A72"/>
    <w:rsid w:val="6E397AC2"/>
    <w:rsid w:val="6E407BC1"/>
    <w:rsid w:val="6E4774EA"/>
    <w:rsid w:val="6E5B7991"/>
    <w:rsid w:val="6E7070DF"/>
    <w:rsid w:val="6E752411"/>
    <w:rsid w:val="6E934195"/>
    <w:rsid w:val="6EA711AD"/>
    <w:rsid w:val="6EAE734F"/>
    <w:rsid w:val="6EBA3E17"/>
    <w:rsid w:val="6EBE56B6"/>
    <w:rsid w:val="6ECF0ADC"/>
    <w:rsid w:val="6ED9641D"/>
    <w:rsid w:val="6F032806"/>
    <w:rsid w:val="6F0F5ABC"/>
    <w:rsid w:val="6F1D791D"/>
    <w:rsid w:val="6F412D91"/>
    <w:rsid w:val="6F6929A4"/>
    <w:rsid w:val="6F8C57B4"/>
    <w:rsid w:val="6F8C7562"/>
    <w:rsid w:val="6F8D639E"/>
    <w:rsid w:val="6F9B2C83"/>
    <w:rsid w:val="6FB22D40"/>
    <w:rsid w:val="6FC42290"/>
    <w:rsid w:val="6FD1766A"/>
    <w:rsid w:val="6FD43223"/>
    <w:rsid w:val="70220667"/>
    <w:rsid w:val="70287D90"/>
    <w:rsid w:val="70424962"/>
    <w:rsid w:val="70441148"/>
    <w:rsid w:val="704474DB"/>
    <w:rsid w:val="70467840"/>
    <w:rsid w:val="704853EE"/>
    <w:rsid w:val="7050250F"/>
    <w:rsid w:val="708139F6"/>
    <w:rsid w:val="70820E94"/>
    <w:rsid w:val="708D162D"/>
    <w:rsid w:val="70A03091"/>
    <w:rsid w:val="70AA3F1C"/>
    <w:rsid w:val="70AE1CF9"/>
    <w:rsid w:val="70D04658"/>
    <w:rsid w:val="70ED4030"/>
    <w:rsid w:val="70EE5D63"/>
    <w:rsid w:val="70F05C15"/>
    <w:rsid w:val="70F75802"/>
    <w:rsid w:val="71121CE9"/>
    <w:rsid w:val="71125845"/>
    <w:rsid w:val="711517D9"/>
    <w:rsid w:val="71256DE8"/>
    <w:rsid w:val="712660C0"/>
    <w:rsid w:val="715F571B"/>
    <w:rsid w:val="71707BC0"/>
    <w:rsid w:val="7185779E"/>
    <w:rsid w:val="71873120"/>
    <w:rsid w:val="718B74B9"/>
    <w:rsid w:val="719153F8"/>
    <w:rsid w:val="71A768D5"/>
    <w:rsid w:val="71AA3671"/>
    <w:rsid w:val="71BA6875"/>
    <w:rsid w:val="71F30859"/>
    <w:rsid w:val="71FB0C49"/>
    <w:rsid w:val="720269EF"/>
    <w:rsid w:val="720B3F78"/>
    <w:rsid w:val="720F03E6"/>
    <w:rsid w:val="7218719E"/>
    <w:rsid w:val="721E46BD"/>
    <w:rsid w:val="72282293"/>
    <w:rsid w:val="722A35C3"/>
    <w:rsid w:val="725173BA"/>
    <w:rsid w:val="727644F9"/>
    <w:rsid w:val="7278201F"/>
    <w:rsid w:val="727B38BE"/>
    <w:rsid w:val="72915104"/>
    <w:rsid w:val="72B55021"/>
    <w:rsid w:val="72B7635C"/>
    <w:rsid w:val="72E732A4"/>
    <w:rsid w:val="72FA2A34"/>
    <w:rsid w:val="72FA6191"/>
    <w:rsid w:val="73041B05"/>
    <w:rsid w:val="730D4A5C"/>
    <w:rsid w:val="73114ECF"/>
    <w:rsid w:val="73125FD0"/>
    <w:rsid w:val="73160E4F"/>
    <w:rsid w:val="73385580"/>
    <w:rsid w:val="734C0DB6"/>
    <w:rsid w:val="73537424"/>
    <w:rsid w:val="7358775B"/>
    <w:rsid w:val="735B3CB4"/>
    <w:rsid w:val="736565CE"/>
    <w:rsid w:val="73A50D66"/>
    <w:rsid w:val="73B95B91"/>
    <w:rsid w:val="73BB7E2B"/>
    <w:rsid w:val="73BE05D2"/>
    <w:rsid w:val="73D31F24"/>
    <w:rsid w:val="73DA5889"/>
    <w:rsid w:val="73E05643"/>
    <w:rsid w:val="73EB51C4"/>
    <w:rsid w:val="73ED2599"/>
    <w:rsid w:val="740F1EE5"/>
    <w:rsid w:val="740F7311"/>
    <w:rsid w:val="7416564C"/>
    <w:rsid w:val="7432230C"/>
    <w:rsid w:val="74423D45"/>
    <w:rsid w:val="7444530C"/>
    <w:rsid w:val="744A1EC3"/>
    <w:rsid w:val="74687E72"/>
    <w:rsid w:val="746B7051"/>
    <w:rsid w:val="746C04F2"/>
    <w:rsid w:val="74793E2D"/>
    <w:rsid w:val="747B39E6"/>
    <w:rsid w:val="74822595"/>
    <w:rsid w:val="749B3792"/>
    <w:rsid w:val="74A54C22"/>
    <w:rsid w:val="74BF4500"/>
    <w:rsid w:val="74CB28DA"/>
    <w:rsid w:val="74DD15CF"/>
    <w:rsid w:val="74E62F83"/>
    <w:rsid w:val="74F61858"/>
    <w:rsid w:val="74F63489"/>
    <w:rsid w:val="75280F57"/>
    <w:rsid w:val="7537491C"/>
    <w:rsid w:val="756F3E2C"/>
    <w:rsid w:val="75811906"/>
    <w:rsid w:val="758718DC"/>
    <w:rsid w:val="759420B6"/>
    <w:rsid w:val="759847D9"/>
    <w:rsid w:val="759E7734"/>
    <w:rsid w:val="75AC4697"/>
    <w:rsid w:val="75C90D89"/>
    <w:rsid w:val="75CC41F7"/>
    <w:rsid w:val="75D66E42"/>
    <w:rsid w:val="75DE7155"/>
    <w:rsid w:val="75FD13D1"/>
    <w:rsid w:val="76004F55"/>
    <w:rsid w:val="761208D0"/>
    <w:rsid w:val="76265218"/>
    <w:rsid w:val="76422779"/>
    <w:rsid w:val="76563C93"/>
    <w:rsid w:val="7672779C"/>
    <w:rsid w:val="76860674"/>
    <w:rsid w:val="76B56691"/>
    <w:rsid w:val="76BC510B"/>
    <w:rsid w:val="76BE61A5"/>
    <w:rsid w:val="76CB1FC8"/>
    <w:rsid w:val="76CC1FEE"/>
    <w:rsid w:val="76D5235E"/>
    <w:rsid w:val="770C50D1"/>
    <w:rsid w:val="770E4D00"/>
    <w:rsid w:val="770F1D5F"/>
    <w:rsid w:val="771047C7"/>
    <w:rsid w:val="772071BE"/>
    <w:rsid w:val="77244524"/>
    <w:rsid w:val="77300D82"/>
    <w:rsid w:val="77393D81"/>
    <w:rsid w:val="77396AF2"/>
    <w:rsid w:val="77530965"/>
    <w:rsid w:val="775874D6"/>
    <w:rsid w:val="776B5BD9"/>
    <w:rsid w:val="77740C75"/>
    <w:rsid w:val="777863FA"/>
    <w:rsid w:val="778206D7"/>
    <w:rsid w:val="77846D70"/>
    <w:rsid w:val="778A6C3B"/>
    <w:rsid w:val="778F1AA1"/>
    <w:rsid w:val="77956D04"/>
    <w:rsid w:val="779F4FC5"/>
    <w:rsid w:val="77BE1499"/>
    <w:rsid w:val="77D36156"/>
    <w:rsid w:val="77FE4A2B"/>
    <w:rsid w:val="78085F9C"/>
    <w:rsid w:val="780A75BA"/>
    <w:rsid w:val="781D38C4"/>
    <w:rsid w:val="782D21F0"/>
    <w:rsid w:val="783C3AEF"/>
    <w:rsid w:val="784A5454"/>
    <w:rsid w:val="785369B1"/>
    <w:rsid w:val="785B6A71"/>
    <w:rsid w:val="78654DF4"/>
    <w:rsid w:val="78830ADA"/>
    <w:rsid w:val="788A4867"/>
    <w:rsid w:val="78987503"/>
    <w:rsid w:val="789B6A68"/>
    <w:rsid w:val="78A37347"/>
    <w:rsid w:val="78AB7613"/>
    <w:rsid w:val="78B11857"/>
    <w:rsid w:val="78C47470"/>
    <w:rsid w:val="78CA06AC"/>
    <w:rsid w:val="78CF4963"/>
    <w:rsid w:val="78DC1420"/>
    <w:rsid w:val="78E71CAD"/>
    <w:rsid w:val="791723A2"/>
    <w:rsid w:val="791B2C6F"/>
    <w:rsid w:val="79255E95"/>
    <w:rsid w:val="793842B6"/>
    <w:rsid w:val="793F7F29"/>
    <w:rsid w:val="794D611A"/>
    <w:rsid w:val="79506F7C"/>
    <w:rsid w:val="79524565"/>
    <w:rsid w:val="79534C4C"/>
    <w:rsid w:val="797E6294"/>
    <w:rsid w:val="799534B7"/>
    <w:rsid w:val="799D05BD"/>
    <w:rsid w:val="79A1761F"/>
    <w:rsid w:val="79AF66D7"/>
    <w:rsid w:val="79B22546"/>
    <w:rsid w:val="79BE5647"/>
    <w:rsid w:val="79E85CDC"/>
    <w:rsid w:val="79F040FE"/>
    <w:rsid w:val="79F15379"/>
    <w:rsid w:val="79F521A7"/>
    <w:rsid w:val="79FD124D"/>
    <w:rsid w:val="7A012DEB"/>
    <w:rsid w:val="7A0A2C33"/>
    <w:rsid w:val="7A0F3269"/>
    <w:rsid w:val="7A1455BB"/>
    <w:rsid w:val="7A283BF6"/>
    <w:rsid w:val="7A340652"/>
    <w:rsid w:val="7A357277"/>
    <w:rsid w:val="7A4E0E1A"/>
    <w:rsid w:val="7A564827"/>
    <w:rsid w:val="7A6317E8"/>
    <w:rsid w:val="7A68501E"/>
    <w:rsid w:val="7A823152"/>
    <w:rsid w:val="7A8A6502"/>
    <w:rsid w:val="7A9D6390"/>
    <w:rsid w:val="7AA229CC"/>
    <w:rsid w:val="7AB34569"/>
    <w:rsid w:val="7AD24DE5"/>
    <w:rsid w:val="7AF21EBC"/>
    <w:rsid w:val="7B014E43"/>
    <w:rsid w:val="7B064CF4"/>
    <w:rsid w:val="7B2A6C5B"/>
    <w:rsid w:val="7B310F5C"/>
    <w:rsid w:val="7B327874"/>
    <w:rsid w:val="7B3A731D"/>
    <w:rsid w:val="7B4474EB"/>
    <w:rsid w:val="7B4727C7"/>
    <w:rsid w:val="7B490275"/>
    <w:rsid w:val="7B4E732F"/>
    <w:rsid w:val="7B580C40"/>
    <w:rsid w:val="7B5D0891"/>
    <w:rsid w:val="7B5E3A06"/>
    <w:rsid w:val="7B6044D3"/>
    <w:rsid w:val="7B611E27"/>
    <w:rsid w:val="7B6F5957"/>
    <w:rsid w:val="7B851309"/>
    <w:rsid w:val="7B917A76"/>
    <w:rsid w:val="7BA45C93"/>
    <w:rsid w:val="7BA56DE4"/>
    <w:rsid w:val="7BA75C1E"/>
    <w:rsid w:val="7BB000EC"/>
    <w:rsid w:val="7BB82742"/>
    <w:rsid w:val="7BBA6875"/>
    <w:rsid w:val="7BBC1399"/>
    <w:rsid w:val="7BBE44AB"/>
    <w:rsid w:val="7BE86786"/>
    <w:rsid w:val="7C101E86"/>
    <w:rsid w:val="7C2D26F6"/>
    <w:rsid w:val="7C3E711F"/>
    <w:rsid w:val="7C4A67DB"/>
    <w:rsid w:val="7C504D2B"/>
    <w:rsid w:val="7C51037B"/>
    <w:rsid w:val="7C5E2286"/>
    <w:rsid w:val="7C607006"/>
    <w:rsid w:val="7C625B65"/>
    <w:rsid w:val="7C6E258D"/>
    <w:rsid w:val="7CB21A6F"/>
    <w:rsid w:val="7CE349B4"/>
    <w:rsid w:val="7CE81B50"/>
    <w:rsid w:val="7CFC04C8"/>
    <w:rsid w:val="7D08035D"/>
    <w:rsid w:val="7D0A7D18"/>
    <w:rsid w:val="7D1312C2"/>
    <w:rsid w:val="7D1973F4"/>
    <w:rsid w:val="7D230DDA"/>
    <w:rsid w:val="7D267AA6"/>
    <w:rsid w:val="7D2C1D3B"/>
    <w:rsid w:val="7D2F66F6"/>
    <w:rsid w:val="7D3E6B01"/>
    <w:rsid w:val="7D44147C"/>
    <w:rsid w:val="7D5425B8"/>
    <w:rsid w:val="7D6326E5"/>
    <w:rsid w:val="7D6550D0"/>
    <w:rsid w:val="7D656213"/>
    <w:rsid w:val="7D6D1FE4"/>
    <w:rsid w:val="7D7F4242"/>
    <w:rsid w:val="7DBD5141"/>
    <w:rsid w:val="7DC22E1C"/>
    <w:rsid w:val="7DD71213"/>
    <w:rsid w:val="7E0B3D48"/>
    <w:rsid w:val="7E101E32"/>
    <w:rsid w:val="7E117627"/>
    <w:rsid w:val="7E4038AD"/>
    <w:rsid w:val="7E7A2C7B"/>
    <w:rsid w:val="7E8431DF"/>
    <w:rsid w:val="7E8E60C2"/>
    <w:rsid w:val="7E937914"/>
    <w:rsid w:val="7EA0304C"/>
    <w:rsid w:val="7EA31603"/>
    <w:rsid w:val="7EC67C9C"/>
    <w:rsid w:val="7EE74830"/>
    <w:rsid w:val="7EF653C8"/>
    <w:rsid w:val="7F0B0713"/>
    <w:rsid w:val="7F151EF8"/>
    <w:rsid w:val="7F2048E3"/>
    <w:rsid w:val="7F2101D9"/>
    <w:rsid w:val="7F2C2F14"/>
    <w:rsid w:val="7F360540"/>
    <w:rsid w:val="7F4D0390"/>
    <w:rsid w:val="7F7122D0"/>
    <w:rsid w:val="7F714512"/>
    <w:rsid w:val="7F83430A"/>
    <w:rsid w:val="7F951A62"/>
    <w:rsid w:val="7F983036"/>
    <w:rsid w:val="7FB23D95"/>
    <w:rsid w:val="7FC536D5"/>
    <w:rsid w:val="7FD36AE7"/>
    <w:rsid w:val="7FFD7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3"/>
    <w:link w:val="65"/>
    <w:qFormat/>
    <w:uiPriority w:val="0"/>
    <w:pPr>
      <w:keepNext/>
      <w:keepLines/>
      <w:spacing w:line="240" w:lineRule="auto"/>
      <w:jc w:val="center"/>
      <w:outlineLvl w:val="0"/>
    </w:pPr>
    <w:rPr>
      <w:rFonts w:ascii="Calibri" w:hAnsi="Calibri"/>
      <w:b/>
      <w:kern w:val="44"/>
      <w:sz w:val="36"/>
      <w:szCs w:val="22"/>
    </w:rPr>
  </w:style>
  <w:style w:type="paragraph" w:styleId="4">
    <w:name w:val="heading 2"/>
    <w:basedOn w:val="1"/>
    <w:next w:val="3"/>
    <w:qFormat/>
    <w:uiPriority w:val="0"/>
    <w:pPr>
      <w:keepNext/>
      <w:keepLines/>
      <w:widowControl w:val="0"/>
      <w:adjustRightInd w:val="0"/>
      <w:spacing w:line="360" w:lineRule="auto"/>
      <w:jc w:val="center"/>
      <w:outlineLvl w:val="1"/>
    </w:pPr>
    <w:rPr>
      <w:rFonts w:ascii="Calibri" w:hAnsi="Calibri"/>
      <w:b/>
      <w:color w:val="auto"/>
      <w:sz w:val="24"/>
    </w:rPr>
  </w:style>
  <w:style w:type="paragraph" w:styleId="5">
    <w:name w:val="heading 3"/>
    <w:basedOn w:val="1"/>
    <w:next w:val="1"/>
    <w:link w:val="89"/>
    <w:qFormat/>
    <w:uiPriority w:val="0"/>
    <w:pPr>
      <w:keepNext/>
      <w:keepLines/>
      <w:spacing w:before="140" w:after="140" w:line="240" w:lineRule="auto"/>
      <w:jc w:val="center"/>
      <w:outlineLvl w:val="2"/>
    </w:pPr>
    <w:rPr>
      <w:rFonts w:ascii="Calibri" w:hAnsi="Calibri"/>
      <w:b/>
      <w:bCs/>
      <w:sz w:val="24"/>
      <w:szCs w:val="32"/>
    </w:rPr>
  </w:style>
  <w:style w:type="paragraph" w:styleId="6">
    <w:name w:val="heading 4"/>
    <w:basedOn w:val="1"/>
    <w:next w:val="1"/>
    <w:qFormat/>
    <w:uiPriority w:val="0"/>
    <w:pPr>
      <w:keepNext/>
      <w:keepLines/>
      <w:tabs>
        <w:tab w:val="left" w:pos="864"/>
      </w:tabs>
      <w:spacing w:before="280" w:after="290" w:line="376" w:lineRule="auto"/>
      <w:ind w:left="864" w:hanging="864"/>
      <w:jc w:val="left"/>
      <w:textAlignment w:val="auto"/>
      <w:outlineLvl w:val="3"/>
    </w:pPr>
    <w:rPr>
      <w:rFonts w:ascii="Arial" w:hAnsi="Arial" w:eastAsia="黑体"/>
      <w:b/>
      <w:bCs/>
      <w:color w:val="auto"/>
      <w:sz w:val="28"/>
      <w:szCs w:val="28"/>
    </w:rPr>
  </w:style>
  <w:style w:type="paragraph" w:styleId="7">
    <w:name w:val="heading 5"/>
    <w:basedOn w:val="1"/>
    <w:next w:val="1"/>
    <w:qFormat/>
    <w:uiPriority w:val="0"/>
    <w:pPr>
      <w:keepNext/>
      <w:keepLines/>
      <w:widowControl w:val="0"/>
      <w:spacing w:before="280" w:after="290" w:line="376" w:lineRule="auto"/>
      <w:textAlignment w:val="auto"/>
      <w:outlineLvl w:val="4"/>
    </w:pPr>
    <w:rPr>
      <w:b/>
      <w:bCs/>
      <w:color w:val="auto"/>
      <w:kern w:val="2"/>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3">
    <w:name w:val="缩进正文"/>
    <w:basedOn w:val="1"/>
    <w:qFormat/>
    <w:uiPriority w:val="0"/>
    <w:pPr>
      <w:ind w:firstLine="200" w:firstLineChars="200"/>
      <w:jc w:val="both"/>
    </w:pPr>
  </w:style>
  <w:style w:type="paragraph" w:styleId="9">
    <w:name w:val="table of authorities"/>
    <w:basedOn w:val="1"/>
    <w:next w:val="1"/>
    <w:unhideWhenUsed/>
    <w:qFormat/>
    <w:uiPriority w:val="99"/>
    <w:pPr>
      <w:ind w:left="420" w:leftChars="200"/>
    </w:pPr>
  </w:style>
  <w:style w:type="paragraph" w:styleId="10">
    <w:name w:val="Normal Indent"/>
    <w:basedOn w:val="1"/>
    <w:next w:val="11"/>
    <w:qFormat/>
    <w:uiPriority w:val="0"/>
    <w:pPr>
      <w:widowControl w:val="0"/>
      <w:adjustRightInd w:val="0"/>
      <w:spacing w:line="360" w:lineRule="atLeast"/>
      <w:ind w:firstLine="482"/>
    </w:pPr>
    <w:rPr>
      <w:color w:val="auto"/>
      <w:sz w:val="24"/>
    </w:rPr>
  </w:style>
  <w:style w:type="paragraph" w:styleId="11">
    <w:name w:val="toc 4"/>
    <w:basedOn w:val="1"/>
    <w:next w:val="1"/>
    <w:unhideWhenUsed/>
    <w:qFormat/>
    <w:uiPriority w:val="39"/>
    <w:pPr>
      <w:ind w:left="1260" w:leftChars="600"/>
    </w:pPr>
  </w:style>
  <w:style w:type="paragraph" w:styleId="12">
    <w:name w:val="caption"/>
    <w:basedOn w:val="1"/>
    <w:next w:val="1"/>
    <w:unhideWhenUsed/>
    <w:qFormat/>
    <w:uiPriority w:val="0"/>
    <w:pPr>
      <w:keepLines/>
      <w:jc w:val="center"/>
    </w:pPr>
    <w:rPr>
      <w:rFonts w:ascii="仿宋" w:hAnsi="仿宋" w:eastAsia="黑体"/>
      <w:sz w:val="24"/>
    </w:rPr>
  </w:style>
  <w:style w:type="paragraph" w:styleId="13">
    <w:name w:val="Body Text 3"/>
    <w:basedOn w:val="1"/>
    <w:qFormat/>
    <w:uiPriority w:val="0"/>
    <w:pPr>
      <w:spacing w:after="120"/>
    </w:pPr>
    <w:rPr>
      <w:rFonts w:ascii="Times New Roman" w:hAnsi="Times New Roman" w:eastAsia="宋体" w:cs="Times New Roman"/>
      <w:sz w:val="16"/>
      <w:szCs w:val="16"/>
    </w:rPr>
  </w:style>
  <w:style w:type="paragraph" w:styleId="14">
    <w:name w:val="Body Text"/>
    <w:basedOn w:val="1"/>
    <w:qFormat/>
    <w:uiPriority w:val="0"/>
    <w:pPr>
      <w:widowControl w:val="0"/>
      <w:snapToGrid w:val="0"/>
      <w:spacing w:line="360" w:lineRule="auto"/>
    </w:pPr>
    <w:rPr>
      <w:rFonts w:ascii="Arial" w:hAnsi="Arial" w:eastAsia="仿宋_GB2312"/>
      <w:sz w:val="31"/>
    </w:rPr>
  </w:style>
  <w:style w:type="paragraph" w:styleId="15">
    <w:name w:val="toc 3"/>
    <w:basedOn w:val="1"/>
    <w:next w:val="1"/>
    <w:qFormat/>
    <w:uiPriority w:val="0"/>
    <w:pPr>
      <w:ind w:left="840" w:leftChars="400"/>
    </w:pPr>
  </w:style>
  <w:style w:type="paragraph" w:styleId="16">
    <w:name w:val="Plain Text"/>
    <w:basedOn w:val="1"/>
    <w:qFormat/>
    <w:uiPriority w:val="0"/>
    <w:pPr>
      <w:widowControl w:val="0"/>
      <w:spacing w:line="240" w:lineRule="auto"/>
      <w:textAlignment w:val="auto"/>
    </w:pPr>
    <w:rPr>
      <w:rFonts w:ascii="宋体" w:hAnsi="Courier New"/>
      <w:color w:val="auto"/>
      <w:kern w:val="2"/>
    </w:rPr>
  </w:style>
  <w:style w:type="paragraph" w:styleId="17">
    <w:name w:val="List Bullet 5"/>
    <w:basedOn w:val="18"/>
    <w:semiHidden/>
    <w:unhideWhenUsed/>
    <w:qFormat/>
    <w:uiPriority w:val="0"/>
    <w:pPr>
      <w:numPr>
        <w:ilvl w:val="0"/>
        <w:numId w:val="1"/>
      </w:numPr>
    </w:pPr>
  </w:style>
  <w:style w:type="paragraph" w:customStyle="1" w:styleId="18">
    <w:name w:val="表格段落"/>
    <w:next w:val="3"/>
    <w:qFormat/>
    <w:locked/>
    <w:uiPriority w:val="0"/>
    <w:pPr>
      <w:spacing w:line="300" w:lineRule="auto"/>
      <w:jc w:val="both"/>
    </w:pPr>
    <w:rPr>
      <w:rFonts w:ascii="Times New Roman" w:hAnsi="Times New Roman" w:eastAsia="宋体" w:cs="Times New Roman"/>
      <w:kern w:val="2"/>
      <w:sz w:val="24"/>
      <w:szCs w:val="22"/>
      <w:lang w:val="en-US" w:eastAsia="zh-CN" w:bidi="ar-SA"/>
    </w:rPr>
  </w:style>
  <w:style w:type="paragraph" w:styleId="19">
    <w:name w:val="Date"/>
    <w:basedOn w:val="1"/>
    <w:next w:val="1"/>
    <w:qFormat/>
    <w:uiPriority w:val="0"/>
    <w:pPr>
      <w:widowControl w:val="0"/>
      <w:spacing w:line="240" w:lineRule="auto"/>
      <w:textAlignment w:val="auto"/>
    </w:pPr>
    <w:rPr>
      <w:rFonts w:ascii="Arial" w:hAnsi="Arial" w:eastAsia="仿宋_GB2312"/>
      <w:color w:val="auto"/>
      <w:kern w:val="2"/>
      <w:sz w:val="32"/>
    </w:rPr>
  </w:style>
  <w:style w:type="paragraph" w:styleId="20">
    <w:name w:val="Balloon Text"/>
    <w:basedOn w:val="1"/>
    <w:link w:val="86"/>
    <w:qFormat/>
    <w:uiPriority w:val="0"/>
    <w:pPr>
      <w:spacing w:line="240" w:lineRule="auto"/>
    </w:pPr>
    <w:rPr>
      <w:sz w:val="18"/>
      <w:szCs w:val="18"/>
    </w:rPr>
  </w:style>
  <w:style w:type="paragraph" w:styleId="21">
    <w:name w:val="footer"/>
    <w:basedOn w:val="1"/>
    <w:qFormat/>
    <w:uiPriority w:val="99"/>
    <w:pPr>
      <w:tabs>
        <w:tab w:val="center" w:pos="4153"/>
        <w:tab w:val="right" w:pos="8306"/>
      </w:tabs>
      <w:snapToGrid w:val="0"/>
      <w:spacing w:line="240" w:lineRule="atLeast"/>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qFormat/>
    <w:uiPriority w:val="39"/>
  </w:style>
  <w:style w:type="paragraph" w:styleId="24">
    <w:name w:val="Body Text Indent 3"/>
    <w:basedOn w:val="1"/>
    <w:qFormat/>
    <w:uiPriority w:val="0"/>
    <w:pPr>
      <w:autoSpaceDE w:val="0"/>
      <w:autoSpaceDN w:val="0"/>
      <w:adjustRightInd w:val="0"/>
      <w:spacing w:before="120" w:line="22" w:lineRule="atLeast"/>
      <w:ind w:left="720" w:firstLine="480"/>
      <w:jc w:val="left"/>
    </w:pPr>
    <w:rPr>
      <w:rFonts w:ascii="宋体"/>
      <w:sz w:val="24"/>
    </w:rPr>
  </w:style>
  <w:style w:type="paragraph" w:styleId="25">
    <w:name w:val="toc 2"/>
    <w:basedOn w:val="1"/>
    <w:next w:val="1"/>
    <w:qFormat/>
    <w:uiPriority w:val="39"/>
    <w:pPr>
      <w:ind w:left="420" w:leftChars="200"/>
    </w:pPr>
  </w:style>
  <w:style w:type="paragraph" w:styleId="26">
    <w:name w:val="Normal (Web)"/>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styleId="27">
    <w:name w:val="Title"/>
    <w:basedOn w:val="1"/>
    <w:next w:val="3"/>
    <w:qFormat/>
    <w:uiPriority w:val="10"/>
    <w:pPr>
      <w:jc w:val="center"/>
    </w:pPr>
    <w:rPr>
      <w:b/>
      <w:bCs/>
      <w:szCs w:val="32"/>
    </w:rPr>
  </w:style>
  <w:style w:type="paragraph" w:styleId="28">
    <w:name w:val="Body Text First Indent"/>
    <w:basedOn w:val="14"/>
    <w:qFormat/>
    <w:uiPriority w:val="0"/>
    <w:pPr>
      <w:spacing w:line="240" w:lineRule="auto"/>
      <w:ind w:firstLine="420" w:firstLineChars="100"/>
    </w:pPr>
    <w:rPr>
      <w:rFonts w:ascii="Calibri" w:hAnsi="Calibri"/>
      <w:color w:val="auto"/>
      <w:sz w:val="18"/>
      <w:szCs w:val="18"/>
    </w:rPr>
  </w:style>
  <w:style w:type="table" w:styleId="30">
    <w:name w:val="Table Grid"/>
    <w:basedOn w:val="29"/>
    <w:qFormat/>
    <w:uiPriority w:val="0"/>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basedOn w:val="31"/>
    <w:qFormat/>
    <w:uiPriority w:val="0"/>
    <w:rPr>
      <w:color w:val="333333"/>
      <w:u w:val="none"/>
    </w:rPr>
  </w:style>
  <w:style w:type="character" w:styleId="35">
    <w:name w:val="Emphasis"/>
    <w:basedOn w:val="31"/>
    <w:qFormat/>
    <w:uiPriority w:val="0"/>
  </w:style>
  <w:style w:type="character" w:styleId="36">
    <w:name w:val="HTML Definition"/>
    <w:basedOn w:val="31"/>
    <w:qFormat/>
    <w:uiPriority w:val="0"/>
    <w:rPr>
      <w:i/>
      <w:iCs/>
    </w:rPr>
  </w:style>
  <w:style w:type="character" w:styleId="37">
    <w:name w:val="Hyperlink"/>
    <w:basedOn w:val="31"/>
    <w:qFormat/>
    <w:uiPriority w:val="0"/>
    <w:rPr>
      <w:rFonts w:ascii="等线" w:hAnsi="等线" w:eastAsia="华文宋体"/>
      <w:color w:val="0000FF"/>
      <w:u w:val="single"/>
    </w:rPr>
  </w:style>
  <w:style w:type="character" w:styleId="38">
    <w:name w:val="HTML Code"/>
    <w:basedOn w:val="31"/>
    <w:qFormat/>
    <w:uiPriority w:val="0"/>
    <w:rPr>
      <w:rFonts w:ascii="Consolas" w:hAnsi="Consolas" w:eastAsia="Consolas" w:cs="Consolas"/>
      <w:color w:val="C7254E"/>
      <w:sz w:val="21"/>
      <w:szCs w:val="21"/>
      <w:shd w:val="clear" w:color="auto" w:fill="F9F2F4"/>
    </w:rPr>
  </w:style>
  <w:style w:type="character" w:styleId="39">
    <w:name w:val="HTML Keyboard"/>
    <w:basedOn w:val="31"/>
    <w:qFormat/>
    <w:uiPriority w:val="0"/>
    <w:rPr>
      <w:rFonts w:hint="default" w:ascii="Consolas" w:hAnsi="Consolas" w:eastAsia="Consolas" w:cs="Consolas"/>
      <w:color w:val="FFFFFF"/>
      <w:sz w:val="21"/>
      <w:szCs w:val="21"/>
      <w:shd w:val="clear" w:color="auto" w:fill="333333"/>
    </w:rPr>
  </w:style>
  <w:style w:type="character" w:styleId="40">
    <w:name w:val="HTML Sample"/>
    <w:basedOn w:val="31"/>
    <w:qFormat/>
    <w:uiPriority w:val="0"/>
    <w:rPr>
      <w:rFonts w:hint="default" w:ascii="Consolas" w:hAnsi="Consolas" w:eastAsia="Consolas" w:cs="Consolas"/>
      <w:sz w:val="21"/>
      <w:szCs w:val="21"/>
    </w:rPr>
  </w:style>
  <w:style w:type="character" w:customStyle="1" w:styleId="41">
    <w:name w:val="标题 1 Char"/>
    <w:qFormat/>
    <w:uiPriority w:val="0"/>
    <w:rPr>
      <w:rFonts w:ascii="Calibri" w:hAnsi="Calibri" w:eastAsia="宋体" w:cs="Times New Roman"/>
      <w:b/>
      <w:kern w:val="44"/>
      <w:sz w:val="36"/>
      <w:szCs w:val="22"/>
    </w:rPr>
  </w:style>
  <w:style w:type="paragraph" w:customStyle="1" w:styleId="4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44">
    <w:name w:val="标题 3 Char"/>
    <w:link w:val="5"/>
    <w:qFormat/>
    <w:uiPriority w:val="0"/>
    <w:rPr>
      <w:rFonts w:ascii="Calibri" w:hAnsi="Calibri" w:eastAsia="宋体"/>
      <w:b/>
      <w:bCs/>
      <w:sz w:val="24"/>
      <w:szCs w:val="32"/>
    </w:rPr>
  </w:style>
  <w:style w:type="paragraph" w:customStyle="1" w:styleId="4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6">
    <w:name w:val="_Style 2"/>
    <w:basedOn w:val="2"/>
    <w:next w:val="1"/>
    <w:qFormat/>
    <w:uiPriority w:val="0"/>
    <w:pPr>
      <w:outlineLvl w:val="9"/>
    </w:pPr>
  </w:style>
  <w:style w:type="paragraph" w:customStyle="1" w:styleId="47">
    <w:name w:val="缺省文本"/>
    <w:basedOn w:val="1"/>
    <w:qFormat/>
    <w:uiPriority w:val="0"/>
    <w:pPr>
      <w:widowControl w:val="0"/>
      <w:autoSpaceDE w:val="0"/>
      <w:autoSpaceDN w:val="0"/>
      <w:adjustRightInd w:val="0"/>
      <w:spacing w:line="240" w:lineRule="auto"/>
      <w:jc w:val="left"/>
      <w:textAlignment w:val="auto"/>
    </w:pPr>
    <w:rPr>
      <w:color w:val="auto"/>
      <w:sz w:val="24"/>
    </w:rPr>
  </w:style>
  <w:style w:type="paragraph" w:customStyle="1" w:styleId="48">
    <w:name w:val="title1"/>
    <w:basedOn w:val="1"/>
    <w:qFormat/>
    <w:uiPriority w:val="0"/>
    <w:pPr>
      <w:spacing w:before="120"/>
      <w:jc w:val="left"/>
    </w:pPr>
    <w:rPr>
      <w:b/>
      <w:sz w:val="18"/>
      <w:szCs w:val="18"/>
    </w:rPr>
  </w:style>
  <w:style w:type="character" w:customStyle="1" w:styleId="49">
    <w:name w:val="hour_am"/>
    <w:basedOn w:val="31"/>
    <w:qFormat/>
    <w:uiPriority w:val="0"/>
  </w:style>
  <w:style w:type="character" w:customStyle="1" w:styleId="50">
    <w:name w:val="hover3"/>
    <w:basedOn w:val="31"/>
    <w:qFormat/>
    <w:uiPriority w:val="0"/>
    <w:rPr>
      <w:shd w:val="clear" w:color="auto" w:fill="EEEEEE"/>
    </w:rPr>
  </w:style>
  <w:style w:type="character" w:customStyle="1" w:styleId="51">
    <w:name w:val="old"/>
    <w:basedOn w:val="31"/>
    <w:qFormat/>
    <w:uiPriority w:val="0"/>
    <w:rPr>
      <w:color w:val="999999"/>
    </w:rPr>
  </w:style>
  <w:style w:type="character" w:customStyle="1" w:styleId="52">
    <w:name w:val="glyphicon4"/>
    <w:basedOn w:val="31"/>
    <w:qFormat/>
    <w:uiPriority w:val="0"/>
  </w:style>
  <w:style w:type="character" w:customStyle="1" w:styleId="53">
    <w:name w:val="hour_pm"/>
    <w:basedOn w:val="31"/>
    <w:qFormat/>
    <w:uiPriority w:val="0"/>
  </w:style>
  <w:style w:type="character" w:customStyle="1" w:styleId="54">
    <w:name w:val="indent"/>
    <w:basedOn w:val="31"/>
    <w:qFormat/>
    <w:uiPriority w:val="0"/>
  </w:style>
  <w:style w:type="character" w:customStyle="1" w:styleId="55">
    <w:name w:val="button"/>
    <w:basedOn w:val="31"/>
    <w:qFormat/>
    <w:uiPriority w:val="0"/>
  </w:style>
  <w:style w:type="character" w:customStyle="1" w:styleId="56">
    <w:name w:val="tmpztreemove_arrow"/>
    <w:basedOn w:val="31"/>
    <w:qFormat/>
    <w:uiPriority w:val="0"/>
    <w:rPr>
      <w:shd w:val="clear" w:color="auto" w:fill="FFFFFF"/>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正文缩进1"/>
    <w:basedOn w:val="1"/>
    <w:qFormat/>
    <w:uiPriority w:val="0"/>
    <w:pPr>
      <w:autoSpaceDE w:val="0"/>
      <w:autoSpaceDN w:val="0"/>
      <w:adjustRightInd w:val="0"/>
      <w:ind w:firstLine="420"/>
      <w:jc w:val="left"/>
    </w:pPr>
    <w:rPr>
      <w:rFonts w:ascii="宋体" w:hAnsi="宋体"/>
      <w:sz w:val="24"/>
    </w:rPr>
  </w:style>
  <w:style w:type="paragraph" w:customStyle="1" w:styleId="59">
    <w:name w:val="纯文本1"/>
    <w:basedOn w:val="1"/>
    <w:qFormat/>
    <w:uiPriority w:val="0"/>
    <w:rPr>
      <w:rFonts w:ascii="宋体" w:hAnsi="Courier New" w:cs="Courier New"/>
      <w:szCs w:val="21"/>
    </w:rPr>
  </w:style>
  <w:style w:type="character" w:customStyle="1" w:styleId="60">
    <w:name w:val="hover"/>
    <w:basedOn w:val="31"/>
    <w:qFormat/>
    <w:uiPriority w:val="0"/>
    <w:rPr>
      <w:shd w:val="clear" w:color="auto" w:fill="EEEEEE"/>
    </w:rPr>
  </w:style>
  <w:style w:type="character" w:customStyle="1" w:styleId="61">
    <w:name w:val="glyphicon"/>
    <w:basedOn w:val="31"/>
    <w:qFormat/>
    <w:uiPriority w:val="0"/>
  </w:style>
  <w:style w:type="paragraph" w:styleId="62">
    <w:name w:val="List Paragraph"/>
    <w:basedOn w:val="1"/>
    <w:unhideWhenUsed/>
    <w:qFormat/>
    <w:uiPriority w:val="99"/>
    <w:pPr>
      <w:ind w:firstLine="420" w:firstLineChars="200"/>
    </w:pPr>
  </w:style>
  <w:style w:type="paragraph" w:customStyle="1" w:styleId="63">
    <w:name w:val="BodyText"/>
    <w:basedOn w:val="1"/>
    <w:next w:val="64"/>
    <w:qFormat/>
    <w:uiPriority w:val="0"/>
    <w:pPr>
      <w:spacing w:line="240" w:lineRule="auto"/>
      <w:jc w:val="left"/>
    </w:pPr>
    <w:rPr>
      <w:rFonts w:ascii="Calibri" w:hAnsi="Calibri"/>
      <w:b/>
      <w:kern w:val="2"/>
      <w:szCs w:val="24"/>
    </w:rPr>
  </w:style>
  <w:style w:type="paragraph" w:customStyle="1" w:styleId="64">
    <w:name w:val="UserStyle_1"/>
    <w:basedOn w:val="1"/>
    <w:next w:val="1"/>
    <w:qFormat/>
    <w:uiPriority w:val="0"/>
    <w:pPr>
      <w:spacing w:line="240" w:lineRule="auto"/>
      <w:jc w:val="left"/>
    </w:pPr>
  </w:style>
  <w:style w:type="character" w:customStyle="1" w:styleId="65">
    <w:name w:val="标题 1 Char1"/>
    <w:link w:val="2"/>
    <w:qFormat/>
    <w:uiPriority w:val="9"/>
    <w:rPr>
      <w:rFonts w:ascii="宋体"/>
      <w:b/>
      <w:kern w:val="44"/>
      <w:sz w:val="32"/>
    </w:rPr>
  </w:style>
  <w:style w:type="character" w:customStyle="1" w:styleId="66">
    <w:name w:val="font91"/>
    <w:basedOn w:val="31"/>
    <w:qFormat/>
    <w:uiPriority w:val="0"/>
    <w:rPr>
      <w:rFonts w:ascii="Wingdings 2" w:hAnsi="Wingdings 2" w:eastAsia="Wingdings 2" w:cs="Wingdings 2"/>
      <w:color w:val="000000"/>
      <w:sz w:val="18"/>
      <w:szCs w:val="18"/>
      <w:u w:val="none"/>
    </w:rPr>
  </w:style>
  <w:style w:type="character" w:customStyle="1" w:styleId="67">
    <w:name w:val="font81"/>
    <w:basedOn w:val="31"/>
    <w:qFormat/>
    <w:uiPriority w:val="0"/>
    <w:rPr>
      <w:rFonts w:hint="eastAsia" w:ascii="宋体" w:hAnsi="宋体" w:eastAsia="宋体" w:cs="宋体"/>
      <w:b/>
      <w:color w:val="000000"/>
      <w:sz w:val="20"/>
      <w:szCs w:val="20"/>
      <w:u w:val="none"/>
    </w:rPr>
  </w:style>
  <w:style w:type="paragraph" w:customStyle="1" w:styleId="68">
    <w:name w:val="正文样式"/>
    <w:qFormat/>
    <w:uiPriority w:val="0"/>
    <w:pPr>
      <w:widowControl w:val="0"/>
      <w:spacing w:line="360" w:lineRule="auto"/>
      <w:ind w:firstLine="480" w:firstLineChars="200"/>
      <w:jc w:val="both"/>
    </w:pPr>
    <w:rPr>
      <w:rFonts w:ascii="Times New Roman" w:hAnsi="Times New Roman" w:eastAsia="宋体" w:cs="Times New Roman"/>
      <w:sz w:val="24"/>
      <w:szCs w:val="28"/>
      <w:lang w:val="en-US" w:eastAsia="zh-CN" w:bidi="ar-SA"/>
    </w:rPr>
  </w:style>
  <w:style w:type="paragraph" w:customStyle="1" w:styleId="69">
    <w:name w:val="标题前缀"/>
    <w:qFormat/>
    <w:uiPriority w:val="0"/>
    <w:pPr>
      <w:tabs>
        <w:tab w:val="left" w:pos="5550"/>
      </w:tabs>
      <w:spacing w:line="360" w:lineRule="auto"/>
      <w:jc w:val="center"/>
    </w:pPr>
    <w:rPr>
      <w:rFonts w:ascii="Arial" w:hAnsi="Arial" w:eastAsia="黑体" w:cs="Calibri"/>
      <w:kern w:val="2"/>
      <w:sz w:val="36"/>
      <w:lang w:val="zh-CN" w:eastAsia="zh-CN" w:bidi="ar-SA"/>
    </w:rPr>
  </w:style>
  <w:style w:type="paragraph" w:customStyle="1" w:styleId="70">
    <w:name w:val="Normal_34_0"/>
    <w:qFormat/>
    <w:uiPriority w:val="99"/>
    <w:pPr>
      <w:spacing w:before="120" w:after="240"/>
      <w:jc w:val="both"/>
    </w:pPr>
    <w:rPr>
      <w:rFonts w:ascii="Calibri" w:hAnsi="Calibri" w:eastAsia="宋体" w:cs="Times New Roman"/>
      <w:sz w:val="22"/>
      <w:szCs w:val="22"/>
      <w:lang w:val="en-US" w:eastAsia="en-US" w:bidi="ar-SA"/>
    </w:rPr>
  </w:style>
  <w:style w:type="character" w:customStyle="1" w:styleId="71">
    <w:name w:val="phone"/>
    <w:basedOn w:val="31"/>
    <w:qFormat/>
    <w:uiPriority w:val="0"/>
    <w:rPr>
      <w:color w:val="FF8833"/>
      <w:sz w:val="18"/>
      <w:szCs w:val="18"/>
    </w:rPr>
  </w:style>
  <w:style w:type="paragraph" w:customStyle="1" w:styleId="72">
    <w:name w:val="title12"/>
    <w:basedOn w:val="1"/>
    <w:qFormat/>
    <w:uiPriority w:val="0"/>
    <w:pPr>
      <w:spacing w:before="150"/>
      <w:jc w:val="left"/>
    </w:pPr>
    <w:rPr>
      <w:b/>
      <w:bCs/>
      <w:sz w:val="22"/>
      <w:szCs w:val="22"/>
    </w:rPr>
  </w:style>
  <w:style w:type="character" w:customStyle="1" w:styleId="73">
    <w:name w:val="proollist"/>
    <w:basedOn w:val="31"/>
    <w:qFormat/>
    <w:uiPriority w:val="0"/>
  </w:style>
  <w:style w:type="character" w:customStyle="1" w:styleId="74">
    <w:name w:val="beforeinfotext"/>
    <w:basedOn w:val="31"/>
    <w:qFormat/>
    <w:uiPriority w:val="0"/>
    <w:rPr>
      <w:color w:val="666666"/>
    </w:rPr>
  </w:style>
  <w:style w:type="character" w:customStyle="1" w:styleId="75">
    <w:name w:val="number"/>
    <w:basedOn w:val="31"/>
    <w:qFormat/>
    <w:uiPriority w:val="0"/>
    <w:rPr>
      <w:color w:val="FF8833"/>
      <w:sz w:val="18"/>
      <w:szCs w:val="18"/>
    </w:rPr>
  </w:style>
  <w:style w:type="character" w:customStyle="1" w:styleId="76">
    <w:name w:val="stclosebtn"/>
    <w:basedOn w:val="31"/>
    <w:qFormat/>
    <w:uiPriority w:val="0"/>
  </w:style>
  <w:style w:type="character" w:customStyle="1" w:styleId="77">
    <w:name w:val="span-long"/>
    <w:basedOn w:val="31"/>
    <w:qFormat/>
    <w:uiPriority w:val="0"/>
  </w:style>
  <w:style w:type="character" w:customStyle="1" w:styleId="78">
    <w:name w:val="input-direction"/>
    <w:basedOn w:val="31"/>
    <w:qFormat/>
    <w:uiPriority w:val="0"/>
    <w:rPr>
      <w:color w:val="FF6600"/>
    </w:rPr>
  </w:style>
  <w:style w:type="character" w:customStyle="1" w:styleId="79">
    <w:name w:val="hilite"/>
    <w:basedOn w:val="31"/>
    <w:qFormat/>
    <w:uiPriority w:val="0"/>
    <w:rPr>
      <w:color w:val="FFFFFF"/>
      <w:shd w:val="clear" w:color="auto" w:fill="666677"/>
    </w:rPr>
  </w:style>
  <w:style w:type="character" w:customStyle="1" w:styleId="80">
    <w:name w:val="active"/>
    <w:basedOn w:val="31"/>
    <w:qFormat/>
    <w:uiPriority w:val="0"/>
    <w:rPr>
      <w:color w:val="00FF00"/>
      <w:shd w:val="clear" w:color="auto" w:fill="000000"/>
    </w:rPr>
  </w:style>
  <w:style w:type="character" w:customStyle="1" w:styleId="81">
    <w:name w:val="button2"/>
    <w:basedOn w:val="31"/>
    <w:qFormat/>
    <w:uiPriority w:val="0"/>
  </w:style>
  <w:style w:type="character" w:customStyle="1" w:styleId="82">
    <w:name w:val="font71"/>
    <w:basedOn w:val="31"/>
    <w:qFormat/>
    <w:uiPriority w:val="0"/>
    <w:rPr>
      <w:rFonts w:hint="eastAsia" w:ascii="宋体" w:hAnsi="宋体" w:eastAsia="宋体" w:cs="宋体"/>
      <w:color w:val="000000"/>
      <w:sz w:val="21"/>
      <w:szCs w:val="21"/>
      <w:u w:val="none"/>
    </w:rPr>
  </w:style>
  <w:style w:type="character" w:customStyle="1" w:styleId="83">
    <w:name w:val="font61"/>
    <w:basedOn w:val="31"/>
    <w:qFormat/>
    <w:uiPriority w:val="0"/>
    <w:rPr>
      <w:rFonts w:hint="eastAsia" w:ascii="宋体" w:hAnsi="宋体" w:eastAsia="宋体" w:cs="宋体"/>
      <w:color w:val="000000"/>
      <w:sz w:val="21"/>
      <w:szCs w:val="21"/>
      <w:u w:val="none"/>
    </w:rPr>
  </w:style>
  <w:style w:type="paragraph" w:customStyle="1" w:styleId="84">
    <w:name w:val="内容"/>
    <w:qFormat/>
    <w:uiPriority w:val="0"/>
    <w:pPr>
      <w:spacing w:line="360" w:lineRule="auto"/>
      <w:ind w:firstLine="1044" w:firstLineChars="200"/>
    </w:pPr>
    <w:rPr>
      <w:rFonts w:ascii="Times New Roman" w:hAnsi="Times New Roman" w:eastAsia="宋体" w:cs="Times New Roman"/>
      <w:sz w:val="24"/>
      <w:lang w:val="en-US" w:eastAsia="zh-CN" w:bidi="ar-SA"/>
    </w:rPr>
  </w:style>
  <w:style w:type="paragraph" w:customStyle="1" w:styleId="85">
    <w:name w:val="Table Paragraph"/>
    <w:basedOn w:val="1"/>
    <w:qFormat/>
    <w:uiPriority w:val="1"/>
  </w:style>
  <w:style w:type="character" w:customStyle="1" w:styleId="86">
    <w:name w:val="批注框文本 Char"/>
    <w:basedOn w:val="31"/>
    <w:link w:val="20"/>
    <w:qFormat/>
    <w:uiPriority w:val="0"/>
    <w:rPr>
      <w:color w:val="000000"/>
      <w:sz w:val="18"/>
      <w:szCs w:val="18"/>
      <w:u w:color="000000"/>
    </w:rPr>
  </w:style>
  <w:style w:type="paragraph" w:customStyle="1" w:styleId="87">
    <w:name w:val="_Style 80"/>
    <w:basedOn w:val="1"/>
    <w:next w:val="1"/>
    <w:qFormat/>
    <w:uiPriority w:val="0"/>
    <w:pPr>
      <w:pBdr>
        <w:bottom w:val="single" w:color="auto" w:sz="6" w:space="1"/>
      </w:pBdr>
      <w:jc w:val="center"/>
    </w:pPr>
    <w:rPr>
      <w:rFonts w:ascii="Arial" w:eastAsia="宋体"/>
      <w:vanish/>
      <w:sz w:val="16"/>
    </w:rPr>
  </w:style>
  <w:style w:type="paragraph" w:customStyle="1" w:styleId="88">
    <w:name w:val="_Style 81"/>
    <w:basedOn w:val="1"/>
    <w:next w:val="1"/>
    <w:qFormat/>
    <w:uiPriority w:val="0"/>
    <w:pPr>
      <w:pBdr>
        <w:top w:val="single" w:color="auto" w:sz="6" w:space="1"/>
      </w:pBdr>
      <w:jc w:val="center"/>
    </w:pPr>
    <w:rPr>
      <w:rFonts w:ascii="Arial" w:eastAsia="宋体"/>
      <w:vanish/>
      <w:sz w:val="16"/>
    </w:rPr>
  </w:style>
  <w:style w:type="character" w:customStyle="1" w:styleId="89">
    <w:name w:val="标题 3 字符"/>
    <w:link w:val="5"/>
    <w:qFormat/>
    <w:uiPriority w:val="0"/>
    <w:rPr>
      <w:rFonts w:ascii="Times New Roman" w:hAnsi="Times New Roman" w:eastAsia="宋体"/>
      <w:b/>
      <w:bCs/>
      <w:sz w:val="28"/>
      <w:szCs w:val="32"/>
    </w:rPr>
  </w:style>
  <w:style w:type="paragraph" w:customStyle="1" w:styleId="90">
    <w:name w:val="null3"/>
    <w:basedOn w:val="1"/>
    <w:qFormat/>
    <w:uiPriority w:val="0"/>
    <w:pPr>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 w:type="paragraph" w:customStyle="1" w:styleId="91">
    <w:name w:val="正文空2格  1."/>
    <w:basedOn w:val="1"/>
    <w:autoRedefine/>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character" w:customStyle="1" w:styleId="92">
    <w:name w:val="font11"/>
    <w:basedOn w:val="31"/>
    <w:qFormat/>
    <w:uiPriority w:val="0"/>
    <w:rPr>
      <w:rFonts w:hint="eastAsia" w:ascii="宋体" w:hAnsi="宋体" w:eastAsia="宋体" w:cs="宋体"/>
      <w:color w:val="000000"/>
      <w:sz w:val="20"/>
      <w:szCs w:val="20"/>
      <w:u w:val="none"/>
    </w:rPr>
  </w:style>
  <w:style w:type="character" w:customStyle="1" w:styleId="93">
    <w:name w:val="font51"/>
    <w:basedOn w:val="31"/>
    <w:qFormat/>
    <w:uiPriority w:val="0"/>
    <w:rPr>
      <w:rFonts w:hint="eastAsia" w:ascii="宋体" w:hAnsi="宋体" w:eastAsia="宋体" w:cs="宋体"/>
      <w:color w:val="000000"/>
      <w:sz w:val="18"/>
      <w:szCs w:val="18"/>
      <w:u w:val="none"/>
    </w:rPr>
  </w:style>
  <w:style w:type="paragraph" w:customStyle="1" w:styleId="94">
    <w:name w:val="列表段落1"/>
    <w:basedOn w:val="1"/>
    <w:qFormat/>
    <w:uiPriority w:val="34"/>
    <w:pPr>
      <w:ind w:firstLine="420" w:firstLineChars="200"/>
    </w:pPr>
  </w:style>
  <w:style w:type="paragraph" w:customStyle="1" w:styleId="95">
    <w:name w:val="04-正文"/>
    <w:basedOn w:val="1"/>
    <w:qFormat/>
    <w:uiPriority w:val="0"/>
    <w:pPr>
      <w:spacing w:line="300" w:lineRule="auto"/>
      <w:ind w:firstLine="482"/>
    </w:pPr>
    <w:rPr>
      <w:rFonts w:ascii="Calibri" w:hAnsi="Calibri"/>
      <w:bCs/>
      <w:sz w:val="24"/>
    </w:rPr>
  </w:style>
  <w:style w:type="table" w:customStyle="1" w:styleId="96">
    <w:name w:val="参数表格"/>
    <w:basedOn w:val="29"/>
    <w:qFormat/>
    <w:locked/>
    <w:uiPriority w:val="99"/>
    <w:pPr>
      <w:spacing w:line="300" w:lineRule="auto"/>
    </w:pPr>
    <w:rPr>
      <w:rFonts w:eastAsia="宋体"/>
      <w:sz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宋体"/>
        <w:b/>
        <w:sz w:val="22"/>
      </w:rPr>
      <w:tcPr>
        <w:shd w:val="clear" w:color="auto" w:fill="BEBEBE" w:themeFill="background1" w:themeFillShade="BF"/>
      </w:tcPr>
    </w:tblStylePr>
    <w:tblStylePr w:type="lastRow">
      <w:pPr>
        <w:jc w:val="center"/>
      </w:pPr>
      <w:rPr>
        <w:rFonts w:eastAsia="宋体"/>
        <w:b/>
        <w:sz w:val="22"/>
      </w:rPr>
    </w:tblStylePr>
    <w:tblStylePr w:type="firstCol">
      <w:pPr>
        <w:jc w:val="center"/>
      </w:pPr>
      <w:rPr>
        <w:rFonts w:eastAsia="宋体"/>
        <w:b w:val="0"/>
        <w:sz w:val="22"/>
      </w:r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8D4D7C-FCB2-49ED-84CD-8D625009E9F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256</Pages>
  <Words>2225</Words>
  <Characters>2587</Characters>
  <Lines>1</Lines>
  <Paragraphs>1</Paragraphs>
  <TotalTime>0</TotalTime>
  <ScaleCrop>false</ScaleCrop>
  <LinksUpToDate>false</LinksUpToDate>
  <CharactersWithSpaces>2635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2021-12-22T03:04:00Z</dcterms:created>
  <dc:creator>Administrator</dc:creator>
  <cp:lastModifiedBy>Hanson 汉森</cp:lastModifiedBy>
  <cp:lastPrinted>2025-11-07T00:55:00Z</cp:lastPrinted>
  <dcterms:modified xsi:type="dcterms:W3CDTF">2025-12-01T03:19:04Z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B916C48CA8FB42859E233C81E64F50CA_13</vt:lpwstr>
  </property>
  <property fmtid="{D5CDD505-2E9C-101B-9397-08002B2CF9AE}" pid="4" name="KSOTemplateDocerSaveRecord">
    <vt:lpwstr>eyJoZGlkIjoiOGUwY2Y2YmQxMWMzZTBmMWU5MDI4OGE1MTI4NzA0NDMiLCJ1c2VySWQiOiI1MTAwOTgyNjgifQ==</vt:lpwstr>
  </property>
</Properties>
</file>