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E038">
      <w:pPr>
        <w:pStyle w:val="2"/>
        <w:pageBreakBefore w:val="0"/>
        <w:numPr>
          <w:ilvl w:val="0"/>
          <w:numId w:val="1"/>
        </w:numPr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highlight w:val="none"/>
        </w:rPr>
      </w:pPr>
      <w:bookmarkStart w:id="0" w:name="_Toc1370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采购内容及要求</w:t>
      </w:r>
      <w:bookmarkEnd w:id="0"/>
    </w:p>
    <w:p w14:paraId="14B2885F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一、地膜：</w:t>
      </w:r>
    </w:p>
    <w:p w14:paraId="2A4C2F31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（一）高强度加厚地膜</w:t>
      </w:r>
    </w:p>
    <w:p w14:paraId="70B10D55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 xml:space="preserve">1.数量：I类耐老化地膜13.5吨。 </w:t>
      </w:r>
    </w:p>
    <w:p w14:paraId="31DD5358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2.质量符合《聚乙烯吹塑农用地面覆盖薄膜》GB13735-2017国家标准，产品标称厚度不小于0.012mm。</w:t>
      </w:r>
    </w:p>
    <w:p w14:paraId="7F6A1F0D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（二）全生物降解膜</w:t>
      </w:r>
    </w:p>
    <w:p w14:paraId="786C9316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 xml:space="preserve">1.数量：1.3吨。 </w:t>
      </w:r>
    </w:p>
    <w:p w14:paraId="56C4F15F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2.质量符合《全生物降解农用地面覆盖薄膜》(GB/T 35795-2017)要求。</w:t>
      </w:r>
    </w:p>
    <w:p w14:paraId="7487F861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3.产品水蒸气透过率在800g/(m2·24h)以下。</w:t>
      </w:r>
    </w:p>
    <w:p w14:paraId="66D10386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4.有效使用寿命在90天以上。</w:t>
      </w:r>
    </w:p>
    <w:p w14:paraId="472FF809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注：此项需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提供相关证明材料（包括但不限于检测报告，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网截图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等证明材料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)。</w:t>
      </w:r>
    </w:p>
    <w:p w14:paraId="35401179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二、地膜回收：</w:t>
      </w:r>
    </w:p>
    <w:p w14:paraId="3DC23083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1. 建立回收点1个，位置合理，地面硬化，有称重、装卸等设备，面积不少于80平方米（含存储仓库），配备工作人员。</w:t>
      </w:r>
    </w:p>
    <w:p w14:paraId="6CF353BB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2.组织人员开展地膜回收，区域无地膜乱堆乱弃现象。</w:t>
      </w:r>
    </w:p>
    <w:p w14:paraId="334D9856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3.对收集的地膜进行科学处置，地膜处置率85%以上。</w:t>
      </w:r>
    </w:p>
    <w:p w14:paraId="7121F70D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注：此项需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提供回收点建设方案、地膜回收方案、处理方案，未提供的视为重大负偏离。</w:t>
      </w:r>
    </w:p>
    <w:p w14:paraId="6B39ED7D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三、残膜监测：</w:t>
      </w:r>
    </w:p>
    <w:p w14:paraId="70B8251C">
      <w:pPr>
        <w:pageBreakBefore w:val="0"/>
        <w:kinsoku/>
        <w:wordWrap/>
        <w:topLinePunct w:val="0"/>
        <w:bidi w:val="0"/>
        <w:spacing w:line="520" w:lineRule="exact"/>
        <w:ind w:firstLine="422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设立残膜监测点2个，按照《全国农田地膜残留监测方案》要求，在作物收获后继续开展地膜监测调查、采样、检测处理、报告编制等工作，科学评估覆膜区域地膜残留现状。</w:t>
      </w:r>
    </w:p>
    <w:p w14:paraId="256EC305">
      <w:pPr>
        <w:ind w:firstLine="482" w:firstLineChars="200"/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注：此项需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提供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监测点设立方案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，未提供的视为重大负偏离。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42CFE"/>
    <w:multiLevelType w:val="singleLevel"/>
    <w:tmpl w:val="5BD42CF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F35"/>
    <w:rsid w:val="3A857272"/>
    <w:rsid w:val="74F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500" w:lineRule="atLeast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468</Characters>
  <Lines>0</Lines>
  <Paragraphs>0</Paragraphs>
  <TotalTime>1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2025-11-26T02:43:00Z</dcterms:created>
  <dc:creator>璐包子～</dc:creator>
  <cp:lastModifiedBy>宋璟雯</cp:lastModifiedBy>
  <dcterms:modified xsi:type="dcterms:W3CDTF">2025-11-26T09:18:34Z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3F701AD651304DD4A787DEC779EDC23D_11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