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B8DB6">
      <w:pPr>
        <w:spacing w:line="480" w:lineRule="exact"/>
        <w:ind w:right="137"/>
        <w:jc w:val="right"/>
        <w:rPr>
          <w:rFonts w:ascii="宋体" w:hAnsi="宋体"/>
          <w:b/>
          <w:color w:val="auto"/>
          <w:sz w:val="28"/>
          <w:szCs w:val="24"/>
        </w:rPr>
      </w:pPr>
      <w:bookmarkStart w:id="170" w:name="_GoBack"/>
      <w:bookmarkEnd w:id="170"/>
      <w:r>
        <w:rPr>
          <w:rFonts w:hint="eastAsia" w:ascii="宋体" w:hAnsi="宋体"/>
          <w:b/>
          <w:color w:val="auto"/>
          <w:sz w:val="28"/>
          <w:szCs w:val="24"/>
        </w:rPr>
        <w:t xml:space="preserve"> 政府采购项目</w:t>
      </w:r>
    </w:p>
    <w:p w14:paraId="61BD9E60">
      <w:pPr>
        <w:spacing w:line="360" w:lineRule="auto"/>
        <w:rPr>
          <w:rStyle w:val="84"/>
          <w:rFonts w:hint="default" w:ascii="宋体" w:hAnsi="宋体" w:cs="Arial"/>
          <w:b/>
          <w:color w:val="auto"/>
          <w:sz w:val="28"/>
          <w:szCs w:val="24"/>
          <w:lang w:val="en-US" w:eastAsia="zh-CN"/>
        </w:rPr>
      </w:pPr>
      <w:r>
        <w:rPr>
          <w:rStyle w:val="84"/>
          <w:rFonts w:hint="eastAsia" w:ascii="宋体" w:hAnsi="宋体" w:cs="Arial"/>
          <w:b/>
          <w:color w:val="auto"/>
          <w:sz w:val="28"/>
          <w:szCs w:val="24"/>
        </w:rPr>
        <w:t>项目编号：</w:t>
      </w:r>
      <w:r>
        <w:rPr>
          <w:rStyle w:val="84"/>
          <w:rFonts w:hint="eastAsia" w:ascii="宋体" w:hAnsi="宋体" w:cs="Arial"/>
          <w:b/>
          <w:color w:val="auto"/>
          <w:sz w:val="28"/>
          <w:szCs w:val="24"/>
          <w:lang w:eastAsia="zh-CN"/>
        </w:rPr>
        <w:t>AKSH2025-ZGK-088</w:t>
      </w:r>
    </w:p>
    <w:p w14:paraId="7241F743">
      <w:pPr>
        <w:pStyle w:val="34"/>
        <w:jc w:val="both"/>
        <w:rPr>
          <w:color w:val="auto"/>
        </w:rPr>
      </w:pPr>
    </w:p>
    <w:p w14:paraId="55FC9ABA">
      <w:pPr>
        <w:pStyle w:val="34"/>
        <w:jc w:val="both"/>
        <w:rPr>
          <w:color w:val="auto"/>
          <w:sz w:val="24"/>
          <w:szCs w:val="24"/>
        </w:rPr>
      </w:pPr>
    </w:p>
    <w:p w14:paraId="74CD4BC4">
      <w:pPr>
        <w:pStyle w:val="28"/>
        <w:rPr>
          <w:color w:val="auto"/>
        </w:rPr>
      </w:pPr>
    </w:p>
    <w:p w14:paraId="3DA3DB2A">
      <w:pPr>
        <w:jc w:val="center"/>
        <w:rPr>
          <w:rFonts w:hint="eastAsia" w:ascii="宋体" w:hAnsi="宋体"/>
          <w:b/>
          <w:color w:val="000000" w:themeColor="text1"/>
          <w:sz w:val="56"/>
          <w:szCs w:val="56"/>
          <w:lang w:val="en-US" w:eastAsia="zh-CN"/>
          <w14:textFill>
            <w14:solidFill>
              <w14:schemeClr w14:val="tx1"/>
            </w14:solidFill>
          </w14:textFill>
        </w:rPr>
      </w:pPr>
      <w:r>
        <w:rPr>
          <w:rFonts w:hint="eastAsia" w:ascii="宋体" w:hAnsi="宋体"/>
          <w:b/>
          <w:color w:val="000000" w:themeColor="text1"/>
          <w:sz w:val="56"/>
          <w:szCs w:val="56"/>
          <w:lang w:val="en-US" w:eastAsia="zh-CN"/>
          <w14:textFill>
            <w14:solidFill>
              <w14:schemeClr w14:val="tx1"/>
            </w14:solidFill>
          </w14:textFill>
        </w:rPr>
        <w:t>安康市大气污染防治执法装备</w:t>
      </w:r>
    </w:p>
    <w:p w14:paraId="565D3554">
      <w:pPr>
        <w:jc w:val="center"/>
        <w:rPr>
          <w:rFonts w:hint="eastAsia" w:ascii="宋体" w:hAnsi="宋体"/>
          <w:b/>
          <w:color w:val="000000" w:themeColor="text1"/>
          <w:sz w:val="56"/>
          <w:szCs w:val="56"/>
          <w:lang w:val="en-US" w:eastAsia="zh-CN"/>
          <w14:textFill>
            <w14:solidFill>
              <w14:schemeClr w14:val="tx1"/>
            </w14:solidFill>
          </w14:textFill>
        </w:rPr>
      </w:pPr>
      <w:r>
        <w:rPr>
          <w:rFonts w:hint="eastAsia" w:ascii="宋体" w:hAnsi="宋体"/>
          <w:b/>
          <w:color w:val="000000" w:themeColor="text1"/>
          <w:sz w:val="56"/>
          <w:szCs w:val="56"/>
          <w:lang w:val="en-US" w:eastAsia="zh-CN"/>
          <w14:textFill>
            <w14:solidFill>
              <w14:schemeClr w14:val="tx1"/>
            </w14:solidFill>
          </w14:textFill>
        </w:rPr>
        <w:t>标准化项目</w:t>
      </w:r>
    </w:p>
    <w:p w14:paraId="232ECE53">
      <w:pPr>
        <w:rPr>
          <w:rFonts w:hint="eastAsia"/>
          <w:color w:val="auto"/>
          <w:lang w:val="en-US" w:eastAsia="zh-CN"/>
        </w:rPr>
      </w:pPr>
    </w:p>
    <w:p w14:paraId="20A44815">
      <w:pPr>
        <w:pStyle w:val="17"/>
        <w:rPr>
          <w:rFonts w:hint="eastAsia"/>
          <w:color w:val="auto"/>
          <w:lang w:val="en-US" w:eastAsia="zh-CN"/>
        </w:rPr>
      </w:pPr>
    </w:p>
    <w:p w14:paraId="79A8DAFD">
      <w:pPr>
        <w:pStyle w:val="17"/>
        <w:rPr>
          <w:rFonts w:hint="eastAsia"/>
          <w:color w:val="auto"/>
          <w:lang w:val="en-US" w:eastAsia="zh-CN"/>
        </w:rPr>
      </w:pPr>
    </w:p>
    <w:p w14:paraId="6E49A951">
      <w:pPr>
        <w:spacing w:line="360" w:lineRule="auto"/>
        <w:ind w:left="3202" w:leftChars="309" w:hanging="2553" w:hangingChars="489"/>
        <w:jc w:val="center"/>
        <w:rPr>
          <w:rFonts w:ascii="宋体" w:hAnsi="宋体"/>
          <w:b/>
          <w:color w:val="auto"/>
          <w:sz w:val="52"/>
          <w:szCs w:val="52"/>
        </w:rPr>
      </w:pPr>
      <w:r>
        <w:rPr>
          <w:rFonts w:ascii="宋体" w:hAnsi="宋体"/>
          <w:b/>
          <w:color w:val="auto"/>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7D13208E">
      <w:pPr>
        <w:pStyle w:val="18"/>
        <w:rPr>
          <w:rFonts w:ascii="宋体" w:hAnsi="宋体"/>
          <w:b/>
          <w:color w:val="auto"/>
          <w:sz w:val="52"/>
          <w:szCs w:val="52"/>
        </w:rPr>
      </w:pPr>
    </w:p>
    <w:p w14:paraId="28205449">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3B5440A6">
      <w:pPr>
        <w:jc w:val="center"/>
        <w:rPr>
          <w:rFonts w:ascii="宋体" w:hAnsi="宋体"/>
          <w:b/>
          <w:color w:val="auto"/>
          <w:sz w:val="24"/>
          <w:szCs w:val="24"/>
        </w:rPr>
      </w:pPr>
    </w:p>
    <w:p w14:paraId="2A8D0B13">
      <w:pPr>
        <w:pStyle w:val="17"/>
        <w:rPr>
          <w:rFonts w:ascii="宋体" w:hAnsi="宋体"/>
          <w:b/>
          <w:color w:val="auto"/>
          <w:sz w:val="24"/>
          <w:szCs w:val="24"/>
        </w:rPr>
      </w:pPr>
    </w:p>
    <w:p w14:paraId="235DF095">
      <w:pPr>
        <w:pStyle w:val="17"/>
        <w:rPr>
          <w:rFonts w:ascii="宋体" w:hAnsi="宋体"/>
          <w:b/>
          <w:color w:val="auto"/>
          <w:sz w:val="24"/>
          <w:szCs w:val="24"/>
        </w:rPr>
      </w:pPr>
    </w:p>
    <w:p w14:paraId="4A2D9499">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default" w:ascii="宋体" w:hAnsi="宋体" w:eastAsia="宋体"/>
          <w:b/>
          <w:color w:val="auto"/>
          <w:sz w:val="32"/>
          <w:szCs w:val="32"/>
          <w:lang w:val="en-US" w:eastAsia="zh-CN"/>
        </w:rPr>
      </w:pPr>
      <w:r>
        <w:rPr>
          <w:rFonts w:ascii="宋体" w:hAnsi="宋体"/>
          <w:b/>
          <w:color w:val="auto"/>
          <w:sz w:val="32"/>
          <w:szCs w:val="32"/>
        </w:rPr>
        <w:t>采购</w:t>
      </w:r>
      <w:r>
        <w:rPr>
          <w:rFonts w:hint="eastAsia" w:ascii="宋体" w:hAnsi="宋体"/>
          <w:b/>
          <w:color w:val="auto"/>
          <w:sz w:val="32"/>
          <w:szCs w:val="32"/>
        </w:rPr>
        <w:t>人</w:t>
      </w:r>
      <w:r>
        <w:rPr>
          <w:rFonts w:ascii="宋体" w:hAnsi="宋体"/>
          <w:b/>
          <w:color w:val="auto"/>
          <w:sz w:val="32"/>
          <w:szCs w:val="32"/>
        </w:rPr>
        <w:t>：</w:t>
      </w:r>
      <w:r>
        <w:rPr>
          <w:rFonts w:hint="eastAsia" w:ascii="宋体" w:hAnsi="宋体"/>
          <w:b/>
          <w:color w:val="auto"/>
          <w:sz w:val="32"/>
          <w:szCs w:val="32"/>
          <w:lang w:eastAsia="zh-CN"/>
        </w:rPr>
        <w:t>安康市生态环境保护综合执法支队</w:t>
      </w:r>
    </w:p>
    <w:p w14:paraId="3AAE393A">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eastAsia" w:ascii="宋体" w:hAnsi="宋体"/>
          <w:b/>
          <w:color w:val="auto"/>
          <w:sz w:val="32"/>
          <w:szCs w:val="32"/>
        </w:rPr>
      </w:pPr>
      <w:r>
        <w:rPr>
          <w:rFonts w:hint="eastAsia" w:ascii="宋体" w:hAnsi="宋体"/>
          <w:b/>
          <w:color w:val="auto"/>
          <w:sz w:val="32"/>
          <w:szCs w:val="32"/>
        </w:rPr>
        <w:t>采购代理机构</w:t>
      </w:r>
      <w:r>
        <w:rPr>
          <w:rFonts w:ascii="宋体" w:hAnsi="宋体"/>
          <w:b/>
          <w:color w:val="auto"/>
          <w:sz w:val="32"/>
          <w:szCs w:val="32"/>
        </w:rPr>
        <w:t>：</w:t>
      </w:r>
      <w:r>
        <w:rPr>
          <w:rFonts w:hint="eastAsia" w:ascii="宋体" w:hAnsi="宋体"/>
          <w:b/>
          <w:color w:val="auto"/>
          <w:sz w:val="32"/>
          <w:szCs w:val="32"/>
        </w:rPr>
        <w:t>安康尚昊招标代理有限公司</w:t>
      </w:r>
    </w:p>
    <w:p w14:paraId="4C059A04">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606" w:firstLineChars="500"/>
        <w:jc w:val="left"/>
        <w:textAlignment w:val="auto"/>
        <w:rPr>
          <w:rFonts w:ascii="宋体" w:hAnsi="宋体"/>
          <w:b/>
          <w:bCs/>
          <w:color w:val="auto"/>
          <w:sz w:val="30"/>
          <w:szCs w:val="30"/>
        </w:rPr>
      </w:pPr>
      <w:r>
        <w:rPr>
          <w:rFonts w:hint="eastAsia" w:ascii="宋体" w:hAnsi="宋体" w:cs="Arial"/>
          <w:b/>
          <w:bCs/>
          <w:color w:val="auto"/>
          <w:sz w:val="32"/>
          <w:szCs w:val="32"/>
          <w:lang w:val="en-US" w:eastAsia="zh-CN"/>
        </w:rPr>
        <w:t>日        期：二〇二五年十</w:t>
      </w:r>
      <w:r>
        <w:rPr>
          <w:rFonts w:ascii="宋体" w:hAnsi="宋体"/>
          <w:b/>
          <w:bCs/>
          <w:color w:val="auto"/>
          <w:sz w:val="32"/>
          <w:szCs w:val="32"/>
        </w:rPr>
        <w:t>月</w:t>
      </w:r>
    </w:p>
    <w:p w14:paraId="23A090D6">
      <w:pPr>
        <w:pStyle w:val="2"/>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color w:val="auto"/>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Borders>
            <w:top w:val="none" w:sz="0" w:space="0"/>
            <w:left w:val="none" w:sz="0" w:space="0"/>
            <w:bottom w:val="none" w:sz="0" w:space="0"/>
            <w:right w:val="none" w:sz="0" w:space="0"/>
          </w:pgBorders>
          <w:pgNumType w:fmt="decimal" w:start="0"/>
          <w:cols w:space="0" w:num="1"/>
          <w:rtlGutter w:val="0"/>
          <w:docGrid w:type="lines" w:linePitch="326" w:charSpace="0"/>
        </w:sectPr>
      </w:pPr>
      <w:bookmarkStart w:id="0" w:name="_Toc23258603"/>
    </w:p>
    <w:p w14:paraId="24305325">
      <w:pPr>
        <w:pStyle w:val="2"/>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304499A0">
      <w:pPr>
        <w:keepNext/>
        <w:keepLines/>
        <w:pageBreakBefore w:val="0"/>
        <w:widowControl w:val="0"/>
        <w:tabs>
          <w:tab w:val="center" w:pos="4535"/>
          <w:tab w:val="left" w:pos="6489"/>
        </w:tabs>
        <w:kinsoku/>
        <w:wordWrap/>
        <w:overflowPunct/>
        <w:topLinePunct w:val="0"/>
        <w:autoSpaceDE/>
        <w:autoSpaceDN/>
        <w:bidi w:val="0"/>
        <w:adjustRightInd/>
        <w:snapToGrid/>
        <w:spacing w:before="0" w:after="262" w:afterLines="80" w:line="360" w:lineRule="auto"/>
        <w:jc w:val="center"/>
        <w:textAlignment w:val="auto"/>
        <w:outlineLvl w:val="9"/>
        <w:rPr>
          <w:rFonts w:hint="eastAsia" w:ascii="宋体" w:hAnsi="宋体" w:eastAsia="宋体" w:cs="宋体"/>
          <w:b/>
          <w:bCs/>
          <w:color w:val="auto"/>
          <w:sz w:val="32"/>
          <w:szCs w:val="32"/>
        </w:rPr>
      </w:pPr>
      <w:bookmarkStart w:id="2" w:name="_Toc18333"/>
      <w:bookmarkStart w:id="3" w:name="_Toc4802"/>
      <w:r>
        <w:rPr>
          <w:rFonts w:hint="eastAsia" w:ascii="宋体" w:hAnsi="宋体" w:eastAsia="宋体" w:cs="宋体"/>
          <w:b w:val="0"/>
          <w:bCs w:val="0"/>
          <w:color w:val="auto"/>
          <w:sz w:val="60"/>
          <w:szCs w:val="60"/>
        </w:rPr>
        <w:t>目  录</w:t>
      </w:r>
      <w:bookmarkEnd w:id="1"/>
      <w:bookmarkEnd w:id="2"/>
      <w:bookmarkEnd w:id="3"/>
    </w:p>
    <w:p w14:paraId="6257FBF3">
      <w:pPr>
        <w:pStyle w:val="30"/>
        <w:tabs>
          <w:tab w:val="right" w:leader="dot" w:pos="9071"/>
        </w:tabs>
        <w:rPr>
          <w:b w:val="0"/>
          <w:bCs w:val="0"/>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_Toc11582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第一章 </w:t>
      </w:r>
      <w:r>
        <w:rPr>
          <w:rFonts w:hint="eastAsia" w:ascii="宋体" w:hAnsi="宋体"/>
          <w:b w:val="0"/>
          <w:bCs w:val="0"/>
          <w:sz w:val="28"/>
          <w:szCs w:val="52"/>
          <w:lang w:val="en-US" w:eastAsia="zh-CN"/>
        </w:rPr>
        <w:t xml:space="preserve"> </w:t>
      </w:r>
      <w:r>
        <w:rPr>
          <w:rFonts w:hint="eastAsia" w:ascii="宋体" w:hAnsi="宋体"/>
          <w:b w:val="0"/>
          <w:bCs w:val="0"/>
          <w:sz w:val="28"/>
          <w:szCs w:val="52"/>
        </w:rPr>
        <w:t>招标公告</w:t>
      </w:r>
      <w:r>
        <w:rPr>
          <w:b w:val="0"/>
          <w:bCs w:val="0"/>
          <w:sz w:val="28"/>
          <w:szCs w:val="28"/>
        </w:rPr>
        <w:tab/>
      </w:r>
      <w:r>
        <w:rPr>
          <w:b w:val="0"/>
          <w:bCs w:val="0"/>
          <w:sz w:val="28"/>
          <w:szCs w:val="28"/>
        </w:rPr>
        <w:fldChar w:fldCharType="begin"/>
      </w:r>
      <w:r>
        <w:rPr>
          <w:b w:val="0"/>
          <w:bCs w:val="0"/>
          <w:sz w:val="28"/>
          <w:szCs w:val="28"/>
        </w:rPr>
        <w:instrText xml:space="preserve"> PAGEREF _Toc11582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469A4751">
      <w:pPr>
        <w:pStyle w:val="30"/>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_Toc3566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第二章 </w:t>
      </w:r>
      <w:r>
        <w:rPr>
          <w:rFonts w:hint="eastAsia" w:ascii="宋体" w:hAnsi="宋体"/>
          <w:b w:val="0"/>
          <w:bCs w:val="0"/>
          <w:sz w:val="28"/>
          <w:szCs w:val="52"/>
          <w:lang w:val="en-US" w:eastAsia="zh-CN"/>
        </w:rPr>
        <w:t xml:space="preserve"> </w:t>
      </w:r>
      <w:r>
        <w:rPr>
          <w:rFonts w:hint="eastAsia" w:ascii="宋体" w:hAnsi="宋体"/>
          <w:b w:val="0"/>
          <w:bCs w:val="0"/>
          <w:sz w:val="28"/>
          <w:szCs w:val="52"/>
        </w:rPr>
        <w:t>投标人须知前附表</w:t>
      </w:r>
      <w:r>
        <w:rPr>
          <w:b w:val="0"/>
          <w:bCs w:val="0"/>
          <w:sz w:val="28"/>
          <w:szCs w:val="28"/>
        </w:rPr>
        <w:tab/>
      </w:r>
      <w:r>
        <w:rPr>
          <w:b w:val="0"/>
          <w:bCs w:val="0"/>
          <w:sz w:val="28"/>
          <w:szCs w:val="28"/>
        </w:rPr>
        <w:fldChar w:fldCharType="begin"/>
      </w:r>
      <w:r>
        <w:rPr>
          <w:b w:val="0"/>
          <w:bCs w:val="0"/>
          <w:sz w:val="28"/>
          <w:szCs w:val="28"/>
        </w:rPr>
        <w:instrText xml:space="preserve"> PAGEREF _Toc3566 \h </w:instrText>
      </w:r>
      <w:r>
        <w:rPr>
          <w:b w:val="0"/>
          <w:bCs w:val="0"/>
          <w:sz w:val="28"/>
          <w:szCs w:val="28"/>
        </w:rPr>
        <w:fldChar w:fldCharType="separate"/>
      </w:r>
      <w:r>
        <w:rPr>
          <w:b w:val="0"/>
          <w:bCs w:val="0"/>
          <w:sz w:val="28"/>
          <w:szCs w:val="28"/>
        </w:rPr>
        <w:t>6</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19C8345A">
      <w:pPr>
        <w:pStyle w:val="30"/>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_Toc14117 </w:instrText>
      </w:r>
      <w:r>
        <w:rPr>
          <w:rFonts w:hint="eastAsia" w:ascii="宋体" w:hAnsi="宋体" w:eastAsia="宋体" w:cs="宋体"/>
          <w:b w:val="0"/>
          <w:bCs w:val="0"/>
          <w:sz w:val="28"/>
          <w:szCs w:val="44"/>
        </w:rPr>
        <w:fldChar w:fldCharType="separate"/>
      </w:r>
      <w:r>
        <w:rPr>
          <w:rFonts w:hint="eastAsia" w:ascii="宋体" w:hAnsi="宋体"/>
          <w:b w:val="0"/>
          <w:bCs w:val="0"/>
          <w:sz w:val="28"/>
          <w:szCs w:val="52"/>
        </w:rPr>
        <w:t xml:space="preserve">第三章 </w:t>
      </w:r>
      <w:r>
        <w:rPr>
          <w:rFonts w:hint="eastAsia" w:ascii="宋体" w:hAnsi="宋体"/>
          <w:b w:val="0"/>
          <w:bCs w:val="0"/>
          <w:sz w:val="28"/>
          <w:szCs w:val="52"/>
          <w:lang w:val="en-US" w:eastAsia="zh-CN"/>
        </w:rPr>
        <w:t xml:space="preserve"> </w:t>
      </w:r>
      <w:r>
        <w:rPr>
          <w:rFonts w:hint="eastAsia" w:ascii="宋体" w:hAnsi="宋体"/>
          <w:b w:val="0"/>
          <w:bCs w:val="0"/>
          <w:sz w:val="28"/>
          <w:szCs w:val="52"/>
        </w:rPr>
        <w:t>投标人须知</w:t>
      </w:r>
      <w:r>
        <w:rPr>
          <w:b w:val="0"/>
          <w:bCs w:val="0"/>
          <w:sz w:val="28"/>
          <w:szCs w:val="28"/>
        </w:rPr>
        <w:tab/>
      </w:r>
      <w:r>
        <w:rPr>
          <w:b w:val="0"/>
          <w:bCs w:val="0"/>
          <w:sz w:val="28"/>
          <w:szCs w:val="28"/>
        </w:rPr>
        <w:fldChar w:fldCharType="begin"/>
      </w:r>
      <w:r>
        <w:rPr>
          <w:b w:val="0"/>
          <w:bCs w:val="0"/>
          <w:sz w:val="28"/>
          <w:szCs w:val="28"/>
        </w:rPr>
        <w:instrText xml:space="preserve"> PAGEREF _Toc14117 \h </w:instrText>
      </w:r>
      <w:r>
        <w:rPr>
          <w:b w:val="0"/>
          <w:bCs w:val="0"/>
          <w:sz w:val="28"/>
          <w:szCs w:val="28"/>
        </w:rPr>
        <w:fldChar w:fldCharType="separate"/>
      </w:r>
      <w:r>
        <w:rPr>
          <w:b w:val="0"/>
          <w:bCs w:val="0"/>
          <w:sz w:val="28"/>
          <w:szCs w:val="28"/>
        </w:rPr>
        <w:t>9</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336E898B">
      <w:pPr>
        <w:pStyle w:val="30"/>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_Toc14426 </w:instrText>
      </w:r>
      <w:r>
        <w:rPr>
          <w:rFonts w:hint="eastAsia" w:ascii="宋体" w:hAnsi="宋体" w:eastAsia="宋体" w:cs="宋体"/>
          <w:b w:val="0"/>
          <w:bCs w:val="0"/>
          <w:sz w:val="28"/>
          <w:szCs w:val="44"/>
        </w:rPr>
        <w:fldChar w:fldCharType="separate"/>
      </w:r>
      <w:r>
        <w:rPr>
          <w:rFonts w:hint="eastAsia" w:ascii="宋体" w:hAnsi="宋体"/>
          <w:b w:val="0"/>
          <w:bCs w:val="0"/>
          <w:sz w:val="28"/>
          <w:szCs w:val="28"/>
        </w:rPr>
        <w:t xml:space="preserve">第四章 </w:t>
      </w:r>
      <w:r>
        <w:rPr>
          <w:rFonts w:hint="eastAsia" w:ascii="宋体" w:hAnsi="宋体"/>
          <w:b w:val="0"/>
          <w:bCs w:val="0"/>
          <w:sz w:val="28"/>
          <w:szCs w:val="28"/>
          <w:lang w:val="en-US" w:eastAsia="zh-CN"/>
        </w:rPr>
        <w:t xml:space="preserve"> </w:t>
      </w:r>
      <w:r>
        <w:rPr>
          <w:rFonts w:hint="eastAsia" w:ascii="宋体" w:hAnsi="宋体"/>
          <w:b w:val="0"/>
          <w:bCs w:val="0"/>
          <w:sz w:val="28"/>
          <w:szCs w:val="28"/>
        </w:rPr>
        <w:t>采购内容</w:t>
      </w:r>
      <w:r>
        <w:rPr>
          <w:rFonts w:hint="eastAsia" w:ascii="宋体" w:hAnsi="宋体"/>
          <w:b w:val="0"/>
          <w:bCs w:val="0"/>
          <w:sz w:val="28"/>
          <w:szCs w:val="28"/>
          <w:lang w:val="en-US" w:eastAsia="zh-CN"/>
        </w:rPr>
        <w:t>及要求</w:t>
      </w:r>
      <w:r>
        <w:rPr>
          <w:b w:val="0"/>
          <w:bCs w:val="0"/>
          <w:sz w:val="28"/>
          <w:szCs w:val="28"/>
        </w:rPr>
        <w:tab/>
      </w:r>
      <w:r>
        <w:rPr>
          <w:b w:val="0"/>
          <w:bCs w:val="0"/>
          <w:sz w:val="28"/>
          <w:szCs w:val="28"/>
        </w:rPr>
        <w:fldChar w:fldCharType="begin"/>
      </w:r>
      <w:r>
        <w:rPr>
          <w:b w:val="0"/>
          <w:bCs w:val="0"/>
          <w:sz w:val="28"/>
          <w:szCs w:val="28"/>
        </w:rPr>
        <w:instrText xml:space="preserve"> PAGEREF _Toc14426 \h </w:instrText>
      </w:r>
      <w:r>
        <w:rPr>
          <w:b w:val="0"/>
          <w:bCs w:val="0"/>
          <w:sz w:val="28"/>
          <w:szCs w:val="28"/>
        </w:rPr>
        <w:fldChar w:fldCharType="separate"/>
      </w:r>
      <w:r>
        <w:rPr>
          <w:b w:val="0"/>
          <w:bCs w:val="0"/>
          <w:sz w:val="28"/>
          <w:szCs w:val="28"/>
        </w:rPr>
        <w:t>26</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046DC3D0">
      <w:pPr>
        <w:pStyle w:val="30"/>
        <w:tabs>
          <w:tab w:val="right" w:leader="dot" w:pos="9071"/>
        </w:tabs>
        <w:rPr>
          <w:b w:val="0"/>
          <w:bCs w:val="0"/>
          <w:sz w:val="28"/>
          <w:szCs w:val="28"/>
        </w:rPr>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_Toc25123 </w:instrText>
      </w:r>
      <w:r>
        <w:rPr>
          <w:rFonts w:hint="eastAsia" w:ascii="宋体" w:hAnsi="宋体" w:eastAsia="宋体" w:cs="宋体"/>
          <w:b w:val="0"/>
          <w:bCs w:val="0"/>
          <w:sz w:val="28"/>
          <w:szCs w:val="44"/>
        </w:rPr>
        <w:fldChar w:fldCharType="separate"/>
      </w:r>
      <w:r>
        <w:rPr>
          <w:rFonts w:hint="eastAsia" w:ascii="宋体" w:hAnsi="宋体"/>
          <w:b w:val="0"/>
          <w:bCs w:val="0"/>
          <w:sz w:val="28"/>
          <w:szCs w:val="28"/>
        </w:rPr>
        <w:t xml:space="preserve">第五章 </w:t>
      </w:r>
      <w:r>
        <w:rPr>
          <w:rFonts w:hint="eastAsia" w:ascii="宋体" w:hAnsi="宋体"/>
          <w:b w:val="0"/>
          <w:bCs w:val="0"/>
          <w:sz w:val="28"/>
          <w:szCs w:val="28"/>
          <w:lang w:val="en-US" w:eastAsia="zh-CN"/>
        </w:rPr>
        <w:t xml:space="preserve"> </w:t>
      </w:r>
      <w:r>
        <w:rPr>
          <w:rFonts w:hint="eastAsia" w:ascii="宋体" w:hAnsi="宋体" w:cs="Times New Roman"/>
          <w:b w:val="0"/>
          <w:bCs w:val="0"/>
          <w:sz w:val="28"/>
          <w:szCs w:val="28"/>
        </w:rPr>
        <w:t>合同格式</w:t>
      </w:r>
      <w:r>
        <w:rPr>
          <w:b w:val="0"/>
          <w:bCs w:val="0"/>
          <w:sz w:val="28"/>
          <w:szCs w:val="28"/>
        </w:rPr>
        <w:tab/>
      </w:r>
      <w:r>
        <w:rPr>
          <w:b w:val="0"/>
          <w:bCs w:val="0"/>
          <w:sz w:val="28"/>
          <w:szCs w:val="28"/>
        </w:rPr>
        <w:fldChar w:fldCharType="begin"/>
      </w:r>
      <w:r>
        <w:rPr>
          <w:b w:val="0"/>
          <w:bCs w:val="0"/>
          <w:sz w:val="28"/>
          <w:szCs w:val="28"/>
        </w:rPr>
        <w:instrText xml:space="preserve"> PAGEREF _Toc25123 \h </w:instrText>
      </w:r>
      <w:r>
        <w:rPr>
          <w:b w:val="0"/>
          <w:bCs w:val="0"/>
          <w:sz w:val="28"/>
          <w:szCs w:val="28"/>
        </w:rPr>
        <w:fldChar w:fldCharType="separate"/>
      </w:r>
      <w:r>
        <w:rPr>
          <w:b w:val="0"/>
          <w:bCs w:val="0"/>
          <w:sz w:val="28"/>
          <w:szCs w:val="28"/>
        </w:rPr>
        <w:t>44</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7472F5C4">
      <w:pPr>
        <w:pStyle w:val="30"/>
        <w:tabs>
          <w:tab w:val="right" w:leader="dot" w:pos="9071"/>
        </w:tabs>
      </w:pPr>
      <w:r>
        <w:rPr>
          <w:rFonts w:hint="eastAsia" w:ascii="宋体" w:hAnsi="宋体" w:eastAsia="宋体" w:cs="宋体"/>
          <w:b w:val="0"/>
          <w:bCs w:val="0"/>
          <w:color w:val="auto"/>
          <w:sz w:val="28"/>
          <w:szCs w:val="44"/>
        </w:rPr>
        <w:fldChar w:fldCharType="begin"/>
      </w:r>
      <w:r>
        <w:rPr>
          <w:rFonts w:hint="eastAsia" w:ascii="宋体" w:hAnsi="宋体" w:eastAsia="宋体" w:cs="宋体"/>
          <w:b w:val="0"/>
          <w:bCs w:val="0"/>
          <w:sz w:val="28"/>
          <w:szCs w:val="44"/>
        </w:rPr>
        <w:instrText xml:space="preserve"> HYPERLINK \l _Toc12481 </w:instrText>
      </w:r>
      <w:r>
        <w:rPr>
          <w:rFonts w:hint="eastAsia" w:ascii="宋体" w:hAnsi="宋体" w:eastAsia="宋体" w:cs="宋体"/>
          <w:b w:val="0"/>
          <w:bCs w:val="0"/>
          <w:sz w:val="28"/>
          <w:szCs w:val="44"/>
        </w:rPr>
        <w:fldChar w:fldCharType="separate"/>
      </w:r>
      <w:r>
        <w:rPr>
          <w:rFonts w:hint="eastAsia"/>
          <w:b w:val="0"/>
          <w:bCs w:val="0"/>
          <w:sz w:val="28"/>
          <w:szCs w:val="28"/>
        </w:rPr>
        <w:t xml:space="preserve">第六章 </w:t>
      </w:r>
      <w:r>
        <w:rPr>
          <w:rFonts w:hint="eastAsia"/>
          <w:b w:val="0"/>
          <w:bCs w:val="0"/>
          <w:sz w:val="28"/>
          <w:szCs w:val="28"/>
          <w:lang w:val="en-US" w:eastAsia="zh-CN"/>
        </w:rPr>
        <w:t xml:space="preserve"> </w:t>
      </w:r>
      <w:r>
        <w:rPr>
          <w:rFonts w:hint="eastAsia"/>
          <w:b w:val="0"/>
          <w:bCs w:val="0"/>
          <w:sz w:val="28"/>
          <w:szCs w:val="28"/>
        </w:rPr>
        <w:t>投标文件（格式）</w:t>
      </w:r>
      <w:r>
        <w:rPr>
          <w:b w:val="0"/>
          <w:bCs w:val="0"/>
          <w:sz w:val="28"/>
          <w:szCs w:val="28"/>
        </w:rPr>
        <w:tab/>
      </w:r>
      <w:r>
        <w:rPr>
          <w:b w:val="0"/>
          <w:bCs w:val="0"/>
          <w:sz w:val="28"/>
          <w:szCs w:val="28"/>
        </w:rPr>
        <w:fldChar w:fldCharType="begin"/>
      </w:r>
      <w:r>
        <w:rPr>
          <w:b w:val="0"/>
          <w:bCs w:val="0"/>
          <w:sz w:val="28"/>
          <w:szCs w:val="28"/>
        </w:rPr>
        <w:instrText xml:space="preserve"> PAGEREF _Toc12481 \h </w:instrText>
      </w:r>
      <w:r>
        <w:rPr>
          <w:b w:val="0"/>
          <w:bCs w:val="0"/>
          <w:sz w:val="28"/>
          <w:szCs w:val="28"/>
        </w:rPr>
        <w:fldChar w:fldCharType="separate"/>
      </w:r>
      <w:r>
        <w:rPr>
          <w:b w:val="0"/>
          <w:bCs w:val="0"/>
          <w:sz w:val="28"/>
          <w:szCs w:val="28"/>
        </w:rPr>
        <w:t>51</w:t>
      </w:r>
      <w:r>
        <w:rPr>
          <w:b w:val="0"/>
          <w:bCs w:val="0"/>
          <w:sz w:val="28"/>
          <w:szCs w:val="28"/>
        </w:rPr>
        <w:fldChar w:fldCharType="end"/>
      </w:r>
      <w:r>
        <w:rPr>
          <w:rFonts w:hint="eastAsia" w:ascii="宋体" w:hAnsi="宋体" w:eastAsia="宋体" w:cs="宋体"/>
          <w:b w:val="0"/>
          <w:bCs w:val="0"/>
          <w:color w:val="auto"/>
          <w:sz w:val="28"/>
          <w:szCs w:val="44"/>
        </w:rPr>
        <w:fldChar w:fldCharType="end"/>
      </w:r>
    </w:p>
    <w:p w14:paraId="0AD27049">
      <w:pPr>
        <w:spacing w:line="480" w:lineRule="auto"/>
        <w:rPr>
          <w:color w:val="auto"/>
        </w:rPr>
      </w:pPr>
      <w:r>
        <w:rPr>
          <w:rFonts w:hint="eastAsia" w:ascii="宋体" w:hAnsi="宋体" w:eastAsia="宋体" w:cs="宋体"/>
          <w:color w:val="auto"/>
          <w:szCs w:val="28"/>
        </w:rPr>
        <w:fldChar w:fldCharType="end"/>
      </w:r>
    </w:p>
    <w:p w14:paraId="5FB8E918">
      <w:pPr>
        <w:rPr>
          <w:color w:val="auto"/>
        </w:rPr>
      </w:pPr>
    </w:p>
    <w:p w14:paraId="5C525C05">
      <w:pPr>
        <w:pStyle w:val="2"/>
        <w:tabs>
          <w:tab w:val="center" w:pos="4535"/>
          <w:tab w:val="left" w:pos="6489"/>
        </w:tabs>
        <w:spacing w:before="0" w:after="0" w:line="360" w:lineRule="auto"/>
        <w:jc w:val="center"/>
        <w:rPr>
          <w:color w:val="auto"/>
        </w:rPr>
        <w:sectPr>
          <w:footerReference r:id="rId8" w:type="first"/>
          <w:footerReference r:id="rId7"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5A619F4F">
      <w:pPr>
        <w:pStyle w:val="2"/>
        <w:spacing w:before="0" w:after="0" w:line="500" w:lineRule="exact"/>
        <w:jc w:val="center"/>
        <w:rPr>
          <w:rFonts w:ascii="宋体" w:hAnsi="宋体"/>
          <w:color w:val="auto"/>
          <w:sz w:val="36"/>
          <w:szCs w:val="36"/>
        </w:rPr>
      </w:pPr>
      <w:bookmarkStart w:id="4" w:name="_Toc11582"/>
      <w:bookmarkStart w:id="5" w:name="_Toc26541320"/>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p w14:paraId="2329720A">
      <w:pPr>
        <w:pStyle w:val="63"/>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安康市大气污染防治执法装备标准化项目</w:t>
      </w:r>
      <w:r>
        <w:rPr>
          <w:rFonts w:hint="eastAsia" w:ascii="宋体" w:hAnsi="宋体" w:cs="宋体"/>
          <w:color w:val="auto"/>
          <w:kern w:val="0"/>
          <w:sz w:val="24"/>
          <w:szCs w:val="24"/>
        </w:rPr>
        <w:t>的潜在投标人应在全国公共资源交易平台（陕西省</w:t>
      </w:r>
      <w:r>
        <w:rPr>
          <w:rFonts w:hint="eastAsia" w:ascii="微软雅黑" w:hAnsi="微软雅黑" w:eastAsia="微软雅黑" w:cs="微软雅黑"/>
          <w:color w:val="auto"/>
          <w:kern w:val="0"/>
          <w:sz w:val="24"/>
          <w:szCs w:val="24"/>
          <w:lang w:val="en-US" w:eastAsia="zh-CN"/>
        </w:rPr>
        <w:t xml:space="preserve"> </w:t>
      </w:r>
      <w:r>
        <w:rPr>
          <w:rFonts w:hint="eastAsia" w:ascii="宋体" w:hAnsi="宋体" w:cs="宋体"/>
          <w:color w:val="auto"/>
          <w:kern w:val="0"/>
          <w:sz w:val="24"/>
          <w:szCs w:val="24"/>
        </w:rPr>
        <w:t>安康市）获取</w:t>
      </w:r>
      <w:r>
        <w:rPr>
          <w:rFonts w:hint="eastAsia" w:ascii="宋体" w:hAnsi="宋体" w:cs="宋体"/>
          <w:color w:val="auto"/>
          <w:kern w:val="0"/>
          <w:sz w:val="24"/>
          <w:szCs w:val="24"/>
          <w:lang w:val="en-US" w:eastAsia="zh-CN"/>
        </w:rPr>
        <w:t>招标</w:t>
      </w:r>
      <w:r>
        <w:rPr>
          <w:rFonts w:hint="eastAsia" w:ascii="宋体" w:hAnsi="宋体" w:cs="宋体"/>
          <w:color w:val="auto"/>
          <w:kern w:val="0"/>
          <w:sz w:val="24"/>
          <w:szCs w:val="24"/>
        </w:rPr>
        <w:t>文件</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并于</w:t>
      </w:r>
      <w:r>
        <w:rPr>
          <w:rFonts w:hint="eastAsia" w:ascii="宋体" w:hAnsi="宋体" w:cs="宋体"/>
          <w:color w:val="auto"/>
          <w:kern w:val="0"/>
          <w:sz w:val="24"/>
          <w:szCs w:val="24"/>
          <w:lang w:val="en-US" w:eastAsia="zh-CN"/>
        </w:rPr>
        <w:t>2025年12月02日11：00时</w:t>
      </w:r>
      <w:r>
        <w:rPr>
          <w:rFonts w:hint="eastAsia" w:ascii="宋体" w:hAnsi="宋体" w:cs="宋体"/>
          <w:color w:val="auto"/>
          <w:kern w:val="0"/>
          <w:sz w:val="24"/>
          <w:szCs w:val="24"/>
        </w:rPr>
        <w:t>（北京时间）前提交</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w:t>
      </w:r>
    </w:p>
    <w:p w14:paraId="77931297">
      <w:pPr>
        <w:keepNext w:val="0"/>
        <w:keepLines w:val="0"/>
        <w:pageBreakBefore w:val="0"/>
        <w:widowControl/>
        <w:numPr>
          <w:ilvl w:val="0"/>
          <w:numId w:val="0"/>
        </w:numPr>
        <w:kinsoku/>
        <w:wordWrap/>
        <w:overflowPunct/>
        <w:topLinePunct w:val="0"/>
        <w:autoSpaceDE/>
        <w:autoSpaceDN/>
        <w:bidi w:val="0"/>
        <w:adjustRightInd/>
        <w:snapToGrid w:val="0"/>
        <w:spacing w:line="480" w:lineRule="exact"/>
        <w:ind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3C435B6E">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w:t>
      </w:r>
      <w:r>
        <w:rPr>
          <w:rFonts w:hint="eastAsia" w:ascii="宋体" w:hAnsi="宋体" w:cs="宋体"/>
          <w:color w:val="auto"/>
          <w:kern w:val="0"/>
          <w:sz w:val="24"/>
          <w:szCs w:val="24"/>
          <w:lang w:val="en-US" w:eastAsia="zh-CN" w:bidi="ar-SA"/>
        </w:rPr>
        <w:t>AKSH2025-ZGK-088</w:t>
      </w:r>
    </w:p>
    <w:p w14:paraId="63CC1657">
      <w:pPr>
        <w:pStyle w:val="63"/>
        <w:keepNext w:val="0"/>
        <w:keepLines w:val="0"/>
        <w:pageBreakBefore w:val="0"/>
        <w:kinsoku/>
        <w:wordWrap/>
        <w:overflowPunct/>
        <w:topLinePunct w:val="0"/>
        <w:autoSpaceDE/>
        <w:autoSpaceDN/>
        <w:bidi w:val="0"/>
        <w:adjustRightInd/>
        <w:spacing w:line="480" w:lineRule="exact"/>
        <w:ind w:firstLine="480"/>
        <w:textAlignment w:val="auto"/>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eastAsia="zh-CN"/>
        </w:rPr>
        <w:t>安康市大气污染防治执法装备标准化项目</w:t>
      </w:r>
    </w:p>
    <w:p w14:paraId="088E4D96">
      <w:pPr>
        <w:pStyle w:val="63"/>
        <w:keepNext w:val="0"/>
        <w:keepLines w:val="0"/>
        <w:pageBreakBefore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采购方式：公开招标</w:t>
      </w:r>
    </w:p>
    <w:p w14:paraId="5EE97C76">
      <w:pPr>
        <w:pStyle w:val="63"/>
        <w:keepNext w:val="0"/>
        <w:keepLines w:val="0"/>
        <w:pageBreakBefore w:val="0"/>
        <w:kinsoku/>
        <w:wordWrap/>
        <w:overflowPunct/>
        <w:topLinePunct w:val="0"/>
        <w:autoSpaceDE/>
        <w:autoSpaceDN/>
        <w:bidi w:val="0"/>
        <w:adjustRightInd/>
        <w:spacing w:line="480" w:lineRule="exact"/>
        <w:ind w:firstLine="480"/>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4.</w:t>
      </w:r>
      <w:r>
        <w:rPr>
          <w:rFonts w:hint="eastAsia" w:ascii="宋体" w:hAnsi="宋体" w:cs="宋体"/>
          <w:color w:val="auto"/>
          <w:kern w:val="0"/>
          <w:sz w:val="24"/>
          <w:szCs w:val="24"/>
        </w:rPr>
        <w:t>预算金额：</w:t>
      </w:r>
      <w:r>
        <w:rPr>
          <w:rFonts w:hint="eastAsia" w:ascii="宋体" w:hAnsi="宋体" w:cs="宋体"/>
          <w:color w:val="000000"/>
          <w:kern w:val="0"/>
          <w:sz w:val="24"/>
          <w:lang w:val="en-US" w:eastAsia="zh-CN"/>
        </w:rPr>
        <w:t>7080000.00元</w:t>
      </w:r>
    </w:p>
    <w:p w14:paraId="3045EB85">
      <w:pPr>
        <w:pStyle w:val="63"/>
        <w:keepNext w:val="0"/>
        <w:keepLines w:val="0"/>
        <w:pageBreakBefore w:val="0"/>
        <w:kinsoku/>
        <w:wordWrap/>
        <w:overflowPunct/>
        <w:topLinePunct w:val="0"/>
        <w:autoSpaceDE/>
        <w:autoSpaceDN/>
        <w:bidi w:val="0"/>
        <w:adjustRightInd/>
        <w:spacing w:line="480" w:lineRule="exact"/>
        <w:textAlignment w:val="auto"/>
        <w:outlineLvl w:val="9"/>
        <w:rPr>
          <w:rFonts w:hint="eastAsia" w:ascii="宋体" w:hAnsi="宋体" w:eastAsia="宋体" w:cs="宋体"/>
          <w:b/>
          <w:bCs/>
          <w:color w:val="auto"/>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采购需求：</w:t>
      </w:r>
      <w:r>
        <w:rPr>
          <w:rFonts w:hint="eastAsia" w:ascii="宋体" w:hAnsi="宋体" w:cs="宋体"/>
          <w:color w:val="auto"/>
          <w:kern w:val="0"/>
          <w:sz w:val="24"/>
          <w:szCs w:val="24"/>
          <w:lang w:eastAsia="zh-CN"/>
        </w:rPr>
        <w:t>安康市大气污染防治执法装备标准化项目</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安康市大气污染防治执法装备标准化项目</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7080000.00元</w:t>
      </w:r>
      <w:r>
        <w:rPr>
          <w:rFonts w:hint="eastAsia" w:ascii="宋体" w:hAnsi="宋体" w:eastAsia="宋体" w:cs="宋体"/>
          <w:color w:val="auto"/>
          <w:sz w:val="24"/>
          <w:szCs w:val="24"/>
          <w:lang w:val="en-US" w:eastAsia="zh-CN" w:bidi="ar"/>
        </w:rPr>
        <w:t>，</w:t>
      </w:r>
      <w:r>
        <w:rPr>
          <w:rFonts w:hint="eastAsia" w:ascii="宋体" w:hAnsi="宋体" w:cs="宋体"/>
          <w:color w:val="auto"/>
          <w:sz w:val="24"/>
          <w:szCs w:val="24"/>
          <w:lang w:val="en-US" w:eastAsia="zh-CN" w:bidi="ar"/>
        </w:rPr>
        <w:t>主要内容：采购红外热成像气体泄漏仪、手持式光离子化检测仪、便携式氢火焰离子化检测仪等1批大气污染防治执法装备；</w:t>
      </w:r>
      <w:r>
        <w:rPr>
          <w:rFonts w:hint="eastAsia" w:ascii="宋体" w:hAnsi="宋体" w:cs="宋体"/>
          <w:color w:val="auto"/>
          <w:kern w:val="0"/>
          <w:sz w:val="24"/>
          <w:szCs w:val="24"/>
          <w:lang w:val="en-US" w:eastAsia="zh-CN"/>
        </w:rPr>
        <w:t>简要技术要求、用途：准确定位大气重点污染源排放点位，快速检测固定污染源、移动污染源浓度，提高大气环境风险防控和执法监管能力；详细技术要求详见招标文件第四章“采购内容及要求”</w:t>
      </w:r>
      <w:r>
        <w:rPr>
          <w:rFonts w:hint="eastAsia" w:ascii="宋体" w:hAnsi="宋体" w:eastAsia="宋体" w:cs="宋体"/>
          <w:color w:val="auto"/>
          <w:kern w:val="0"/>
          <w:sz w:val="24"/>
          <w:szCs w:val="24"/>
          <w:lang w:val="en-US" w:eastAsia="zh-CN"/>
        </w:rPr>
        <w:t>。</w:t>
      </w:r>
    </w:p>
    <w:p w14:paraId="5544C2F0">
      <w:pPr>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合同履行期</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自合同签订生效之日起45个日历天内交付（包含调试验收）</w:t>
      </w:r>
    </w:p>
    <w:p w14:paraId="44C8EA0B">
      <w:pPr>
        <w:keepNext w:val="0"/>
        <w:keepLines w:val="0"/>
        <w:pageBreakBefore w:val="0"/>
        <w:widowControl/>
        <w:tabs>
          <w:tab w:val="left" w:pos="1620"/>
        </w:tabs>
        <w:kinsoku/>
        <w:wordWrap/>
        <w:overflowPunct/>
        <w:topLinePunct w:val="0"/>
        <w:autoSpaceDE/>
        <w:autoSpaceDN/>
        <w:bidi w:val="0"/>
        <w:adjustRightInd/>
        <w:snapToGrid w:val="0"/>
        <w:spacing w:line="480" w:lineRule="exact"/>
        <w:ind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二、投标人的资格要求</w:t>
      </w:r>
    </w:p>
    <w:p w14:paraId="19D0FC2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（一）满足《中华人民共和国政府采购法》第二十二条的规定；</w:t>
      </w:r>
    </w:p>
    <w:p w14:paraId="172B51A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（二）特定资格条件： </w:t>
      </w:r>
    </w:p>
    <w:p w14:paraId="6D08B0A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具有独立承担民事责任能力的法人、其他组织或自然人，并出具合法有效的营业执照或事业单位法人证书等国家规定的相关证明，自然人参与的提供其身份证明。</w:t>
      </w:r>
    </w:p>
    <w:p w14:paraId="398521C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2.法定代表人授权书及被授权人身份证复印件（法定代表人直接投标只需提交其身份证明资料）。</w:t>
      </w:r>
    </w:p>
    <w:p w14:paraId="09C0AF78">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0A33A2C">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7629D38C">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1F3882C4">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098A6FB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2BF08A1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lang w:val="en-US" w:eastAsia="zh-CN"/>
        </w:rPr>
      </w:pPr>
      <w:bookmarkStart w:id="7" w:name="OLE_LINK2"/>
      <w:r>
        <w:rPr>
          <w:rFonts w:hint="eastAsia" w:ascii="宋体" w:hAnsi="宋体" w:cs="宋体"/>
          <w:color w:val="auto"/>
          <w:sz w:val="24"/>
          <w:szCs w:val="24"/>
          <w:lang w:val="en-US" w:eastAsia="zh-CN"/>
        </w:rPr>
        <w:t>8.提供具有履行合同所必需的设备和专业技术能力的承诺书（格式自拟）。</w:t>
      </w:r>
    </w:p>
    <w:bookmarkEnd w:id="7"/>
    <w:p w14:paraId="08899446">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9.本项目不接受联合体投标。</w:t>
      </w:r>
    </w:p>
    <w:p w14:paraId="0605F64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（三）采购项目需要落实的政府采购政策</w:t>
      </w:r>
    </w:p>
    <w:p w14:paraId="150C82BC">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40A72E4C">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《政府采购促进中小企业发展管理办法》（财库〔2020〕46号）；</w:t>
      </w:r>
    </w:p>
    <w:p w14:paraId="40DA0867">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《财政部司法部关于政府采购支持监狱企业发展有关问题的通知》（财库〔2014〕68号）；</w:t>
      </w:r>
    </w:p>
    <w:p w14:paraId="7AFB4335">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《财政部发展改革委生态环境部市场监</w:t>
      </w:r>
      <w:r>
        <w:rPr>
          <w:rFonts w:hint="eastAsia" w:ascii="宋体" w:hAnsi="宋体" w:cs="宋体"/>
          <w:color w:val="auto"/>
          <w:sz w:val="24"/>
          <w:szCs w:val="24"/>
          <w:shd w:val="clear" w:color="auto" w:fill="FFFFFF"/>
          <w:lang w:val="en-US" w:eastAsia="zh-CN"/>
        </w:rPr>
        <w:t>管</w:t>
      </w:r>
      <w:r>
        <w:rPr>
          <w:rFonts w:hint="eastAsia" w:ascii="宋体" w:hAnsi="宋体" w:cs="宋体"/>
          <w:color w:val="auto"/>
          <w:sz w:val="24"/>
          <w:szCs w:val="24"/>
          <w:shd w:val="clear" w:color="auto" w:fill="FFFFFF"/>
        </w:rPr>
        <w:t>总局关于调整优化节能产品、环境标志产品政府采购执行机制的通知》（财库〔2019〕9号）；</w:t>
      </w:r>
    </w:p>
    <w:p w14:paraId="0E105C28">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《财政部民政部中国残疾人联合会关于促进残疾人就业政府采购政策的通知》（财库〔2017〕141号）；</w:t>
      </w:r>
    </w:p>
    <w:p w14:paraId="6CDFC858">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《财政部 国务院扶贫办关于运用政府采购政策支持脱贫攻坚的通知》（财库〔2019〕27号）；</w:t>
      </w:r>
    </w:p>
    <w:p w14:paraId="166F9098">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eastAsia="宋体" w:cs="宋体"/>
          <w:color w:val="auto"/>
          <w:kern w:val="0"/>
          <w:sz w:val="24"/>
          <w:szCs w:val="24"/>
          <w:lang w:val="en-US" w:eastAsia="zh-CN"/>
        </w:rPr>
        <w:t>《陕西省财政厅关于加快推进我省中小企业政府采购信用融资工作的通知》（陕财办采〔2020〕15 号）、陕西省财政厅关于印发《陕西省中小企业政府采购信用融资办法》（陕财办采〔2018〕23 号）；</w:t>
      </w:r>
    </w:p>
    <w:p w14:paraId="34EE41D1">
      <w:pPr>
        <w:keepNext w:val="0"/>
        <w:keepLines w:val="0"/>
        <w:pageBreakBefore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其他需要落实的政府采购政策。</w:t>
      </w:r>
    </w:p>
    <w:p w14:paraId="26EB27CD">
      <w:pPr>
        <w:keepNext w:val="0"/>
        <w:keepLines w:val="0"/>
        <w:pageBreakBefore w:val="0"/>
        <w:kinsoku/>
        <w:wordWrap/>
        <w:overflowPunct/>
        <w:topLinePunct w:val="0"/>
        <w:autoSpaceDE/>
        <w:autoSpaceDN/>
        <w:bidi w:val="0"/>
        <w:adjustRightInd/>
        <w:snapToGrid w:val="0"/>
        <w:spacing w:line="48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三、招标文件获取</w:t>
      </w:r>
      <w:r>
        <w:rPr>
          <w:rFonts w:hint="eastAsia" w:ascii="宋体" w:hAnsi="宋体" w:cs="宋体"/>
          <w:color w:val="auto"/>
          <w:sz w:val="24"/>
          <w:szCs w:val="24"/>
        </w:rPr>
        <w:t xml:space="preserve"> </w:t>
      </w:r>
    </w:p>
    <w:p w14:paraId="475A792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kern w:val="0"/>
          <w:sz w:val="24"/>
          <w:szCs w:val="24"/>
        </w:rPr>
      </w:pPr>
      <w:bookmarkStart w:id="8"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w:t>
      </w:r>
      <w:r>
        <w:rPr>
          <w:rFonts w:hint="eastAsia" w:ascii="宋体" w:hAnsi="宋体" w:cs="宋体"/>
          <w:color w:val="auto"/>
          <w:kern w:val="0"/>
          <w:sz w:val="24"/>
          <w:szCs w:val="24"/>
          <w:lang w:val="en-US" w:eastAsia="zh-CN"/>
        </w:rPr>
        <w:t>2025年10月28日</w:t>
      </w:r>
      <w:r>
        <w:rPr>
          <w:rFonts w:hint="eastAsia" w:ascii="宋体" w:hAnsi="宋体" w:cs="宋体"/>
          <w:color w:val="auto"/>
          <w:kern w:val="0"/>
          <w:sz w:val="24"/>
          <w:szCs w:val="24"/>
        </w:rPr>
        <w:t>至</w:t>
      </w:r>
      <w:r>
        <w:rPr>
          <w:rFonts w:hint="eastAsia" w:ascii="宋体" w:hAnsi="宋体" w:cs="宋体"/>
          <w:color w:val="auto"/>
          <w:kern w:val="0"/>
          <w:sz w:val="24"/>
          <w:szCs w:val="24"/>
          <w:lang w:val="en-US" w:eastAsia="zh-CN"/>
        </w:rPr>
        <w:t xml:space="preserve">2025年11月03日 </w:t>
      </w:r>
      <w:r>
        <w:rPr>
          <w:rFonts w:hint="eastAsia" w:ascii="宋体" w:hAnsi="宋体" w:cs="宋体"/>
          <w:color w:val="auto"/>
          <w:kern w:val="0"/>
          <w:sz w:val="24"/>
          <w:szCs w:val="24"/>
        </w:rPr>
        <w:t>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8"/>
    </w:p>
    <w:p w14:paraId="781618F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kern w:val="0"/>
          <w:sz w:val="24"/>
          <w:szCs w:val="24"/>
        </w:rPr>
      </w:pPr>
      <w:bookmarkStart w:id="9"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获取地点：全国公共资源交易平台（陕西省</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安康市）。</w:t>
      </w:r>
      <w:bookmarkEnd w:id="9"/>
    </w:p>
    <w:p w14:paraId="70DEB48D">
      <w:pPr>
        <w:pStyle w:val="63"/>
        <w:keepNext w:val="0"/>
        <w:keepLines w:val="0"/>
        <w:pageBreakBefore w:val="0"/>
        <w:kinsoku/>
        <w:wordWrap/>
        <w:overflowPunct/>
        <w:topLinePunct w:val="0"/>
        <w:autoSpaceDE/>
        <w:autoSpaceDN/>
        <w:bidi w:val="0"/>
        <w:adjustRightInd/>
        <w:spacing w:line="480" w:lineRule="exact"/>
        <w:ind w:firstLine="480"/>
        <w:textAlignment w:val="auto"/>
        <w:rPr>
          <w:rFonts w:ascii="宋体" w:hAnsi="宋体" w:cs="宋体"/>
          <w:color w:val="auto"/>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获取方式：</w:t>
      </w:r>
      <w:r>
        <w:rPr>
          <w:rFonts w:hint="eastAsia" w:ascii="宋体" w:hAnsi="宋体" w:cs="宋体"/>
          <w:color w:val="auto"/>
          <w:kern w:val="0"/>
          <w:sz w:val="24"/>
          <w:szCs w:val="24"/>
          <w:lang w:val="en-US" w:eastAsia="zh-CN"/>
        </w:rPr>
        <w:t>在线获取</w:t>
      </w:r>
      <w:r>
        <w:rPr>
          <w:rFonts w:hint="eastAsia" w:ascii="宋体" w:hAnsi="宋体" w:cs="宋体"/>
          <w:color w:val="auto"/>
          <w:kern w:val="0"/>
          <w:sz w:val="24"/>
          <w:szCs w:val="24"/>
        </w:rPr>
        <w:t>。</w:t>
      </w:r>
    </w:p>
    <w:p w14:paraId="29EF6246">
      <w:pPr>
        <w:keepNext w:val="0"/>
        <w:keepLines w:val="0"/>
        <w:pageBreakBefore w:val="0"/>
        <w:kinsoku/>
        <w:wordWrap/>
        <w:overflowPunct/>
        <w:topLinePunct w:val="0"/>
        <w:autoSpaceDE/>
        <w:autoSpaceDN/>
        <w:bidi w:val="0"/>
        <w:adjustRightInd/>
        <w:spacing w:line="480" w:lineRule="exact"/>
        <w:ind w:firstLine="480" w:firstLineChars="200"/>
        <w:textAlignment w:val="auto"/>
        <w:rPr>
          <w:rFonts w:ascii="宋体" w:hAnsi="宋体" w:cs="宋体"/>
          <w:color w:val="auto"/>
          <w:kern w:val="0"/>
          <w:sz w:val="24"/>
          <w:szCs w:val="28"/>
        </w:rPr>
      </w:pPr>
      <w:bookmarkStart w:id="10" w:name="_Toc35529354"/>
      <w:r>
        <w:rPr>
          <w:rFonts w:hint="eastAsia" w:ascii="宋体" w:hAnsi="宋体" w:cs="宋体"/>
          <w:color w:val="auto"/>
          <w:kern w:val="0"/>
          <w:sz w:val="24"/>
          <w:szCs w:val="24"/>
          <w:lang w:eastAsia="zh-CN"/>
        </w:rPr>
        <w:t>4.</w:t>
      </w:r>
      <w:r>
        <w:rPr>
          <w:rFonts w:hint="eastAsia" w:ascii="宋体" w:hAnsi="宋体" w:cs="宋体"/>
          <w:color w:val="auto"/>
          <w:kern w:val="0"/>
          <w:sz w:val="24"/>
          <w:szCs w:val="24"/>
        </w:rPr>
        <w:t>文件售价</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免费获取</w:t>
      </w:r>
      <w:r>
        <w:rPr>
          <w:rFonts w:hint="eastAsia" w:ascii="宋体" w:hAnsi="宋体" w:cs="宋体"/>
          <w:color w:val="auto"/>
          <w:kern w:val="0"/>
          <w:sz w:val="24"/>
          <w:szCs w:val="24"/>
        </w:rPr>
        <w:t>。</w:t>
      </w:r>
      <w:bookmarkEnd w:id="10"/>
    </w:p>
    <w:p w14:paraId="6CD1B15D">
      <w:pPr>
        <w:keepNext w:val="0"/>
        <w:keepLines w:val="0"/>
        <w:pageBreakBefore w:val="0"/>
        <w:kinsoku/>
        <w:wordWrap/>
        <w:overflowPunct/>
        <w:topLinePunct w:val="0"/>
        <w:autoSpaceDE/>
        <w:autoSpaceDN/>
        <w:bidi w:val="0"/>
        <w:adjustRightInd/>
        <w:spacing w:line="480" w:lineRule="exact"/>
        <w:ind w:left="0" w:firstLine="480" w:firstLineChars="200"/>
        <w:textAlignment w:val="auto"/>
        <w:outlineLvl w:val="9"/>
        <w:rPr>
          <w:color w:val="auto"/>
          <w:sz w:val="24"/>
          <w:szCs w:val="24"/>
        </w:rPr>
      </w:pPr>
      <w:r>
        <w:rPr>
          <w:rFonts w:hint="eastAsia"/>
          <w:color w:val="auto"/>
          <w:sz w:val="24"/>
          <w:szCs w:val="24"/>
        </w:rPr>
        <w:t>备注：（1）获取须知：供应商使用捆绑CA证书登录安康市公共资源交易中心（http</w:t>
      </w:r>
      <w:r>
        <w:rPr>
          <w:rFonts w:hint="eastAsia"/>
          <w:color w:val="auto"/>
          <w:sz w:val="24"/>
          <w:szCs w:val="24"/>
          <w:lang w:eastAsia="zh-CN"/>
        </w:rPr>
        <w:t>：</w:t>
      </w:r>
      <w:r>
        <w:rPr>
          <w:rFonts w:hint="eastAsia"/>
          <w:color w:val="auto"/>
          <w:sz w:val="24"/>
          <w:szCs w:val="24"/>
        </w:rPr>
        <w:t>//ak.sxggzyjy.cn/），选择电子交易平台中的陕西政府采购交易系统企业端进行登录，登录后选择“交易乙方”身份进入供应商界面进行网上报名。（2）采购代理公司确认：网上报名成功后投标供应商</w:t>
      </w:r>
      <w:r>
        <w:rPr>
          <w:rFonts w:hint="eastAsia"/>
          <w:color w:val="auto"/>
          <w:sz w:val="24"/>
          <w:szCs w:val="24"/>
          <w:lang w:val="en-US" w:eastAsia="zh-CN"/>
        </w:rPr>
        <w:t>须</w:t>
      </w:r>
      <w:r>
        <w:rPr>
          <w:rFonts w:hint="eastAsia"/>
          <w:color w:val="auto"/>
          <w:sz w:val="24"/>
          <w:szCs w:val="24"/>
        </w:rPr>
        <w:t>在</w:t>
      </w:r>
      <w:r>
        <w:rPr>
          <w:rFonts w:hint="eastAsia"/>
          <w:color w:val="auto"/>
          <w:sz w:val="24"/>
          <w:szCs w:val="24"/>
          <w:lang w:val="en-US" w:eastAsia="zh-CN"/>
        </w:rPr>
        <w:t>招标</w:t>
      </w:r>
      <w:r>
        <w:rPr>
          <w:rFonts w:hint="eastAsia"/>
          <w:color w:val="auto"/>
          <w:sz w:val="24"/>
          <w:szCs w:val="24"/>
        </w:rPr>
        <w:t>文件获取时间内将报名回执单、介绍信（备注经办人联系电话及电子邮箱）、身份证复印件加盖公章递交至安康尚昊招标代理有限公司进行报名资料确认(安康市高新区高新观澜8栋二单元 801室，邮箱</w:t>
      </w:r>
      <w:r>
        <w:rPr>
          <w:rFonts w:hint="eastAsia"/>
          <w:color w:val="auto"/>
          <w:sz w:val="24"/>
          <w:szCs w:val="24"/>
          <w:lang w:eastAsia="zh-CN"/>
        </w:rPr>
        <w:t>：</w:t>
      </w:r>
      <w:r>
        <w:rPr>
          <w:rFonts w:hint="eastAsia"/>
          <w:color w:val="auto"/>
          <w:sz w:val="24"/>
          <w:szCs w:val="24"/>
          <w:lang w:val="en-US" w:eastAsia="zh-CN"/>
        </w:rPr>
        <w:t>365060958</w:t>
      </w:r>
      <w:r>
        <w:rPr>
          <w:rFonts w:hint="eastAsia"/>
          <w:color w:val="auto"/>
          <w:sz w:val="24"/>
          <w:szCs w:val="24"/>
        </w:rPr>
        <w:t>@</w:t>
      </w:r>
      <w:r>
        <w:rPr>
          <w:rFonts w:hint="eastAsia"/>
          <w:color w:val="auto"/>
          <w:sz w:val="24"/>
          <w:szCs w:val="24"/>
          <w:lang w:val="en-US" w:eastAsia="zh-CN"/>
        </w:rPr>
        <w:t>q</w:t>
      </w:r>
      <w:r>
        <w:rPr>
          <w:rFonts w:hint="eastAsia"/>
          <w:color w:val="auto"/>
          <w:sz w:val="24"/>
          <w:szCs w:val="24"/>
        </w:rPr>
        <w:t>q.com)</w:t>
      </w:r>
      <w:r>
        <w:rPr>
          <w:rFonts w:hint="eastAsia"/>
          <w:color w:val="auto"/>
          <w:sz w:val="24"/>
          <w:szCs w:val="24"/>
          <w:lang w:eastAsia="zh-CN"/>
        </w:rPr>
        <w:t>。</w:t>
      </w:r>
      <w:r>
        <w:rPr>
          <w:rFonts w:hint="eastAsia"/>
          <w:color w:val="auto"/>
          <w:sz w:val="24"/>
          <w:szCs w:val="24"/>
        </w:rPr>
        <w:t>（3）未完成网上投标成功的或未经采购代理公司确认或未在规定时间内在平台上下载文件的，导致无法完成后续流程的责任自负。（4）本项目采用电子化投标及远程不见面开标方式，相关操作流程详见全国公共资源交易平台（陕西省）网站[服务指南</w:t>
      </w:r>
      <w:r>
        <w:rPr>
          <w:rFonts w:hint="eastAsia"/>
          <w:color w:val="auto"/>
          <w:sz w:val="24"/>
          <w:szCs w:val="24"/>
          <w:lang w:eastAsia="zh-CN"/>
        </w:rPr>
        <w:t>－</w:t>
      </w:r>
      <w:r>
        <w:rPr>
          <w:rFonts w:hint="eastAsia"/>
          <w:color w:val="auto"/>
          <w:sz w:val="24"/>
          <w:szCs w:val="24"/>
        </w:rPr>
        <w:t>下载专区]中的《陕西省公共资源交易中心政府采购项目投标指南》。开标前，供应商需登录网络开标大厅。开标时，按照工作人员要求进行远程解密，如因供应商自身原因造成无法签到或解密投标文件，按无效投标对待。（5）电子投标文件技术支持：400928009</w:t>
      </w:r>
      <w:r>
        <w:rPr>
          <w:rFonts w:hint="eastAsia"/>
          <w:color w:val="auto"/>
          <w:sz w:val="24"/>
          <w:szCs w:val="24"/>
          <w:lang w:eastAsia="zh-CN"/>
        </w:rPr>
        <w:t>5.</w:t>
      </w:r>
      <w:r>
        <w:rPr>
          <w:rFonts w:hint="eastAsia"/>
          <w:color w:val="auto"/>
          <w:sz w:val="24"/>
          <w:szCs w:val="24"/>
        </w:rPr>
        <w:t>4009980000。</w:t>
      </w:r>
    </w:p>
    <w:p w14:paraId="378CE303">
      <w:pPr>
        <w:keepNext w:val="0"/>
        <w:keepLines w:val="0"/>
        <w:pageBreakBefore w:val="0"/>
        <w:kinsoku/>
        <w:wordWrap/>
        <w:overflowPunct/>
        <w:topLinePunct w:val="0"/>
        <w:autoSpaceDE/>
        <w:autoSpaceDN/>
        <w:bidi w:val="0"/>
        <w:adjustRightInd/>
        <w:spacing w:line="48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投标文件递交</w:t>
      </w:r>
    </w:p>
    <w:p w14:paraId="57C6DAF2">
      <w:pPr>
        <w:keepNext w:val="0"/>
        <w:keepLines w:val="0"/>
        <w:pageBreakBefore w:val="0"/>
        <w:widowControl/>
        <w:tabs>
          <w:tab w:val="left" w:pos="0"/>
        </w:tabs>
        <w:kinsoku/>
        <w:wordWrap/>
        <w:overflowPunct/>
        <w:topLinePunct w:val="0"/>
        <w:autoSpaceDE/>
        <w:autoSpaceDN/>
        <w:bidi w:val="0"/>
        <w:adjustRightInd/>
        <w:snapToGrid w:val="0"/>
        <w:spacing w:line="48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投标文件递交截止时间：</w:t>
      </w:r>
      <w:r>
        <w:rPr>
          <w:rFonts w:hint="eastAsia" w:ascii="宋体" w:hAnsi="宋体" w:cs="宋体"/>
          <w:color w:val="auto"/>
          <w:kern w:val="0"/>
          <w:sz w:val="24"/>
          <w:szCs w:val="24"/>
          <w:lang w:val="en-US" w:eastAsia="zh-CN"/>
        </w:rPr>
        <w:t>2025年12月02日11：00时</w:t>
      </w:r>
      <w:r>
        <w:rPr>
          <w:rFonts w:hint="eastAsia" w:ascii="宋体" w:hAnsi="宋体" w:cs="宋体"/>
          <w:color w:val="auto"/>
          <w:kern w:val="0"/>
          <w:sz w:val="24"/>
          <w:szCs w:val="24"/>
        </w:rPr>
        <w:t xml:space="preserve"> </w:t>
      </w:r>
    </w:p>
    <w:p w14:paraId="58865534">
      <w:pPr>
        <w:pStyle w:val="36"/>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480"/>
        <w:textAlignment w:val="auto"/>
        <w:rPr>
          <w:color w:val="auto"/>
          <w:szCs w:val="24"/>
        </w:rPr>
      </w:pPr>
      <w:r>
        <w:rPr>
          <w:rFonts w:hint="eastAsia" w:cs="宋体"/>
          <w:color w:val="auto"/>
          <w:szCs w:val="24"/>
          <w:lang w:eastAsia="zh-CN"/>
        </w:rPr>
        <w:t>2.</w:t>
      </w:r>
      <w:r>
        <w:rPr>
          <w:rFonts w:hint="eastAsia" w:cs="宋体"/>
          <w:color w:val="auto"/>
          <w:szCs w:val="24"/>
        </w:rPr>
        <w:t>投标文件递交地点：</w:t>
      </w:r>
      <w:r>
        <w:rPr>
          <w:rFonts w:hint="eastAsia" w:ascii="宋体" w:hAnsi="宋体" w:cs="宋体"/>
          <w:color w:val="auto"/>
          <w:kern w:val="0"/>
          <w:sz w:val="24"/>
          <w:szCs w:val="24"/>
        </w:rPr>
        <w:t>全国公共资源交易平台（陕西省</w:t>
      </w:r>
      <w:r>
        <w:rPr>
          <w:rFonts w:hint="eastAsia" w:ascii="微软雅黑" w:hAnsi="微软雅黑" w:eastAsia="微软雅黑" w:cs="微软雅黑"/>
          <w:color w:val="auto"/>
          <w:kern w:val="0"/>
          <w:sz w:val="24"/>
          <w:szCs w:val="24"/>
          <w:lang w:val="en-US" w:eastAsia="zh-CN"/>
        </w:rPr>
        <w:t xml:space="preserve"> </w:t>
      </w:r>
      <w:r>
        <w:rPr>
          <w:rFonts w:hint="eastAsia" w:ascii="宋体" w:hAnsi="宋体" w:cs="宋体"/>
          <w:color w:val="auto"/>
          <w:kern w:val="0"/>
          <w:sz w:val="24"/>
          <w:szCs w:val="24"/>
        </w:rPr>
        <w:t>安康市）</w:t>
      </w:r>
      <w:r>
        <w:rPr>
          <w:rFonts w:hint="eastAsia" w:cs="宋体"/>
          <w:color w:val="auto"/>
          <w:szCs w:val="24"/>
        </w:rPr>
        <w:t xml:space="preserve">（采用电子化投标及远程不见面开标方式）  </w:t>
      </w:r>
    </w:p>
    <w:p w14:paraId="4E427C4C">
      <w:pPr>
        <w:keepNext w:val="0"/>
        <w:keepLines w:val="0"/>
        <w:pageBreakBefore w:val="0"/>
        <w:widowControl/>
        <w:tabs>
          <w:tab w:val="left" w:pos="1620"/>
        </w:tabs>
        <w:kinsoku/>
        <w:wordWrap/>
        <w:overflowPunct/>
        <w:topLinePunct w:val="0"/>
        <w:autoSpaceDE/>
        <w:autoSpaceDN/>
        <w:bidi w:val="0"/>
        <w:adjustRightInd/>
        <w:snapToGrid w:val="0"/>
        <w:spacing w:line="480" w:lineRule="exact"/>
        <w:ind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cs="宋体"/>
          <w:b w:val="0"/>
          <w:bCs w:val="0"/>
          <w:color w:val="auto"/>
          <w:kern w:val="0"/>
          <w:sz w:val="24"/>
          <w:szCs w:val="24"/>
          <w:lang w:val="en-US" w:eastAsia="zh-CN"/>
        </w:rPr>
        <w:t>3.开标地点：安康不见面开标大厅系统</w:t>
      </w:r>
    </w:p>
    <w:p w14:paraId="7BD45846">
      <w:pPr>
        <w:keepNext w:val="0"/>
        <w:keepLines w:val="0"/>
        <w:pageBreakBefore w:val="0"/>
        <w:widowControl/>
        <w:tabs>
          <w:tab w:val="left" w:pos="1620"/>
        </w:tabs>
        <w:kinsoku/>
        <w:wordWrap/>
        <w:overflowPunct/>
        <w:topLinePunct w:val="0"/>
        <w:autoSpaceDE/>
        <w:autoSpaceDN/>
        <w:bidi w:val="0"/>
        <w:adjustRightInd/>
        <w:snapToGrid w:val="0"/>
        <w:spacing w:line="480" w:lineRule="exact"/>
        <w:ind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：自本公告发布之日起5个工作日。</w:t>
      </w:r>
    </w:p>
    <w:p w14:paraId="3673983C">
      <w:pPr>
        <w:keepNext w:val="0"/>
        <w:keepLines w:val="0"/>
        <w:pageBreakBefore w:val="0"/>
        <w:widowControl/>
        <w:tabs>
          <w:tab w:val="left" w:pos="1620"/>
        </w:tabs>
        <w:kinsoku/>
        <w:wordWrap/>
        <w:overflowPunct/>
        <w:topLinePunct w:val="0"/>
        <w:autoSpaceDE/>
        <w:autoSpaceDN/>
        <w:bidi w:val="0"/>
        <w:adjustRightInd/>
        <w:snapToGrid w:val="0"/>
        <w:spacing w:line="480" w:lineRule="exact"/>
        <w:ind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六、其他补充事宜</w:t>
      </w:r>
      <w:r>
        <w:rPr>
          <w:rFonts w:hint="eastAsia" w:ascii="宋体" w:hAnsi="宋体" w:cs="宋体"/>
          <w:color w:val="auto"/>
          <w:kern w:val="0"/>
          <w:sz w:val="24"/>
          <w:szCs w:val="24"/>
        </w:rPr>
        <w:t>：无</w:t>
      </w:r>
    </w:p>
    <w:p w14:paraId="781E4FDE">
      <w:pPr>
        <w:pStyle w:val="63"/>
        <w:keepNext w:val="0"/>
        <w:keepLines w:val="0"/>
        <w:pageBreakBefore w:val="0"/>
        <w:kinsoku/>
        <w:wordWrap/>
        <w:overflowPunct/>
        <w:topLinePunct w:val="0"/>
        <w:autoSpaceDE/>
        <w:autoSpaceDN/>
        <w:bidi w:val="0"/>
        <w:adjustRightInd/>
        <w:spacing w:line="480" w:lineRule="exact"/>
        <w:ind w:firstLine="482" w:firstLineChars="200"/>
        <w:textAlignment w:val="auto"/>
        <w:rPr>
          <w:rFonts w:ascii="宋体" w:hAnsi="宋体" w:cs="宋体"/>
          <w:color w:val="auto"/>
          <w:kern w:val="0"/>
          <w:sz w:val="24"/>
          <w:szCs w:val="24"/>
        </w:rPr>
      </w:pPr>
      <w:r>
        <w:rPr>
          <w:rFonts w:hint="eastAsia" w:ascii="宋体" w:hAnsi="宋体" w:cs="宋体"/>
          <w:b/>
          <w:bCs/>
          <w:color w:val="auto"/>
          <w:kern w:val="0"/>
          <w:sz w:val="24"/>
          <w:szCs w:val="24"/>
        </w:rPr>
        <w:t>七、对本次招标提出询问，请按以下方式联系</w:t>
      </w:r>
    </w:p>
    <w:p w14:paraId="01862496">
      <w:pPr>
        <w:pStyle w:val="63"/>
        <w:keepNext w:val="0"/>
        <w:keepLines w:val="0"/>
        <w:pageBreakBefore w:val="0"/>
        <w:numPr>
          <w:ilvl w:val="0"/>
          <w:numId w:val="0"/>
        </w:numPr>
        <w:kinsoku/>
        <w:wordWrap/>
        <w:overflowPunct/>
        <w:topLinePunct w:val="0"/>
        <w:autoSpaceDE/>
        <w:autoSpaceDN/>
        <w:bidi w:val="0"/>
        <w:adjustRightInd/>
        <w:spacing w:line="480" w:lineRule="exact"/>
        <w:ind w:left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7800BF2C">
      <w:pPr>
        <w:pStyle w:val="63"/>
        <w:keepNext w:val="0"/>
        <w:keepLines w:val="0"/>
        <w:pageBreakBefore w:val="0"/>
        <w:kinsoku/>
        <w:wordWrap/>
        <w:overflowPunct/>
        <w:topLinePunct w:val="0"/>
        <w:autoSpaceDE/>
        <w:autoSpaceDN/>
        <w:bidi w:val="0"/>
        <w:adjustRightInd/>
        <w:spacing w:line="480" w:lineRule="exact"/>
        <w:ind w:left="450" w:firstLine="0" w:firstLineChars="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val="en-US" w:eastAsia="zh-CN"/>
        </w:rPr>
        <w:t>安康市生态环境保护综合执法支队</w:t>
      </w:r>
    </w:p>
    <w:p w14:paraId="100B6518">
      <w:pPr>
        <w:pStyle w:val="63"/>
        <w:keepNext w:val="0"/>
        <w:keepLines w:val="0"/>
        <w:pageBreakBefore w:val="0"/>
        <w:kinsoku/>
        <w:wordWrap/>
        <w:overflowPunct/>
        <w:topLinePunct w:val="0"/>
        <w:autoSpaceDE/>
        <w:autoSpaceDN/>
        <w:bidi w:val="0"/>
        <w:adjustRightInd/>
        <w:spacing w:line="480" w:lineRule="exact"/>
        <w:ind w:left="450" w:firstLine="0" w:firstLineChars="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auto"/>
          <w:kern w:val="0"/>
          <w:sz w:val="24"/>
          <w:szCs w:val="24"/>
        </w:rPr>
        <w:t>地    址：安康市高新区创业大厦东区14楼</w:t>
      </w:r>
      <w:r>
        <w:rPr>
          <w:rFonts w:hint="eastAsia" w:ascii="宋体" w:hAnsi="宋体" w:cs="宋体"/>
          <w:color w:val="000000" w:themeColor="text1"/>
          <w:kern w:val="0"/>
          <w:sz w:val="24"/>
          <w:szCs w:val="24"/>
          <w:highlight w:val="none"/>
          <w:lang w:val="en-US" w:eastAsia="zh-CN"/>
          <w14:textFill>
            <w14:solidFill>
              <w14:schemeClr w14:val="tx1"/>
            </w14:solidFill>
          </w14:textFill>
        </w:rPr>
        <w:tab/>
      </w:r>
      <w:r>
        <w:rPr>
          <w:rFonts w:hint="eastAsia" w:ascii="宋体" w:hAnsi="宋体" w:cs="宋体"/>
          <w:color w:val="000000" w:themeColor="text1"/>
          <w:kern w:val="0"/>
          <w:sz w:val="24"/>
          <w:szCs w:val="24"/>
          <w:highlight w:val="none"/>
          <w:lang w:val="en-US" w:eastAsia="zh-CN"/>
          <w14:textFill>
            <w14:solidFill>
              <w14:schemeClr w14:val="tx1"/>
            </w14:solidFill>
          </w14:textFill>
        </w:rPr>
        <w:tab/>
      </w:r>
    </w:p>
    <w:p w14:paraId="64B76C6B">
      <w:pPr>
        <w:pStyle w:val="63"/>
        <w:keepNext w:val="0"/>
        <w:keepLines w:val="0"/>
        <w:pageBreakBefore w:val="0"/>
        <w:numPr>
          <w:ilvl w:val="0"/>
          <w:numId w:val="0"/>
        </w:numPr>
        <w:kinsoku/>
        <w:wordWrap/>
        <w:overflowPunct/>
        <w:topLinePunct w:val="0"/>
        <w:autoSpaceDE/>
        <w:autoSpaceDN/>
        <w:bidi w:val="0"/>
        <w:adjustRightInd/>
        <w:spacing w:line="480" w:lineRule="exact"/>
        <w:ind w:leftChars="200"/>
        <w:textAlignment w:val="auto"/>
        <w:rPr>
          <w:rFonts w:hint="default" w:ascii="宋体" w:hAnsi="宋体" w:eastAsia="宋体" w:cs="宋体"/>
          <w:color w:val="000000" w:themeColor="text1"/>
          <w:kern w:val="0"/>
          <w:sz w:val="24"/>
          <w:szCs w:val="24"/>
          <w:highlight w:val="green"/>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联系方式：</w:t>
      </w:r>
      <w:r>
        <w:rPr>
          <w:rFonts w:hint="eastAsia" w:ascii="宋体" w:hAnsi="宋体" w:cs="宋体"/>
          <w:color w:val="000000" w:themeColor="text1"/>
          <w:kern w:val="0"/>
          <w:sz w:val="24"/>
          <w:szCs w:val="24"/>
          <w:highlight w:val="none"/>
          <w:lang w:val="en-US" w:eastAsia="zh-CN"/>
          <w14:textFill>
            <w14:solidFill>
              <w14:schemeClr w14:val="tx1"/>
            </w14:solidFill>
          </w14:textFill>
        </w:rPr>
        <w:t>15109157623</w:t>
      </w:r>
    </w:p>
    <w:p w14:paraId="325ACF57">
      <w:pPr>
        <w:pStyle w:val="63"/>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2.代理机构信息</w:t>
      </w:r>
    </w:p>
    <w:p w14:paraId="33F35B6B">
      <w:pPr>
        <w:pStyle w:val="63"/>
        <w:keepNext w:val="0"/>
        <w:keepLines w:val="0"/>
        <w:pageBreakBefore w:val="0"/>
        <w:kinsoku/>
        <w:wordWrap/>
        <w:overflowPunct/>
        <w:topLinePunct w:val="0"/>
        <w:autoSpaceDE/>
        <w:autoSpaceDN/>
        <w:bidi w:val="0"/>
        <w:adjustRightInd/>
        <w:spacing w:line="480" w:lineRule="exact"/>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15FA83CA">
      <w:pPr>
        <w:pStyle w:val="63"/>
        <w:keepNext w:val="0"/>
        <w:keepLines w:val="0"/>
        <w:pageBreakBefore w:val="0"/>
        <w:kinsoku/>
        <w:wordWrap/>
        <w:overflowPunct/>
        <w:topLinePunct w:val="0"/>
        <w:autoSpaceDE/>
        <w:autoSpaceDN/>
        <w:bidi w:val="0"/>
        <w:adjustRightInd/>
        <w:spacing w:line="480" w:lineRule="exact"/>
        <w:ind w:left="450" w:firstLine="0" w:firstLineChars="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    址：</w:t>
      </w:r>
      <w:r>
        <w:rPr>
          <w:rFonts w:hint="eastAsia" w:ascii="宋体" w:hAnsi="宋体" w:cs="宋体"/>
          <w:color w:val="auto"/>
          <w:kern w:val="0"/>
          <w:sz w:val="24"/>
          <w:szCs w:val="24"/>
          <w:lang w:eastAsia="zh-CN"/>
        </w:rPr>
        <w:t>安康市高新区高新观澜8栋</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单元801室</w:t>
      </w:r>
    </w:p>
    <w:p w14:paraId="020F417D">
      <w:pPr>
        <w:pStyle w:val="63"/>
        <w:keepNext w:val="0"/>
        <w:keepLines w:val="0"/>
        <w:pageBreakBefore w:val="0"/>
        <w:kinsoku/>
        <w:wordWrap/>
        <w:overflowPunct/>
        <w:topLinePunct w:val="0"/>
        <w:autoSpaceDE/>
        <w:autoSpaceDN/>
        <w:bidi w:val="0"/>
        <w:adjustRightInd/>
        <w:spacing w:line="480" w:lineRule="exact"/>
        <w:ind w:left="450" w:firstLine="0" w:firstLineChars="0"/>
        <w:textAlignment w:val="auto"/>
        <w:rPr>
          <w:rFonts w:ascii="宋体" w:hAnsi="宋体" w:cs="宋体"/>
          <w:color w:val="auto"/>
          <w:kern w:val="0"/>
          <w:sz w:val="24"/>
          <w:szCs w:val="24"/>
        </w:rPr>
      </w:pPr>
      <w:r>
        <w:rPr>
          <w:rFonts w:hint="eastAsia" w:ascii="宋体" w:hAnsi="宋体" w:cs="宋体"/>
          <w:color w:val="auto"/>
          <w:kern w:val="0"/>
          <w:sz w:val="24"/>
          <w:szCs w:val="24"/>
        </w:rPr>
        <w:t>项目联系人：</w:t>
      </w:r>
      <w:r>
        <w:rPr>
          <w:rFonts w:hint="eastAsia" w:ascii="宋体" w:hAnsi="宋体" w:cs="宋体"/>
          <w:color w:val="auto"/>
          <w:kern w:val="0"/>
          <w:sz w:val="24"/>
          <w:szCs w:val="24"/>
          <w:lang w:val="en-US" w:eastAsia="zh-CN"/>
        </w:rPr>
        <w:t>郑</w:t>
      </w:r>
      <w:r>
        <w:rPr>
          <w:rFonts w:hint="eastAsia" w:ascii="宋体" w:hAnsi="宋体" w:cs="宋体"/>
          <w:color w:val="auto"/>
          <w:kern w:val="0"/>
          <w:sz w:val="24"/>
          <w:szCs w:val="24"/>
        </w:rPr>
        <w:t>工</w:t>
      </w:r>
    </w:p>
    <w:p w14:paraId="14CF5660">
      <w:pPr>
        <w:pStyle w:val="63"/>
        <w:keepNext w:val="0"/>
        <w:keepLines w:val="0"/>
        <w:pageBreakBefore w:val="0"/>
        <w:kinsoku/>
        <w:wordWrap/>
        <w:overflowPunct/>
        <w:topLinePunct w:val="0"/>
        <w:autoSpaceDE/>
        <w:autoSpaceDN/>
        <w:bidi w:val="0"/>
        <w:adjustRightInd/>
        <w:spacing w:line="480" w:lineRule="exact"/>
        <w:ind w:firstLine="48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3991519725</w:t>
      </w:r>
    </w:p>
    <w:p w14:paraId="4515B748">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1442EE">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EE6220">
      <w:pPr>
        <w:keepNext w:val="0"/>
        <w:keepLines w:val="0"/>
        <w:pageBreakBefore w:val="0"/>
        <w:kinsoku/>
        <w:wordWrap/>
        <w:overflowPunct/>
        <w:topLinePunct w:val="0"/>
        <w:autoSpaceDE/>
        <w:autoSpaceDN/>
        <w:bidi w:val="0"/>
        <w:adjustRightInd/>
        <w:spacing w:line="480" w:lineRule="exact"/>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0DE2B545">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2025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27</w:t>
      </w:r>
      <w:r>
        <w:rPr>
          <w:rFonts w:hint="eastAsia" w:ascii="宋体" w:hAnsi="宋体" w:cs="宋体"/>
          <w:color w:val="auto"/>
          <w:kern w:val="0"/>
          <w:sz w:val="24"/>
          <w:szCs w:val="24"/>
        </w:rPr>
        <w:t>日</w:t>
      </w:r>
    </w:p>
    <w:bookmarkEnd w:id="6"/>
    <w:p w14:paraId="511A8D3D">
      <w:pPr>
        <w:widowControl/>
        <w:jc w:val="left"/>
        <w:rPr>
          <w:rFonts w:hint="eastAsia" w:ascii="宋体" w:hAnsi="宋体" w:cs="宋体"/>
          <w:b/>
          <w:bCs/>
          <w:color w:val="auto"/>
          <w:kern w:val="44"/>
          <w:sz w:val="32"/>
          <w:szCs w:val="32"/>
        </w:rPr>
      </w:pPr>
    </w:p>
    <w:p w14:paraId="1CD6C828">
      <w:pPr>
        <w:widowControl/>
        <w:jc w:val="left"/>
        <w:rPr>
          <w:rFonts w:hint="eastAsia" w:ascii="宋体" w:hAnsi="宋体" w:cs="宋体"/>
          <w:b/>
          <w:bCs/>
          <w:color w:val="auto"/>
          <w:kern w:val="44"/>
          <w:sz w:val="32"/>
          <w:szCs w:val="32"/>
        </w:rPr>
        <w:sectPr>
          <w:headerReference r:id="rId10" w:type="first"/>
          <w:footerReference r:id="rId12" w:type="first"/>
          <w:headerReference r:id="rId9" w:type="default"/>
          <w:footerReference r:id="rId11"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5F18A5AC">
      <w:pPr>
        <w:widowControl/>
        <w:jc w:val="left"/>
        <w:rPr>
          <w:rFonts w:ascii="宋体" w:hAnsi="宋体" w:cs="宋体"/>
          <w:b/>
          <w:bCs/>
          <w:color w:val="auto"/>
          <w:kern w:val="44"/>
          <w:sz w:val="32"/>
          <w:szCs w:val="32"/>
        </w:rPr>
      </w:pPr>
      <w:r>
        <w:rPr>
          <w:rFonts w:hint="eastAsia" w:ascii="宋体" w:hAnsi="宋体" w:cs="宋体"/>
          <w:b/>
          <w:bCs/>
          <w:color w:val="auto"/>
          <w:kern w:val="44"/>
          <w:sz w:val="32"/>
          <w:szCs w:val="32"/>
        </w:rPr>
        <w:t>特别提醒：</w:t>
      </w:r>
    </w:p>
    <w:p w14:paraId="41AAD4F1">
      <w:pPr>
        <w:spacing w:line="460" w:lineRule="exact"/>
        <w:ind w:firstLine="482" w:firstLineChars="200"/>
        <w:jc w:val="left"/>
        <w:rPr>
          <w:rFonts w:ascii="宋体" w:hAnsi="宋体" w:cs="宋体"/>
          <w:b/>
          <w:bCs/>
          <w:color w:val="auto"/>
          <w:sz w:val="24"/>
          <w:szCs w:val="24"/>
        </w:rPr>
      </w:pPr>
      <w:bookmarkStart w:id="11" w:name="_Toc358364316"/>
      <w:bookmarkStart w:id="12" w:name="_Toc358893502"/>
      <w:bookmarkStart w:id="13" w:name="_Toc380336722"/>
      <w:bookmarkStart w:id="14" w:name="_Toc386388995"/>
      <w:bookmarkStart w:id="15" w:name="_Toc347478673"/>
      <w:r>
        <w:rPr>
          <w:rFonts w:hint="eastAsia" w:ascii="宋体" w:hAnsi="宋体" w:cs="宋体"/>
          <w:b/>
          <w:bCs/>
          <w:color w:val="auto"/>
          <w:sz w:val="24"/>
          <w:szCs w:val="24"/>
          <w:lang w:eastAsia="zh-CN"/>
        </w:rPr>
        <w:t>1.</w:t>
      </w:r>
      <w:r>
        <w:rPr>
          <w:rFonts w:hint="eastAsia" w:ascii="宋体" w:hAnsi="宋体" w:cs="宋体"/>
          <w:b/>
          <w:bCs/>
          <w:color w:val="auto"/>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28B3409A">
      <w:pPr>
        <w:spacing w:line="460" w:lineRule="exact"/>
        <w:ind w:firstLine="482" w:firstLineChars="200"/>
        <w:jc w:val="left"/>
        <w:rPr>
          <w:rFonts w:ascii="宋体" w:hAnsi="宋体" w:cs="宋体"/>
          <w:b/>
          <w:bCs/>
          <w:color w:val="auto"/>
          <w:sz w:val="24"/>
          <w:szCs w:val="24"/>
        </w:rPr>
      </w:pPr>
      <w:r>
        <w:rPr>
          <w:rFonts w:hint="eastAsia" w:ascii="宋体" w:hAnsi="宋体" w:eastAsia="宋体" w:cs="宋体"/>
          <w:b/>
          <w:bCs/>
          <w:color w:val="auto"/>
          <w:sz w:val="24"/>
          <w:szCs w:val="24"/>
        </w:rPr>
        <w:t>http</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//219.145.206.209/BidOpeningHall/bidopeninghallaction/hall/login</w:t>
      </w:r>
      <w:r>
        <w:rPr>
          <w:rFonts w:hint="eastAsia" w:ascii="宋体" w:hAnsi="宋体" w:cs="宋体"/>
          <w:b/>
          <w:bCs/>
          <w:color w:val="auto"/>
          <w:sz w:val="24"/>
          <w:szCs w:val="24"/>
        </w:rPr>
        <w:t>（请各投标人下载最新驱动，详细操作请关注《关于陕西省公共资源交易平台多CA互认系统正式上线运行的通知》）电子开标、评标无法进行时，按照《安康市公共资源交易平台电子化交易应急处置管理办法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auto"/>
          <w:sz w:val="24"/>
          <w:szCs w:val="24"/>
          <w:lang w:eastAsia="zh-CN"/>
        </w:rPr>
        <w:t>（</w:t>
      </w:r>
      <w:r>
        <w:rPr>
          <w:rFonts w:hint="eastAsia" w:ascii="宋体" w:hAnsi="宋体" w:cs="宋体"/>
          <w:b/>
          <w:bCs/>
          <w:color w:val="auto"/>
          <w:sz w:val="24"/>
          <w:szCs w:val="24"/>
        </w:rPr>
        <w:t>试行</w:t>
      </w:r>
      <w:r>
        <w:rPr>
          <w:rFonts w:hint="eastAsia" w:ascii="宋体" w:hAnsi="宋体" w:cs="宋体"/>
          <w:b/>
          <w:bCs/>
          <w:color w:val="auto"/>
          <w:sz w:val="24"/>
          <w:szCs w:val="24"/>
          <w:lang w:eastAsia="zh-CN"/>
        </w:rPr>
        <w:t>）</w:t>
      </w:r>
      <w:r>
        <w:rPr>
          <w:rFonts w:hint="eastAsia" w:ascii="宋体" w:hAnsi="宋体" w:cs="宋体"/>
          <w:b/>
          <w:bCs/>
          <w:color w:val="auto"/>
          <w:sz w:val="24"/>
          <w:szCs w:val="24"/>
        </w:rPr>
        <w:t>》规定执行。</w:t>
      </w:r>
    </w:p>
    <w:p w14:paraId="47CDA86E">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2.</w:t>
      </w:r>
      <w:r>
        <w:rPr>
          <w:rFonts w:hint="eastAsia" w:ascii="宋体" w:hAnsi="宋体" w:cs="宋体"/>
          <w:b/>
          <w:bCs/>
          <w:color w:val="auto"/>
          <w:kern w:val="0"/>
          <w:sz w:val="24"/>
          <w:szCs w:val="24"/>
        </w:rPr>
        <w:t>制作电子投标文件</w:t>
      </w:r>
    </w:p>
    <w:p w14:paraId="63D3CB93">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投标供应商须在“全国公共资源交易中心平台（陕西省）（http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//www.sxggzyjy.cn/）”的“服务指南”栏目“下载专区”中，免费下载“陕西省公共资源交易平台政府采购电子标书制作工具</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V8.0.0.2</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”，并升级至最新版本，使用该客户端制作电子投标文件，制作扩展名为“.SXSTF”的电子投标文件。</w:t>
      </w:r>
    </w:p>
    <w:p w14:paraId="7EB7B2AB">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3.</w:t>
      </w:r>
      <w:r>
        <w:rPr>
          <w:rFonts w:hint="eastAsia" w:ascii="宋体" w:hAnsi="宋体" w:cs="宋体"/>
          <w:b/>
          <w:bCs/>
          <w:color w:val="auto"/>
          <w:kern w:val="0"/>
          <w:sz w:val="24"/>
          <w:szCs w:val="24"/>
        </w:rPr>
        <w:t>递交电子投标文件</w:t>
      </w:r>
    </w:p>
    <w:p w14:paraId="3222F269">
      <w:pPr>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登录全国公共资源交易中心平台（陕西省）（http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//www.sxggzyjy.cn/），选择“电子交易平台——陕西政府采购交易系统——企业端”进行登录，登录后选择“交易乙方”身份进入，进入菜单“采购业务—我的项目——项目流程——上传</w:t>
      </w:r>
      <w:r>
        <w:rPr>
          <w:rFonts w:hint="eastAsia" w:ascii="宋体" w:hAnsi="宋体" w:cs="宋体"/>
          <w:b/>
          <w:bCs/>
          <w:color w:val="auto"/>
          <w:kern w:val="0"/>
          <w:sz w:val="24"/>
          <w:szCs w:val="24"/>
          <w:lang w:eastAsia="zh-CN"/>
        </w:rPr>
        <w:t>投标文件</w:t>
      </w:r>
      <w:r>
        <w:rPr>
          <w:rFonts w:hint="eastAsia" w:ascii="宋体" w:hAnsi="宋体" w:cs="宋体"/>
          <w:b/>
          <w:bCs/>
          <w:color w:val="auto"/>
          <w:kern w:val="0"/>
          <w:sz w:val="24"/>
          <w:szCs w:val="24"/>
        </w:rPr>
        <w:t>”，上传加密的电子投标文件。上传成功后，电子化平台将予以记录。</w:t>
      </w:r>
    </w:p>
    <w:p w14:paraId="0D4A9CE0">
      <w:pPr>
        <w:pStyle w:val="63"/>
        <w:spacing w:line="460" w:lineRule="exact"/>
        <w:ind w:firstLine="482"/>
        <w:rPr>
          <w:rFonts w:ascii="宋体" w:hAnsi="宋体" w:cs="宋体"/>
          <w:b/>
          <w:bCs/>
          <w:color w:val="auto"/>
          <w:kern w:val="0"/>
          <w:sz w:val="24"/>
          <w:szCs w:val="24"/>
        </w:rPr>
      </w:pPr>
      <w:r>
        <w:rPr>
          <w:rFonts w:hint="eastAsia" w:ascii="宋体" w:hAnsi="宋体" w:cs="宋体"/>
          <w:b/>
          <w:bCs/>
          <w:color w:val="auto"/>
          <w:kern w:val="0"/>
          <w:sz w:val="24"/>
          <w:szCs w:val="24"/>
        </w:rPr>
        <w:t>项目如有变更文件，则应点击“项目流程——答疑文件下载”下载更新后的电子招标文件（*.SXSCF），使用旧版电子招标文件制作的电子投标文件，系统将拒绝接收。</w:t>
      </w:r>
    </w:p>
    <w:p w14:paraId="362EA64A">
      <w:pPr>
        <w:widowControl/>
        <w:tabs>
          <w:tab w:val="left" w:pos="1620"/>
        </w:tabs>
        <w:snapToGrid w:val="0"/>
        <w:spacing w:line="46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电子投标文件技术支持：400928009</w:t>
      </w:r>
      <w:r>
        <w:rPr>
          <w:rFonts w:hint="eastAsia" w:ascii="宋体" w:hAnsi="宋体" w:cs="宋体"/>
          <w:b/>
          <w:bCs/>
          <w:color w:val="auto"/>
          <w:sz w:val="24"/>
          <w:szCs w:val="24"/>
          <w:lang w:eastAsia="zh-CN"/>
        </w:rPr>
        <w:t>5.</w:t>
      </w:r>
      <w:r>
        <w:rPr>
          <w:rFonts w:hint="eastAsia" w:ascii="宋体" w:hAnsi="宋体" w:cs="宋体"/>
          <w:b/>
          <w:bCs/>
          <w:color w:val="auto"/>
          <w:sz w:val="24"/>
          <w:szCs w:val="24"/>
        </w:rPr>
        <w:t>4009980000</w:t>
      </w:r>
    </w:p>
    <w:p w14:paraId="79C06F59">
      <w:pPr>
        <w:spacing w:line="46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lang w:eastAsia="zh-CN"/>
        </w:rPr>
        <w:t>5.</w:t>
      </w:r>
      <w:r>
        <w:rPr>
          <w:rFonts w:hint="eastAsia" w:ascii="宋体" w:hAnsi="宋体" w:cs="宋体"/>
          <w:b/>
          <w:bCs/>
          <w:color w:val="auto"/>
          <w:kern w:val="0"/>
          <w:sz w:val="24"/>
          <w:szCs w:val="24"/>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14E18590">
      <w:pPr>
        <w:spacing w:line="460" w:lineRule="exact"/>
        <w:ind w:firstLine="482" w:firstLineChars="200"/>
        <w:jc w:val="left"/>
        <w:rPr>
          <w:rFonts w:hint="eastAsia" w:ascii="宋体" w:hAnsi="宋体" w:cs="宋体"/>
          <w:b/>
          <w:bCs/>
          <w:color w:val="auto"/>
          <w:kern w:val="0"/>
          <w:sz w:val="24"/>
          <w:szCs w:val="24"/>
        </w:rPr>
      </w:pPr>
    </w:p>
    <w:p w14:paraId="547DFF10">
      <w:pPr>
        <w:widowControl/>
        <w:jc w:val="left"/>
        <w:rPr>
          <w:rFonts w:ascii="宋体" w:hAnsi="宋体"/>
          <w:b/>
          <w:bCs/>
          <w:color w:val="auto"/>
          <w:kern w:val="44"/>
          <w:sz w:val="36"/>
          <w:szCs w:val="36"/>
        </w:rPr>
      </w:pPr>
      <w:r>
        <w:rPr>
          <w:rFonts w:ascii="宋体" w:hAnsi="宋体"/>
          <w:color w:val="auto"/>
          <w:sz w:val="36"/>
          <w:szCs w:val="36"/>
        </w:rPr>
        <w:br w:type="page"/>
      </w:r>
    </w:p>
    <w:p w14:paraId="233C14DA">
      <w:pPr>
        <w:pStyle w:val="2"/>
        <w:spacing w:before="0" w:after="0" w:line="500" w:lineRule="exact"/>
        <w:jc w:val="center"/>
        <w:rPr>
          <w:rFonts w:ascii="宋体" w:hAnsi="宋体"/>
          <w:color w:val="auto"/>
          <w:sz w:val="36"/>
          <w:szCs w:val="36"/>
        </w:rPr>
      </w:pPr>
      <w:bookmarkStart w:id="16" w:name="_Toc26541321"/>
      <w:bookmarkStart w:id="17" w:name="_Toc23258604"/>
      <w:bookmarkStart w:id="18" w:name="_Toc3566"/>
      <w:r>
        <w:rPr>
          <w:rFonts w:hint="eastAsia" w:ascii="宋体" w:hAnsi="宋体"/>
          <w:color w:val="auto"/>
          <w:sz w:val="36"/>
          <w:szCs w:val="36"/>
        </w:rPr>
        <w:t>第二章 投标人须知前附表</w:t>
      </w:r>
      <w:bookmarkEnd w:id="11"/>
      <w:bookmarkEnd w:id="12"/>
      <w:bookmarkEnd w:id="13"/>
      <w:bookmarkEnd w:id="14"/>
      <w:bookmarkEnd w:id="16"/>
      <w:bookmarkEnd w:id="17"/>
      <w:bookmarkEnd w:id="18"/>
    </w:p>
    <w:tbl>
      <w:tblPr>
        <w:tblStyle w:val="41"/>
        <w:tblW w:w="9585" w:type="dxa"/>
        <w:jc w:val="center"/>
        <w:tblLayout w:type="fixed"/>
        <w:tblCellMar>
          <w:top w:w="0" w:type="dxa"/>
          <w:left w:w="108" w:type="dxa"/>
          <w:bottom w:w="0" w:type="dxa"/>
          <w:right w:w="108" w:type="dxa"/>
        </w:tblCellMar>
      </w:tblPr>
      <w:tblGrid>
        <w:gridCol w:w="704"/>
        <w:gridCol w:w="1701"/>
        <w:gridCol w:w="7180"/>
      </w:tblGrid>
      <w:tr w14:paraId="3BEE0566">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BDC0DF">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3F677698">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8D8B4C">
            <w:pPr>
              <w:keepNext w:val="0"/>
              <w:keepLines w:val="0"/>
              <w:suppressLineNumbers w:val="0"/>
              <w:spacing w:before="0" w:beforeAutospacing="0" w:after="0" w:afterAutospacing="0" w:line="440" w:lineRule="exact"/>
              <w:ind w:left="0" w:right="0"/>
              <w:jc w:val="center"/>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lang w:val="en-US" w:eastAsia="zh-CN"/>
              </w:rPr>
              <w:t>说明与要求</w:t>
            </w:r>
          </w:p>
        </w:tc>
      </w:tr>
      <w:tr w14:paraId="695FFDFB">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AFC140">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25C0C9F">
            <w:pPr>
              <w:keepNext w:val="0"/>
              <w:keepLines w:val="0"/>
              <w:widowControl/>
              <w:suppressLineNumbers w:val="0"/>
              <w:spacing w:before="0" w:beforeAutospacing="0" w:after="0" w:afterAutospacing="0" w:line="440" w:lineRule="exact"/>
              <w:ind w:left="19" w:right="0" w:hanging="19"/>
              <w:jc w:val="center"/>
              <w:rPr>
                <w:rFonts w:hint="default" w:ascii="宋体" w:hAnsi="宋体"/>
                <w:color w:val="auto"/>
                <w:kern w:val="0"/>
                <w:sz w:val="24"/>
                <w:szCs w:val="24"/>
              </w:rPr>
            </w:pPr>
            <w:r>
              <w:rPr>
                <w:rFonts w:hint="eastAsia" w:ascii="宋体" w:hAnsi="宋体"/>
                <w:color w:val="auto"/>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471439F2">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val="en-US" w:eastAsia="zh-CN"/>
              </w:rPr>
              <w:t>安康市生态环境保护综合执法支队</w:t>
            </w:r>
          </w:p>
        </w:tc>
      </w:tr>
      <w:tr w14:paraId="652EA33E">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3B7A2B2">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1CACB1C">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28EAAA30">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安康尚昊</w:t>
            </w:r>
            <w:r>
              <w:rPr>
                <w:rFonts w:hint="default" w:ascii="宋体" w:hAnsi="宋体"/>
                <w:color w:val="auto"/>
                <w:sz w:val="24"/>
                <w:szCs w:val="24"/>
              </w:rPr>
              <w:t>招标代理有限公司</w:t>
            </w:r>
          </w:p>
        </w:tc>
      </w:tr>
      <w:tr w14:paraId="5F0FB40B">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auto" w:sz="4" w:space="0"/>
            </w:tcBorders>
            <w:vAlign w:val="center"/>
          </w:tcPr>
          <w:p w14:paraId="6799630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000000" w:sz="4" w:space="0"/>
              <w:right w:val="single" w:color="auto" w:sz="4" w:space="0"/>
            </w:tcBorders>
            <w:vAlign w:val="center"/>
          </w:tcPr>
          <w:p w14:paraId="24EA5425">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2574F7C9">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安康市大气污染防治执法装备标准化项目</w:t>
            </w:r>
          </w:p>
        </w:tc>
      </w:tr>
      <w:tr w14:paraId="0DC1A9DA">
        <w:tblPrEx>
          <w:tblCellMar>
            <w:top w:w="0" w:type="dxa"/>
            <w:left w:w="108" w:type="dxa"/>
            <w:bottom w:w="0" w:type="dxa"/>
            <w:right w:w="108" w:type="dxa"/>
          </w:tblCellMar>
        </w:tblPrEx>
        <w:trPr>
          <w:trHeight w:val="31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4305CFB2">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right w:val="single" w:color="auto" w:sz="4" w:space="0"/>
            </w:tcBorders>
            <w:vAlign w:val="center"/>
          </w:tcPr>
          <w:p w14:paraId="71DDF52B">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644B5E36">
            <w:pPr>
              <w:keepNext w:val="0"/>
              <w:keepLines w:val="0"/>
              <w:widowControl/>
              <w:suppressLineNumbers w:val="0"/>
              <w:snapToGrid w:val="0"/>
              <w:spacing w:before="0" w:beforeAutospacing="0" w:after="0" w:afterAutospacing="0" w:line="460" w:lineRule="exact"/>
              <w:ind w:left="0" w:right="0"/>
              <w:jc w:val="left"/>
              <w:rPr>
                <w:rFonts w:hint="eastAsia" w:ascii="宋体" w:hAnsi="宋体" w:eastAsia="宋体"/>
                <w:color w:val="auto"/>
                <w:kern w:val="0"/>
                <w:sz w:val="24"/>
                <w:szCs w:val="24"/>
                <w:lang w:eastAsia="zh-CN"/>
              </w:rPr>
            </w:pPr>
            <w:r>
              <w:rPr>
                <w:rFonts w:hint="eastAsia" w:ascii="宋体" w:hAnsi="宋体"/>
                <w:color w:val="auto"/>
                <w:sz w:val="24"/>
                <w:szCs w:val="24"/>
                <w:lang w:eastAsia="zh-CN"/>
              </w:rPr>
              <w:t>AKSH2025-ZGK-088</w:t>
            </w:r>
          </w:p>
        </w:tc>
      </w:tr>
      <w:tr w14:paraId="5E74AB74">
        <w:tblPrEx>
          <w:tblCellMar>
            <w:top w:w="0" w:type="dxa"/>
            <w:left w:w="108" w:type="dxa"/>
            <w:bottom w:w="0" w:type="dxa"/>
            <w:right w:w="108" w:type="dxa"/>
          </w:tblCellMar>
        </w:tblPrEx>
        <w:trPr>
          <w:trHeight w:val="654"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3FD1D917">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F8F6368">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43F354F">
            <w:pPr>
              <w:keepNext w:val="0"/>
              <w:keepLines w:val="0"/>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1.</w:t>
            </w:r>
            <w:r>
              <w:rPr>
                <w:rFonts w:hint="eastAsia" w:ascii="宋体" w:hAnsi="宋体"/>
                <w:color w:val="auto"/>
                <w:kern w:val="0"/>
                <w:sz w:val="24"/>
                <w:szCs w:val="24"/>
              </w:rPr>
              <w:t>投标人所报的价格应考虑到可能发生的所有与完成本项目相关服务及履行合同义务有关的一切费用。</w:t>
            </w:r>
          </w:p>
          <w:p w14:paraId="4F786836">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2.</w:t>
            </w:r>
            <w:r>
              <w:rPr>
                <w:rFonts w:hint="eastAsia" w:ascii="宋体" w:hAnsi="宋体"/>
                <w:color w:val="auto"/>
                <w:kern w:val="0"/>
                <w:sz w:val="24"/>
                <w:szCs w:val="24"/>
              </w:rPr>
              <w:t>投标人必须对所投项目进行完整报价，不接受（将拒绝）只对部分服务进行报价的投标。</w:t>
            </w:r>
          </w:p>
        </w:tc>
      </w:tr>
      <w:tr w14:paraId="5B673BA6">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33A06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0A1E2F6C">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资金来源</w:t>
            </w:r>
          </w:p>
        </w:tc>
        <w:tc>
          <w:tcPr>
            <w:tcW w:w="7180" w:type="dxa"/>
            <w:tcBorders>
              <w:top w:val="single" w:color="000000" w:sz="4" w:space="0"/>
              <w:left w:val="single" w:color="auto" w:sz="4" w:space="0"/>
              <w:bottom w:val="single" w:color="auto" w:sz="4" w:space="0"/>
              <w:right w:val="single" w:color="000000" w:sz="4" w:space="0"/>
            </w:tcBorders>
            <w:vAlign w:val="center"/>
          </w:tcPr>
          <w:p w14:paraId="6A04A0D8">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eastAsia="zh-CN"/>
              </w:rPr>
              <w:t>财政资金</w:t>
            </w:r>
          </w:p>
        </w:tc>
      </w:tr>
      <w:tr w14:paraId="6609B739">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1AA9D5">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FFD2D1D">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预算金额</w:t>
            </w:r>
          </w:p>
        </w:tc>
        <w:tc>
          <w:tcPr>
            <w:tcW w:w="7180" w:type="dxa"/>
            <w:tcBorders>
              <w:top w:val="single" w:color="000000" w:sz="4" w:space="0"/>
              <w:left w:val="single" w:color="auto" w:sz="4" w:space="0"/>
              <w:bottom w:val="single" w:color="auto" w:sz="4" w:space="0"/>
              <w:right w:val="single" w:color="000000" w:sz="4" w:space="0"/>
            </w:tcBorders>
            <w:vAlign w:val="center"/>
          </w:tcPr>
          <w:p w14:paraId="6A7693B3">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val="en-US" w:eastAsia="zh-CN"/>
              </w:rPr>
              <w:t>7080000.00元</w:t>
            </w:r>
          </w:p>
        </w:tc>
      </w:tr>
      <w:tr w14:paraId="29D7B9FB">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1F9FD69">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4854660">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77764204">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olor w:val="auto"/>
                <w:kern w:val="0"/>
                <w:sz w:val="24"/>
                <w:szCs w:val="24"/>
                <w:lang w:val="en-US" w:eastAsia="zh-CN"/>
              </w:rPr>
            </w:pPr>
            <w:r>
              <w:rPr>
                <w:rFonts w:hint="eastAsia" w:ascii="宋体" w:hAnsi="宋体" w:cs="宋体"/>
                <w:bCs w:val="0"/>
                <w:color w:val="auto"/>
                <w:spacing w:val="0"/>
                <w:sz w:val="24"/>
                <w:szCs w:val="24"/>
                <w:lang w:eastAsia="zh-CN"/>
              </w:rPr>
              <w:t>自合同签订生效之日起45个日历天内交付（包含调试验收）</w:t>
            </w:r>
          </w:p>
        </w:tc>
      </w:tr>
      <w:tr w14:paraId="4DF8C955">
        <w:tblPrEx>
          <w:tblCellMar>
            <w:top w:w="0" w:type="dxa"/>
            <w:left w:w="108" w:type="dxa"/>
            <w:bottom w:w="0" w:type="dxa"/>
            <w:right w:w="108" w:type="dxa"/>
          </w:tblCellMar>
        </w:tblPrEx>
        <w:trPr>
          <w:trHeight w:val="498"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6D3A612">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7485C03C">
            <w:pPr>
              <w:keepNext w:val="0"/>
              <w:keepLines w:val="0"/>
              <w:widowControl/>
              <w:suppressLineNumbers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质保期</w:t>
            </w:r>
          </w:p>
        </w:tc>
        <w:tc>
          <w:tcPr>
            <w:tcW w:w="7180" w:type="dxa"/>
            <w:tcBorders>
              <w:top w:val="single" w:color="000000" w:sz="4" w:space="0"/>
              <w:left w:val="single" w:color="auto" w:sz="4" w:space="0"/>
              <w:bottom w:val="single" w:color="000000" w:sz="4" w:space="0"/>
              <w:right w:val="single" w:color="000000" w:sz="4" w:space="0"/>
            </w:tcBorders>
            <w:vAlign w:val="center"/>
          </w:tcPr>
          <w:p w14:paraId="25144B13">
            <w:pPr>
              <w:keepNext w:val="0"/>
              <w:keepLines w:val="0"/>
              <w:suppressLineNumbers w:val="0"/>
              <w:spacing w:before="0" w:beforeAutospacing="0" w:after="0" w:afterAutospacing="0" w:line="440" w:lineRule="exact"/>
              <w:ind w:left="0" w:right="0"/>
              <w:rPr>
                <w:rFonts w:hint="eastAsia" w:ascii="宋体" w:hAnsi="宋体" w:cs="Times New Roman"/>
                <w:color w:val="auto"/>
                <w:kern w:val="0"/>
                <w:sz w:val="24"/>
                <w:szCs w:val="24"/>
                <w:lang w:val="en-US" w:eastAsia="zh-CN"/>
              </w:rPr>
            </w:pPr>
            <w:r>
              <w:rPr>
                <w:rFonts w:hint="eastAsia" w:ascii="宋体" w:hAnsi="宋体" w:cs="Times New Roman"/>
                <w:color w:val="auto"/>
                <w:kern w:val="0"/>
                <w:sz w:val="24"/>
                <w:szCs w:val="24"/>
                <w:lang w:val="en-US" w:eastAsia="zh-CN"/>
              </w:rPr>
              <w:t>自项目通过最终验收合格之日起三年，若国家有明确规定的质量保证期高于此质量保证期的，执行国家规定。</w:t>
            </w:r>
          </w:p>
        </w:tc>
      </w:tr>
      <w:tr w14:paraId="0C129724">
        <w:tblPrEx>
          <w:tblCellMar>
            <w:top w:w="0" w:type="dxa"/>
            <w:left w:w="108" w:type="dxa"/>
            <w:bottom w:w="0" w:type="dxa"/>
            <w:right w:w="108" w:type="dxa"/>
          </w:tblCellMar>
        </w:tblPrEx>
        <w:trPr>
          <w:trHeight w:val="570"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E788B0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04E865B">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3C12419">
            <w:pPr>
              <w:keepNext w:val="0"/>
              <w:keepLines w:val="0"/>
              <w:suppressLineNumbers w:val="0"/>
              <w:spacing w:before="0" w:beforeAutospacing="0" w:after="0" w:afterAutospacing="0" w:line="440" w:lineRule="exact"/>
              <w:ind w:left="0" w:right="0"/>
              <w:rPr>
                <w:rFonts w:hint="default"/>
                <w:color w:val="auto"/>
                <w:highlight w:val="none"/>
                <w:lang w:val="en-US" w:eastAsia="zh-CN"/>
              </w:rPr>
            </w:pPr>
            <w:r>
              <w:rPr>
                <w:rFonts w:hint="eastAsia" w:ascii="宋体" w:hAnsi="宋体" w:cs="宋体"/>
                <w:color w:val="auto"/>
                <w:sz w:val="24"/>
                <w:szCs w:val="24"/>
                <w:highlight w:val="none"/>
                <w:lang w:eastAsia="zh-CN"/>
              </w:rPr>
              <w:t>合同</w:t>
            </w:r>
            <w:r>
              <w:rPr>
                <w:rFonts w:hint="eastAsia" w:ascii="宋体" w:hAnsi="宋体" w:cs="宋体"/>
                <w:color w:val="auto"/>
                <w:sz w:val="24"/>
                <w:szCs w:val="24"/>
                <w:highlight w:val="none"/>
                <w:lang w:val="en-US" w:eastAsia="zh-CN"/>
              </w:rPr>
              <w:t>签订后</w:t>
            </w:r>
            <w:r>
              <w:rPr>
                <w:rFonts w:hint="eastAsia" w:ascii="宋体" w:hAnsi="宋体" w:cs="宋体"/>
                <w:color w:val="auto"/>
                <w:sz w:val="24"/>
                <w:szCs w:val="24"/>
                <w:highlight w:val="none"/>
                <w:lang w:eastAsia="zh-CN"/>
              </w:rPr>
              <w:t>甲方向乙方支付合同总价款的30%，设备调试、设备使用培训完成并经甲方验收合格后，支付至合同总价款的</w:t>
            </w:r>
            <w:r>
              <w:rPr>
                <w:rFonts w:hint="eastAsia" w:ascii="宋体" w:hAnsi="宋体" w:cs="宋体"/>
                <w:color w:val="auto"/>
                <w:sz w:val="24"/>
                <w:szCs w:val="24"/>
                <w:highlight w:val="none"/>
                <w:lang w:val="en-US" w:eastAsia="zh-CN"/>
              </w:rPr>
              <w:t>95%，剩余5%一年后付清</w:t>
            </w:r>
          </w:p>
        </w:tc>
      </w:tr>
      <w:tr w14:paraId="289175C2">
        <w:tblPrEx>
          <w:tblCellMar>
            <w:top w:w="0" w:type="dxa"/>
            <w:left w:w="108" w:type="dxa"/>
            <w:bottom w:w="0" w:type="dxa"/>
            <w:right w:w="108" w:type="dxa"/>
          </w:tblCellMar>
        </w:tblPrEx>
        <w:trPr>
          <w:trHeight w:val="505" w:hRule="atLeast"/>
          <w:jc w:val="center"/>
        </w:trPr>
        <w:tc>
          <w:tcPr>
            <w:tcW w:w="704" w:type="dxa"/>
            <w:tcBorders>
              <w:top w:val="single" w:color="000000" w:sz="4" w:space="0"/>
              <w:left w:val="single" w:color="000000" w:sz="4" w:space="0"/>
              <w:right w:val="single" w:color="000000" w:sz="4" w:space="0"/>
            </w:tcBorders>
            <w:vAlign w:val="center"/>
          </w:tcPr>
          <w:p w14:paraId="1DCCDFAB">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right w:val="single" w:color="auto" w:sz="4" w:space="0"/>
            </w:tcBorders>
            <w:vAlign w:val="center"/>
          </w:tcPr>
          <w:p w14:paraId="639FFD6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6004284B">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本项目不设置投标保证金</w:t>
            </w:r>
          </w:p>
        </w:tc>
      </w:tr>
      <w:tr w14:paraId="056848C5">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AB774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47F5945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5C984783">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45D1E280">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B907CD">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right w:val="single" w:color="auto" w:sz="4" w:space="0"/>
            </w:tcBorders>
            <w:vAlign w:val="center"/>
          </w:tcPr>
          <w:p w14:paraId="1D6F2995">
            <w:pPr>
              <w:keepNext w:val="0"/>
              <w:keepLines w:val="0"/>
              <w:suppressLineNumbers w:val="0"/>
              <w:tabs>
                <w:tab w:val="center" w:pos="4153"/>
                <w:tab w:val="right" w:pos="8306"/>
              </w:tabs>
              <w:snapToGrid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资格证明文件</w:t>
            </w:r>
          </w:p>
        </w:tc>
        <w:tc>
          <w:tcPr>
            <w:tcW w:w="7180" w:type="dxa"/>
            <w:tcBorders>
              <w:top w:val="single" w:color="000000" w:sz="4" w:space="0"/>
              <w:left w:val="single" w:color="auto" w:sz="4" w:space="0"/>
              <w:right w:val="single" w:color="000000" w:sz="4" w:space="0"/>
            </w:tcBorders>
            <w:vAlign w:val="center"/>
          </w:tcPr>
          <w:p w14:paraId="25B6DDA9">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具有独立承担民事责任能力的法人、其他组织或自然人，并出具合法有效的营业执照或事业单位法人证书等国家规定的相关证明，自然人参与的提供其身份证明。</w:t>
            </w:r>
          </w:p>
          <w:p w14:paraId="5665E962">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2.法定代表人授权书及被授权人身份证复印件（法定代表人直接投标只需提交其身份证明资料）。</w:t>
            </w:r>
          </w:p>
          <w:p w14:paraId="424ED7E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1733C86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23CDD8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387A8E93">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2CD1B92D">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54323F98">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8.提供具有履行合同所必需的设备和专业技术能力的承诺书（格式自拟）。</w:t>
            </w:r>
          </w:p>
          <w:p w14:paraId="4BBB1060">
            <w:pPr>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9.本项目不接受联合体投标。</w:t>
            </w:r>
          </w:p>
        </w:tc>
      </w:tr>
      <w:tr w14:paraId="2313BFD8">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4F3F59">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807DD6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75B7E7EC">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sz w:val="24"/>
                <w:szCs w:val="24"/>
              </w:rPr>
              <w:t>公开招标</w:t>
            </w:r>
          </w:p>
        </w:tc>
      </w:tr>
      <w:tr w14:paraId="3E586393">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9CAF3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9D69356">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1364CEAC">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综合评分法</w:t>
            </w:r>
          </w:p>
        </w:tc>
      </w:tr>
      <w:tr w14:paraId="075ED169">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8046C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5CF498E5">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157B1E3E">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1AEEB44E">
            <w:pPr>
              <w:keepNext w:val="0"/>
              <w:keepLines w:val="0"/>
              <w:suppressLineNumbers w:val="0"/>
              <w:spacing w:before="0" w:beforeAutospacing="0" w:after="0" w:afterAutospacing="0" w:line="440" w:lineRule="exact"/>
              <w:ind w:left="0" w:right="0" w:firstLine="480" w:firstLineChars="200"/>
              <w:rPr>
                <w:rFonts w:hint="eastAsia" w:ascii="宋体" w:hAnsi="宋体" w:eastAsia="宋体"/>
                <w:color w:val="auto"/>
                <w:sz w:val="24"/>
                <w:szCs w:val="24"/>
                <w:lang w:eastAsia="zh-CN"/>
              </w:rPr>
            </w:pPr>
            <w:r>
              <w:rPr>
                <w:rFonts w:hint="eastAsia" w:ascii="宋体" w:hAnsi="宋体"/>
                <w:color w:val="auto"/>
                <w:sz w:val="24"/>
                <w:szCs w:val="24"/>
              </w:rPr>
              <w:t>（1）招标文件没有不合理条款、招标公告时间及程序符合规定的，同意采取竞争性谈判、询价或者单一来源方式采购</w:t>
            </w:r>
            <w:r>
              <w:rPr>
                <w:rFonts w:hint="eastAsia" w:ascii="宋体" w:hAnsi="宋体"/>
                <w:color w:val="auto"/>
                <w:sz w:val="24"/>
                <w:szCs w:val="24"/>
                <w:lang w:eastAsia="zh-CN"/>
              </w:rPr>
              <w:t>。</w:t>
            </w:r>
          </w:p>
          <w:p w14:paraId="2A2BF58F">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2FB08B8D">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（3）在评标期间，出现符合专业条件的供应商或者对招标文件作出实质响应的供应商不足三家情形的，可以比照前款规定执行。</w:t>
            </w:r>
          </w:p>
        </w:tc>
      </w:tr>
      <w:tr w14:paraId="4F1C1EBE">
        <w:tblPrEx>
          <w:tblCellMar>
            <w:top w:w="0" w:type="dxa"/>
            <w:left w:w="108" w:type="dxa"/>
            <w:bottom w:w="0" w:type="dxa"/>
            <w:right w:w="108" w:type="dxa"/>
          </w:tblCellMar>
        </w:tblPrEx>
        <w:trPr>
          <w:trHeight w:val="6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2076AE">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B1D200">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5AB9216E">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6DED15F">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s="宋体"/>
                <w:color w:val="FF0000"/>
                <w:kern w:val="0"/>
                <w:sz w:val="24"/>
                <w:szCs w:val="28"/>
              </w:rPr>
            </w:pPr>
            <w:r>
              <w:rPr>
                <w:rFonts w:hint="eastAsia" w:ascii="宋体" w:hAnsi="宋体"/>
                <w:color w:val="auto"/>
                <w:sz w:val="24"/>
                <w:szCs w:val="24"/>
              </w:rPr>
              <w:t>开标时间：</w:t>
            </w:r>
            <w:r>
              <w:rPr>
                <w:rFonts w:hint="eastAsia" w:ascii="宋体" w:hAnsi="宋体" w:cs="宋体"/>
                <w:color w:val="auto"/>
                <w:kern w:val="0"/>
                <w:sz w:val="24"/>
                <w:szCs w:val="24"/>
                <w:lang w:val="en-US" w:eastAsia="zh-CN"/>
              </w:rPr>
              <w:t>2025年12月02日11：00时</w:t>
            </w:r>
          </w:p>
          <w:p w14:paraId="2AC8DC08">
            <w:pPr>
              <w:pStyle w:val="36"/>
              <w:keepNext w:val="0"/>
              <w:keepLines w:val="0"/>
              <w:suppressLineNumbers w:val="0"/>
              <w:shd w:val="clear" w:color="auto" w:fill="FFFFFF"/>
              <w:spacing w:before="0" w:beforeAutospacing="0" w:after="0" w:afterAutospacing="0" w:line="440" w:lineRule="exact"/>
              <w:ind w:left="0" w:right="0"/>
              <w:rPr>
                <w:rFonts w:hint="default"/>
                <w:color w:val="auto"/>
                <w:szCs w:val="24"/>
              </w:rPr>
            </w:pPr>
            <w:r>
              <w:rPr>
                <w:rFonts w:hint="eastAsia"/>
                <w:color w:val="auto"/>
                <w:szCs w:val="24"/>
              </w:rPr>
              <w:t>开标地点：</w:t>
            </w:r>
            <w:r>
              <w:rPr>
                <w:rFonts w:hint="eastAsia" w:cs="宋体"/>
                <w:color w:val="auto"/>
                <w:szCs w:val="24"/>
                <w:lang w:val="en-US" w:eastAsia="zh-CN"/>
              </w:rPr>
              <w:t>安康不见面开标大厅系统</w:t>
            </w:r>
            <w:r>
              <w:rPr>
                <w:rFonts w:hint="eastAsia" w:cs="宋体"/>
                <w:color w:val="auto"/>
                <w:szCs w:val="24"/>
              </w:rPr>
              <w:t xml:space="preserve">（采用电子化投标及远程不见面开标方式）  </w:t>
            </w:r>
          </w:p>
          <w:p w14:paraId="30D0C58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（如有变动，另行通知）。</w:t>
            </w:r>
          </w:p>
        </w:tc>
      </w:tr>
      <w:tr w14:paraId="7794536F">
        <w:tblPrEx>
          <w:tblCellMar>
            <w:top w:w="0" w:type="dxa"/>
            <w:left w:w="108" w:type="dxa"/>
            <w:bottom w:w="0" w:type="dxa"/>
            <w:right w:w="108" w:type="dxa"/>
          </w:tblCellMar>
        </w:tblPrEx>
        <w:trPr>
          <w:trHeight w:val="7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F86DA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16E2BFEA">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招标</w:t>
            </w:r>
            <w:r>
              <w:rPr>
                <w:rFonts w:hint="default" w:asciiTheme="minorEastAsia" w:hAnsiTheme="minorEastAsia"/>
                <w:color w:val="auto"/>
                <w:sz w:val="24"/>
                <w:szCs w:val="24"/>
              </w:rPr>
              <w:t>文件</w:t>
            </w:r>
          </w:p>
          <w:p w14:paraId="1CF12004">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04B3D3F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s="宋体"/>
                <w:color w:val="auto"/>
                <w:kern w:val="0"/>
                <w:sz w:val="24"/>
                <w:szCs w:val="24"/>
                <w:lang w:val="en-US" w:eastAsia="zh-CN"/>
              </w:rPr>
              <w:t>2025年12月02日11：00时</w:t>
            </w:r>
            <w:r>
              <w:rPr>
                <w:rFonts w:hint="eastAsia" w:ascii="宋体" w:hAnsi="宋体"/>
                <w:color w:val="auto"/>
                <w:sz w:val="24"/>
                <w:szCs w:val="24"/>
              </w:rPr>
              <w:t>止</w:t>
            </w:r>
          </w:p>
        </w:tc>
      </w:tr>
      <w:tr w14:paraId="6E48B697">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B7903C">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79C68EBC">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F0AD80A">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》等有关法律规定组建评标小组。</w:t>
            </w:r>
          </w:p>
        </w:tc>
      </w:tr>
      <w:tr w14:paraId="516158B4">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F1068F">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21E8A005">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rPr>
            </w:pPr>
            <w:r>
              <w:rPr>
                <w:rFonts w:hint="eastAsia" w:ascii="宋体" w:hAnsi="宋体"/>
                <w:color w:val="auto"/>
                <w:sz w:val="24"/>
                <w:szCs w:val="24"/>
              </w:rPr>
              <w:t xml:space="preserve">  </w:t>
            </w:r>
          </w:p>
          <w:p w14:paraId="0BD06930">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eastAsia" w:ascii="宋体" w:hAnsi="宋体"/>
                <w:color w:val="auto"/>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65A7D9AF">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4175A011">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olor w:val="auto"/>
                <w:sz w:val="24"/>
                <w:szCs w:val="24"/>
              </w:rPr>
            </w:pPr>
            <w:r>
              <w:rPr>
                <w:rFonts w:hint="eastAsia" w:ascii="宋体" w:hAnsi="宋体"/>
                <w:color w:val="auto"/>
                <w:sz w:val="24"/>
                <w:szCs w:val="24"/>
              </w:rPr>
              <w:t>2.供应商</w:t>
            </w:r>
            <w:r>
              <w:rPr>
                <w:rFonts w:hint="eastAsia" w:ascii="宋体" w:hAnsi="宋体"/>
                <w:color w:val="auto"/>
                <w:sz w:val="24"/>
                <w:szCs w:val="24"/>
                <w:lang w:eastAsia="zh-CN"/>
              </w:rPr>
              <w:t>勘查现场</w:t>
            </w:r>
            <w:r>
              <w:rPr>
                <w:rFonts w:hint="eastAsia" w:ascii="宋体" w:hAnsi="宋体"/>
                <w:color w:val="auto"/>
                <w:sz w:val="24"/>
                <w:szCs w:val="24"/>
              </w:rPr>
              <w:t>发生的一切费用自理，并自行负责在</w:t>
            </w:r>
            <w:r>
              <w:rPr>
                <w:rFonts w:hint="eastAsia" w:ascii="宋体" w:hAnsi="宋体"/>
                <w:color w:val="auto"/>
                <w:sz w:val="24"/>
                <w:szCs w:val="24"/>
                <w:lang w:eastAsia="zh-CN"/>
              </w:rPr>
              <w:t>勘查现场</w:t>
            </w:r>
            <w:r>
              <w:rPr>
                <w:rFonts w:hint="eastAsia" w:ascii="宋体" w:hAnsi="宋体"/>
                <w:color w:val="auto"/>
                <w:sz w:val="24"/>
                <w:szCs w:val="24"/>
              </w:rPr>
              <w:t>发生的人员伤亡和财产损失。</w:t>
            </w:r>
          </w:p>
        </w:tc>
      </w:tr>
      <w:tr w14:paraId="47C5D19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BB2743">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45044372">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default" w:ascii="宋体" w:hAnsi="宋体"/>
                <w:color w:val="auto"/>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0838CE1A">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00CF9A2D">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E5BC29">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C9A5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29FB6BEC">
            <w:pPr>
              <w:keepNext w:val="0"/>
              <w:keepLines w:val="0"/>
              <w:suppressLineNumbers w:val="0"/>
              <w:spacing w:before="0" w:beforeAutospacing="0" w:after="0" w:afterAutospacing="0" w:line="440" w:lineRule="exact"/>
              <w:ind w:left="0" w:right="109"/>
              <w:jc w:val="center"/>
              <w:rPr>
                <w:rFonts w:hint="default" w:ascii="宋体" w:hAnsi="宋体"/>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中小企业划分</w:t>
            </w:r>
          </w:p>
        </w:tc>
        <w:tc>
          <w:tcPr>
            <w:tcW w:w="7180" w:type="dxa"/>
            <w:tcBorders>
              <w:top w:val="single" w:color="000000" w:sz="4" w:space="0"/>
              <w:left w:val="single" w:color="000000" w:sz="4" w:space="0"/>
              <w:bottom w:val="single" w:color="000000" w:sz="4" w:space="0"/>
              <w:right w:val="single" w:color="000000" w:sz="4" w:space="0"/>
            </w:tcBorders>
          </w:tcPr>
          <w:p w14:paraId="371F3E29">
            <w:pPr>
              <w:keepNext w:val="0"/>
              <w:keepLines w:val="0"/>
              <w:suppressLineNumbers w:val="0"/>
              <w:spacing w:before="0" w:beforeAutospacing="0" w:after="0" w:afterAutospacing="0" w:line="440" w:lineRule="exact"/>
              <w:ind w:left="0" w:right="-11"/>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采购标的对应的中小企业划分标准所属行业为</w:t>
            </w:r>
            <w:r>
              <w:rPr>
                <w:rFonts w:hint="eastAsia" w:ascii="宋体" w:hAnsi="宋体" w:cs="宋体"/>
                <w:color w:val="000000" w:themeColor="text1"/>
                <w:kern w:val="2"/>
                <w:sz w:val="24"/>
                <w:szCs w:val="24"/>
                <w:lang w:val="en-US" w:eastAsia="zh-CN" w:bidi="ar"/>
                <w14:textFill>
                  <w14:solidFill>
                    <w14:schemeClr w14:val="tx1"/>
                  </w14:solidFill>
                </w14:textFill>
              </w:rPr>
              <w:t>工</w:t>
            </w:r>
            <w:r>
              <w:rPr>
                <w:rFonts w:hint="eastAsia" w:ascii="宋体" w:hAnsi="宋体" w:eastAsia="宋体" w:cs="宋体"/>
                <w:color w:val="000000" w:themeColor="text1"/>
                <w:kern w:val="2"/>
                <w:sz w:val="24"/>
                <w:szCs w:val="24"/>
                <w:lang w:val="en-US" w:eastAsia="zh-CN" w:bidi="ar"/>
                <w14:textFill>
                  <w14:solidFill>
                    <w14:schemeClr w14:val="tx1"/>
                  </w14:solidFill>
                </w14:textFill>
              </w:rPr>
              <w:t>业。</w:t>
            </w:r>
          </w:p>
          <w:p w14:paraId="4EE08E71">
            <w:pPr>
              <w:keepNext w:val="0"/>
              <w:keepLines w:val="0"/>
              <w:suppressLineNumbers w:val="0"/>
              <w:spacing w:before="0" w:beforeAutospacing="0" w:after="0" w:afterAutospacing="0" w:line="440" w:lineRule="exact"/>
              <w:ind w:left="0" w:right="-11"/>
              <w:rPr>
                <w:rFonts w:hint="default"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工业的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88F7A03">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3D952D">
            <w:pPr>
              <w:keepNext w:val="0"/>
              <w:keepLines w:val="0"/>
              <w:widowControl/>
              <w:numPr>
                <w:ilvl w:val="0"/>
                <w:numId w:val="4"/>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F12F7D6">
            <w:pPr>
              <w:keepNext w:val="0"/>
              <w:keepLines w:val="0"/>
              <w:suppressLineNumbers w:val="0"/>
              <w:spacing w:before="0" w:beforeAutospacing="0" w:after="0" w:afterAutospacing="0" w:line="440" w:lineRule="exact"/>
              <w:ind w:left="0" w:right="109"/>
              <w:jc w:val="center"/>
              <w:rPr>
                <w:rFonts w:hint="default" w:ascii="宋体" w:hAnsi="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核心产品</w:t>
            </w:r>
          </w:p>
        </w:tc>
        <w:tc>
          <w:tcPr>
            <w:tcW w:w="7180" w:type="dxa"/>
            <w:tcBorders>
              <w:top w:val="single" w:color="000000" w:sz="4" w:space="0"/>
              <w:left w:val="single" w:color="000000" w:sz="4" w:space="0"/>
              <w:bottom w:val="single" w:color="000000" w:sz="4" w:space="0"/>
              <w:right w:val="single" w:color="000000" w:sz="4" w:space="0"/>
            </w:tcBorders>
          </w:tcPr>
          <w:p w14:paraId="06883447">
            <w:pPr>
              <w:keepNext w:val="0"/>
              <w:keepLines w:val="0"/>
              <w:suppressLineNumbers w:val="0"/>
              <w:spacing w:before="0" w:beforeAutospacing="0" w:after="0" w:afterAutospacing="0" w:line="440" w:lineRule="exact"/>
              <w:ind w:left="0" w:right="-1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sz w:val="24"/>
                <w:szCs w:val="24"/>
                <w:lang w:eastAsia="zh-CN"/>
              </w:rPr>
              <w:t>便携式粉尘检测仪、</w:t>
            </w:r>
            <w:r>
              <w:rPr>
                <w:rFonts w:hint="eastAsia" w:ascii="宋体" w:hAnsi="宋体" w:eastAsia="宋体" w:cs="宋体"/>
                <w:b w:val="0"/>
                <w:bCs w:val="0"/>
                <w:color w:val="auto"/>
                <w:sz w:val="24"/>
                <w:szCs w:val="24"/>
                <w:lang w:val="en-US" w:eastAsia="zh-CN"/>
              </w:rPr>
              <w:t>便携式林格曼黑度检测仪、红外热成像气体泄漏检测仪、便携式氢火焰离子化检测仪（FID)</w:t>
            </w:r>
          </w:p>
        </w:tc>
      </w:tr>
      <w:bookmarkEnd w:id="15"/>
    </w:tbl>
    <w:p w14:paraId="647479EB">
      <w:pPr>
        <w:widowControl/>
        <w:jc w:val="left"/>
        <w:rPr>
          <w:rFonts w:ascii="宋体" w:hAnsi="宋体"/>
          <w:b/>
          <w:bCs/>
          <w:color w:val="auto"/>
          <w:kern w:val="44"/>
          <w:sz w:val="36"/>
          <w:szCs w:val="36"/>
        </w:rPr>
      </w:pPr>
      <w:r>
        <w:rPr>
          <w:rFonts w:ascii="宋体" w:hAnsi="宋体"/>
          <w:color w:val="auto"/>
          <w:sz w:val="36"/>
          <w:szCs w:val="36"/>
        </w:rPr>
        <w:br w:type="page"/>
      </w:r>
    </w:p>
    <w:p w14:paraId="6AEE1C9B">
      <w:pPr>
        <w:pStyle w:val="2"/>
        <w:spacing w:before="0" w:after="0" w:line="480" w:lineRule="exact"/>
        <w:jc w:val="center"/>
        <w:rPr>
          <w:rFonts w:ascii="宋体" w:hAnsi="宋体"/>
          <w:color w:val="auto"/>
          <w:sz w:val="36"/>
          <w:szCs w:val="36"/>
        </w:rPr>
      </w:pPr>
      <w:bookmarkStart w:id="19" w:name="_Toc14117"/>
      <w:bookmarkStart w:id="20" w:name="_Toc23258605"/>
      <w:bookmarkStart w:id="21" w:name="_Toc26541322"/>
      <w:r>
        <w:rPr>
          <w:rFonts w:hint="eastAsia" w:ascii="宋体" w:hAnsi="宋体"/>
          <w:color w:val="auto"/>
          <w:sz w:val="36"/>
          <w:szCs w:val="36"/>
        </w:rPr>
        <w:t>第三章 投标人须知</w:t>
      </w:r>
      <w:bookmarkEnd w:id="19"/>
      <w:bookmarkEnd w:id="20"/>
      <w:bookmarkEnd w:id="21"/>
    </w:p>
    <w:p w14:paraId="2BA94B6E">
      <w:pPr>
        <w:pStyle w:val="3"/>
        <w:spacing w:before="0" w:after="0" w:line="480" w:lineRule="exact"/>
        <w:jc w:val="center"/>
        <w:rPr>
          <w:rFonts w:hint="eastAsia"/>
          <w:color w:val="auto"/>
        </w:rPr>
      </w:pPr>
      <w:bookmarkStart w:id="22" w:name="_Toc23258606"/>
      <w:bookmarkStart w:id="23" w:name="_Toc26541323"/>
      <w:r>
        <w:rPr>
          <w:rFonts w:hint="eastAsia"/>
          <w:color w:val="auto"/>
        </w:rPr>
        <w:t>一、总则</w:t>
      </w:r>
      <w:bookmarkEnd w:id="22"/>
      <w:bookmarkEnd w:id="23"/>
      <w:bookmarkStart w:id="24" w:name="_Toc311415573"/>
      <w:bookmarkStart w:id="25" w:name="_Toc358364321"/>
      <w:bookmarkStart w:id="26" w:name="_Toc380336727"/>
      <w:bookmarkStart w:id="27" w:name="_Toc409689049"/>
    </w:p>
    <w:p w14:paraId="2D11E69F">
      <w:pPr>
        <w:pStyle w:val="3"/>
        <w:keepNext/>
        <w:keepLines/>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ascii="宋体" w:hAnsi="宋体"/>
          <w:b/>
          <w:color w:val="auto"/>
          <w:sz w:val="24"/>
          <w:szCs w:val="24"/>
        </w:rPr>
      </w:pPr>
      <w:r>
        <w:rPr>
          <w:rFonts w:hint="eastAsia" w:ascii="宋体" w:hAnsi="宋体"/>
          <w:b/>
          <w:color w:val="auto"/>
          <w:sz w:val="24"/>
          <w:szCs w:val="24"/>
          <w:lang w:eastAsia="zh-CN"/>
        </w:rPr>
        <w:t>1.</w:t>
      </w:r>
      <w:r>
        <w:rPr>
          <w:rFonts w:hint="eastAsia" w:ascii="宋体" w:hAnsi="宋体"/>
          <w:b/>
          <w:color w:val="auto"/>
          <w:sz w:val="24"/>
          <w:szCs w:val="24"/>
        </w:rPr>
        <w:t xml:space="preserve"> 项目概况</w:t>
      </w:r>
    </w:p>
    <w:p w14:paraId="4EF605E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w:t>
      </w:r>
      <w:r>
        <w:rPr>
          <w:rFonts w:hint="eastAsia" w:ascii="宋体" w:hAnsi="宋体"/>
          <w:color w:val="auto"/>
          <w:sz w:val="24"/>
          <w:szCs w:val="21"/>
          <w:lang w:val="zh-CN"/>
        </w:rPr>
        <w:t>1根据《中华人民共和国政府采购法》《中华人民共和国政府采购法实施条例》等有关法律法规和规章，本项目已具备招标条件，现进行招标。</w:t>
      </w:r>
    </w:p>
    <w:p w14:paraId="6496D18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rPr>
      </w:pPr>
      <w:r>
        <w:rPr>
          <w:rFonts w:ascii="宋体" w:hAnsi="宋体"/>
          <w:color w:val="auto"/>
          <w:sz w:val="24"/>
          <w:szCs w:val="21"/>
          <w:lang w:val="zh-CN"/>
        </w:rPr>
        <w:t>1.</w:t>
      </w:r>
      <w:r>
        <w:rPr>
          <w:rFonts w:hint="eastAsia" w:ascii="宋体" w:hAnsi="宋体"/>
          <w:color w:val="auto"/>
          <w:sz w:val="24"/>
          <w:szCs w:val="21"/>
          <w:lang w:val="zh-CN"/>
        </w:rPr>
        <w:t>2采购人：</w:t>
      </w:r>
      <w:r>
        <w:rPr>
          <w:rFonts w:hint="eastAsia" w:ascii="宋体" w:hAnsi="宋体" w:cs="宋体"/>
          <w:color w:val="auto"/>
          <w:kern w:val="0"/>
          <w:sz w:val="24"/>
          <w:szCs w:val="24"/>
          <w:lang w:val="en-US" w:eastAsia="zh-CN"/>
        </w:rPr>
        <w:t>安康市生态环境保护综合执法支队。</w:t>
      </w:r>
    </w:p>
    <w:p w14:paraId="69ED7E9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zh-CN"/>
        </w:rPr>
        <w:t>采购代理机构：</w:t>
      </w:r>
      <w:r>
        <w:rPr>
          <w:rFonts w:hint="eastAsia" w:ascii="宋体" w:hAnsi="宋体"/>
          <w:color w:val="auto"/>
          <w:sz w:val="24"/>
          <w:szCs w:val="21"/>
        </w:rPr>
        <w:t>安康尚昊招标代理有限公司</w:t>
      </w:r>
      <w:r>
        <w:rPr>
          <w:rFonts w:hint="eastAsia" w:ascii="宋体" w:hAnsi="宋体"/>
          <w:color w:val="auto"/>
          <w:sz w:val="24"/>
          <w:szCs w:val="21"/>
          <w:lang w:val="zh-CN"/>
        </w:rPr>
        <w:t>。</w:t>
      </w:r>
    </w:p>
    <w:p w14:paraId="5A5668B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zh-CN"/>
        </w:rPr>
        <w:t>采购项目名称：</w:t>
      </w:r>
      <w:r>
        <w:rPr>
          <w:rFonts w:hint="eastAsia" w:ascii="宋体" w:hAnsi="宋体"/>
          <w:color w:val="auto"/>
          <w:sz w:val="24"/>
          <w:szCs w:val="24"/>
          <w:lang w:eastAsia="zh-CN"/>
        </w:rPr>
        <w:t>安康市大气污染防治执法装备标准化项目</w:t>
      </w:r>
      <w:r>
        <w:rPr>
          <w:rFonts w:hint="eastAsia" w:ascii="宋体" w:hAnsi="宋体"/>
          <w:color w:val="auto"/>
          <w:sz w:val="24"/>
          <w:szCs w:val="21"/>
          <w:lang w:val="zh-CN"/>
        </w:rPr>
        <w:t>。</w:t>
      </w:r>
    </w:p>
    <w:p w14:paraId="7DE4819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b/>
          <w:color w:val="auto"/>
          <w:sz w:val="24"/>
          <w:szCs w:val="24"/>
          <w:lang w:eastAsia="zh-CN"/>
        </w:rPr>
      </w:pPr>
      <w:r>
        <w:rPr>
          <w:rFonts w:hint="eastAsia" w:ascii="宋体" w:hAnsi="宋体" w:eastAsia="宋体" w:cs="宋体"/>
          <w:bCs/>
          <w:color w:val="000000" w:themeColor="text1"/>
          <w:sz w:val="24"/>
          <w:szCs w:val="24"/>
          <w:lang w:val="en-US" w:eastAsia="zh-CN"/>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监管机构：安康市</w:t>
      </w:r>
      <w:r>
        <w:rPr>
          <w:rFonts w:hint="eastAsia" w:ascii="宋体" w:hAnsi="宋体" w:eastAsia="宋体" w:cs="宋体"/>
          <w:bCs/>
          <w:color w:val="000000" w:themeColor="text1"/>
          <w:sz w:val="24"/>
          <w:szCs w:val="24"/>
          <w14:textFill>
            <w14:solidFill>
              <w14:schemeClr w14:val="tx1"/>
            </w14:solidFill>
          </w14:textFill>
        </w:rPr>
        <w:t>财政局</w:t>
      </w:r>
      <w:r>
        <w:rPr>
          <w:rFonts w:hint="eastAsia" w:ascii="宋体" w:hAnsi="宋体" w:cs="宋体"/>
          <w:bCs/>
          <w:color w:val="000000" w:themeColor="text1"/>
          <w:sz w:val="24"/>
          <w:szCs w:val="24"/>
          <w:lang w:eastAsia="zh-CN"/>
          <w14:textFill>
            <w14:solidFill>
              <w14:schemeClr w14:val="tx1"/>
            </w14:solidFill>
          </w14:textFill>
        </w:rPr>
        <w:t>。</w:t>
      </w:r>
    </w:p>
    <w:p w14:paraId="1964C5C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招标范围、服务期、项目地点</w:t>
      </w:r>
    </w:p>
    <w:p w14:paraId="18B972F3">
      <w:pPr>
        <w:pStyle w:val="63"/>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zh-CN"/>
        </w:rPr>
        <w:t>招标范围：</w:t>
      </w:r>
      <w:r>
        <w:rPr>
          <w:rFonts w:hint="eastAsia" w:ascii="宋体" w:hAnsi="宋体" w:cs="宋体"/>
          <w:color w:val="auto"/>
          <w:kern w:val="0"/>
          <w:sz w:val="24"/>
          <w:szCs w:val="24"/>
          <w:lang w:eastAsia="zh-CN"/>
        </w:rPr>
        <w:t>安康市大气污染防治执法装备标准化项目</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安康市大气污染防治执法装备标准化项目</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7080000.00元</w:t>
      </w:r>
      <w:r>
        <w:rPr>
          <w:rFonts w:hint="eastAsia" w:ascii="宋体" w:hAnsi="宋体" w:eastAsia="宋体" w:cs="宋体"/>
          <w:color w:val="auto"/>
          <w:sz w:val="24"/>
          <w:szCs w:val="24"/>
          <w:lang w:val="en-US" w:eastAsia="zh-CN" w:bidi="ar"/>
        </w:rPr>
        <w:t>，</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6AD6F2F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FF0000"/>
          <w:kern w:val="0"/>
          <w:sz w:val="24"/>
          <w:szCs w:val="24"/>
          <w:lang w:val="en-US" w:eastAsia="zh-CN"/>
        </w:rPr>
      </w:pPr>
      <w:r>
        <w:rPr>
          <w:rFonts w:hint="eastAsia" w:ascii="宋体" w:hAnsi="宋体"/>
          <w:color w:val="auto"/>
          <w:kern w:val="0"/>
          <w:sz w:val="24"/>
          <w:szCs w:val="24"/>
        </w:rPr>
        <w:t>2.2合同履行期：</w:t>
      </w:r>
      <w:r>
        <w:rPr>
          <w:rFonts w:hint="eastAsia" w:ascii="宋体" w:hAnsi="宋体" w:cs="宋体"/>
          <w:color w:val="auto"/>
          <w:kern w:val="0"/>
          <w:sz w:val="24"/>
          <w:szCs w:val="24"/>
          <w:lang w:val="en-US" w:eastAsia="zh-CN" w:bidi="ar-SA"/>
        </w:rPr>
        <w:t>自合同签订生效之日起45个日历天内交付（包含调试验收）</w:t>
      </w:r>
      <w:r>
        <w:rPr>
          <w:rFonts w:hint="eastAsia" w:ascii="宋体" w:hAnsi="宋体" w:cs="宋体"/>
          <w:bCs w:val="0"/>
          <w:color w:val="auto"/>
          <w:spacing w:val="0"/>
          <w:sz w:val="24"/>
          <w:szCs w:val="24"/>
          <w:lang w:eastAsia="zh-CN"/>
        </w:rPr>
        <w:t>。</w:t>
      </w:r>
    </w:p>
    <w:p w14:paraId="6BC0427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olor w:val="auto"/>
          <w:lang w:val="en-US"/>
        </w:rPr>
      </w:pPr>
      <w:r>
        <w:rPr>
          <w:rFonts w:hint="eastAsia" w:ascii="宋体" w:hAnsi="宋体"/>
          <w:color w:val="auto"/>
          <w:kern w:val="0"/>
          <w:sz w:val="24"/>
          <w:szCs w:val="24"/>
        </w:rPr>
        <w:t>2.3项目地点：</w:t>
      </w:r>
      <w:r>
        <w:rPr>
          <w:rFonts w:hint="eastAsia" w:ascii="宋体" w:hAnsi="宋体"/>
          <w:color w:val="auto"/>
          <w:kern w:val="0"/>
          <w:sz w:val="24"/>
          <w:szCs w:val="24"/>
          <w:lang w:val="en-US" w:eastAsia="zh-CN"/>
        </w:rPr>
        <w:t>采购人指定地点。</w:t>
      </w:r>
    </w:p>
    <w:p w14:paraId="78142DE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rPr>
        <w:t>投标人资格要求</w:t>
      </w:r>
    </w:p>
    <w:p w14:paraId="629631D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3.1</w:t>
      </w:r>
      <w:r>
        <w:rPr>
          <w:rFonts w:hint="eastAsia" w:ascii="宋体" w:hAnsi="宋体"/>
          <w:color w:val="auto"/>
          <w:sz w:val="24"/>
          <w:szCs w:val="21"/>
          <w:lang w:val="zh-CN"/>
        </w:rPr>
        <w:t>投标人应具备的资格条件：见投标人须知前附表。</w:t>
      </w:r>
    </w:p>
    <w:p w14:paraId="0ED1DC37">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4"/>
    </w:p>
    <w:p w14:paraId="7E551B04">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szCs w:val="20"/>
        </w:rPr>
      </w:pPr>
      <w:bookmarkStart w:id="28" w:name="_Toc311415575"/>
      <w:r>
        <w:rPr>
          <w:rFonts w:hint="eastAsia" w:ascii="宋体" w:hAnsi="宋体" w:cs="宋体"/>
          <w:color w:val="auto"/>
          <w:kern w:val="0"/>
          <w:sz w:val="24"/>
          <w:szCs w:val="20"/>
        </w:rPr>
        <w:t>4.1符合《中华人民共和国政府采购法》第二十二条要求具备的条件、并具备</w:t>
      </w:r>
      <w:r>
        <w:rPr>
          <w:rFonts w:hint="eastAsia" w:ascii="宋体" w:hAnsi="宋体" w:cs="宋体"/>
          <w:bCs/>
          <w:color w:val="auto"/>
          <w:kern w:val="0"/>
          <w:sz w:val="24"/>
          <w:szCs w:val="20"/>
        </w:rPr>
        <w:t>国家规定的相关该行业必备资质，</w:t>
      </w:r>
      <w:r>
        <w:rPr>
          <w:rFonts w:hint="eastAsia" w:ascii="宋体" w:hAnsi="宋体" w:cs="宋体"/>
          <w:color w:val="auto"/>
          <w:kern w:val="0"/>
          <w:sz w:val="24"/>
          <w:szCs w:val="20"/>
        </w:rPr>
        <w:t>有能力提供本次招标采购货物和服务的制造商或授权投标人。</w:t>
      </w:r>
    </w:p>
    <w:p w14:paraId="34D95640">
      <w:pPr>
        <w:keepNext w:val="0"/>
        <w:keepLines w:val="0"/>
        <w:pageBreakBefore w:val="0"/>
        <w:widowControl w:val="0"/>
        <w:kinsoku/>
        <w:wordWrap/>
        <w:overflowPunct/>
        <w:topLinePunct w:val="0"/>
        <w:bidi w:val="0"/>
        <w:snapToGrid w:val="0"/>
        <w:spacing w:line="400" w:lineRule="exact"/>
        <w:ind w:firstLine="480" w:firstLineChars="200"/>
        <w:textAlignment w:val="auto"/>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投标人如有下列情形之一的按废标处理：</w:t>
      </w:r>
    </w:p>
    <w:p w14:paraId="513B57FA">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1767FE9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084A15F9">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25A496F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13A2B7E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4FA2B406">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（6）被责令停业的；</w:t>
      </w:r>
    </w:p>
    <w:p w14:paraId="2CDA126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（7）被暂停或取消投标资格的；</w:t>
      </w:r>
    </w:p>
    <w:p w14:paraId="094421CE">
      <w:pPr>
        <w:keepNext w:val="0"/>
        <w:keepLines w:val="0"/>
        <w:pageBreakBefore w:val="0"/>
        <w:widowControl w:val="0"/>
        <w:kinsoku/>
        <w:wordWrap/>
        <w:overflowPunct/>
        <w:topLinePunct w:val="0"/>
        <w:bidi w:val="0"/>
        <w:snapToGrid w:val="0"/>
        <w:spacing w:line="440" w:lineRule="exact"/>
        <w:ind w:firstLine="480" w:firstLineChars="200"/>
        <w:textAlignment w:val="auto"/>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682FF56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5.</w:t>
      </w:r>
      <w:r>
        <w:rPr>
          <w:rFonts w:hint="eastAsia" w:ascii="宋体" w:hAnsi="宋体"/>
          <w:b/>
          <w:color w:val="auto"/>
          <w:sz w:val="24"/>
          <w:szCs w:val="24"/>
        </w:rPr>
        <w:t>费用承担</w:t>
      </w:r>
    </w:p>
    <w:p w14:paraId="44A2B4C9">
      <w:pPr>
        <w:pStyle w:val="18"/>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23C83E6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6.</w:t>
      </w:r>
      <w:r>
        <w:rPr>
          <w:rFonts w:hint="eastAsia" w:ascii="宋体" w:hAnsi="宋体"/>
          <w:b/>
          <w:color w:val="auto"/>
          <w:sz w:val="24"/>
          <w:szCs w:val="24"/>
        </w:rPr>
        <w:t>保密</w:t>
      </w:r>
    </w:p>
    <w:p w14:paraId="59A235B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参与政府采购活动的各方应对招标文件和投标文件中的商业和技术等秘密保密，否则应承担相应的法律责任。</w:t>
      </w:r>
    </w:p>
    <w:p w14:paraId="799B6C3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7.</w:t>
      </w:r>
      <w:r>
        <w:rPr>
          <w:rFonts w:hint="eastAsia" w:ascii="宋体" w:hAnsi="宋体"/>
          <w:b/>
          <w:color w:val="auto"/>
          <w:sz w:val="24"/>
          <w:szCs w:val="24"/>
        </w:rPr>
        <w:t>语言文字</w:t>
      </w:r>
    </w:p>
    <w:p w14:paraId="2EEB5EE1">
      <w:pPr>
        <w:pStyle w:val="18"/>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75BB47C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8.</w:t>
      </w:r>
      <w:r>
        <w:rPr>
          <w:rFonts w:hint="eastAsia" w:ascii="宋体" w:hAnsi="宋体"/>
          <w:b/>
          <w:color w:val="auto"/>
          <w:sz w:val="24"/>
          <w:szCs w:val="24"/>
        </w:rPr>
        <w:t xml:space="preserve"> 计量单位</w:t>
      </w:r>
    </w:p>
    <w:p w14:paraId="0B39C00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所有计量均采用中华人民共和国法定计量单位。</w:t>
      </w:r>
    </w:p>
    <w:p w14:paraId="725884FE">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9.</w:t>
      </w:r>
      <w:r>
        <w:rPr>
          <w:rFonts w:hint="eastAsia" w:ascii="宋体" w:hAnsi="宋体"/>
          <w:b/>
          <w:color w:val="auto"/>
          <w:sz w:val="24"/>
          <w:szCs w:val="24"/>
        </w:rPr>
        <w:t>响应和偏差</w:t>
      </w:r>
    </w:p>
    <w:p w14:paraId="3CE98CD7">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9.1.投标文件应对招标文件的实质性要求和条件作出满足性或更有利于采购人的响应，否则投标人的投标按无效处理。</w:t>
      </w:r>
    </w:p>
    <w:p w14:paraId="2A4B4843">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9.2.投标人应根据招标文件的要求提供详细的技术支持资料、服务计划等内容对招标文件作出响应。</w:t>
      </w:r>
    </w:p>
    <w:p w14:paraId="231C4A9A">
      <w:pPr>
        <w:pStyle w:val="1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9.3.投标文件对招标文件的全部偏差，均应在投标文件的商务和技术偏差表中列明，除列明的内容外，视为投标人响应招标文件的全部要求。</w:t>
      </w:r>
    </w:p>
    <w:bookmarkEnd w:id="28"/>
    <w:p w14:paraId="03988E51">
      <w:pPr>
        <w:pStyle w:val="3"/>
        <w:spacing w:before="0" w:after="0" w:line="415" w:lineRule="auto"/>
        <w:jc w:val="center"/>
        <w:rPr>
          <w:color w:val="auto"/>
        </w:rPr>
      </w:pPr>
      <w:bookmarkStart w:id="29" w:name="_Toc23258607"/>
      <w:bookmarkStart w:id="30" w:name="_Toc26541324"/>
      <w:r>
        <w:rPr>
          <w:rFonts w:hint="eastAsia"/>
          <w:color w:val="auto"/>
        </w:rPr>
        <w:t>二、招标文件</w:t>
      </w:r>
      <w:bookmarkEnd w:id="29"/>
      <w:bookmarkEnd w:id="30"/>
    </w:p>
    <w:p w14:paraId="0DB82B8E">
      <w:pPr>
        <w:spacing w:line="360" w:lineRule="auto"/>
        <w:ind w:firstLine="482" w:firstLineChars="200"/>
        <w:rPr>
          <w:rFonts w:ascii="宋体" w:hAnsi="宋体"/>
          <w:b/>
          <w:color w:val="auto"/>
          <w:sz w:val="24"/>
          <w:szCs w:val="24"/>
        </w:rPr>
      </w:pPr>
      <w:bookmarkStart w:id="31" w:name="_Toc311415577"/>
      <w:r>
        <w:rPr>
          <w:rFonts w:hint="eastAsia" w:ascii="宋体" w:hAnsi="宋体"/>
          <w:b/>
          <w:color w:val="auto"/>
          <w:sz w:val="24"/>
          <w:szCs w:val="24"/>
          <w:lang w:eastAsia="zh-CN"/>
        </w:rPr>
        <w:t>10.</w:t>
      </w:r>
      <w:r>
        <w:rPr>
          <w:rFonts w:hint="eastAsia" w:ascii="宋体" w:hAnsi="宋体"/>
          <w:b/>
          <w:color w:val="auto"/>
          <w:sz w:val="24"/>
          <w:szCs w:val="24"/>
        </w:rPr>
        <w:t>招标文件的构成</w:t>
      </w:r>
      <w:bookmarkEnd w:id="31"/>
    </w:p>
    <w:p w14:paraId="3E48548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10.1招标文件用以阐明所需提供的货物及服务、采购、投标程序和合同条件。招标文件包括：</w:t>
      </w:r>
    </w:p>
    <w:p w14:paraId="66B03C3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（1）招标公告</w:t>
      </w:r>
    </w:p>
    <w:p w14:paraId="6475A36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（2）投标人须知前附表</w:t>
      </w:r>
    </w:p>
    <w:p w14:paraId="59197CC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（3）投标人须知</w:t>
      </w:r>
    </w:p>
    <w:p w14:paraId="7595F1E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（4）采购内容及要求</w:t>
      </w:r>
    </w:p>
    <w:p w14:paraId="3D16F24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（5）合同文本</w:t>
      </w:r>
    </w:p>
    <w:p w14:paraId="6350D5A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（6）投标文件格式</w:t>
      </w:r>
    </w:p>
    <w:p w14:paraId="6E0E1E0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投标人应认真阅读招标文件中所有的事项、格式、条款和规范等要求。如果投标人没有按照招标文件要求提交全部资料，或者投标文件没有对招标文件在各方面都作出实质性响应，由此带来的不利于投标人的评标结果，其风险由投标人承担。</w:t>
      </w:r>
    </w:p>
    <w:p w14:paraId="469F7FE7">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10.3招标文件的获取：招标采购公告发布后，有意向的投标人应从采购代理机构获取招标文件，仅作为本次招标使用。</w:t>
      </w:r>
    </w:p>
    <w:p w14:paraId="0EF4724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10.4本招标文件的解释权归安康尚昊招标代理有限公司。</w:t>
      </w:r>
    </w:p>
    <w:p w14:paraId="5B1F571A">
      <w:pPr>
        <w:spacing w:line="360" w:lineRule="auto"/>
        <w:ind w:firstLine="482" w:firstLineChars="200"/>
        <w:rPr>
          <w:rFonts w:ascii="宋体" w:hAnsi="宋体"/>
          <w:b/>
          <w:color w:val="auto"/>
          <w:sz w:val="24"/>
          <w:szCs w:val="24"/>
        </w:rPr>
      </w:pPr>
      <w:bookmarkStart w:id="32" w:name="_Toc311415578"/>
      <w:r>
        <w:rPr>
          <w:rFonts w:ascii="宋体" w:hAnsi="宋体"/>
          <w:b/>
          <w:color w:val="auto"/>
          <w:sz w:val="24"/>
          <w:szCs w:val="24"/>
        </w:rPr>
        <w:t>1</w:t>
      </w:r>
      <w:r>
        <w:rPr>
          <w:rFonts w:hint="eastAsia" w:ascii="宋体" w:hAnsi="宋体"/>
          <w:b/>
          <w:color w:val="auto"/>
          <w:sz w:val="24"/>
          <w:szCs w:val="24"/>
          <w:lang w:eastAsia="zh-CN"/>
        </w:rPr>
        <w:t>1.</w:t>
      </w:r>
      <w:r>
        <w:rPr>
          <w:rFonts w:hint="eastAsia" w:ascii="宋体" w:hAnsi="宋体"/>
          <w:b/>
          <w:color w:val="auto"/>
          <w:sz w:val="24"/>
          <w:szCs w:val="24"/>
        </w:rPr>
        <w:t>招标文件的澄清</w:t>
      </w:r>
      <w:bookmarkEnd w:id="32"/>
    </w:p>
    <w:p w14:paraId="384B8460">
      <w:pPr>
        <w:spacing w:line="500" w:lineRule="exact"/>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88DBBDD">
      <w:pPr>
        <w:spacing w:line="500" w:lineRule="exact"/>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4D86E492">
      <w:pPr>
        <w:spacing w:line="500" w:lineRule="exact"/>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4A8A70EB">
      <w:pPr>
        <w:spacing w:line="360" w:lineRule="auto"/>
        <w:ind w:firstLine="482" w:firstLineChars="200"/>
        <w:rPr>
          <w:rFonts w:ascii="宋体" w:hAnsi="宋体"/>
          <w:b/>
          <w:color w:val="auto"/>
          <w:sz w:val="24"/>
          <w:szCs w:val="24"/>
        </w:rPr>
      </w:pPr>
      <w:bookmarkStart w:id="33" w:name="_Toc311415579"/>
      <w:r>
        <w:rPr>
          <w:rFonts w:ascii="宋体" w:hAnsi="宋体"/>
          <w:b/>
          <w:color w:val="auto"/>
          <w:sz w:val="24"/>
          <w:szCs w:val="24"/>
        </w:rPr>
        <w:t>1</w:t>
      </w:r>
      <w:r>
        <w:rPr>
          <w:rFonts w:hint="eastAsia" w:ascii="宋体" w:hAnsi="宋体"/>
          <w:b/>
          <w:color w:val="auto"/>
          <w:sz w:val="24"/>
          <w:szCs w:val="24"/>
          <w:lang w:eastAsia="zh-CN"/>
        </w:rPr>
        <w:t>2.</w:t>
      </w:r>
      <w:r>
        <w:rPr>
          <w:rFonts w:hint="eastAsia" w:ascii="宋体" w:hAnsi="宋体"/>
          <w:b/>
          <w:color w:val="auto"/>
          <w:sz w:val="24"/>
          <w:szCs w:val="24"/>
        </w:rPr>
        <w:t>招标文件的修改</w:t>
      </w:r>
      <w:bookmarkEnd w:id="33"/>
    </w:p>
    <w:p w14:paraId="12F3B7D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rPr>
        <w:t>获取</w:t>
      </w:r>
      <w:r>
        <w:rPr>
          <w:rFonts w:ascii="宋体" w:hAnsi="宋体"/>
          <w:color w:val="auto"/>
          <w:sz w:val="24"/>
          <w:szCs w:val="24"/>
        </w:rPr>
        <w:t>招标文件的单位。该澄清或者修改的内容为招标文件的组成部分。</w:t>
      </w:r>
    </w:p>
    <w:p w14:paraId="68C031C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022C4FA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rPr>
        <w:t>获取</w:t>
      </w:r>
      <w:r>
        <w:rPr>
          <w:rFonts w:ascii="宋体" w:hAnsi="宋体"/>
          <w:color w:val="auto"/>
          <w:sz w:val="24"/>
          <w:szCs w:val="24"/>
        </w:rPr>
        <w:t>招标文件的单位。</w:t>
      </w:r>
    </w:p>
    <w:p w14:paraId="44AC556D">
      <w:pPr>
        <w:pStyle w:val="3"/>
        <w:spacing w:before="0" w:after="0" w:line="480" w:lineRule="exact"/>
        <w:jc w:val="center"/>
        <w:rPr>
          <w:color w:val="auto"/>
        </w:rPr>
      </w:pPr>
      <w:bookmarkStart w:id="34" w:name="_Toc26541325"/>
      <w:bookmarkStart w:id="35" w:name="_Toc23258608"/>
      <w:r>
        <w:rPr>
          <w:rFonts w:hint="eastAsia"/>
          <w:color w:val="auto"/>
        </w:rPr>
        <w:t>三、投标文件</w:t>
      </w:r>
      <w:bookmarkEnd w:id="34"/>
      <w:bookmarkEnd w:id="35"/>
    </w:p>
    <w:p w14:paraId="33B79466">
      <w:pPr>
        <w:spacing w:line="360" w:lineRule="auto"/>
        <w:ind w:firstLine="482" w:firstLineChars="200"/>
        <w:rPr>
          <w:rFonts w:ascii="宋体" w:hAnsi="宋体"/>
          <w:b/>
          <w:color w:val="auto"/>
          <w:sz w:val="24"/>
          <w:szCs w:val="24"/>
        </w:rPr>
      </w:pPr>
      <w:bookmarkStart w:id="36" w:name="_Toc311415581"/>
      <w:r>
        <w:rPr>
          <w:rFonts w:ascii="宋体" w:hAnsi="宋体"/>
          <w:b/>
          <w:color w:val="auto"/>
          <w:sz w:val="24"/>
          <w:szCs w:val="24"/>
        </w:rPr>
        <w:t>1</w:t>
      </w:r>
      <w:r>
        <w:rPr>
          <w:rFonts w:hint="eastAsia" w:ascii="宋体" w:hAnsi="宋体"/>
          <w:b/>
          <w:color w:val="auto"/>
          <w:sz w:val="24"/>
          <w:szCs w:val="24"/>
          <w:lang w:eastAsia="zh-CN"/>
        </w:rPr>
        <w:t>3.</w:t>
      </w:r>
      <w:r>
        <w:rPr>
          <w:rFonts w:hint="eastAsia" w:ascii="宋体" w:hAnsi="宋体"/>
          <w:b/>
          <w:color w:val="auto"/>
          <w:sz w:val="24"/>
          <w:szCs w:val="24"/>
        </w:rPr>
        <w:t>投标文件编制的原则</w:t>
      </w:r>
      <w:bookmarkEnd w:id="36"/>
    </w:p>
    <w:p w14:paraId="7B1399A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71A3EDF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641A07F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147C6C8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color w:val="auto"/>
          <w:sz w:val="24"/>
          <w:szCs w:val="24"/>
        </w:rPr>
        <w:t>利权、商标权</w:t>
      </w:r>
      <w:r>
        <w:rPr>
          <w:rFonts w:hint="eastAsia" w:ascii="宋体" w:hAnsi="宋体"/>
          <w:color w:val="auto"/>
          <w:sz w:val="24"/>
          <w:szCs w:val="24"/>
          <w:lang w:eastAsia="zh-CN"/>
        </w:rPr>
        <w:t>或其他</w:t>
      </w:r>
      <w:r>
        <w:rPr>
          <w:rFonts w:hint="eastAsia" w:ascii="宋体" w:hAnsi="宋体"/>
          <w:color w:val="auto"/>
          <w:sz w:val="24"/>
          <w:szCs w:val="24"/>
        </w:rPr>
        <w:t>知识产权而引起法律纠纷和经济纠纷，由供应商承担所有相关责任。</w:t>
      </w:r>
    </w:p>
    <w:p w14:paraId="06D06FC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13.5采购人享有本项目在实施过程中产生的知识成果及知识产权。</w:t>
      </w:r>
    </w:p>
    <w:p w14:paraId="050DB84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13.6供应商如欲在项目实施过程中采用自有知识成果，需在</w:t>
      </w:r>
      <w:r>
        <w:rPr>
          <w:rFonts w:hint="eastAsia" w:ascii="宋体" w:hAnsi="宋体"/>
          <w:color w:val="auto"/>
          <w:sz w:val="24"/>
          <w:szCs w:val="24"/>
          <w:lang w:eastAsia="zh-CN"/>
        </w:rPr>
        <w:t>投标文件</w:t>
      </w:r>
      <w:r>
        <w:rPr>
          <w:rFonts w:hint="eastAsia" w:ascii="宋体" w:hAnsi="宋体"/>
          <w:color w:val="auto"/>
          <w:sz w:val="24"/>
          <w:szCs w:val="24"/>
        </w:rPr>
        <w:t>中声明，并提供相关知识产权证明文件。使用该知识成果后，供应商须提供开发接口和开发手册等技术文档，并承诺提供无限期技术支持，采购人享有永久使用权。</w:t>
      </w:r>
    </w:p>
    <w:p w14:paraId="2C537A5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13.7 如供应商所不拥有的知识产权，则在投标报价中必须包括合法获取该知识产权的相关费用。</w:t>
      </w:r>
    </w:p>
    <w:p w14:paraId="74508C17">
      <w:pPr>
        <w:overflowPunct w:val="0"/>
        <w:adjustRightInd w:val="0"/>
        <w:snapToGrid w:val="0"/>
        <w:spacing w:line="360" w:lineRule="auto"/>
        <w:ind w:firstLine="482" w:firstLineChars="200"/>
        <w:rPr>
          <w:rFonts w:hint="eastAsia"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4.</w:t>
      </w:r>
      <w:r>
        <w:rPr>
          <w:rFonts w:hint="eastAsia" w:ascii="宋体" w:hAnsi="宋体"/>
          <w:b/>
          <w:bCs/>
          <w:color w:val="auto"/>
          <w:sz w:val="24"/>
          <w:szCs w:val="24"/>
        </w:rPr>
        <w:t>投标文件构成和格式</w:t>
      </w:r>
    </w:p>
    <w:p w14:paraId="33FA893B">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14.1文件的制作和签名</w:t>
      </w:r>
    </w:p>
    <w:p w14:paraId="0B0A32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14.1.1为确保采购项目顺利开展，本项目采用电子</w:t>
      </w:r>
      <w:bookmarkStart w:id="37" w:name="_Hlk34128658"/>
      <w:r>
        <w:rPr>
          <w:rFonts w:hint="eastAsia" w:ascii="宋体" w:hAnsi="宋体"/>
          <w:color w:val="auto"/>
          <w:sz w:val="24"/>
          <w:szCs w:val="24"/>
        </w:rPr>
        <w:t>投标文件</w:t>
      </w:r>
      <w:bookmarkEnd w:id="37"/>
      <w:r>
        <w:rPr>
          <w:rFonts w:hint="eastAsia" w:ascii="宋体" w:hAnsi="宋体"/>
          <w:color w:val="auto"/>
          <w:sz w:val="24"/>
          <w:szCs w:val="24"/>
        </w:rPr>
        <w:t>。投标人在投标前须提供电子投标文件。</w:t>
      </w:r>
    </w:p>
    <w:p w14:paraId="73961F9B">
      <w:pPr>
        <w:overflowPunct w:val="0"/>
        <w:adjustRightInd w:val="0"/>
        <w:snapToGrid w:val="0"/>
        <w:spacing w:line="360" w:lineRule="auto"/>
        <w:ind w:firstLine="480" w:firstLineChars="200"/>
        <w:rPr>
          <w:rFonts w:ascii="宋体" w:hAnsi="宋体"/>
          <w:color w:val="auto"/>
          <w:sz w:val="24"/>
        </w:rPr>
      </w:pPr>
      <w:r>
        <w:rPr>
          <w:rFonts w:hint="eastAsia" w:ascii="宋体" w:hAnsi="宋体"/>
          <w:color w:val="auto"/>
          <w:sz w:val="24"/>
          <w:szCs w:val="24"/>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w:t>
      </w:r>
      <w:r>
        <w:rPr>
          <w:rFonts w:hint="eastAsia" w:ascii="宋体" w:hAnsi="宋体"/>
          <w:color w:val="auto"/>
          <w:sz w:val="24"/>
        </w:rPr>
        <w:t>加密和解密应当使用同一 CA，否则将会导致解密失败。因供应商自身原因未使用最新发布的电子招标文件及专用制作工具进行编制，导致电子文件上传失败，由供应商自行承担全部责任。</w:t>
      </w:r>
    </w:p>
    <w:p w14:paraId="51203E3A">
      <w:pPr>
        <w:snapToGrid w:val="0"/>
        <w:spacing w:line="440" w:lineRule="exact"/>
        <w:ind w:firstLine="480" w:firstLineChars="200"/>
        <w:rPr>
          <w:rFonts w:ascii="宋体" w:hAnsi="宋体" w:cs="宋体"/>
          <w:color w:val="auto"/>
          <w:kern w:val="0"/>
          <w:sz w:val="24"/>
          <w:szCs w:val="24"/>
        </w:rPr>
      </w:pPr>
      <w:r>
        <w:rPr>
          <w:rFonts w:ascii="宋体" w:hAnsi="宋体" w:cs="宋体"/>
          <w:color w:val="auto"/>
          <w:kern w:val="0"/>
          <w:sz w:val="24"/>
          <w:szCs w:val="24"/>
        </w:rPr>
        <w:t>14.</w:t>
      </w:r>
      <w:r>
        <w:rPr>
          <w:rFonts w:hint="eastAsia" w:ascii="宋体" w:hAnsi="宋体" w:cs="宋体"/>
          <w:color w:val="auto"/>
          <w:kern w:val="0"/>
          <w:sz w:val="24"/>
          <w:szCs w:val="24"/>
        </w:rPr>
        <w:t>2投标人应按照本须知第</w:t>
      </w:r>
      <w:r>
        <w:rPr>
          <w:rFonts w:ascii="宋体" w:hAnsi="宋体" w:cs="宋体"/>
          <w:color w:val="auto"/>
          <w:kern w:val="0"/>
          <w:sz w:val="24"/>
          <w:szCs w:val="24"/>
        </w:rPr>
        <w:t>14</w:t>
      </w:r>
      <w:r>
        <w:rPr>
          <w:rFonts w:hint="eastAsia" w:ascii="宋体" w:hAnsi="宋体" w:cs="宋体"/>
          <w:color w:val="auto"/>
          <w:kern w:val="0"/>
          <w:sz w:val="24"/>
          <w:szCs w:val="24"/>
        </w:rPr>
        <w:t>.1条的内容及第六部分提供的格式编写投标文件，不得缺少招标文件要求填写的表格或提交的资料。</w:t>
      </w:r>
    </w:p>
    <w:bookmarkEnd w:id="25"/>
    <w:bookmarkEnd w:id="26"/>
    <w:bookmarkEnd w:id="27"/>
    <w:p w14:paraId="5C109B2E">
      <w:pPr>
        <w:spacing w:line="360" w:lineRule="auto"/>
        <w:ind w:firstLine="482" w:firstLineChars="200"/>
        <w:rPr>
          <w:rFonts w:ascii="宋体" w:hAnsi="宋体"/>
          <w:b/>
          <w:color w:val="auto"/>
          <w:sz w:val="24"/>
          <w:szCs w:val="24"/>
        </w:rPr>
      </w:pPr>
      <w:bookmarkStart w:id="38" w:name="_Toc311415586"/>
      <w:bookmarkStart w:id="39" w:name="_Toc409689060"/>
      <w:bookmarkStart w:id="40" w:name="_Toc380336738"/>
      <w:bookmarkStart w:id="41" w:name="_Toc358364332"/>
      <w:r>
        <w:rPr>
          <w:rFonts w:ascii="宋体" w:hAnsi="宋体"/>
          <w:b/>
          <w:color w:val="auto"/>
          <w:sz w:val="24"/>
          <w:szCs w:val="24"/>
        </w:rPr>
        <w:t>1</w:t>
      </w:r>
      <w:r>
        <w:rPr>
          <w:rFonts w:hint="eastAsia" w:ascii="宋体" w:hAnsi="宋体"/>
          <w:b/>
          <w:color w:val="auto"/>
          <w:sz w:val="24"/>
          <w:szCs w:val="24"/>
          <w:lang w:eastAsia="zh-CN"/>
        </w:rPr>
        <w:t>5.</w:t>
      </w:r>
      <w:r>
        <w:rPr>
          <w:rFonts w:hint="eastAsia" w:ascii="宋体" w:hAnsi="宋体"/>
          <w:b/>
          <w:color w:val="auto"/>
          <w:sz w:val="24"/>
          <w:szCs w:val="24"/>
        </w:rPr>
        <w:t>投标报价</w:t>
      </w:r>
      <w:bookmarkEnd w:id="38"/>
    </w:p>
    <w:bookmarkEnd w:id="39"/>
    <w:bookmarkEnd w:id="40"/>
    <w:bookmarkEnd w:id="41"/>
    <w:p w14:paraId="06806B9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03AC85B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1A7B831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1BBCA82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2514CE1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bookmarkStart w:id="42" w:name="_Toc347478689"/>
      <w:bookmarkEnd w:id="42"/>
      <w:bookmarkStart w:id="43" w:name="_Toc30437"/>
      <w:bookmarkEnd w:id="43"/>
      <w:bookmarkStart w:id="44" w:name="_Toc311415587"/>
      <w:bookmarkStart w:id="45" w:name="_Toc358364333"/>
      <w:bookmarkStart w:id="46" w:name="_Toc409689061"/>
      <w:bookmarkStart w:id="47" w:name="_Toc380336739"/>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4FF68C9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7285263A">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lang w:eastAsia="zh-CN"/>
        </w:rPr>
        <w:t>6.</w:t>
      </w:r>
      <w:r>
        <w:rPr>
          <w:rFonts w:hint="eastAsia" w:ascii="宋体" w:hAnsi="宋体"/>
          <w:b/>
          <w:color w:val="auto"/>
          <w:sz w:val="24"/>
          <w:szCs w:val="24"/>
        </w:rPr>
        <w:t>投标货币</w:t>
      </w:r>
      <w:bookmarkEnd w:id="44"/>
    </w:p>
    <w:p w14:paraId="3D04C4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投标应以人民币</w:t>
      </w:r>
      <w:r>
        <w:rPr>
          <w:rFonts w:hint="eastAsia" w:ascii="宋体" w:hAnsi="宋体"/>
          <w:color w:val="auto"/>
          <w:sz w:val="24"/>
          <w:szCs w:val="24"/>
          <w:lang w:val="en-US" w:eastAsia="zh-CN"/>
        </w:rPr>
        <w:t>折扣率</w:t>
      </w:r>
      <w:r>
        <w:rPr>
          <w:rFonts w:ascii="宋体" w:hAnsi="宋体"/>
          <w:color w:val="auto"/>
          <w:sz w:val="24"/>
          <w:szCs w:val="24"/>
        </w:rPr>
        <w:t>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4DF1D739">
      <w:pPr>
        <w:spacing w:line="360" w:lineRule="auto"/>
        <w:ind w:firstLine="482" w:firstLineChars="200"/>
        <w:rPr>
          <w:rFonts w:ascii="宋体" w:hAnsi="宋体"/>
          <w:b/>
          <w:color w:val="auto"/>
          <w:sz w:val="24"/>
          <w:szCs w:val="24"/>
        </w:rPr>
      </w:pPr>
      <w:bookmarkStart w:id="48" w:name="_Toc311415588"/>
      <w:r>
        <w:rPr>
          <w:rFonts w:ascii="宋体" w:hAnsi="宋体"/>
          <w:b/>
          <w:color w:val="auto"/>
          <w:sz w:val="24"/>
          <w:szCs w:val="24"/>
        </w:rPr>
        <w:t>1</w:t>
      </w:r>
      <w:r>
        <w:rPr>
          <w:rFonts w:hint="eastAsia" w:ascii="宋体" w:hAnsi="宋体"/>
          <w:b/>
          <w:color w:val="auto"/>
          <w:sz w:val="24"/>
          <w:szCs w:val="24"/>
          <w:lang w:eastAsia="zh-CN"/>
        </w:rPr>
        <w:t>7.</w:t>
      </w:r>
      <w:r>
        <w:rPr>
          <w:rFonts w:hint="eastAsia" w:ascii="宋体" w:hAnsi="宋体"/>
          <w:b/>
          <w:color w:val="auto"/>
          <w:sz w:val="24"/>
          <w:szCs w:val="24"/>
        </w:rPr>
        <w:t>投标人资格的证明文件</w:t>
      </w:r>
      <w:bookmarkEnd w:id="48"/>
    </w:p>
    <w:p w14:paraId="6534956D">
      <w:pPr>
        <w:spacing w:line="360" w:lineRule="auto"/>
        <w:ind w:firstLine="480" w:firstLineChars="200"/>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2FF787D5">
      <w:pPr>
        <w:spacing w:line="360" w:lineRule="auto"/>
        <w:ind w:firstLine="480" w:firstLineChars="200"/>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3D3C4967">
      <w:pPr>
        <w:spacing w:line="360" w:lineRule="auto"/>
        <w:ind w:firstLine="480" w:firstLineChars="200"/>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5"/>
    <w:bookmarkEnd w:id="46"/>
    <w:bookmarkEnd w:id="47"/>
    <w:p w14:paraId="17033A3D">
      <w:pPr>
        <w:numPr>
          <w:ilvl w:val="0"/>
          <w:numId w:val="0"/>
        </w:numPr>
        <w:spacing w:line="360" w:lineRule="auto"/>
        <w:ind w:firstLine="482" w:firstLineChars="200"/>
        <w:rPr>
          <w:rFonts w:ascii="宋体" w:hAnsi="宋体"/>
          <w:b/>
          <w:color w:val="auto"/>
          <w:sz w:val="24"/>
          <w:szCs w:val="24"/>
        </w:rPr>
      </w:pPr>
      <w:bookmarkStart w:id="49" w:name="_Toc311415590"/>
      <w:r>
        <w:rPr>
          <w:rFonts w:hint="eastAsia" w:ascii="宋体" w:hAnsi="宋体"/>
          <w:b/>
          <w:color w:val="auto"/>
          <w:sz w:val="24"/>
          <w:szCs w:val="24"/>
          <w:lang w:val="en-US" w:eastAsia="zh-CN"/>
        </w:rPr>
        <w:t>18.</w:t>
      </w:r>
      <w:r>
        <w:rPr>
          <w:rFonts w:hint="eastAsia" w:ascii="宋体" w:hAnsi="宋体"/>
          <w:b/>
          <w:color w:val="auto"/>
          <w:sz w:val="24"/>
          <w:szCs w:val="24"/>
        </w:rPr>
        <w:t>投标保证金</w:t>
      </w:r>
      <w:bookmarkEnd w:id="49"/>
    </w:p>
    <w:p w14:paraId="6306DBF4">
      <w:pPr>
        <w:pStyle w:val="34"/>
        <w:ind w:firstLine="480" w:firstLineChars="200"/>
        <w:jc w:val="both"/>
        <w:rPr>
          <w:rFonts w:hint="eastAsia" w:ascii="宋体" w:hAnsi="宋体" w:eastAsia="宋体"/>
          <w:b w:val="0"/>
          <w:bCs w:val="0"/>
          <w:color w:val="auto"/>
          <w:spacing w:val="0"/>
          <w:w w:val="100"/>
          <w:sz w:val="24"/>
          <w:szCs w:val="24"/>
          <w:lang w:eastAsia="zh-CN"/>
        </w:rPr>
      </w:pPr>
      <w:r>
        <w:rPr>
          <w:rFonts w:hint="eastAsia" w:ascii="宋体" w:hAnsi="宋体"/>
          <w:b w:val="0"/>
          <w:bCs w:val="0"/>
          <w:color w:val="auto"/>
          <w:spacing w:val="0"/>
          <w:w w:val="100"/>
          <w:sz w:val="24"/>
          <w:szCs w:val="24"/>
        </w:rPr>
        <w:t>本项目不设置投标保证金</w:t>
      </w:r>
      <w:r>
        <w:rPr>
          <w:rFonts w:hint="eastAsia" w:ascii="宋体" w:hAnsi="宋体"/>
          <w:b w:val="0"/>
          <w:bCs w:val="0"/>
          <w:color w:val="auto"/>
          <w:spacing w:val="0"/>
          <w:w w:val="100"/>
          <w:sz w:val="24"/>
          <w:szCs w:val="24"/>
          <w:lang w:eastAsia="zh-CN"/>
        </w:rPr>
        <w:t>。</w:t>
      </w:r>
    </w:p>
    <w:p w14:paraId="240C976C">
      <w:pPr>
        <w:spacing w:line="360" w:lineRule="auto"/>
        <w:ind w:firstLine="482" w:firstLineChars="200"/>
        <w:rPr>
          <w:rFonts w:ascii="宋体" w:hAnsi="宋体"/>
          <w:color w:val="auto"/>
          <w:sz w:val="24"/>
          <w:szCs w:val="24"/>
        </w:rPr>
      </w:pPr>
      <w:bookmarkStart w:id="50" w:name="_Toc311415591"/>
      <w:r>
        <w:rPr>
          <w:rFonts w:ascii="宋体" w:hAnsi="宋体"/>
          <w:b/>
          <w:color w:val="auto"/>
          <w:sz w:val="24"/>
          <w:szCs w:val="24"/>
        </w:rPr>
        <w:t>1</w:t>
      </w:r>
      <w:r>
        <w:rPr>
          <w:rFonts w:hint="eastAsia" w:ascii="宋体" w:hAnsi="宋体"/>
          <w:b/>
          <w:color w:val="auto"/>
          <w:sz w:val="24"/>
          <w:szCs w:val="24"/>
          <w:lang w:eastAsia="zh-CN"/>
        </w:rPr>
        <w:t>9.</w:t>
      </w:r>
      <w:r>
        <w:rPr>
          <w:rFonts w:hint="eastAsia" w:ascii="宋体" w:hAnsi="宋体"/>
          <w:b/>
          <w:color w:val="auto"/>
          <w:sz w:val="24"/>
          <w:szCs w:val="24"/>
        </w:rPr>
        <w:t>投标有效期</w:t>
      </w:r>
      <w:bookmarkEnd w:id="50"/>
    </w:p>
    <w:p w14:paraId="11ABB18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2A46961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7873EAA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0DB0BCEA">
      <w:pPr>
        <w:spacing w:line="360" w:lineRule="auto"/>
        <w:ind w:firstLine="482" w:firstLineChars="200"/>
        <w:rPr>
          <w:rFonts w:ascii="宋体" w:hAnsi="宋体"/>
          <w:b/>
          <w:color w:val="auto"/>
          <w:sz w:val="24"/>
          <w:szCs w:val="24"/>
        </w:rPr>
      </w:pPr>
      <w:bookmarkStart w:id="51" w:name="_Toc311415595"/>
      <w:r>
        <w:rPr>
          <w:rFonts w:ascii="宋体" w:hAnsi="宋体"/>
          <w:b/>
          <w:color w:val="auto"/>
          <w:sz w:val="24"/>
          <w:szCs w:val="24"/>
        </w:rPr>
        <w:t>20</w:t>
      </w:r>
      <w:r>
        <w:rPr>
          <w:rFonts w:hint="eastAsia" w:ascii="宋体" w:hAnsi="宋体"/>
          <w:b/>
          <w:color w:val="auto"/>
          <w:sz w:val="24"/>
          <w:szCs w:val="24"/>
          <w:lang w:val="en-US" w:eastAsia="zh-CN"/>
        </w:rPr>
        <w:t>.</w:t>
      </w:r>
      <w:r>
        <w:rPr>
          <w:rFonts w:hint="eastAsia" w:ascii="宋体" w:hAnsi="宋体"/>
          <w:b/>
          <w:color w:val="auto"/>
          <w:sz w:val="24"/>
          <w:szCs w:val="24"/>
        </w:rPr>
        <w:t>投标文件的格式</w:t>
      </w:r>
    </w:p>
    <w:p w14:paraId="54626D0F">
      <w:pPr>
        <w:spacing w:line="360" w:lineRule="auto"/>
        <w:ind w:firstLine="480" w:firstLineChars="200"/>
        <w:rPr>
          <w:rFonts w:ascii="宋体" w:hAnsi="宋体"/>
          <w:color w:val="auto"/>
          <w:sz w:val="24"/>
          <w:szCs w:val="24"/>
        </w:rPr>
      </w:pPr>
      <w:r>
        <w:rPr>
          <w:rFonts w:ascii="宋体" w:hAnsi="宋体"/>
          <w:color w:val="auto"/>
          <w:sz w:val="24"/>
          <w:szCs w:val="24"/>
        </w:rPr>
        <w:t>20.1</w:t>
      </w:r>
      <w:r>
        <w:rPr>
          <w:rFonts w:hint="eastAsia" w:ascii="宋体" w:hAnsi="宋体"/>
          <w:color w:val="auto"/>
          <w:sz w:val="24"/>
          <w:szCs w:val="24"/>
        </w:rPr>
        <w:t>供应商须依据招标文件内容和投标文件格式的要求编制投标文件；并编制目录和对应的页码。</w:t>
      </w:r>
    </w:p>
    <w:p w14:paraId="60ACC34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w:t>
      </w:r>
      <w:r>
        <w:rPr>
          <w:rFonts w:hint="eastAsia" w:ascii="宋体" w:hAnsi="宋体"/>
          <w:color w:val="auto"/>
          <w:sz w:val="24"/>
          <w:szCs w:val="24"/>
        </w:rPr>
        <w:t>2本次招标只接受简体中文文字的投标文件；如投标文件中出现外文资料，必须配以中文译文。否则，由此引发的一切责任由供应商自负。</w:t>
      </w:r>
    </w:p>
    <w:p w14:paraId="77B1376A">
      <w:pPr>
        <w:overflowPunct w:val="0"/>
        <w:adjustRightInd w:val="0"/>
        <w:snapToGrid w:val="0"/>
        <w:spacing w:line="360" w:lineRule="auto"/>
        <w:ind w:firstLine="480" w:firstLineChars="200"/>
        <w:rPr>
          <w:color w:val="auto"/>
        </w:rPr>
      </w:pPr>
      <w:r>
        <w:rPr>
          <w:rFonts w:ascii="宋体" w:hAnsi="宋体"/>
          <w:color w:val="auto"/>
          <w:sz w:val="24"/>
          <w:szCs w:val="24"/>
        </w:rPr>
        <w:t>20.</w:t>
      </w:r>
      <w:r>
        <w:rPr>
          <w:rFonts w:hint="eastAsia" w:ascii="宋体" w:hAnsi="宋体"/>
          <w:color w:val="auto"/>
          <w:sz w:val="24"/>
          <w:szCs w:val="24"/>
        </w:rPr>
        <w:t>3拒绝接受以电话、传真、电子邮件形式的投标。</w:t>
      </w:r>
    </w:p>
    <w:p w14:paraId="0EE7ABB9">
      <w:pPr>
        <w:pStyle w:val="3"/>
        <w:spacing w:before="0" w:after="0" w:line="480" w:lineRule="exact"/>
        <w:jc w:val="center"/>
        <w:rPr>
          <w:color w:val="auto"/>
        </w:rPr>
      </w:pPr>
      <w:bookmarkStart w:id="52" w:name="_Toc3565"/>
      <w:bookmarkStart w:id="53" w:name="_Toc536202382"/>
      <w:bookmarkStart w:id="54" w:name="_Toc19543339"/>
      <w:bookmarkStart w:id="55" w:name="_Toc4747"/>
      <w:bookmarkStart w:id="56" w:name="_Toc536429375"/>
      <w:bookmarkStart w:id="57" w:name="_Toc536202305"/>
      <w:bookmarkStart w:id="58" w:name="_Toc536429322"/>
      <w:bookmarkStart w:id="59" w:name="_Toc3736"/>
      <w:r>
        <w:rPr>
          <w:rFonts w:hint="eastAsia"/>
          <w:color w:val="auto"/>
        </w:rPr>
        <w:t>四、</w:t>
      </w:r>
      <w:r>
        <w:rPr>
          <w:rFonts w:hint="eastAsia"/>
          <w:color w:val="auto"/>
          <w:lang w:eastAsia="zh-CN"/>
        </w:rPr>
        <w:t>投标文件</w:t>
      </w:r>
      <w:r>
        <w:rPr>
          <w:rFonts w:hint="eastAsia"/>
          <w:color w:val="auto"/>
        </w:rPr>
        <w:t>的递交</w:t>
      </w:r>
      <w:bookmarkEnd w:id="52"/>
      <w:bookmarkEnd w:id="53"/>
      <w:bookmarkEnd w:id="54"/>
      <w:bookmarkEnd w:id="55"/>
      <w:bookmarkEnd w:id="56"/>
      <w:bookmarkEnd w:id="57"/>
      <w:bookmarkEnd w:id="58"/>
    </w:p>
    <w:bookmarkEnd w:id="59"/>
    <w:p w14:paraId="14FDFD59">
      <w:pPr>
        <w:keepNext/>
        <w:keepLines/>
        <w:spacing w:line="400" w:lineRule="exact"/>
        <w:ind w:firstLine="482" w:firstLineChars="200"/>
        <w:outlineLvl w:val="2"/>
        <w:rPr>
          <w:rFonts w:ascii="宋体" w:hAnsi="宋体" w:cs="宋体"/>
          <w:b/>
          <w:bCs/>
          <w:color w:val="auto"/>
          <w:sz w:val="24"/>
          <w:szCs w:val="28"/>
        </w:rPr>
      </w:pPr>
      <w:bookmarkStart w:id="60" w:name="_Toc3685"/>
      <w:bookmarkStart w:id="61" w:name="_Toc536202306"/>
      <w:r>
        <w:rPr>
          <w:rFonts w:ascii="宋体" w:hAnsi="宋体" w:cs="宋体"/>
          <w:b/>
          <w:bCs/>
          <w:color w:val="auto"/>
          <w:sz w:val="24"/>
          <w:szCs w:val="28"/>
        </w:rPr>
        <w:t>2</w:t>
      </w:r>
      <w:r>
        <w:rPr>
          <w:rFonts w:hint="eastAsia" w:ascii="宋体" w:hAnsi="宋体" w:cs="宋体"/>
          <w:b/>
          <w:bCs/>
          <w:color w:val="auto"/>
          <w:sz w:val="24"/>
          <w:szCs w:val="28"/>
          <w:lang w:eastAsia="zh-CN"/>
        </w:rPr>
        <w:t>1.</w:t>
      </w:r>
      <w:r>
        <w:rPr>
          <w:rFonts w:hint="eastAsia" w:ascii="宋体" w:hAnsi="宋体" w:cs="宋体"/>
          <w:b/>
          <w:bCs/>
          <w:color w:val="auto"/>
          <w:sz w:val="24"/>
          <w:szCs w:val="28"/>
        </w:rPr>
        <w:t>投标文件递交</w:t>
      </w:r>
      <w:bookmarkEnd w:id="60"/>
      <w:bookmarkEnd w:id="61"/>
    </w:p>
    <w:p w14:paraId="3D1392C3">
      <w:pPr>
        <w:adjustRightInd w:val="0"/>
        <w:snapToGrid w:val="0"/>
        <w:spacing w:line="440" w:lineRule="exact"/>
        <w:ind w:firstLine="480" w:firstLineChars="200"/>
        <w:rPr>
          <w:rFonts w:ascii="宋体" w:hAnsi="宋体" w:cs="宋体"/>
          <w:b/>
          <w:color w:val="auto"/>
          <w:kern w:val="0"/>
          <w:sz w:val="24"/>
          <w:szCs w:val="24"/>
        </w:rPr>
      </w:pPr>
      <w:r>
        <w:rPr>
          <w:rFonts w:ascii="宋体" w:hAnsi="宋体" w:cs="宋体"/>
          <w:color w:val="auto"/>
          <w:kern w:val="0"/>
          <w:sz w:val="24"/>
          <w:szCs w:val="24"/>
        </w:rPr>
        <w:t>21.</w:t>
      </w:r>
      <w:r>
        <w:rPr>
          <w:rFonts w:hint="eastAsia" w:ascii="宋体" w:hAnsi="宋体" w:cs="宋体"/>
          <w:color w:val="auto"/>
          <w:kern w:val="0"/>
          <w:sz w:val="24"/>
          <w:szCs w:val="24"/>
        </w:rPr>
        <w:t>1电子投标文件递交与解密</w:t>
      </w:r>
    </w:p>
    <w:p w14:paraId="4AB53B0E">
      <w:pPr>
        <w:adjustRightInd w:val="0"/>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电子投标文件可于提交投标文件截止时间前任意时段登录全国公共资源交易平台（陕西省）网站[电子交易平台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企业端]进行提交，逾期系统将拒绝接收。提交时，供应商应登录全国公共资源交易中心平台（陕西省），选择“首页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我的项目”，点击[项目流程]，在打开的[项目管理]对话框中选择[上传</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]，上传加密的电子投标文件（*  .SXSTF），上传成功后，电子化平台将予以记录。</w:t>
      </w:r>
    </w:p>
    <w:p w14:paraId="7DB58BFC">
      <w:pPr>
        <w:widowControl/>
        <w:tabs>
          <w:tab w:val="left" w:pos="0"/>
        </w:tabs>
        <w:spacing w:line="400" w:lineRule="exact"/>
        <w:ind w:firstLine="480" w:firstLineChars="200"/>
        <w:jc w:val="left"/>
        <w:rPr>
          <w:rFonts w:ascii="宋体" w:hAnsi="Calibri"/>
          <w:color w:val="auto"/>
          <w:sz w:val="24"/>
          <w:szCs w:val="28"/>
        </w:rPr>
      </w:pPr>
      <w:r>
        <w:rPr>
          <w:rFonts w:hint="eastAsia" w:ascii="宋体" w:hAnsi="宋体" w:cs="宋体"/>
          <w:color w:val="auto"/>
          <w:sz w:val="24"/>
          <w:szCs w:val="28"/>
        </w:rPr>
        <w:t>22.2代理机构不接受邮寄的投标文件；</w:t>
      </w:r>
    </w:p>
    <w:p w14:paraId="30CDEDA1">
      <w:pPr>
        <w:widowControl/>
        <w:tabs>
          <w:tab w:val="left" w:pos="0"/>
        </w:tabs>
        <w:spacing w:line="400" w:lineRule="exact"/>
        <w:ind w:firstLine="480" w:firstLineChars="200"/>
        <w:jc w:val="left"/>
        <w:rPr>
          <w:rFonts w:ascii="宋体" w:hAnsi="宋体" w:cs="宋体"/>
          <w:color w:val="auto"/>
          <w:sz w:val="24"/>
          <w:szCs w:val="28"/>
        </w:rPr>
      </w:pPr>
      <w:r>
        <w:rPr>
          <w:rFonts w:hint="eastAsia" w:ascii="宋体" w:hAnsi="宋体" w:cs="宋体"/>
          <w:color w:val="auto"/>
          <w:sz w:val="24"/>
          <w:szCs w:val="28"/>
        </w:rPr>
        <w:t>22.3无论供应商成交与否，其投标文件恕不退还。</w:t>
      </w:r>
    </w:p>
    <w:p w14:paraId="4F6D454F">
      <w:pPr>
        <w:pStyle w:val="18"/>
        <w:rPr>
          <w:color w:val="auto"/>
        </w:rPr>
      </w:pPr>
    </w:p>
    <w:p w14:paraId="477A02AE">
      <w:pPr>
        <w:keepNext/>
        <w:keepLines/>
        <w:spacing w:line="400" w:lineRule="exact"/>
        <w:ind w:firstLine="482" w:firstLineChars="200"/>
        <w:outlineLvl w:val="2"/>
        <w:rPr>
          <w:rFonts w:ascii="宋体" w:hAnsi="Calibri"/>
          <w:b/>
          <w:bCs/>
          <w:color w:val="auto"/>
          <w:sz w:val="24"/>
          <w:szCs w:val="28"/>
        </w:rPr>
      </w:pPr>
      <w:r>
        <w:rPr>
          <w:rFonts w:ascii="宋体" w:hAnsi="宋体" w:cs="宋体"/>
          <w:b/>
          <w:bCs/>
          <w:color w:val="auto"/>
          <w:sz w:val="24"/>
          <w:szCs w:val="28"/>
        </w:rPr>
        <w:t>2</w:t>
      </w:r>
      <w:r>
        <w:rPr>
          <w:rFonts w:hint="eastAsia" w:ascii="宋体" w:hAnsi="宋体" w:cs="宋体"/>
          <w:b/>
          <w:bCs/>
          <w:color w:val="auto"/>
          <w:sz w:val="24"/>
          <w:szCs w:val="28"/>
          <w:lang w:eastAsia="zh-CN"/>
        </w:rPr>
        <w:t>2.</w:t>
      </w:r>
      <w:r>
        <w:rPr>
          <w:rFonts w:hint="eastAsia" w:ascii="宋体" w:hAnsi="宋体" w:cs="宋体"/>
          <w:b/>
          <w:bCs/>
          <w:color w:val="auto"/>
          <w:sz w:val="24"/>
          <w:szCs w:val="28"/>
        </w:rPr>
        <w:t>投标文件的修改和撤回</w:t>
      </w:r>
    </w:p>
    <w:p w14:paraId="7B675A87">
      <w:pPr>
        <w:widowControl/>
        <w:tabs>
          <w:tab w:val="left" w:pos="0"/>
        </w:tabs>
        <w:spacing w:line="400" w:lineRule="exact"/>
        <w:ind w:firstLine="480" w:firstLineChars="200"/>
        <w:jc w:val="left"/>
        <w:rPr>
          <w:rFonts w:ascii="宋体" w:hAnsi="宋体" w:cs="宋体"/>
          <w:color w:val="auto"/>
          <w:sz w:val="24"/>
          <w:szCs w:val="28"/>
        </w:rPr>
      </w:pPr>
      <w:r>
        <w:rPr>
          <w:rFonts w:ascii="宋体" w:hAnsi="宋体" w:cs="宋体"/>
          <w:color w:val="auto"/>
          <w:sz w:val="24"/>
          <w:szCs w:val="28"/>
        </w:rPr>
        <w:t>22.1</w:t>
      </w:r>
      <w:r>
        <w:rPr>
          <w:rFonts w:hint="eastAsia" w:ascii="宋体" w:hAnsi="宋体" w:cs="宋体"/>
          <w:color w:val="auto"/>
          <w:sz w:val="24"/>
          <w:szCs w:val="28"/>
        </w:rPr>
        <w:t>供应商在上传投标文件以后，在规定的投标截止时间之前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可以对已递交的投标文件进行修改、撤回。补充、修改的内容应当按招标文件要求签章、加密上传。</w:t>
      </w:r>
    </w:p>
    <w:p w14:paraId="215C1393">
      <w:pPr>
        <w:widowControl/>
        <w:tabs>
          <w:tab w:val="left" w:pos="0"/>
        </w:tabs>
        <w:spacing w:line="400" w:lineRule="exact"/>
        <w:ind w:firstLine="480" w:firstLineChars="200"/>
        <w:jc w:val="left"/>
        <w:rPr>
          <w:rFonts w:ascii="宋体" w:hAnsi="Calibri"/>
          <w:color w:val="auto"/>
          <w:sz w:val="24"/>
          <w:szCs w:val="28"/>
        </w:rPr>
      </w:pPr>
      <w:r>
        <w:rPr>
          <w:rFonts w:ascii="宋体" w:hAnsi="宋体" w:cs="宋体"/>
          <w:color w:val="auto"/>
          <w:sz w:val="24"/>
          <w:szCs w:val="28"/>
        </w:rPr>
        <w:t>22.4</w:t>
      </w:r>
      <w:r>
        <w:rPr>
          <w:rFonts w:hint="eastAsia" w:ascii="宋体" w:hAnsi="宋体" w:cs="宋体"/>
          <w:color w:val="auto"/>
          <w:sz w:val="24"/>
          <w:szCs w:val="28"/>
        </w:rPr>
        <w:t>投标截止时间之后，供应商不得补充、修改投标文件。</w:t>
      </w:r>
    </w:p>
    <w:p w14:paraId="5C06A3C1">
      <w:pPr>
        <w:pStyle w:val="18"/>
        <w:rPr>
          <w:color w:val="auto"/>
          <w:lang w:val="en-US" w:bidi="ar-SA"/>
        </w:rPr>
      </w:pPr>
    </w:p>
    <w:bookmarkEnd w:id="51"/>
    <w:p w14:paraId="62A8DC70">
      <w:pPr>
        <w:pStyle w:val="3"/>
        <w:spacing w:before="0" w:after="0" w:line="415" w:lineRule="auto"/>
        <w:jc w:val="center"/>
        <w:rPr>
          <w:color w:val="auto"/>
        </w:rPr>
      </w:pPr>
      <w:bookmarkStart w:id="62" w:name="_Toc23258609"/>
      <w:bookmarkStart w:id="63" w:name="_Toc26541326"/>
      <w:r>
        <w:rPr>
          <w:rFonts w:hint="eastAsia"/>
          <w:color w:val="auto"/>
        </w:rPr>
        <w:t>五、开标、评标、定标</w:t>
      </w:r>
      <w:bookmarkEnd w:id="62"/>
      <w:bookmarkEnd w:id="63"/>
    </w:p>
    <w:p w14:paraId="40DCCC32">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3.</w:t>
      </w:r>
      <w:r>
        <w:rPr>
          <w:rFonts w:hint="eastAsia" w:ascii="宋体" w:hAnsi="宋体"/>
          <w:b/>
          <w:color w:val="auto"/>
          <w:sz w:val="24"/>
          <w:szCs w:val="24"/>
        </w:rPr>
        <w:t>开标</w:t>
      </w:r>
    </w:p>
    <w:p w14:paraId="4A5EA46A">
      <w:pPr>
        <w:overflowPunct w:val="0"/>
        <w:adjustRightInd w:val="0"/>
        <w:snapToGrid w:val="0"/>
        <w:spacing w:line="360" w:lineRule="auto"/>
        <w:ind w:firstLine="480" w:firstLineChars="200"/>
        <w:rPr>
          <w:rFonts w:ascii="宋体" w:hAnsi="宋体"/>
          <w:color w:val="auto"/>
          <w:sz w:val="24"/>
          <w:szCs w:val="24"/>
        </w:rPr>
      </w:pPr>
      <w:bookmarkStart w:id="64" w:name="_Toc311415599"/>
      <w:r>
        <w:rPr>
          <w:rFonts w:ascii="宋体" w:hAnsi="宋体"/>
          <w:color w:val="auto"/>
          <w:sz w:val="24"/>
          <w:szCs w:val="24"/>
        </w:rPr>
        <w:t>23.1采购代理机构在</w:t>
      </w:r>
      <w:r>
        <w:rPr>
          <w:rFonts w:hint="eastAsia" w:ascii="宋体" w:hAnsi="宋体"/>
          <w:color w:val="auto"/>
          <w:sz w:val="24"/>
          <w:szCs w:val="24"/>
        </w:rPr>
        <w:t>招标文件</w:t>
      </w:r>
      <w:r>
        <w:rPr>
          <w:rFonts w:ascii="宋体" w:hAnsi="宋体"/>
          <w:color w:val="auto"/>
          <w:sz w:val="24"/>
          <w:szCs w:val="24"/>
        </w:rPr>
        <w:t>规定的时间和地点组织公开开标</w:t>
      </w:r>
      <w:r>
        <w:rPr>
          <w:rFonts w:hint="eastAsia" w:ascii="宋体" w:hAnsi="宋体"/>
          <w:color w:val="auto"/>
          <w:sz w:val="24"/>
          <w:szCs w:val="24"/>
        </w:rPr>
        <w:t>，</w:t>
      </w:r>
      <w:r>
        <w:rPr>
          <w:rFonts w:hint="eastAsia" w:ascii="宋体" w:hAnsi="宋体" w:cs="宋体"/>
          <w:color w:val="auto"/>
          <w:spacing w:val="-8"/>
          <w:sz w:val="24"/>
          <w:szCs w:val="24"/>
        </w:rPr>
        <w:t>整个过程受政府采购监管机构的监督、管理。</w:t>
      </w:r>
    </w:p>
    <w:p w14:paraId="5933BA0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23.2</w:t>
      </w:r>
      <w:r>
        <w:rPr>
          <w:rFonts w:hint="eastAsia" w:ascii="宋体" w:hAnsi="宋体"/>
          <w:color w:val="auto"/>
          <w:sz w:val="24"/>
          <w:szCs w:val="24"/>
        </w:rPr>
        <w:t>开标仪式由采购代理机构主持，采购人代表及有关人员参加。</w:t>
      </w:r>
    </w:p>
    <w:p w14:paraId="429440A3">
      <w:pPr>
        <w:spacing w:line="460" w:lineRule="exact"/>
        <w:ind w:firstLine="480" w:firstLineChars="200"/>
        <w:rPr>
          <w:rFonts w:ascii="宋体" w:hAnsi="宋体" w:cs="宋体"/>
          <w:color w:val="auto"/>
          <w:spacing w:val="-8"/>
          <w:sz w:val="24"/>
          <w:szCs w:val="24"/>
        </w:rPr>
      </w:pPr>
      <w:r>
        <w:rPr>
          <w:rFonts w:ascii="宋体" w:hAnsi="宋体"/>
          <w:color w:val="auto"/>
          <w:sz w:val="24"/>
          <w:szCs w:val="24"/>
        </w:rPr>
        <w:t>23.</w:t>
      </w:r>
      <w:r>
        <w:rPr>
          <w:rFonts w:hint="eastAsia" w:ascii="宋体" w:hAnsi="宋体"/>
          <w:color w:val="auto"/>
          <w:sz w:val="24"/>
          <w:szCs w:val="24"/>
        </w:rPr>
        <w:t>3</w:t>
      </w:r>
      <w:r>
        <w:rPr>
          <w:rFonts w:hint="eastAsia" w:ascii="宋体" w:hAnsi="宋体" w:cs="宋体"/>
          <w:color w:val="auto"/>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C6A3664">
      <w:pPr>
        <w:spacing w:line="460" w:lineRule="exact"/>
        <w:ind w:firstLine="448" w:firstLineChars="200"/>
        <w:jc w:val="left"/>
        <w:rPr>
          <w:rFonts w:ascii="宋体" w:hAnsi="宋体" w:cs="宋体"/>
          <w:color w:val="auto"/>
          <w:spacing w:val="-8"/>
          <w:sz w:val="24"/>
          <w:szCs w:val="24"/>
        </w:rPr>
      </w:pPr>
      <w:r>
        <w:rPr>
          <w:rFonts w:hint="eastAsia" w:ascii="宋体" w:hAnsi="宋体" w:cs="宋体"/>
          <w:color w:val="auto"/>
          <w:spacing w:val="-8"/>
          <w:sz w:val="24"/>
          <w:szCs w:val="24"/>
        </w:rPr>
        <w:t>23.3.1投标供应商在获取</w:t>
      </w:r>
      <w:r>
        <w:rPr>
          <w:rFonts w:hint="eastAsia" w:ascii="宋体" w:hAnsi="宋体" w:cs="宋体"/>
          <w:color w:val="auto"/>
          <w:spacing w:val="-8"/>
          <w:sz w:val="24"/>
          <w:szCs w:val="24"/>
          <w:lang w:val="en-US" w:eastAsia="zh-CN"/>
        </w:rPr>
        <w:t>招标</w:t>
      </w:r>
      <w:r>
        <w:rPr>
          <w:rFonts w:hint="eastAsia" w:ascii="宋体" w:hAnsi="宋体" w:cs="宋体"/>
          <w:color w:val="auto"/>
          <w:spacing w:val="-8"/>
          <w:sz w:val="24"/>
          <w:szCs w:val="24"/>
        </w:rPr>
        <w:t>文件后应在全国公共资源交易平台(陕西省.安康市)网站[新闻资讯一通知公告]中下载并详细阅读安康公共资源交易中心不见面开标系统(投标人)操作 http</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//www.sxggzyjy.cn/xwzx/002002/subPage.html</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下载并详细阅读《关于陕西省公共</w:t>
      </w:r>
      <w:r>
        <w:rPr>
          <w:rFonts w:hint="eastAsia" w:ascii="宋体" w:hAnsi="宋体" w:eastAsia="宋体" w:cs="宋体"/>
          <w:color w:val="auto"/>
          <w:spacing w:val="-8"/>
          <w:sz w:val="24"/>
          <w:szCs w:val="24"/>
        </w:rPr>
        <w:t>资源交易平台多CA互认系统正式上线运行的通知》并下载最新版本驱动。不见面开标系统</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打开页面网址</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(http</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//219.145.206.209/Bid0peningHal1/bidopeninghallaction/hall/login)选择点击右上角“登录”，在左侧选择“投标人”身份，插入 CA锁登录，输入密码后，点击“登录”，</w:t>
      </w:r>
      <w:r>
        <w:rPr>
          <w:rFonts w:hint="eastAsia" w:ascii="宋体" w:hAnsi="宋体" w:cs="宋体"/>
          <w:color w:val="auto"/>
          <w:spacing w:val="-8"/>
          <w:sz w:val="24"/>
          <w:szCs w:val="24"/>
        </w:rPr>
        <w:t>投标人登录之后可以看到当前投标人今日开标项目</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选择要开标的项目，点击进入，页面首先阅读开标流程，点击“我已阅读”进入开标大厅，点击“取消”返回项目列表页面。</w:t>
      </w:r>
    </w:p>
    <w:p w14:paraId="329CAFED">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https</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 xml:space="preserve"> //dowload. bopoint. com/domload/dowloaddetail.html?SourceFron-Dow&amp;SoftGuid55aa4 e06-c384-4005-bcb9-48932d410fd4)。</w:t>
      </w:r>
    </w:p>
    <w:p w14:paraId="2203DDE5">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23.3.3投标人需注意 CA 锁一定要提前准备好，并确保 CA 锁为制作投标文件的 CA 锁。</w:t>
      </w:r>
    </w:p>
    <w:p w14:paraId="38D1FEC0">
      <w:pPr>
        <w:spacing w:line="460" w:lineRule="exact"/>
        <w:ind w:firstLine="448" w:firstLineChars="200"/>
        <w:rPr>
          <w:rFonts w:ascii="宋体" w:hAnsi="宋体" w:cs="宋体"/>
          <w:color w:val="auto"/>
          <w:spacing w:val="-8"/>
          <w:sz w:val="24"/>
          <w:szCs w:val="24"/>
          <w:lang w:val="en-AU"/>
        </w:rPr>
      </w:pPr>
      <w:r>
        <w:rPr>
          <w:rFonts w:hint="eastAsia" w:ascii="宋体" w:hAnsi="宋体" w:cs="宋体"/>
          <w:color w:val="auto"/>
          <w:spacing w:val="-8"/>
          <w:sz w:val="24"/>
          <w:szCs w:val="24"/>
          <w:lang w:val="en-AU"/>
        </w:rPr>
        <w:t>不见面开标方式因投标人不来开标现场，资格审查如需提供复印件，请按文件中要求， 在</w:t>
      </w:r>
      <w:r>
        <w:rPr>
          <w:rFonts w:hint="eastAsia" w:ascii="宋体" w:hAnsi="宋体" w:cs="宋体"/>
          <w:color w:val="auto"/>
          <w:spacing w:val="-8"/>
          <w:sz w:val="24"/>
          <w:szCs w:val="24"/>
          <w:lang w:val="en-AU" w:eastAsia="zh-CN"/>
        </w:rPr>
        <w:t>投标文件</w:t>
      </w:r>
      <w:r>
        <w:rPr>
          <w:rFonts w:hint="eastAsia" w:ascii="宋体" w:hAnsi="宋体" w:cs="宋体"/>
          <w:color w:val="auto"/>
          <w:spacing w:val="-8"/>
          <w:sz w:val="24"/>
          <w:szCs w:val="24"/>
          <w:lang w:val="en-AU"/>
        </w:rPr>
        <w:t>中上传电子版。</w:t>
      </w:r>
    </w:p>
    <w:p w14:paraId="1475D6D7">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23.3.4开标时间到了之后就不能签到，建议投标人在开标前半小时登录不见面开标大厅， 并及时签到（开标前 60 分钟即可签到），遇到问题及时联系客服029-8866129</w:t>
      </w:r>
      <w:r>
        <w:rPr>
          <w:rFonts w:hint="eastAsia" w:ascii="宋体" w:hAnsi="宋体" w:cs="宋体"/>
          <w:color w:val="auto"/>
          <w:spacing w:val="-8"/>
          <w:sz w:val="24"/>
          <w:szCs w:val="24"/>
          <w:lang w:eastAsia="zh-CN"/>
        </w:rPr>
        <w:t>2.</w:t>
      </w:r>
      <w:r>
        <w:rPr>
          <w:rFonts w:hint="eastAsia" w:ascii="宋体" w:hAnsi="宋体" w:cs="宋体"/>
          <w:color w:val="auto"/>
          <w:spacing w:val="-8"/>
          <w:sz w:val="24"/>
          <w:szCs w:val="24"/>
        </w:rPr>
        <w:t>8866126</w:t>
      </w:r>
      <w:r>
        <w:rPr>
          <w:rFonts w:hint="eastAsia" w:ascii="宋体" w:hAnsi="宋体" w:cs="宋体"/>
          <w:color w:val="auto"/>
          <w:spacing w:val="-8"/>
          <w:sz w:val="24"/>
          <w:szCs w:val="24"/>
          <w:lang w:eastAsia="zh-CN"/>
        </w:rPr>
        <w:t>7.</w:t>
      </w:r>
      <w:r>
        <w:rPr>
          <w:rFonts w:hint="eastAsia" w:ascii="宋体" w:hAnsi="宋体" w:cs="宋体"/>
          <w:color w:val="auto"/>
          <w:spacing w:val="-8"/>
          <w:sz w:val="24"/>
          <w:szCs w:val="24"/>
        </w:rPr>
        <w:t>88661241。</w:t>
      </w:r>
    </w:p>
    <w:p w14:paraId="2AD4744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23.3.5开标时，供应商须使用电子投标文件加密时所用的数字认证证书CA 锁在自备电脑上自行远程解密电子投标文件，由电子交易系统进行自动唱标。</w:t>
      </w:r>
    </w:p>
    <w:p w14:paraId="1ACE0B09">
      <w:pPr>
        <w:spacing w:line="460" w:lineRule="exact"/>
        <w:ind w:firstLine="448" w:firstLineChars="200"/>
        <w:rPr>
          <w:rFonts w:ascii="宋体" w:hAnsi="宋体" w:cs="宋体"/>
          <w:color w:val="auto"/>
          <w:spacing w:val="-8"/>
          <w:sz w:val="24"/>
          <w:szCs w:val="24"/>
        </w:rPr>
      </w:pPr>
      <w:r>
        <w:rPr>
          <w:rFonts w:hint="eastAsia" w:ascii="宋体" w:hAnsi="宋体" w:cs="宋体"/>
          <w:spacing w:val="-8"/>
          <w:sz w:val="24"/>
          <w:szCs w:val="24"/>
        </w:rPr>
        <w:t>系统默认解密时长为</w:t>
      </w:r>
      <w:r>
        <w:rPr>
          <w:rFonts w:hint="eastAsia" w:ascii="宋体" w:hAnsi="宋体" w:cs="宋体"/>
          <w:spacing w:val="-8"/>
          <w:sz w:val="24"/>
          <w:szCs w:val="24"/>
          <w:lang w:val="en-US" w:eastAsia="zh-CN"/>
        </w:rPr>
        <w:t>6</w:t>
      </w:r>
      <w:r>
        <w:rPr>
          <w:rFonts w:hint="eastAsia" w:ascii="宋体" w:hAnsi="宋体" w:cs="宋体"/>
          <w:spacing w:val="-8"/>
          <w:sz w:val="24"/>
          <w:szCs w:val="24"/>
        </w:rPr>
        <w:t>0 分钟，投标单位需在</w:t>
      </w:r>
      <w:r>
        <w:rPr>
          <w:rFonts w:hint="eastAsia" w:ascii="宋体" w:hAnsi="宋体" w:cs="宋体"/>
          <w:spacing w:val="-8"/>
          <w:sz w:val="24"/>
          <w:szCs w:val="24"/>
          <w:lang w:val="en-US" w:eastAsia="zh-CN"/>
        </w:rPr>
        <w:t>规定的</w:t>
      </w:r>
      <w:r>
        <w:rPr>
          <w:rFonts w:hint="eastAsia" w:ascii="宋体" w:hAnsi="宋体" w:cs="宋体"/>
          <w:spacing w:val="-8"/>
          <w:sz w:val="24"/>
          <w:szCs w:val="24"/>
        </w:rPr>
        <w:t>解密时间</w:t>
      </w:r>
      <w:r>
        <w:rPr>
          <w:rFonts w:hint="eastAsia" w:ascii="宋体" w:hAnsi="宋体" w:cs="宋体"/>
          <w:spacing w:val="-8"/>
          <w:sz w:val="24"/>
          <w:szCs w:val="24"/>
          <w:lang w:val="en-US" w:eastAsia="zh-CN"/>
        </w:rPr>
        <w:t>内</w:t>
      </w:r>
      <w:r>
        <w:rPr>
          <w:rFonts w:hint="eastAsia" w:ascii="宋体" w:hAnsi="宋体" w:cs="宋体"/>
          <w:spacing w:val="-8"/>
          <w:sz w:val="24"/>
          <w:szCs w:val="24"/>
        </w:rPr>
        <w:t>完成标书解密。</w:t>
      </w:r>
      <w:r>
        <w:rPr>
          <w:rFonts w:hint="eastAsia" w:ascii="宋体" w:hAnsi="宋体" w:cs="宋体"/>
          <w:spacing w:val="-8"/>
          <w:sz w:val="24"/>
          <w:szCs w:val="24"/>
          <w:lang w:val="en-US" w:eastAsia="zh-CN"/>
        </w:rPr>
        <w:t>如因供应商自身原因未在系统规定时长60分钟内完成投标文件解密，为保证开评标活动顺利进行，系统将对未解密的投标文件作退回处理，被退回的投标文件将无法参与后续开评标活动。</w:t>
      </w:r>
      <w:r>
        <w:rPr>
          <w:rFonts w:hint="eastAsia" w:ascii="宋体" w:hAnsi="宋体" w:cs="宋体"/>
          <w:spacing w:val="-8"/>
          <w:sz w:val="24"/>
          <w:szCs w:val="24"/>
        </w:rPr>
        <w:t>所有投标单位解密完成后由开标人员将</w:t>
      </w:r>
      <w:r>
        <w:rPr>
          <w:rFonts w:hint="eastAsia" w:ascii="宋体" w:hAnsi="宋体" w:cs="宋体"/>
          <w:spacing w:val="-8"/>
          <w:sz w:val="24"/>
          <w:szCs w:val="24"/>
          <w:lang w:eastAsia="zh-CN"/>
        </w:rPr>
        <w:t>投标文件</w:t>
      </w:r>
      <w:r>
        <w:rPr>
          <w:rFonts w:hint="eastAsia" w:ascii="宋体" w:hAnsi="宋体" w:cs="宋体"/>
          <w:spacing w:val="-8"/>
          <w:sz w:val="24"/>
          <w:szCs w:val="24"/>
        </w:rPr>
        <w:t>导入开评标系统。</w:t>
      </w:r>
    </w:p>
    <w:p w14:paraId="1393652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23.4特殊情形下的应急处置</w:t>
      </w:r>
    </w:p>
    <w:p w14:paraId="7D19942E">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在开标、评审过程中，如因停电、断网、电子化系统故障等原因导致电子 化开、评标无法正常进行时，将按照采购监管机构及公共资源交易中心统一安排部署开展后续采购活动。</w:t>
      </w:r>
    </w:p>
    <w:p w14:paraId="578EFC74">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4.</w:t>
      </w:r>
      <w:r>
        <w:rPr>
          <w:rFonts w:hint="eastAsia" w:ascii="宋体" w:hAnsi="宋体"/>
          <w:b/>
          <w:color w:val="auto"/>
          <w:sz w:val="24"/>
          <w:szCs w:val="24"/>
        </w:rPr>
        <w:t>采购人或采购代理机构</w:t>
      </w:r>
    </w:p>
    <w:p w14:paraId="17F6E6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24.1核对评审专家身份和采购人代表授权函，对评审专家在政府采购活动中的职责履行情况予以记录，并及时将有关违法违规行为向财政部门报告；</w:t>
      </w:r>
    </w:p>
    <w:p w14:paraId="55C13E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24.2宣布评标纪律；</w:t>
      </w:r>
    </w:p>
    <w:p w14:paraId="0459A43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3</w:t>
      </w:r>
      <w:r>
        <w:rPr>
          <w:rFonts w:ascii="宋体" w:hAnsi="宋体"/>
          <w:color w:val="auto"/>
          <w:sz w:val="24"/>
          <w:szCs w:val="24"/>
        </w:rPr>
        <w:t>公布投标人名单，告知评审专家应当回避的情形；</w:t>
      </w:r>
    </w:p>
    <w:p w14:paraId="23C9536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.4</w:t>
      </w:r>
      <w:r>
        <w:rPr>
          <w:rFonts w:ascii="宋体" w:hAnsi="宋体"/>
          <w:color w:val="auto"/>
          <w:sz w:val="24"/>
          <w:szCs w:val="24"/>
        </w:rPr>
        <w:t>组织评标委员会推选评标组长，采购人代表不得担任组长；</w:t>
      </w:r>
    </w:p>
    <w:p w14:paraId="33EA99F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.5</w:t>
      </w:r>
      <w:r>
        <w:rPr>
          <w:rFonts w:ascii="宋体" w:hAnsi="宋体"/>
          <w:color w:val="auto"/>
          <w:sz w:val="24"/>
          <w:szCs w:val="24"/>
        </w:rPr>
        <w:t>根据评标委员会的要求介绍政府采购相关政策法规、招标文件</w:t>
      </w:r>
      <w:r>
        <w:rPr>
          <w:rFonts w:hint="eastAsia" w:ascii="宋体" w:hAnsi="宋体"/>
          <w:color w:val="auto"/>
          <w:sz w:val="24"/>
          <w:szCs w:val="24"/>
        </w:rPr>
        <w:t>；</w:t>
      </w:r>
    </w:p>
    <w:p w14:paraId="745AB2BF">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.6依法对投标人的资格进行审查；</w:t>
      </w:r>
    </w:p>
    <w:p w14:paraId="70CEA6F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.7依法维</w:t>
      </w:r>
      <w:r>
        <w:rPr>
          <w:rFonts w:ascii="宋体" w:hAnsi="宋体"/>
          <w:color w:val="auto"/>
          <w:sz w:val="24"/>
          <w:szCs w:val="24"/>
        </w:rPr>
        <w:t>护评标秩序，监督评标委员会依照招标文件规定的评标程序、方法和标准进行独立评审，及时制止和纠正采购人代表、评审专家的倾向性言论或者违法违规行为；</w:t>
      </w:r>
    </w:p>
    <w:p w14:paraId="56C521C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.8核</w:t>
      </w:r>
      <w:r>
        <w:rPr>
          <w:rFonts w:ascii="宋体" w:hAnsi="宋体"/>
          <w:color w:val="auto"/>
          <w:sz w:val="24"/>
          <w:szCs w:val="24"/>
        </w:rPr>
        <w:t>对评标结果</w:t>
      </w:r>
      <w:r>
        <w:rPr>
          <w:rFonts w:hint="eastAsia" w:ascii="宋体" w:hAnsi="宋体"/>
          <w:color w:val="auto"/>
          <w:sz w:val="24"/>
          <w:szCs w:val="24"/>
        </w:rPr>
        <w:t>，</w:t>
      </w:r>
      <w:r>
        <w:rPr>
          <w:rFonts w:ascii="宋体" w:hAnsi="宋体"/>
          <w:color w:val="auto"/>
          <w:sz w:val="24"/>
          <w:szCs w:val="24"/>
        </w:rPr>
        <w:t>有分值汇总计算错误的</w:t>
      </w:r>
      <w:r>
        <w:rPr>
          <w:rFonts w:hint="eastAsia" w:ascii="宋体" w:hAnsi="宋体"/>
          <w:color w:val="auto"/>
          <w:sz w:val="24"/>
          <w:szCs w:val="24"/>
        </w:rPr>
        <w:t>、</w:t>
      </w:r>
      <w:r>
        <w:rPr>
          <w:rFonts w:ascii="宋体" w:hAnsi="宋体"/>
          <w:color w:val="auto"/>
          <w:sz w:val="24"/>
          <w:szCs w:val="24"/>
        </w:rPr>
        <w:t>分项评分超出评分标准范围的</w:t>
      </w:r>
      <w:r>
        <w:rPr>
          <w:rFonts w:hint="eastAsia" w:ascii="宋体" w:hAnsi="宋体"/>
          <w:color w:val="auto"/>
          <w:sz w:val="24"/>
          <w:szCs w:val="24"/>
        </w:rPr>
        <w:t>、</w:t>
      </w:r>
      <w:r>
        <w:rPr>
          <w:rFonts w:ascii="宋体" w:hAnsi="宋体"/>
          <w:color w:val="auto"/>
          <w:sz w:val="24"/>
          <w:szCs w:val="24"/>
        </w:rPr>
        <w:t>评标委员会成员对客观评审因素评分不一致的</w:t>
      </w:r>
      <w:r>
        <w:rPr>
          <w:rFonts w:hint="eastAsia" w:ascii="宋体" w:hAnsi="宋体"/>
          <w:color w:val="auto"/>
          <w:sz w:val="24"/>
          <w:szCs w:val="24"/>
        </w:rPr>
        <w:t>、</w:t>
      </w:r>
      <w:r>
        <w:rPr>
          <w:rFonts w:ascii="宋体" w:hAnsi="宋体"/>
          <w:color w:val="auto"/>
          <w:sz w:val="24"/>
          <w:szCs w:val="24"/>
        </w:rPr>
        <w:t>经评标委员会认定评分畸高、畸低的</w:t>
      </w:r>
      <w:r>
        <w:rPr>
          <w:rFonts w:hint="eastAsia" w:ascii="宋体" w:hAnsi="宋体"/>
          <w:color w:val="auto"/>
          <w:sz w:val="24"/>
          <w:szCs w:val="24"/>
        </w:rPr>
        <w:t>，</w:t>
      </w:r>
      <w:r>
        <w:rPr>
          <w:rFonts w:ascii="宋体" w:hAnsi="宋体"/>
          <w:color w:val="auto"/>
          <w:sz w:val="24"/>
          <w:szCs w:val="24"/>
        </w:rPr>
        <w:t>要求评标委员会复核或者书面说明理由</w:t>
      </w:r>
      <w:r>
        <w:rPr>
          <w:rFonts w:hint="eastAsia" w:ascii="宋体" w:hAnsi="宋体"/>
          <w:color w:val="auto"/>
          <w:sz w:val="24"/>
          <w:szCs w:val="24"/>
        </w:rPr>
        <w:t>。</w:t>
      </w:r>
      <w:r>
        <w:rPr>
          <w:rFonts w:ascii="宋体" w:hAnsi="宋体"/>
          <w:color w:val="auto"/>
          <w:sz w:val="24"/>
          <w:szCs w:val="24"/>
        </w:rPr>
        <w:t>评标委员会拒绝的，应予记录并向本级财政部门报告；</w:t>
      </w:r>
    </w:p>
    <w:p w14:paraId="3F5424E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.9</w:t>
      </w:r>
      <w:r>
        <w:rPr>
          <w:rFonts w:ascii="宋体" w:hAnsi="宋体"/>
          <w:color w:val="auto"/>
          <w:sz w:val="24"/>
          <w:szCs w:val="24"/>
        </w:rPr>
        <w:t>与评标有关的其他事项</w:t>
      </w:r>
      <w:r>
        <w:rPr>
          <w:rFonts w:hint="eastAsia" w:ascii="宋体" w:hAnsi="宋体"/>
          <w:color w:val="auto"/>
          <w:sz w:val="24"/>
          <w:szCs w:val="24"/>
        </w:rPr>
        <w:t>。</w:t>
      </w:r>
    </w:p>
    <w:p w14:paraId="2F8A1718">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5.</w:t>
      </w:r>
      <w:r>
        <w:rPr>
          <w:rFonts w:hint="eastAsia" w:ascii="宋体" w:hAnsi="宋体"/>
          <w:b/>
          <w:color w:val="auto"/>
          <w:sz w:val="24"/>
          <w:szCs w:val="24"/>
        </w:rPr>
        <w:t>评标委员会</w:t>
      </w:r>
      <w:bookmarkEnd w:id="64"/>
    </w:p>
    <w:p w14:paraId="2F7201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.1 采购人将根据本次招标项目的特点，</w:t>
      </w:r>
      <w:r>
        <w:rPr>
          <w:rFonts w:hint="eastAsia" w:ascii="宋体" w:hAnsi="宋体"/>
          <w:color w:val="auto"/>
          <w:sz w:val="24"/>
          <w:szCs w:val="24"/>
          <w:lang w:val="en-US" w:eastAsia="zh-CN"/>
        </w:rPr>
        <w:t>按</w:t>
      </w:r>
      <w:r>
        <w:rPr>
          <w:rFonts w:hint="eastAsia" w:ascii="宋体" w:hAnsi="宋体"/>
          <w:color w:val="auto"/>
          <w:sz w:val="24"/>
          <w:szCs w:val="24"/>
        </w:rPr>
        <w:t>照《中华人民共和国政府采购法》</w:t>
      </w:r>
      <w:r>
        <w:rPr>
          <w:rFonts w:hint="eastAsia" w:ascii="宋体" w:hAnsi="宋体"/>
          <w:color w:val="auto"/>
          <w:sz w:val="24"/>
          <w:szCs w:val="24"/>
          <w:lang w:val="en-US" w:eastAsia="zh-CN"/>
        </w:rPr>
        <w:t>和</w:t>
      </w:r>
      <w:r>
        <w:rPr>
          <w:rFonts w:hint="eastAsia" w:ascii="宋体" w:hAnsi="宋体"/>
          <w:color w:val="auto"/>
          <w:sz w:val="24"/>
          <w:szCs w:val="24"/>
        </w:rPr>
        <w:t>《政府采购货物和服务招标管理办法》等有关规定组建评标委员会；</w:t>
      </w:r>
    </w:p>
    <w:p w14:paraId="7C8F1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.2 评标委员会成员由采购人及评审专家组成，负责评标活动。专家人选在专家库中随机抽取，</w:t>
      </w:r>
      <w:r>
        <w:rPr>
          <w:rFonts w:ascii="宋体" w:hAnsi="宋体"/>
          <w:color w:val="auto"/>
          <w:sz w:val="24"/>
          <w:szCs w:val="24"/>
        </w:rPr>
        <w:t>其中评审专家不得少于成员总数的三分之二</w:t>
      </w:r>
      <w:r>
        <w:rPr>
          <w:rFonts w:hint="eastAsia" w:ascii="宋体" w:hAnsi="宋体"/>
          <w:color w:val="auto"/>
          <w:sz w:val="24"/>
          <w:szCs w:val="24"/>
        </w:rPr>
        <w:t>；</w:t>
      </w:r>
    </w:p>
    <w:p w14:paraId="6F08C94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.3评审专家从省级以上财政部门设立的政府采购评审专家库中，通过随机方式抽取评审专家；</w:t>
      </w:r>
    </w:p>
    <w:p w14:paraId="30700AB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.4 评标委员会成员对各投标人投标文件进行</w:t>
      </w:r>
      <w:r>
        <w:rPr>
          <w:rFonts w:ascii="宋体" w:hAnsi="宋体"/>
          <w:color w:val="auto"/>
          <w:sz w:val="24"/>
          <w:szCs w:val="24"/>
        </w:rPr>
        <w:t>审查、评价投标文件是否符合招标文件的商务、技术等实质性要求；</w:t>
      </w:r>
    </w:p>
    <w:p w14:paraId="40CA2BA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.5</w:t>
      </w:r>
      <w:r>
        <w:rPr>
          <w:rFonts w:ascii="宋体" w:hAnsi="宋体"/>
          <w:color w:val="auto"/>
          <w:sz w:val="24"/>
          <w:szCs w:val="24"/>
        </w:rPr>
        <w:t>要求投标人对投标文件有关事项作出澄清或者说明；</w:t>
      </w:r>
    </w:p>
    <w:p w14:paraId="0476E5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.6</w:t>
      </w:r>
      <w:r>
        <w:rPr>
          <w:rFonts w:ascii="宋体" w:hAnsi="宋体"/>
          <w:color w:val="auto"/>
          <w:sz w:val="24"/>
          <w:szCs w:val="24"/>
        </w:rPr>
        <w:t>对投标文件进行比较和评价；</w:t>
      </w:r>
    </w:p>
    <w:p w14:paraId="247623D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.7</w:t>
      </w:r>
      <w:r>
        <w:rPr>
          <w:rFonts w:ascii="宋体" w:hAnsi="宋体"/>
          <w:color w:val="auto"/>
          <w:sz w:val="24"/>
          <w:szCs w:val="24"/>
        </w:rPr>
        <w:t>确定中标候选人名单，</w:t>
      </w:r>
      <w:r>
        <w:rPr>
          <w:rFonts w:hint="eastAsia" w:ascii="宋体" w:hAnsi="宋体"/>
          <w:color w:val="auto"/>
          <w:sz w:val="24"/>
          <w:szCs w:val="24"/>
        </w:rPr>
        <w:t>或</w:t>
      </w:r>
      <w:r>
        <w:rPr>
          <w:rFonts w:ascii="宋体" w:hAnsi="宋体"/>
          <w:color w:val="auto"/>
          <w:sz w:val="24"/>
          <w:szCs w:val="24"/>
        </w:rPr>
        <w:t>根据采购人委托直接确定中标人；</w:t>
      </w:r>
    </w:p>
    <w:p w14:paraId="6CB794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.8</w:t>
      </w:r>
      <w:r>
        <w:rPr>
          <w:rFonts w:ascii="宋体" w:hAnsi="宋体"/>
          <w:color w:val="auto"/>
          <w:sz w:val="24"/>
          <w:szCs w:val="24"/>
        </w:rPr>
        <w:t>向采购人、采购代理机构或者有关部门报告评标中发现的违法行为</w:t>
      </w:r>
      <w:r>
        <w:rPr>
          <w:rFonts w:hint="eastAsia" w:ascii="宋体" w:hAnsi="宋体"/>
          <w:color w:val="auto"/>
          <w:sz w:val="24"/>
          <w:szCs w:val="24"/>
        </w:rPr>
        <w:t>（如果有）；</w:t>
      </w:r>
    </w:p>
    <w:p w14:paraId="68E7087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.9评标委员会有权对整个招标过程中出现的一切问题，根据《中华人民共和国政府采购法》和《政府采购货物和服务招标管理办法》的规定，本着公开、公平、公正的原则，进行处理。</w:t>
      </w:r>
    </w:p>
    <w:p w14:paraId="505648E5">
      <w:pPr>
        <w:overflowPunct w:val="0"/>
        <w:adjustRightInd w:val="0"/>
        <w:snapToGrid w:val="0"/>
        <w:spacing w:line="360" w:lineRule="auto"/>
        <w:ind w:firstLine="482" w:firstLineChars="200"/>
        <w:rPr>
          <w:rFonts w:ascii="宋体" w:hAnsi="宋体"/>
          <w:color w:val="auto"/>
          <w:sz w:val="24"/>
          <w:szCs w:val="24"/>
        </w:rPr>
      </w:pPr>
      <w:bookmarkStart w:id="65" w:name="_Toc311415601"/>
      <w:bookmarkStart w:id="66" w:name="_Toc311415600"/>
      <w:r>
        <w:rPr>
          <w:rFonts w:ascii="宋体" w:hAnsi="宋体"/>
          <w:b/>
          <w:color w:val="auto"/>
          <w:sz w:val="24"/>
          <w:szCs w:val="24"/>
        </w:rPr>
        <w:t>2</w:t>
      </w:r>
      <w:r>
        <w:rPr>
          <w:rFonts w:hint="eastAsia" w:ascii="宋体" w:hAnsi="宋体"/>
          <w:b/>
          <w:color w:val="auto"/>
          <w:sz w:val="24"/>
          <w:szCs w:val="24"/>
          <w:lang w:eastAsia="zh-CN"/>
        </w:rPr>
        <w:t>6.</w:t>
      </w:r>
      <w:r>
        <w:rPr>
          <w:rFonts w:hint="eastAsia" w:ascii="宋体" w:hAnsi="宋体"/>
          <w:b/>
          <w:color w:val="auto"/>
          <w:sz w:val="24"/>
          <w:szCs w:val="24"/>
        </w:rPr>
        <w:t>投标文件的初审</w:t>
      </w:r>
      <w:bookmarkEnd w:id="65"/>
    </w:p>
    <w:p w14:paraId="3B6E25C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.1投标文件的资格性审查：依据法律法规和招标文件的规定，对投标人按照招标文件中投标人须知前附表第</w:t>
      </w:r>
      <w:r>
        <w:rPr>
          <w:rFonts w:hint="eastAsia" w:ascii="宋体" w:hAnsi="宋体"/>
          <w:color w:val="auto"/>
          <w:sz w:val="24"/>
          <w:szCs w:val="24"/>
          <w:lang w:val="en-US" w:eastAsia="zh-CN"/>
        </w:rPr>
        <w:t>13</w:t>
      </w:r>
      <w:r>
        <w:rPr>
          <w:rFonts w:hint="eastAsia" w:ascii="宋体" w:hAnsi="宋体"/>
          <w:color w:val="auto"/>
          <w:sz w:val="24"/>
          <w:szCs w:val="24"/>
        </w:rPr>
        <w:t>条要求进行资格审查，以确保投标人是否具备相应的投标资格，任意一条不符合要求的，按无效投标处理。</w:t>
      </w:r>
    </w:p>
    <w:p w14:paraId="24372364">
      <w:pPr>
        <w:overflowPunct w:val="0"/>
        <w:adjustRightInd w:val="0"/>
        <w:snapToGrid w:val="0"/>
        <w:spacing w:line="360" w:lineRule="auto"/>
        <w:ind w:firstLine="480" w:firstLineChars="200"/>
        <w:rPr>
          <w:rFonts w:hint="eastAsia" w:ascii="宋体" w:hAnsi="宋体" w:eastAsia="宋体" w:cs="Times New Roman"/>
          <w:color w:val="auto"/>
          <w:sz w:val="24"/>
          <w:szCs w:val="24"/>
        </w:rPr>
      </w:pPr>
      <w:r>
        <w:rPr>
          <w:rFonts w:ascii="宋体" w:hAnsi="宋体"/>
          <w:color w:val="auto"/>
          <w:sz w:val="24"/>
          <w:szCs w:val="24"/>
        </w:rPr>
        <w:t>26</w:t>
      </w:r>
      <w:r>
        <w:rPr>
          <w:rFonts w:hint="eastAsia" w:ascii="宋体" w:hAnsi="宋体"/>
          <w:color w:val="auto"/>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color w:val="auto"/>
          <w:sz w:val="24"/>
          <w:szCs w:val="24"/>
          <w:lang w:val="zh-CN"/>
        </w:rPr>
        <w:t>。</w:t>
      </w:r>
      <w:r>
        <w:rPr>
          <w:rFonts w:hint="eastAsia" w:ascii="宋体" w:hAnsi="宋体" w:eastAsia="宋体" w:cs="Times New Roman"/>
          <w:color w:val="auto"/>
          <w:sz w:val="24"/>
          <w:szCs w:val="24"/>
        </w:rPr>
        <w:t>审查应包含以下内容：</w:t>
      </w:r>
    </w:p>
    <w:tbl>
      <w:tblPr>
        <w:tblStyle w:val="4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6BE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158FC109">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07D7690">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E47B41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C837E26">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8D68FB">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6CC4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3EC2E7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61" w:type="dxa"/>
            <w:tcBorders>
              <w:top w:val="single" w:color="auto" w:sz="4" w:space="0"/>
              <w:left w:val="single" w:color="auto" w:sz="4" w:space="0"/>
              <w:bottom w:val="single" w:color="auto" w:sz="4" w:space="0"/>
              <w:right w:val="single" w:color="auto" w:sz="4" w:space="0"/>
            </w:tcBorders>
          </w:tcPr>
          <w:p w14:paraId="15B31FF2">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投标文件封面、投标函、法定代表人委托授权书三处的项目名称、项目编号、标段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未分标段的除外</w:t>
            </w:r>
            <w:r>
              <w:rPr>
                <w:rFonts w:hint="eastAsia" w:ascii="宋体" w:hAnsi="宋体" w:cs="宋体"/>
                <w:bCs/>
                <w:color w:val="auto"/>
                <w:kern w:val="0"/>
                <w:sz w:val="24"/>
                <w:szCs w:val="24"/>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65BC074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tcPr>
          <w:p w14:paraId="13370C5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37837A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C23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1AA071A">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61" w:type="dxa"/>
            <w:tcBorders>
              <w:top w:val="single" w:color="auto" w:sz="4" w:space="0"/>
              <w:left w:val="single" w:color="auto" w:sz="4" w:space="0"/>
              <w:bottom w:val="single" w:color="auto" w:sz="4" w:space="0"/>
              <w:right w:val="single" w:color="auto" w:sz="4" w:space="0"/>
            </w:tcBorders>
            <w:vAlign w:val="center"/>
          </w:tcPr>
          <w:p w14:paraId="4BF677B8">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522D4979">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均按招标文件要求签字、盖章。</w:t>
            </w:r>
          </w:p>
          <w:p w14:paraId="6551FFE5">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color w:val="auto"/>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651097C5">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9D9492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414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FBB87CB">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61" w:type="dxa"/>
            <w:tcBorders>
              <w:top w:val="single" w:color="auto" w:sz="4" w:space="0"/>
              <w:left w:val="single" w:color="auto" w:sz="4" w:space="0"/>
              <w:bottom w:val="single" w:color="auto" w:sz="4" w:space="0"/>
              <w:right w:val="single" w:color="auto" w:sz="4" w:space="0"/>
            </w:tcBorders>
            <w:vAlign w:val="center"/>
          </w:tcPr>
          <w:p w14:paraId="225E874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70B83DA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投标文件应包含以下内容：</w:t>
            </w:r>
          </w:p>
          <w:p w14:paraId="2D541CCB">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一、投标函</w:t>
            </w:r>
          </w:p>
          <w:p w14:paraId="50D36812">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二、投标一览表</w:t>
            </w:r>
          </w:p>
          <w:p w14:paraId="3E47B98C">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三、资格证明文件</w:t>
            </w:r>
          </w:p>
          <w:p w14:paraId="578C0F4D">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四、技术商务偏离表</w:t>
            </w:r>
          </w:p>
          <w:p w14:paraId="7239D97A">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五、投标方案</w:t>
            </w:r>
          </w:p>
          <w:p w14:paraId="2BE3C004">
            <w:pPr>
              <w:pStyle w:val="28"/>
              <w:keepNext w:val="0"/>
              <w:keepLines w:val="0"/>
              <w:suppressLineNumbers w:val="0"/>
              <w:spacing w:before="0" w:beforeAutospacing="0" w:after="0" w:afterAutospacing="0" w:line="288" w:lineRule="auto"/>
              <w:ind w:left="0" w:right="0" w:firstLine="240" w:firstLineChars="100"/>
              <w:rPr>
                <w:rFonts w:hint="default" w:ascii="宋体" w:hAnsi="宋体" w:cs="宋体"/>
                <w:b/>
                <w:bCs/>
                <w:color w:val="auto"/>
                <w:kern w:val="0"/>
                <w:sz w:val="24"/>
                <w:szCs w:val="24"/>
                <w:highlight w:val="red"/>
              </w:rPr>
            </w:pPr>
            <w:r>
              <w:rPr>
                <w:rFonts w:hint="eastAsia" w:ascii="宋体" w:hAnsi="宋体" w:cs="宋体"/>
                <w:color w:val="auto"/>
                <w:kern w:val="0"/>
                <w:sz w:val="24"/>
                <w:szCs w:val="24"/>
              </w:rPr>
              <w:t>六、</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承诺书</w:t>
            </w:r>
          </w:p>
        </w:tc>
        <w:tc>
          <w:tcPr>
            <w:tcW w:w="1005" w:type="dxa"/>
            <w:tcBorders>
              <w:top w:val="single" w:color="auto" w:sz="4" w:space="0"/>
              <w:left w:val="single" w:color="auto" w:sz="4" w:space="0"/>
              <w:bottom w:val="single" w:color="auto" w:sz="4" w:space="0"/>
              <w:right w:val="single" w:color="auto" w:sz="4" w:space="0"/>
            </w:tcBorders>
          </w:tcPr>
          <w:p w14:paraId="67344A5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414022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55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D6BA891">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61" w:type="dxa"/>
            <w:tcBorders>
              <w:top w:val="single" w:color="auto" w:sz="4" w:space="0"/>
              <w:left w:val="single" w:color="auto" w:sz="4" w:space="0"/>
              <w:bottom w:val="single" w:color="auto" w:sz="4" w:space="0"/>
              <w:right w:val="single" w:color="auto" w:sz="4" w:space="0"/>
            </w:tcBorders>
            <w:vAlign w:val="center"/>
          </w:tcPr>
          <w:p w14:paraId="7A4F94C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7EB620E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72138D1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920227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0BEB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6DDA23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61" w:type="dxa"/>
            <w:tcBorders>
              <w:top w:val="single" w:color="auto" w:sz="4" w:space="0"/>
              <w:left w:val="single" w:color="auto" w:sz="4" w:space="0"/>
              <w:bottom w:val="single" w:color="auto" w:sz="4" w:space="0"/>
              <w:right w:val="single" w:color="auto" w:sz="4" w:space="0"/>
            </w:tcBorders>
            <w:vAlign w:val="center"/>
          </w:tcPr>
          <w:p w14:paraId="74BEACF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4297AD7A">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6991D51D">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22EB8AD8">
            <w:pPr>
              <w:keepNext w:val="0"/>
              <w:keepLines w:val="0"/>
              <w:widowControl/>
              <w:suppressLineNumbers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bCs/>
                <w:color w:val="auto"/>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3659D808">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4ED6E63">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804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1241A06">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61" w:type="dxa"/>
            <w:tcBorders>
              <w:top w:val="single" w:color="auto" w:sz="4" w:space="0"/>
              <w:left w:val="single" w:color="auto" w:sz="4" w:space="0"/>
              <w:bottom w:val="single" w:color="auto" w:sz="4" w:space="0"/>
              <w:right w:val="single" w:color="auto" w:sz="4" w:space="0"/>
            </w:tcBorders>
            <w:vAlign w:val="center"/>
          </w:tcPr>
          <w:p w14:paraId="7A44962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2E68BC6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color w:val="auto"/>
                <w:sz w:val="24"/>
                <w:szCs w:val="24"/>
              </w:rPr>
            </w:pPr>
            <w:r>
              <w:rPr>
                <w:rFonts w:hint="eastAsia" w:ascii="宋体" w:hAnsi="宋体" w:cs="宋体"/>
                <w:color w:val="auto"/>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388B3C1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BCB5CF4">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2D9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E062DF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7</w:t>
            </w:r>
          </w:p>
        </w:tc>
        <w:tc>
          <w:tcPr>
            <w:tcW w:w="2361" w:type="dxa"/>
            <w:tcBorders>
              <w:top w:val="single" w:color="auto" w:sz="4" w:space="0"/>
              <w:left w:val="single" w:color="auto" w:sz="4" w:space="0"/>
              <w:bottom w:val="single" w:color="auto" w:sz="4" w:space="0"/>
              <w:right w:val="single" w:color="auto" w:sz="4" w:space="0"/>
            </w:tcBorders>
            <w:vAlign w:val="center"/>
          </w:tcPr>
          <w:p w14:paraId="2F3C03F0">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w:t>
            </w:r>
            <w:r>
              <w:rPr>
                <w:rFonts w:hint="eastAsia" w:ascii="宋体" w:hAnsi="宋体" w:cs="宋体"/>
                <w:bCs/>
                <w:color w:val="auto"/>
                <w:sz w:val="24"/>
                <w:szCs w:val="24"/>
                <w:lang w:val="en-US" w:eastAsia="zh-CN"/>
              </w:rPr>
              <w:t>文本</w:t>
            </w:r>
            <w:r>
              <w:rPr>
                <w:rFonts w:hint="eastAsia" w:ascii="宋体" w:hAnsi="宋体" w:cs="宋体"/>
                <w:bCs/>
                <w:color w:val="auto"/>
                <w:sz w:val="24"/>
                <w:szCs w:val="24"/>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3C6A73FA">
            <w:pPr>
              <w:keepNext w:val="0"/>
              <w:keepLines w:val="0"/>
              <w:widowControl/>
              <w:suppressLineNumbers w:val="0"/>
              <w:spacing w:before="0" w:beforeAutospacing="0" w:after="0" w:afterAutospacing="0" w:line="288" w:lineRule="auto"/>
              <w:ind w:left="0" w:right="0"/>
              <w:jc w:val="center"/>
              <w:rPr>
                <w:rFonts w:hint="default" w:ascii="宋体" w:hAnsi="宋体" w:cs="宋体"/>
                <w:color w:val="auto"/>
                <w:sz w:val="24"/>
                <w:szCs w:val="24"/>
              </w:rPr>
            </w:pPr>
            <w:r>
              <w:rPr>
                <w:rFonts w:hint="eastAsia" w:ascii="宋体" w:hAnsi="宋体" w:cs="宋体"/>
                <w:color w:val="auto"/>
                <w:sz w:val="24"/>
                <w:szCs w:val="24"/>
              </w:rPr>
              <w:t>完整响应招标文件合同</w:t>
            </w:r>
            <w:r>
              <w:rPr>
                <w:rFonts w:hint="eastAsia" w:ascii="宋体" w:hAnsi="宋体" w:cs="宋体"/>
                <w:color w:val="auto"/>
                <w:sz w:val="24"/>
                <w:szCs w:val="24"/>
                <w:lang w:val="en-US" w:eastAsia="zh-CN"/>
              </w:rPr>
              <w:t>文本</w:t>
            </w:r>
            <w:r>
              <w:rPr>
                <w:rFonts w:hint="eastAsia" w:ascii="宋体" w:hAnsi="宋体" w:cs="宋体"/>
                <w:color w:val="auto"/>
                <w:sz w:val="24"/>
                <w:szCs w:val="24"/>
              </w:rPr>
              <w:t>条款。</w:t>
            </w:r>
          </w:p>
        </w:tc>
        <w:tc>
          <w:tcPr>
            <w:tcW w:w="1005" w:type="dxa"/>
            <w:tcBorders>
              <w:top w:val="single" w:color="auto" w:sz="4" w:space="0"/>
              <w:left w:val="single" w:color="auto" w:sz="4" w:space="0"/>
              <w:bottom w:val="single" w:color="auto" w:sz="4" w:space="0"/>
              <w:right w:val="single" w:color="auto" w:sz="4" w:space="0"/>
            </w:tcBorders>
          </w:tcPr>
          <w:p w14:paraId="353088B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71437A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F8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4E132CC9">
            <w:pPr>
              <w:keepNext w:val="0"/>
              <w:keepLines w:val="0"/>
              <w:widowControl/>
              <w:suppressLineNumbers w:val="0"/>
              <w:spacing w:before="0" w:beforeAutospacing="0" w:after="0" w:afterAutospacing="0" w:line="288" w:lineRule="auto"/>
              <w:ind w:left="0" w:right="0" w:firstLine="200"/>
              <w:jc w:val="left"/>
              <w:rPr>
                <w:rFonts w:hint="default" w:ascii="宋体" w:hAnsi="宋体" w:cs="宋体"/>
                <w:b/>
                <w:bCs/>
                <w:color w:val="auto"/>
                <w:kern w:val="0"/>
                <w:sz w:val="24"/>
                <w:szCs w:val="24"/>
              </w:rPr>
            </w:pPr>
            <w:r>
              <w:rPr>
                <w:rFonts w:hint="eastAsia" w:ascii="宋体" w:hAnsi="宋体" w:cs="宋体"/>
                <w:b/>
                <w:bCs/>
                <w:color w:val="auto"/>
                <w:kern w:val="0"/>
                <w:sz w:val="24"/>
                <w:szCs w:val="24"/>
              </w:rPr>
              <w:t>评标委员会成员：（签字或盖章）</w:t>
            </w:r>
          </w:p>
        </w:tc>
      </w:tr>
    </w:tbl>
    <w:p w14:paraId="0AD2B18E">
      <w:pPr>
        <w:pStyle w:val="18"/>
        <w:rPr>
          <w:color w:val="auto"/>
        </w:rPr>
      </w:pPr>
    </w:p>
    <w:p w14:paraId="50C1465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26.2.3</w:t>
      </w:r>
      <w:r>
        <w:rPr>
          <w:rFonts w:hint="eastAsia" w:ascii="宋体" w:hAnsi="宋体"/>
          <w:color w:val="auto"/>
          <w:sz w:val="24"/>
          <w:szCs w:val="24"/>
        </w:rPr>
        <w:t>开标时，</w:t>
      </w:r>
      <w:r>
        <w:rPr>
          <w:rFonts w:hint="eastAsia" w:ascii="宋体" w:hAnsi="宋体"/>
          <w:color w:val="auto"/>
          <w:sz w:val="24"/>
          <w:szCs w:val="24"/>
          <w:lang w:eastAsia="zh-CN"/>
        </w:rPr>
        <w:t>投标文件</w:t>
      </w:r>
      <w:r>
        <w:rPr>
          <w:rFonts w:hint="eastAsia" w:ascii="宋体" w:hAnsi="宋体"/>
          <w:color w:val="auto"/>
          <w:sz w:val="24"/>
          <w:szCs w:val="24"/>
        </w:rPr>
        <w:t>中出现下列情况，修正原则为：</w:t>
      </w:r>
    </w:p>
    <w:p w14:paraId="678E135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5B7F0D8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（2）大写金额和小写金额不一致的，以大写金额为准；</w:t>
      </w:r>
    </w:p>
    <w:p w14:paraId="6F6DE59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224EE56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5A28477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（5）多处内容交叉不符时，以评标小组评审结果为准；</w:t>
      </w:r>
    </w:p>
    <w:p w14:paraId="05877EE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（6）文字与图表不符的，以文字为准。</w:t>
      </w:r>
    </w:p>
    <w:p w14:paraId="0C27454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10D7D2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26.3</w:t>
      </w:r>
      <w:r>
        <w:rPr>
          <w:rFonts w:hint="eastAsia" w:ascii="宋体" w:hAnsi="宋体"/>
          <w:color w:val="auto"/>
          <w:sz w:val="24"/>
          <w:szCs w:val="24"/>
        </w:rPr>
        <w:t>通过对投标人及投标文件符合性审查，出现下列情况之一者（但不限于），按无效投标处理：</w:t>
      </w:r>
    </w:p>
    <w:p w14:paraId="10BC180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（1）投标人投标报价超出采购预算金额或者最高限价的；</w:t>
      </w:r>
    </w:p>
    <w:p w14:paraId="7D446C9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（2）投标文件未按招标文件要求签署、盖章的；</w:t>
      </w:r>
    </w:p>
    <w:p w14:paraId="37276FFF">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（3）投标内容出现漏项或数量与要求不符的，出现重大负偏离；</w:t>
      </w:r>
    </w:p>
    <w:p w14:paraId="27BE6B3C">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（4）投标人串通投标的；</w:t>
      </w:r>
    </w:p>
    <w:p w14:paraId="008E60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（5）投标人有违法违规行为的；</w:t>
      </w:r>
    </w:p>
    <w:p w14:paraId="15536EE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（6）投标文件含有采购人不能接受的附加条件的；</w:t>
      </w:r>
    </w:p>
    <w:p w14:paraId="47D4F9B3">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（7）投标文件不符合招标文件其他要求的；</w:t>
      </w:r>
    </w:p>
    <w:p w14:paraId="10CB54E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（8）其他法律法规规定的废标情况。</w:t>
      </w:r>
    </w:p>
    <w:p w14:paraId="7CA77E72">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7.</w:t>
      </w:r>
      <w:r>
        <w:rPr>
          <w:rFonts w:hint="eastAsia" w:ascii="宋体" w:hAnsi="宋体"/>
          <w:b/>
          <w:color w:val="auto"/>
          <w:sz w:val="24"/>
          <w:szCs w:val="24"/>
        </w:rPr>
        <w:t>投标文件的澄清</w:t>
      </w:r>
      <w:bookmarkEnd w:id="66"/>
    </w:p>
    <w:p w14:paraId="3E0AE6F4">
      <w:pPr>
        <w:spacing w:line="360" w:lineRule="auto"/>
        <w:ind w:firstLine="480" w:firstLineChars="200"/>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0C6BC4DC">
      <w:pPr>
        <w:spacing w:line="360" w:lineRule="auto"/>
        <w:ind w:firstLine="480" w:firstLineChars="200"/>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6A13439E">
      <w:pPr>
        <w:overflowPunct w:val="0"/>
        <w:adjustRightInd w:val="0"/>
        <w:snapToGrid w:val="0"/>
        <w:spacing w:line="360" w:lineRule="auto"/>
        <w:ind w:firstLine="482" w:firstLineChars="200"/>
        <w:rPr>
          <w:rFonts w:ascii="宋体" w:hAnsi="宋体"/>
          <w:b/>
          <w:color w:val="auto"/>
          <w:sz w:val="24"/>
          <w:szCs w:val="24"/>
        </w:rPr>
      </w:pPr>
      <w:bookmarkStart w:id="67" w:name="_Toc311415604"/>
      <w:r>
        <w:rPr>
          <w:rFonts w:ascii="宋体" w:hAnsi="宋体"/>
          <w:b/>
          <w:color w:val="auto"/>
          <w:sz w:val="24"/>
          <w:szCs w:val="24"/>
        </w:rPr>
        <w:t>2</w:t>
      </w:r>
      <w:r>
        <w:rPr>
          <w:rFonts w:hint="eastAsia" w:ascii="宋体" w:hAnsi="宋体"/>
          <w:b/>
          <w:color w:val="auto"/>
          <w:sz w:val="24"/>
          <w:szCs w:val="24"/>
          <w:lang w:eastAsia="zh-CN"/>
        </w:rPr>
        <w:t>8.</w:t>
      </w:r>
      <w:r>
        <w:rPr>
          <w:rFonts w:hint="eastAsia" w:ascii="宋体" w:hAnsi="宋体"/>
          <w:b/>
          <w:color w:val="auto"/>
          <w:sz w:val="24"/>
          <w:szCs w:val="24"/>
        </w:rPr>
        <w:t>评标原则及主要方法</w:t>
      </w:r>
      <w:bookmarkEnd w:id="67"/>
    </w:p>
    <w:p w14:paraId="0F656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5B5A036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13E35AA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28.3</w:t>
      </w:r>
      <w:r>
        <w:rPr>
          <w:rFonts w:hint="eastAsia" w:ascii="宋体" w:hAnsi="宋体"/>
          <w:color w:val="auto"/>
          <w:sz w:val="24"/>
          <w:szCs w:val="24"/>
        </w:rPr>
        <w:t>评标原则和办法：</w:t>
      </w:r>
    </w:p>
    <w:p w14:paraId="6D4609D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tbl>
      <w:tblPr>
        <w:tblStyle w:val="42"/>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F1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466" w:type="dxa"/>
          </w:tcPr>
          <w:p w14:paraId="1FE2CB2B">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r w14:paraId="5F89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24D3A45">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bl>
    <w:p w14:paraId="21453C2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tbl>
      <w:tblPr>
        <w:tblStyle w:val="4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4"/>
        <w:gridCol w:w="7825"/>
        <w:gridCol w:w="660"/>
      </w:tblGrid>
      <w:tr w14:paraId="4FD4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014"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0B42025">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7825"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D536559">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660" w:type="dxa"/>
            <w:vMerge w:val="restart"/>
            <w:tcBorders>
              <w:top w:val="single" w:color="auto" w:sz="4" w:space="0"/>
              <w:left w:val="single" w:color="auto" w:sz="4" w:space="0"/>
              <w:right w:val="single" w:color="auto" w:sz="4" w:space="0"/>
            </w:tcBorders>
            <w:shd w:val="clear" w:color="auto" w:fill="auto"/>
            <w:noWrap w:val="0"/>
            <w:tcMar>
              <w:top w:w="15" w:type="dxa"/>
              <w:left w:w="15" w:type="dxa"/>
              <w:bottom w:w="0" w:type="dxa"/>
              <w:right w:w="15" w:type="dxa"/>
            </w:tcMar>
            <w:vAlign w:val="center"/>
          </w:tcPr>
          <w:p w14:paraId="00CC78BE">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最高得分</w:t>
            </w:r>
          </w:p>
        </w:tc>
      </w:tr>
      <w:tr w14:paraId="5DC9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0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FB4144">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FF0000"/>
                <w:kern w:val="0"/>
                <w:sz w:val="24"/>
                <w:szCs w:val="24"/>
              </w:rPr>
            </w:pPr>
          </w:p>
        </w:tc>
        <w:tc>
          <w:tcPr>
            <w:tcW w:w="7825" w:type="dxa"/>
            <w:vMerge w:val="continue"/>
            <w:tcBorders>
              <w:top w:val="single" w:color="auto" w:sz="4" w:space="0"/>
              <w:left w:val="single" w:color="auto" w:sz="4" w:space="0"/>
              <w:bottom w:val="single" w:color="auto" w:sz="4" w:space="0"/>
              <w:right w:val="single" w:color="auto" w:sz="4" w:space="0"/>
            </w:tcBorders>
            <w:noWrap w:val="0"/>
            <w:vAlign w:val="center"/>
          </w:tcPr>
          <w:p w14:paraId="51C668E7">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FF0000"/>
                <w:kern w:val="0"/>
                <w:sz w:val="24"/>
                <w:szCs w:val="24"/>
              </w:rPr>
            </w:pPr>
          </w:p>
        </w:tc>
        <w:tc>
          <w:tcPr>
            <w:tcW w:w="660" w:type="dxa"/>
            <w:vMerge w:val="continue"/>
            <w:tcBorders>
              <w:left w:val="single" w:color="auto" w:sz="4" w:space="0"/>
              <w:bottom w:val="single" w:color="auto" w:sz="4" w:space="0"/>
              <w:right w:val="single" w:color="auto" w:sz="4" w:space="0"/>
            </w:tcBorders>
            <w:noWrap w:val="0"/>
            <w:vAlign w:val="center"/>
          </w:tcPr>
          <w:p w14:paraId="2AA994A4">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FF0000"/>
                <w:kern w:val="0"/>
                <w:sz w:val="24"/>
                <w:szCs w:val="24"/>
              </w:rPr>
            </w:pPr>
          </w:p>
        </w:tc>
      </w:tr>
      <w:tr w14:paraId="1272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0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B216C5">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价格</w:t>
            </w:r>
          </w:p>
          <w:p w14:paraId="20F59A25">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30分</w:t>
            </w:r>
            <w:r>
              <w:rPr>
                <w:rFonts w:hint="eastAsia" w:ascii="宋体" w:hAnsi="宋体" w:cs="宋体"/>
                <w:b/>
                <w:bCs/>
                <w:color w:val="auto"/>
                <w:kern w:val="0"/>
                <w:sz w:val="24"/>
                <w:szCs w:val="24"/>
                <w:lang w:eastAsia="zh-CN"/>
              </w:rPr>
              <w:t>）</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8A2E75">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39B5D5F0">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 xml:space="preserve">    </w:t>
            </w:r>
          </w:p>
          <w:p w14:paraId="4700669B">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77A3DBC5">
            <w:pPr>
              <w:keepNext w:val="0"/>
              <w:keepLines w:val="0"/>
              <w:pageBreakBefore w:val="0"/>
              <w:widowControl/>
              <w:numPr>
                <w:ilvl w:val="0"/>
                <w:numId w:val="0"/>
              </w:numPr>
              <w:suppressLineNumbers w:val="0"/>
              <w:kinsoku/>
              <w:wordWrap/>
              <w:overflowPunct/>
              <w:topLinePunct w:val="0"/>
              <w:bidi w:val="0"/>
              <w:spacing w:before="0" w:beforeAutospacing="0" w:after="0" w:afterAutospacing="0" w:line="46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6C3EE97B">
            <w:pPr>
              <w:pStyle w:val="40"/>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firstLine="480" w:firstLineChars="200"/>
              <w:textAlignment w:val="auto"/>
              <w:rPr>
                <w:rFonts w:hint="eastAsia"/>
                <w:color w:val="auto"/>
              </w:rPr>
            </w:pPr>
            <w:r>
              <w:rPr>
                <w:rFonts w:hint="eastAsia" w:hAnsi="宋体" w:cs="宋体"/>
                <w:color w:val="auto"/>
                <w:sz w:val="24"/>
                <w:szCs w:val="24"/>
                <w:lang w:val="en-US" w:eastAsia="zh-CN"/>
              </w:rPr>
              <w:t>3.</w:t>
            </w:r>
            <w:r>
              <w:rPr>
                <w:rFonts w:hint="eastAsia" w:ascii="宋体" w:hAnsi="宋体" w:cs="宋体"/>
                <w:color w:val="auto"/>
                <w:sz w:val="24"/>
                <w:szCs w:val="24"/>
              </w:rPr>
              <w:t>投标报价不完整的，不进入评标标准价的计算，本项得0分。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D97F1E">
            <w:pPr>
              <w:pStyle w:val="40"/>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jc w:val="center"/>
              <w:textAlignment w:val="auto"/>
              <w:rPr>
                <w:rFonts w:hint="eastAsia" w:hAnsi="宋体" w:cs="宋体"/>
                <w:color w:val="auto"/>
                <w:sz w:val="24"/>
                <w:szCs w:val="24"/>
                <w:lang w:val="en-US" w:eastAsia="zh-CN"/>
              </w:rPr>
            </w:pPr>
            <w:r>
              <w:rPr>
                <w:rFonts w:hint="eastAsia" w:ascii="宋体" w:hAnsi="宋体" w:cs="宋体"/>
                <w:color w:val="auto"/>
                <w:kern w:val="0"/>
                <w:sz w:val="24"/>
                <w:szCs w:val="24"/>
                <w:lang w:val="en-US" w:eastAsia="zh-CN"/>
              </w:rPr>
              <w:t>30分</w:t>
            </w:r>
          </w:p>
        </w:tc>
      </w:tr>
      <w:tr w14:paraId="6814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1" w:hRule="atLeast"/>
          <w:jc w:val="center"/>
        </w:trPr>
        <w:tc>
          <w:tcPr>
            <w:tcW w:w="101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9208072">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仿宋" w:hAnsi="仿宋"/>
                <w:b/>
                <w:bCs/>
                <w:color w:val="auto"/>
                <w:sz w:val="24"/>
                <w:lang w:val="en-US" w:eastAsia="zh-CN"/>
              </w:rPr>
            </w:pPr>
            <w:r>
              <w:rPr>
                <w:rFonts w:hint="eastAsia" w:ascii="仿宋" w:hAnsi="仿宋"/>
                <w:b/>
                <w:bCs/>
                <w:color w:val="auto"/>
                <w:sz w:val="24"/>
                <w:lang w:val="en-US" w:eastAsia="zh-CN"/>
              </w:rPr>
              <w:t>商务</w:t>
            </w:r>
          </w:p>
          <w:p w14:paraId="61711417">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仿宋" w:hAnsi="仿宋"/>
                <w:b/>
                <w:bCs/>
                <w:color w:val="auto"/>
                <w:sz w:val="24"/>
                <w:lang w:val="en-US" w:eastAsia="zh-CN"/>
              </w:rPr>
            </w:pPr>
            <w:r>
              <w:rPr>
                <w:rFonts w:hint="eastAsia" w:ascii="仿宋" w:hAnsi="仿宋"/>
                <w:b/>
                <w:bCs/>
                <w:color w:val="auto"/>
                <w:sz w:val="24"/>
                <w:lang w:val="en-US" w:eastAsia="zh-CN"/>
              </w:rPr>
              <w:t>响应</w:t>
            </w:r>
          </w:p>
          <w:p w14:paraId="30F5F75B">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仿宋" w:hAnsi="仿宋"/>
                <w:b/>
                <w:bCs/>
                <w:color w:val="auto"/>
                <w:sz w:val="24"/>
                <w:lang w:val="en-US" w:eastAsia="zh-CN"/>
              </w:rPr>
              <w:t>（3分）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5B93F5">
            <w:pPr>
              <w:keepNext w:val="0"/>
              <w:keepLines w:val="0"/>
              <w:pageBreakBefore w:val="0"/>
              <w:suppressLineNumbers w:val="0"/>
              <w:kinsoku/>
              <w:wordWrap/>
              <w:overflowPunct/>
              <w:topLinePunct w:val="0"/>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交货期</w:t>
            </w:r>
            <w:r>
              <w:rPr>
                <w:rFonts w:hint="eastAsia" w:ascii="宋体" w:hAnsi="宋体" w:cs="宋体"/>
                <w:color w:val="auto"/>
                <w:sz w:val="24"/>
                <w:szCs w:val="24"/>
              </w:rPr>
              <w:t>、</w:t>
            </w:r>
            <w:r>
              <w:rPr>
                <w:rFonts w:hint="eastAsia" w:ascii="宋体" w:hAnsi="宋体" w:cs="宋体"/>
                <w:color w:val="auto"/>
                <w:sz w:val="24"/>
                <w:szCs w:val="24"/>
                <w:lang w:val="en-US" w:eastAsia="zh-CN"/>
              </w:rPr>
              <w:t>质保期</w:t>
            </w:r>
            <w:r>
              <w:rPr>
                <w:rFonts w:hint="eastAsia" w:ascii="宋体" w:hAnsi="宋体" w:cs="宋体"/>
                <w:color w:val="auto"/>
                <w:sz w:val="24"/>
                <w:szCs w:val="24"/>
              </w:rPr>
              <w:t>、</w:t>
            </w:r>
            <w:r>
              <w:rPr>
                <w:rFonts w:hint="eastAsia" w:ascii="宋体" w:hAnsi="宋体" w:cs="宋体"/>
                <w:color w:val="auto"/>
                <w:sz w:val="24"/>
                <w:szCs w:val="24"/>
                <w:lang w:eastAsia="zh-CN"/>
              </w:rPr>
              <w:t>验收、</w:t>
            </w:r>
            <w:r>
              <w:rPr>
                <w:rFonts w:hint="eastAsia" w:ascii="宋体" w:hAnsi="宋体" w:cs="宋体"/>
                <w:color w:val="auto"/>
                <w:sz w:val="24"/>
                <w:szCs w:val="24"/>
              </w:rPr>
              <w:t>服务等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3</w:t>
            </w:r>
            <w:r>
              <w:rPr>
                <w:rFonts w:hint="eastAsia" w:ascii="宋体" w:hAnsi="宋体" w:cs="宋体"/>
                <w:color w:val="auto"/>
                <w:sz w:val="24"/>
                <w:szCs w:val="24"/>
              </w:rPr>
              <w:t>分，未做详细响应的，按响应程度赋1-</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7E5EB4">
            <w:pPr>
              <w:keepNext w:val="0"/>
              <w:keepLines w:val="0"/>
              <w:pageBreakBefore w:val="0"/>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color w:val="auto"/>
                <w:sz w:val="24"/>
                <w:szCs w:val="24"/>
              </w:rPr>
            </w:pPr>
            <w:r>
              <w:rPr>
                <w:rFonts w:hint="eastAsia" w:ascii="仿宋" w:hAnsi="仿宋"/>
                <w:color w:val="auto"/>
                <w:sz w:val="24"/>
                <w:lang w:val="en-US" w:eastAsia="zh-CN"/>
              </w:rPr>
              <w:t>3分</w:t>
            </w:r>
          </w:p>
        </w:tc>
      </w:tr>
      <w:tr w14:paraId="756F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3" w:hRule="atLeast"/>
          <w:jc w:val="center"/>
        </w:trPr>
        <w:tc>
          <w:tcPr>
            <w:tcW w:w="1014"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E23617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技术</w:t>
            </w:r>
          </w:p>
          <w:p w14:paraId="154FCE19">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w:t>
            </w:r>
          </w:p>
          <w:p w14:paraId="40FC2E59">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（46分）</w:t>
            </w:r>
          </w:p>
          <w:p w14:paraId="78FA581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rPr>
            </w:pP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A952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技术参数</w:t>
            </w:r>
            <w:r>
              <w:rPr>
                <w:rFonts w:hint="eastAsia" w:ascii="宋体" w:hAnsi="宋体" w:cs="宋体"/>
                <w:b/>
                <w:bCs w:val="0"/>
                <w:color w:val="auto"/>
                <w:sz w:val="24"/>
                <w:szCs w:val="24"/>
                <w:highlight w:val="none"/>
                <w:lang w:val="en-US" w:eastAsia="zh-CN"/>
              </w:rPr>
              <w:t>（25分）</w:t>
            </w:r>
          </w:p>
          <w:p w14:paraId="4CB9E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投标响应</w:t>
            </w:r>
            <w:r>
              <w:rPr>
                <w:rFonts w:hint="eastAsia" w:ascii="宋体" w:hAnsi="宋体" w:cs="宋体"/>
                <w:color w:val="auto"/>
                <w:sz w:val="24"/>
                <w:szCs w:val="24"/>
                <w:highlight w:val="none"/>
                <w:lang w:val="en-US" w:eastAsia="zh-CN"/>
              </w:rPr>
              <w:t>产品</w:t>
            </w:r>
            <w:r>
              <w:rPr>
                <w:rFonts w:hint="default" w:ascii="宋体" w:hAnsi="宋体" w:cs="宋体"/>
                <w:color w:val="auto"/>
                <w:sz w:val="24"/>
                <w:szCs w:val="24"/>
                <w:highlight w:val="none"/>
                <w:lang w:val="en-US" w:eastAsia="zh-CN"/>
              </w:rPr>
              <w:t>技术指标清晰，符合国家的最新标准和有关规定，技术资料齐全，技术参数全部响应招标文件中技术要求的计</w:t>
            </w:r>
            <w:r>
              <w:rPr>
                <w:rFonts w:hint="eastAsia" w:ascii="宋体" w:hAnsi="宋体" w:cs="宋体"/>
                <w:color w:val="auto"/>
                <w:sz w:val="24"/>
                <w:szCs w:val="24"/>
                <w:highlight w:val="none"/>
                <w:lang w:val="en-US" w:eastAsia="zh-CN"/>
              </w:rPr>
              <w:t>25</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。其中</w:t>
            </w:r>
            <w:r>
              <w:rPr>
                <w:rFonts w:hint="default" w:ascii="宋体" w:hAnsi="宋体" w:cs="宋体"/>
                <w:color w:val="auto"/>
                <w:sz w:val="24"/>
                <w:szCs w:val="24"/>
                <w:highlight w:val="none"/>
                <w:lang w:val="en-US" w:eastAsia="zh-CN"/>
              </w:rPr>
              <w:t>标记★项参数</w:t>
            </w:r>
            <w:r>
              <w:rPr>
                <w:rFonts w:hint="eastAsia" w:ascii="宋体" w:hAnsi="宋体" w:cs="宋体"/>
                <w:color w:val="auto"/>
                <w:sz w:val="24"/>
                <w:szCs w:val="24"/>
                <w:highlight w:val="none"/>
                <w:lang w:val="en-US" w:eastAsia="zh-CN"/>
              </w:rPr>
              <w:t>为重要参数</w:t>
            </w:r>
            <w:r>
              <w:rPr>
                <w:rFonts w:hint="default" w:ascii="宋体" w:hAnsi="宋体" w:cs="宋体"/>
                <w:color w:val="auto"/>
                <w:sz w:val="24"/>
                <w:szCs w:val="24"/>
                <w:highlight w:val="none"/>
                <w:lang w:val="en-US" w:eastAsia="zh-CN"/>
              </w:rPr>
              <w:t>，每出现一项负偏离扣2分</w:t>
            </w:r>
            <w:r>
              <w:rPr>
                <w:rFonts w:hint="eastAsia" w:ascii="宋体" w:hAnsi="宋体" w:cs="宋体"/>
                <w:color w:val="auto"/>
                <w:sz w:val="24"/>
                <w:szCs w:val="24"/>
                <w:highlight w:val="none"/>
                <w:lang w:val="en-US" w:eastAsia="zh-CN"/>
              </w:rPr>
              <w:t>；非</w:t>
            </w:r>
            <w:r>
              <w:rPr>
                <w:rFonts w:hint="default" w:ascii="宋体" w:hAnsi="宋体" w:cs="宋体"/>
                <w:color w:val="auto"/>
                <w:sz w:val="24"/>
                <w:szCs w:val="24"/>
                <w:highlight w:val="none"/>
                <w:lang w:val="en-US" w:eastAsia="zh-CN"/>
              </w:rPr>
              <w:t>★技术参数每出现一项负偏离扣1分，直至扣完为止；投标时须附有所投产品的</w:t>
            </w:r>
            <w:r>
              <w:rPr>
                <w:rFonts w:hint="eastAsia" w:ascii="宋体" w:hAnsi="宋体" w:cs="宋体"/>
                <w:color w:val="auto"/>
                <w:sz w:val="24"/>
                <w:szCs w:val="24"/>
                <w:highlight w:val="none"/>
                <w:lang w:val="en-US" w:eastAsia="zh-CN"/>
              </w:rPr>
              <w:t>技术</w:t>
            </w:r>
            <w:r>
              <w:rPr>
                <w:rFonts w:hint="default" w:ascii="宋体" w:hAnsi="宋体" w:cs="宋体"/>
                <w:color w:val="auto"/>
                <w:sz w:val="24"/>
                <w:szCs w:val="24"/>
                <w:highlight w:val="none"/>
                <w:lang w:val="en-US" w:eastAsia="zh-CN"/>
              </w:rPr>
              <w:t>资料</w:t>
            </w:r>
            <w:r>
              <w:rPr>
                <w:rFonts w:hint="eastAsia" w:ascii="宋体" w:hAnsi="宋体" w:eastAsia="宋体" w:cs="宋体"/>
                <w:b w:val="0"/>
                <w:bCs w:val="0"/>
                <w:color w:val="auto"/>
                <w:kern w:val="0"/>
                <w:sz w:val="24"/>
                <w:szCs w:val="24"/>
                <w:lang w:val="en-US" w:eastAsia="zh-CN" w:bidi="ar-SA"/>
              </w:rPr>
              <w:t>(包括但不限于检验报告、</w:t>
            </w:r>
            <w:r>
              <w:rPr>
                <w:rFonts w:hint="eastAsia" w:ascii="宋体" w:hAnsi="宋体" w:eastAsia="宋体" w:cs="宋体"/>
                <w:kern w:val="2"/>
                <w:sz w:val="24"/>
                <w:szCs w:val="24"/>
                <w:lang w:val="en-US" w:eastAsia="zh-CN" w:bidi="ar"/>
              </w:rPr>
              <w:t>技术说明资料</w:t>
            </w:r>
            <w:r>
              <w:rPr>
                <w:rFonts w:hint="eastAsia" w:ascii="宋体" w:hAnsi="宋体" w:eastAsia="宋体" w:cs="宋体"/>
                <w:b w:val="0"/>
                <w:bCs w:val="0"/>
                <w:color w:val="auto"/>
                <w:kern w:val="0"/>
                <w:sz w:val="24"/>
                <w:szCs w:val="24"/>
                <w:lang w:val="en-US" w:eastAsia="zh-CN" w:bidi="ar-SA"/>
              </w:rPr>
              <w:t>、官网功能截图</w:t>
            </w:r>
            <w:r>
              <w:rPr>
                <w:rFonts w:hint="eastAsia" w:ascii="宋体" w:hAnsi="宋体" w:cs="宋体"/>
                <w:b w:val="0"/>
                <w:bCs w:val="0"/>
                <w:color w:val="auto"/>
                <w:kern w:val="0"/>
                <w:sz w:val="24"/>
                <w:szCs w:val="24"/>
                <w:lang w:val="en-US" w:eastAsia="zh-CN" w:bidi="ar-SA"/>
              </w:rPr>
              <w:t>（如有）</w:t>
            </w:r>
            <w:r>
              <w:rPr>
                <w:rFonts w:hint="eastAsia" w:ascii="宋体" w:hAnsi="宋体" w:eastAsia="宋体" w:cs="宋体"/>
                <w:b w:val="0"/>
                <w:bCs w:val="0"/>
                <w:color w:val="auto"/>
                <w:kern w:val="0"/>
                <w:sz w:val="24"/>
                <w:szCs w:val="24"/>
                <w:lang w:val="en-US" w:eastAsia="zh-CN" w:bidi="ar-SA"/>
              </w:rPr>
              <w:t>等</w:t>
            </w:r>
            <w:r>
              <w:rPr>
                <w:rFonts w:hint="eastAsia" w:ascii="宋体" w:hAnsi="宋体" w:cs="宋体"/>
                <w:b w:val="0"/>
                <w:bCs w:val="0"/>
                <w:color w:val="auto"/>
                <w:kern w:val="0"/>
                <w:sz w:val="24"/>
                <w:szCs w:val="24"/>
                <w:lang w:val="en-US" w:eastAsia="zh-CN" w:bidi="ar-SA"/>
              </w:rPr>
              <w:t>证明材料</w:t>
            </w:r>
            <w:r>
              <w:rPr>
                <w:rFonts w:hint="eastAsia" w:ascii="宋体" w:hAnsi="宋体" w:eastAsia="宋体" w:cs="宋体"/>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佐证材料需加盖投标供应商公章</w:t>
            </w:r>
            <w:r>
              <w:rPr>
                <w:rFonts w:hint="default" w:ascii="宋体" w:hAnsi="宋体" w:cs="宋体"/>
                <w:color w:val="auto"/>
                <w:sz w:val="24"/>
                <w:szCs w:val="24"/>
                <w:highlight w:val="none"/>
                <w:lang w:val="en-US" w:eastAsia="zh-CN"/>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329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25分</w:t>
            </w:r>
          </w:p>
        </w:tc>
      </w:tr>
      <w:tr w14:paraId="69E9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7" w:hRule="atLeast"/>
          <w:jc w:val="center"/>
        </w:trPr>
        <w:tc>
          <w:tcPr>
            <w:tcW w:w="1014"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6A41CFB4">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2255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供货渠道及产品备件配备情况（6分）</w:t>
            </w:r>
          </w:p>
          <w:p w14:paraId="01F22602">
            <w:pPr>
              <w:pStyle w:val="18"/>
              <w:keepNext w:val="0"/>
              <w:keepLines w:val="0"/>
              <w:pageBreakBefore w:val="0"/>
              <w:widowControl w:val="0"/>
              <w:numPr>
                <w:ilvl w:val="0"/>
                <w:numId w:val="0"/>
              </w:numPr>
              <w:suppressLineNumbers w:val="0"/>
              <w:kinsoku/>
              <w:wordWrap/>
              <w:overflowPunct/>
              <w:topLinePunct w:val="0"/>
              <w:bidi w:val="0"/>
              <w:spacing w:before="0" w:beforeAutospacing="0" w:after="0" w:afterAutospacing="0" w:line="460" w:lineRule="exact"/>
              <w:ind w:left="0" w:right="0" w:right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供应商提供产品来源渠道</w:t>
            </w:r>
            <w:r>
              <w:rPr>
                <w:rFonts w:hint="eastAsia" w:cs="宋体"/>
                <w:color w:val="auto"/>
                <w:kern w:val="2"/>
                <w:sz w:val="24"/>
                <w:szCs w:val="24"/>
                <w:highlight w:val="none"/>
                <w:lang w:val="en-US" w:eastAsia="zh-CN" w:bidi="ar-SA"/>
              </w:rPr>
              <w:t>合法证明文件</w:t>
            </w:r>
            <w:r>
              <w:rPr>
                <w:rFonts w:hint="default" w:ascii="宋体" w:hAnsi="宋体" w:eastAsia="宋体" w:cs="宋体"/>
                <w:color w:val="auto"/>
                <w:kern w:val="2"/>
                <w:sz w:val="24"/>
                <w:szCs w:val="24"/>
                <w:highlight w:val="none"/>
                <w:lang w:val="en-US" w:eastAsia="zh-CN" w:bidi="ar-SA"/>
              </w:rPr>
              <w:t>（包括但不限于销售协议、代理协议、原厂授权等）</w:t>
            </w:r>
            <w:r>
              <w:rPr>
                <w:rFonts w:hint="eastAsia" w:cs="宋体"/>
                <w:color w:val="auto"/>
                <w:kern w:val="2"/>
                <w:sz w:val="24"/>
                <w:szCs w:val="24"/>
                <w:highlight w:val="none"/>
                <w:lang w:val="en-US" w:eastAsia="zh-CN" w:bidi="ar-SA"/>
              </w:rPr>
              <w:t>，产品来源渠道证明文件齐全得3分，每缺少一个生产厂家的扣1分，直至3分扣完为止。</w:t>
            </w:r>
          </w:p>
          <w:p w14:paraId="6AB99E02">
            <w:pPr>
              <w:pStyle w:val="18"/>
              <w:keepNext w:val="0"/>
              <w:keepLines w:val="0"/>
              <w:pageBreakBefore w:val="0"/>
              <w:widowControl w:val="0"/>
              <w:numPr>
                <w:ilvl w:val="0"/>
                <w:numId w:val="0"/>
              </w:numPr>
              <w:suppressLineNumbers w:val="0"/>
              <w:kinsoku/>
              <w:wordWrap/>
              <w:overflowPunct/>
              <w:topLinePunct w:val="0"/>
              <w:bidi w:val="0"/>
              <w:spacing w:before="0" w:beforeAutospacing="0" w:after="0" w:afterAutospacing="0" w:line="460" w:lineRule="exact"/>
              <w:ind w:left="0" w:right="0" w:rightChars="0"/>
              <w:textAlignment w:val="auto"/>
              <w:rPr>
                <w:rFonts w:hint="default"/>
                <w:lang w:val="en-US" w:eastAsia="zh-CN"/>
              </w:rPr>
            </w:pPr>
            <w:r>
              <w:rPr>
                <w:rFonts w:hint="eastAsia" w:cs="宋体"/>
                <w:color w:val="auto"/>
                <w:kern w:val="2"/>
                <w:sz w:val="24"/>
                <w:szCs w:val="24"/>
                <w:highlight w:val="none"/>
                <w:lang w:val="en-US" w:eastAsia="zh-CN" w:bidi="ar-SA"/>
              </w:rPr>
              <w:t>2.提供关键零部件备品配件方案</w:t>
            </w:r>
            <w:r>
              <w:rPr>
                <w:rFonts w:hint="default"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方案针对性强，满足项目要求得3分；方案一般，基本满足项目要求得2分；方案没有针对性，不能满足项目要求得1分；</w:t>
            </w:r>
            <w:r>
              <w:rPr>
                <w:rFonts w:hint="default" w:ascii="宋体" w:hAnsi="宋体" w:eastAsia="宋体" w:cs="宋体"/>
                <w:color w:val="auto"/>
                <w:kern w:val="2"/>
                <w:sz w:val="24"/>
                <w:szCs w:val="24"/>
                <w:highlight w:val="none"/>
                <w:lang w:val="en-US" w:eastAsia="zh-CN" w:bidi="ar-SA"/>
              </w:rPr>
              <w:t>不提供不得分。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E11C31">
            <w:pPr>
              <w:pStyle w:val="18"/>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lang w:val="en-US" w:eastAsia="zh-CN"/>
              </w:rPr>
              <w:t>6</w:t>
            </w:r>
            <w:r>
              <w:rPr>
                <w:rFonts w:hint="eastAsia" w:ascii="宋体" w:hAnsi="宋体" w:cs="宋体"/>
                <w:color w:val="auto"/>
                <w:sz w:val="24"/>
                <w:szCs w:val="24"/>
                <w:lang w:val="en-US" w:eastAsia="zh-CN"/>
              </w:rPr>
              <w:t>分</w:t>
            </w:r>
          </w:p>
        </w:tc>
      </w:tr>
      <w:tr w14:paraId="3B11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1" w:hRule="atLeast"/>
          <w:jc w:val="center"/>
        </w:trPr>
        <w:tc>
          <w:tcPr>
            <w:tcW w:w="1014"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1707A4C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rPr>
            </w:pP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883DE2">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both"/>
              <w:textAlignment w:val="auto"/>
              <w:rPr>
                <w:rFonts w:hint="eastAsia" w:ascii="宋体" w:hAnsi="宋体" w:cs="宋体"/>
                <w:color w:val="auto"/>
                <w:sz w:val="24"/>
                <w:szCs w:val="24"/>
                <w:highlight w:val="none"/>
                <w:lang w:val="en-US" w:eastAsia="zh-CN"/>
              </w:rPr>
            </w:pPr>
            <w:r>
              <w:rPr>
                <w:rFonts w:hint="eastAsia" w:ascii="宋体" w:hAnsi="宋体" w:cs="宋体"/>
                <w:b/>
                <w:bCs/>
                <w:color w:val="auto"/>
                <w:kern w:val="0"/>
                <w:sz w:val="24"/>
                <w:szCs w:val="24"/>
                <w:lang w:val="en-US" w:eastAsia="zh-CN"/>
              </w:rPr>
              <w:t>实施方案（15分）</w:t>
            </w:r>
          </w:p>
          <w:p w14:paraId="0EBC0000">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投标人提供项目组织实施方案，方案至少包括：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项目组织机构及责任制度；</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物流运输保障措施；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,3)</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质量管理体系保证措施；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,4)</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实施进度及保证措施；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,5)</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产品安装、检测、调试、验收等方案。</w:t>
            </w:r>
          </w:p>
          <w:p w14:paraId="139BD19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以上五项内容每一项内容满分3分，共计15分，其中每缺少一项内容扣3分；每有一项内容出现一个缺陷扣1分，扣完3分为止。</w:t>
            </w:r>
          </w:p>
          <w:p w14:paraId="3FC5CA72">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FC64C1">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rPr>
              <w:t>15分</w:t>
            </w:r>
          </w:p>
        </w:tc>
      </w:tr>
      <w:tr w14:paraId="7A19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101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0C85E6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sz w:val="24"/>
                <w:szCs w:val="24"/>
              </w:rPr>
            </w:pPr>
            <w:r>
              <w:rPr>
                <w:rFonts w:hint="eastAsia" w:ascii="宋体" w:hAnsi="宋体" w:cs="宋体"/>
                <w:b/>
                <w:bCs/>
                <w:color w:val="auto"/>
                <w:sz w:val="24"/>
                <w:szCs w:val="24"/>
              </w:rPr>
              <w:t>质量</w:t>
            </w:r>
          </w:p>
          <w:p w14:paraId="3030C4C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保证</w:t>
            </w:r>
          </w:p>
          <w:p w14:paraId="379E5A1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lang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5分</w:t>
            </w:r>
            <w:r>
              <w:rPr>
                <w:rFonts w:hint="eastAsia" w:ascii="宋体" w:hAnsi="宋体" w:cs="宋体"/>
                <w:b/>
                <w:bCs/>
                <w:color w:val="auto"/>
                <w:sz w:val="24"/>
                <w:szCs w:val="24"/>
                <w:lang w:eastAsia="zh-CN"/>
              </w:rPr>
              <w:t>）</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73F589A">
            <w:pPr>
              <w:keepNext w:val="0"/>
              <w:keepLines w:val="0"/>
              <w:pageBreakBefore w:val="0"/>
              <w:numPr>
                <w:ilvl w:val="0"/>
                <w:numId w:val="5"/>
              </w:numPr>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投标人提供具体详实的质量保证承诺。承诺满足项目要求，针对性强得3分；承诺一般，基本满足项目要求得2分；承诺没有针对性得1分；不提供不得分。</w:t>
            </w:r>
          </w:p>
          <w:p w14:paraId="40FED8EE">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color w:val="auto"/>
                <w:highlight w:val="none"/>
                <w:lang w:val="en-US" w:eastAsia="zh-CN"/>
              </w:rPr>
            </w:pPr>
            <w:r>
              <w:rPr>
                <w:rFonts w:hint="eastAsia" w:ascii="宋体" w:hAnsi="宋体" w:cs="宋体"/>
                <w:color w:val="auto"/>
                <w:sz w:val="24"/>
                <w:szCs w:val="24"/>
                <w:highlight w:val="none"/>
                <w:lang w:val="en-US" w:eastAsia="zh-CN"/>
              </w:rPr>
              <w:t>2.投标人提供</w:t>
            </w:r>
            <w:r>
              <w:rPr>
                <w:rFonts w:hint="eastAsia" w:ascii="宋体" w:hAnsi="宋体" w:cs="宋体"/>
                <w:color w:val="auto"/>
                <w:sz w:val="24"/>
                <w:szCs w:val="24"/>
                <w:highlight w:val="none"/>
              </w:rPr>
              <w:t>质量保证期过后</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维保服务</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方案详细，维保报价合理得2分；方案一般，维保报价较高得1分；不提供不得分。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53C784">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14:paraId="4F76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1014" w:type="dxa"/>
            <w:vMerge w:val="restart"/>
            <w:tcBorders>
              <w:left w:val="single" w:color="auto" w:sz="4" w:space="0"/>
              <w:right w:val="single" w:color="auto" w:sz="4" w:space="0"/>
            </w:tcBorders>
            <w:noWrap w:val="0"/>
            <w:vAlign w:val="center"/>
          </w:tcPr>
          <w:p w14:paraId="030E8A79">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售后及培训服务（10分）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A939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售后服务方案</w:t>
            </w:r>
            <w:r>
              <w:rPr>
                <w:rFonts w:hint="eastAsia" w:ascii="宋体" w:hAnsi="宋体" w:cs="宋体"/>
                <w:b/>
                <w:bCs w:val="0"/>
                <w:color w:val="auto"/>
                <w:sz w:val="24"/>
                <w:szCs w:val="24"/>
                <w:highlight w:val="none"/>
                <w:lang w:val="en-US" w:eastAsia="zh-CN"/>
              </w:rPr>
              <w:t>（6分）</w:t>
            </w:r>
          </w:p>
          <w:p w14:paraId="553DF0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cs="宋体"/>
                <w:bCs/>
                <w:color w:val="auto"/>
                <w:sz w:val="24"/>
                <w:szCs w:val="24"/>
                <w:highlight w:val="none"/>
                <w:lang w:val="en-US" w:eastAsia="zh-CN"/>
              </w:rPr>
              <w:t>投标人提供售后服务方案。方案至少包括：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售后服务机构和人员配备；</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售后服务内容及响应时间；</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,3)</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应急响应预案。</w:t>
            </w:r>
          </w:p>
          <w:p w14:paraId="22C5B6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以上三项内容每一项内容满分2分，共计6分。其中每缺少一项内容扣2分，每有一项内容有一个缺陷扣1分，扣完2分为止，不提供不得分。</w:t>
            </w:r>
          </w:p>
          <w:p w14:paraId="03BE2E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65F6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6分</w:t>
            </w:r>
          </w:p>
        </w:tc>
      </w:tr>
      <w:tr w14:paraId="3113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1014" w:type="dxa"/>
            <w:vMerge w:val="continue"/>
            <w:tcBorders>
              <w:left w:val="single" w:color="auto" w:sz="4" w:space="0"/>
              <w:right w:val="single" w:color="auto" w:sz="4" w:space="0"/>
            </w:tcBorders>
            <w:noWrap w:val="0"/>
            <w:vAlign w:val="center"/>
          </w:tcPr>
          <w:p w14:paraId="1EDC3A5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48129F">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default" w:ascii="宋体" w:hAnsi="宋体" w:cs="宋体"/>
                <w:b/>
                <w:bCs w:val="0"/>
                <w:color w:val="auto"/>
                <w:spacing w:val="0"/>
                <w:w w:val="100"/>
                <w:kern w:val="2"/>
                <w:sz w:val="24"/>
                <w:szCs w:val="24"/>
                <w:highlight w:val="none"/>
                <w:lang w:val="en-US" w:eastAsia="zh-CN" w:bidi="ar-SA"/>
              </w:rPr>
            </w:pPr>
            <w:r>
              <w:rPr>
                <w:rFonts w:hint="eastAsia" w:ascii="宋体" w:hAnsi="宋体" w:cs="宋体"/>
                <w:b/>
                <w:bCs w:val="0"/>
                <w:color w:val="auto"/>
                <w:spacing w:val="0"/>
                <w:w w:val="100"/>
                <w:kern w:val="2"/>
                <w:sz w:val="24"/>
                <w:szCs w:val="24"/>
                <w:highlight w:val="none"/>
                <w:lang w:val="en-US" w:eastAsia="zh-CN" w:bidi="ar-SA"/>
              </w:rPr>
              <w:t>培训方案（4分）</w:t>
            </w:r>
          </w:p>
          <w:p w14:paraId="0D3F2100">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投标人提供培训方案。方案至少包括：</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,1)</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培训内容、培训时间、培训目的、培训对象等；</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,2)</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培训课程安排，培训教师落实等。</w:t>
            </w:r>
          </w:p>
          <w:p w14:paraId="1A8F644D">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default"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以上两项内容每一项满分2分，共计4分。其中每缺少一项内容扣2分，每有一项内容有一个缺陷扣1分，直至扣完2分为止，不提供不得分。（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55C8CF">
            <w:pPr>
              <w:pStyle w:val="3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4分</w:t>
            </w:r>
          </w:p>
        </w:tc>
      </w:tr>
      <w:tr w14:paraId="59FA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1" w:hRule="atLeast"/>
          <w:jc w:val="center"/>
        </w:trPr>
        <w:tc>
          <w:tcPr>
            <w:tcW w:w="1014" w:type="dxa"/>
            <w:tcBorders>
              <w:left w:val="single" w:color="auto" w:sz="4" w:space="0"/>
              <w:right w:val="single" w:color="auto" w:sz="4" w:space="0"/>
            </w:tcBorders>
            <w:noWrap w:val="0"/>
            <w:vAlign w:val="center"/>
          </w:tcPr>
          <w:p w14:paraId="21963716">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业绩</w:t>
            </w:r>
          </w:p>
          <w:p w14:paraId="3A791FBD">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（6分）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411977">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cs="宋体"/>
                <w:b w:val="0"/>
                <w:bCs/>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cs="宋体"/>
                <w:b w:val="0"/>
                <w:bCs/>
                <w:color w:val="auto"/>
                <w:spacing w:val="0"/>
                <w:w w:val="100"/>
                <w:kern w:val="2"/>
                <w:sz w:val="24"/>
                <w:szCs w:val="24"/>
                <w:highlight w:val="none"/>
                <w:lang w:val="en-US" w:eastAsia="zh-CN" w:bidi="ar-SA"/>
              </w:rPr>
              <w:t>投标人</w:t>
            </w:r>
            <w:r>
              <w:rPr>
                <w:rFonts w:hint="eastAsia" w:ascii="宋体" w:hAnsi="宋体" w:eastAsia="宋体" w:cs="宋体"/>
                <w:sz w:val="24"/>
                <w:szCs w:val="24"/>
                <w:lang w:val="en-US" w:eastAsia="zh-CN" w:bidi="ar"/>
              </w:rPr>
              <w:t>提供所投产品（</w:t>
            </w:r>
            <w:r>
              <w:rPr>
                <w:rFonts w:hint="eastAsia" w:ascii="宋体" w:hAnsi="宋体" w:cs="宋体"/>
                <w:sz w:val="24"/>
                <w:szCs w:val="24"/>
                <w:lang w:val="en-US" w:eastAsia="zh-CN" w:bidi="ar"/>
              </w:rPr>
              <w:t>至少包含一项</w:t>
            </w:r>
            <w:r>
              <w:rPr>
                <w:rFonts w:hint="eastAsia" w:ascii="宋体" w:hAnsi="宋体" w:eastAsia="宋体" w:cs="宋体"/>
                <w:sz w:val="24"/>
                <w:szCs w:val="24"/>
                <w:lang w:val="en-US" w:eastAsia="zh-CN" w:bidi="ar"/>
              </w:rPr>
              <w:t>核心产品）</w:t>
            </w:r>
            <w:r>
              <w:rPr>
                <w:rFonts w:hint="eastAsia" w:ascii="宋体" w:hAnsi="宋体" w:eastAsia="宋体" w:cs="宋体"/>
                <w:b w:val="0"/>
                <w:bCs w:val="0"/>
                <w:color w:val="000000" w:themeColor="text1"/>
                <w:sz w:val="24"/>
                <w:highlight w:val="none"/>
                <w14:textFill>
                  <w14:solidFill>
                    <w14:schemeClr w14:val="tx1"/>
                  </w14:solidFill>
                </w14:textFill>
              </w:rPr>
              <w:t>202</w:t>
            </w:r>
            <w:r>
              <w:rPr>
                <w:rFonts w:hint="eastAsia" w:ascii="宋体" w:hAnsi="宋体" w:cs="宋体"/>
                <w:b w:val="0"/>
                <w:bCs w:val="0"/>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highlight w:val="none"/>
                <w14:textFill>
                  <w14:solidFill>
                    <w14:schemeClr w14:val="tx1"/>
                  </w14:solidFill>
                </w14:textFill>
              </w:rPr>
              <w:t>年</w:t>
            </w:r>
            <w:r>
              <w:rPr>
                <w:rFonts w:hint="eastAsia" w:ascii="宋体" w:hAnsi="宋体" w:cs="宋体"/>
                <w:b w:val="0"/>
                <w:bCs w:val="0"/>
                <w:color w:val="000000" w:themeColor="text1"/>
                <w:sz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月</w:t>
            </w:r>
            <w:r>
              <w:rPr>
                <w:rFonts w:hint="eastAsia" w:ascii="宋体" w:hAnsi="宋体" w:eastAsia="宋体" w:cs="宋体"/>
                <w:b w:val="0"/>
                <w:bCs w:val="0"/>
                <w:color w:val="000000" w:themeColor="text1"/>
                <w:sz w:val="24"/>
                <w:highlight w:val="none"/>
                <w14:textFill>
                  <w14:solidFill>
                    <w14:schemeClr w14:val="tx1"/>
                  </w14:solidFill>
                </w14:textFill>
              </w:rPr>
              <w:t>至今类似项目</w:t>
            </w:r>
            <w:r>
              <w:rPr>
                <w:rFonts w:hint="eastAsia" w:ascii="宋体" w:hAnsi="宋体" w:cs="宋体"/>
                <w:b w:val="0"/>
                <w:bCs w:val="0"/>
                <w:color w:val="000000" w:themeColor="text1"/>
                <w:sz w:val="24"/>
                <w:highlight w:val="none"/>
                <w:lang w:val="en-US" w:eastAsia="zh-CN"/>
                <w14:textFill>
                  <w14:solidFill>
                    <w14:schemeClr w14:val="tx1"/>
                  </w14:solidFill>
                </w14:textFill>
              </w:rPr>
              <w:t>业绩</w:t>
            </w:r>
            <w:r>
              <w:rPr>
                <w:rFonts w:hint="eastAsia" w:ascii="宋体" w:hAnsi="宋体" w:eastAsia="宋体" w:cs="宋体"/>
                <w:b w:val="0"/>
                <w:bCs w:val="0"/>
                <w:color w:val="000000" w:themeColor="text1"/>
                <w:sz w:val="24"/>
                <w:highlight w:val="none"/>
                <w14:textFill>
                  <w14:solidFill>
                    <w14:schemeClr w14:val="tx1"/>
                  </w14:solidFill>
                </w14:textFill>
              </w:rPr>
              <w:t>合同，每提供1份得</w:t>
            </w:r>
            <w:r>
              <w:rPr>
                <w:rFonts w:hint="eastAsia" w:ascii="宋体" w:hAnsi="宋体" w:cs="宋体"/>
                <w:b w:val="0"/>
                <w:bCs w:val="0"/>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highlight w:val="none"/>
                <w14:textFill>
                  <w14:solidFill>
                    <w14:schemeClr w14:val="tx1"/>
                  </w14:solidFill>
                </w14:textFill>
              </w:rPr>
              <w:t>分，最高得</w:t>
            </w:r>
            <w:r>
              <w:rPr>
                <w:rFonts w:hint="eastAsia" w:ascii="宋体" w:hAnsi="宋体" w:cs="宋体"/>
                <w:b w:val="0"/>
                <w:bCs w:val="0"/>
                <w:color w:val="000000" w:themeColor="text1"/>
                <w:sz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highlight w:val="none"/>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时间</w:t>
            </w:r>
            <w:r>
              <w:rPr>
                <w:rFonts w:hint="eastAsia" w:ascii="宋体" w:hAnsi="宋体" w:cs="宋体"/>
                <w:color w:val="000000" w:themeColor="text1"/>
                <w:sz w:val="24"/>
                <w:szCs w:val="24"/>
                <w14:textFill>
                  <w14:solidFill>
                    <w14:schemeClr w14:val="tx1"/>
                  </w14:solidFill>
                </w14:textFill>
              </w:rPr>
              <w:t>以合同</w:t>
            </w:r>
            <w:r>
              <w:rPr>
                <w:rFonts w:hint="eastAsia" w:ascii="宋体" w:hAnsi="宋体" w:cs="宋体"/>
                <w:color w:val="000000" w:themeColor="text1"/>
                <w:sz w:val="24"/>
                <w:szCs w:val="24"/>
                <w:lang w:val="en-US" w:eastAsia="zh-CN"/>
                <w14:textFill>
                  <w14:solidFill>
                    <w14:schemeClr w14:val="tx1"/>
                  </w14:solidFill>
                </w14:textFill>
              </w:rPr>
              <w:t>签订时间</w:t>
            </w:r>
            <w:r>
              <w:rPr>
                <w:rFonts w:hint="eastAsia" w:ascii="宋体" w:hAnsi="宋体" w:cs="宋体"/>
                <w:color w:val="000000" w:themeColor="text1"/>
                <w:sz w:val="24"/>
                <w:szCs w:val="24"/>
                <w14:textFill>
                  <w14:solidFill>
                    <w14:schemeClr w14:val="tx1"/>
                  </w14:solidFill>
                </w14:textFill>
              </w:rPr>
              <w:t>为准，</w:t>
            </w:r>
            <w:r>
              <w:rPr>
                <w:rFonts w:hint="eastAsia" w:ascii="宋体" w:hAnsi="宋体" w:cs="宋体"/>
                <w:color w:val="000000" w:themeColor="text1"/>
                <w:sz w:val="24"/>
                <w:szCs w:val="24"/>
                <w:lang w:val="en-US" w:eastAsia="zh-CN"/>
                <w14:textFill>
                  <w14:solidFill>
                    <w14:schemeClr w14:val="tx1"/>
                  </w14:solidFill>
                </w14:textFill>
              </w:rPr>
              <w:t>所附</w:t>
            </w:r>
            <w:r>
              <w:rPr>
                <w:rFonts w:hint="eastAsia" w:ascii="宋体" w:hAnsi="宋体" w:eastAsia="宋体" w:cs="宋体"/>
                <w:color w:val="000000" w:themeColor="text1"/>
                <w:sz w:val="24"/>
                <w:szCs w:val="24"/>
                <w:u w:val="none"/>
                <w:lang w:val="en-US" w:eastAsia="zh-CN"/>
                <w14:textFill>
                  <w14:solidFill>
                    <w14:schemeClr w14:val="tx1"/>
                  </w14:solidFill>
                </w14:textFill>
              </w:rPr>
              <w:t>合同所有内容应清晰可辨，否则不予认可</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。未提供不得分。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E5684F">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6分</w:t>
            </w:r>
          </w:p>
        </w:tc>
      </w:tr>
    </w:tbl>
    <w:p w14:paraId="0941B878">
      <w:pPr>
        <w:pStyle w:val="28"/>
        <w:rPr>
          <w:color w:val="auto"/>
        </w:rPr>
      </w:pPr>
    </w:p>
    <w:tbl>
      <w:tblPr>
        <w:tblStyle w:val="42"/>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CBD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208AF3C7">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2"/>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635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67C37C32">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color w:val="auto"/>
                <w:sz w:val="24"/>
                <w:szCs w:val="24"/>
              </w:rPr>
              <w:t xml:space="preserve"> </w:t>
            </w:r>
          </w:p>
        </w:tc>
      </w:tr>
    </w:tbl>
    <w:tbl>
      <w:tblPr>
        <w:tblStyle w:val="42"/>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585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4841FC61">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r w14:paraId="559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BEFE69A">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2"/>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980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36" w:type="dxa"/>
          </w:tcPr>
          <w:p w14:paraId="0719A710">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c>
          <w:tcPr>
            <w:tcW w:w="236" w:type="dxa"/>
          </w:tcPr>
          <w:p w14:paraId="3547355C">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p w14:paraId="7FCCD0D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备注：</w:t>
      </w:r>
    </w:p>
    <w:p w14:paraId="506AED77">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s="宋体"/>
          <w:color w:val="auto"/>
          <w:sz w:val="24"/>
          <w:szCs w:val="24"/>
        </w:rPr>
        <w:t>1</w:t>
      </w:r>
      <w:r>
        <w:rPr>
          <w:rFonts w:hint="eastAsia" w:ascii="宋体" w:hAnsi="宋体"/>
          <w:color w:val="auto"/>
          <w:sz w:val="24"/>
          <w:szCs w:val="24"/>
          <w:lang w:eastAsia="zh-CN"/>
        </w:rPr>
        <w:t>）</w:t>
      </w:r>
      <w:r>
        <w:rPr>
          <w:rFonts w:hint="eastAsia" w:ascii="宋体" w:hAnsi="宋体" w:cs="宋体"/>
          <w:color w:val="auto"/>
          <w:sz w:val="24"/>
          <w:szCs w:val="24"/>
        </w:rPr>
        <w:t xml:space="preserve"> 以上各项打分均由评标委员会独立评分，评分相邻两档之间的得分</w:t>
      </w:r>
      <w:r>
        <w:rPr>
          <w:rFonts w:hint="eastAsia" w:ascii="宋体" w:hAnsi="宋体"/>
          <w:color w:val="auto"/>
          <w:sz w:val="24"/>
          <w:szCs w:val="24"/>
        </w:rPr>
        <w:t>，归属于较低一档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730C147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ascii="宋体" w:hAnsi="宋体"/>
          <w:color w:val="auto"/>
          <w:sz w:val="24"/>
          <w:szCs w:val="24"/>
        </w:rPr>
        <w:t xml:space="preserve"> 评标委员会认为投标人的报价明显低于其他通过符合性审查投标人的报价，有可能影响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6A2B0AD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按投标报价由低到高顺序排列。得分且投标报价相同的并列。投标文件满足招标文件全部实质性要求，且按照评审因素的量化指标评审得分最高的投标人为排名第一的中标候选人。</w:t>
      </w:r>
    </w:p>
    <w:p w14:paraId="72BBD39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70AE6F78">
      <w:pPr>
        <w:pStyle w:val="18"/>
        <w:pageBreakBefore w:val="0"/>
        <w:widowControl w:val="0"/>
        <w:kinsoku/>
        <w:wordWrap/>
        <w:overflowPunct/>
        <w:topLinePunct w:val="0"/>
        <w:bidi w:val="0"/>
        <w:spacing w:line="440" w:lineRule="exact"/>
        <w:ind w:firstLine="480" w:firstLineChars="200"/>
        <w:textAlignment w:val="auto"/>
        <w:rPr>
          <w:rFonts w:asciiTheme="minorEastAsia" w:hAnsiTheme="minorEastAsia" w:eastAsiaTheme="minorEastAsia"/>
          <w:bCs/>
          <w:color w:val="auto"/>
          <w:kern w:val="2"/>
          <w:sz w:val="24"/>
          <w:szCs w:val="24"/>
          <w:lang w:val="en-US" w:bidi="ar-SA"/>
        </w:rPr>
      </w:pPr>
      <w:r>
        <w:rPr>
          <w:rFonts w:hint="eastAsia"/>
          <w:color w:val="auto"/>
          <w:sz w:val="24"/>
          <w:szCs w:val="24"/>
          <w:lang w:val="en-US" w:eastAsia="zh-CN"/>
        </w:rPr>
        <w:t>5</w:t>
      </w:r>
      <w:r>
        <w:rPr>
          <w:rFonts w:hint="eastAsia"/>
          <w:color w:val="000000" w:themeColor="text1"/>
          <w:sz w:val="24"/>
          <w:szCs w:val="24"/>
          <w:lang w:val="en-US" w:eastAsia="zh-CN"/>
          <w14:textFill>
            <w14:solidFill>
              <w14:schemeClr w14:val="tx1"/>
            </w14:solidFill>
          </w14:textFill>
        </w:rPr>
        <w:t>）</w:t>
      </w:r>
      <w:r>
        <w:rPr>
          <w:rFonts w:hint="eastAsia" w:ascii="宋体" w:hAnsi="宋体" w:eastAsia="宋体" w:cs="Times New Roman"/>
          <w:bCs/>
          <w:color w:val="000000" w:themeColor="text1"/>
          <w:kern w:val="2"/>
          <w:sz w:val="24"/>
          <w:szCs w:val="24"/>
          <w:lang w:val="en-US" w:eastAsia="zh-CN" w:bidi="ar"/>
          <w14:textFill>
            <w14:solidFill>
              <w14:schemeClr w14:val="tx1"/>
            </w14:solidFill>
          </w14:textFill>
        </w:rPr>
        <w:t>针对核心产品投标人提供相同品牌产品且通</w:t>
      </w:r>
      <w:r>
        <w:rPr>
          <w:rFonts w:hint="eastAsia" w:ascii="宋体" w:hAnsi="宋体" w:eastAsia="宋体" w:cs="Times New Roman"/>
          <w:bCs/>
          <w:kern w:val="2"/>
          <w:sz w:val="24"/>
          <w:szCs w:val="24"/>
          <w:lang w:val="en-US" w:eastAsia="zh-CN" w:bidi="ar"/>
        </w:rPr>
        <w:t>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56E1F47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评审时，投标人符合投标人须知33条采购政策的按照采购政策执行。</w:t>
      </w:r>
    </w:p>
    <w:p w14:paraId="2255FE5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0C59FA62">
      <w:pPr>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olor w:val="auto"/>
          <w:sz w:val="24"/>
          <w:szCs w:val="24"/>
        </w:rPr>
      </w:pPr>
      <w:bookmarkStart w:id="68" w:name="_Toc409689064"/>
      <w:bookmarkStart w:id="69" w:name="_Toc358364336"/>
      <w:bookmarkStart w:id="70" w:name="_Toc380336742"/>
      <w:r>
        <w:rPr>
          <w:rFonts w:ascii="宋体" w:hAnsi="宋体"/>
          <w:b/>
          <w:color w:val="auto"/>
          <w:sz w:val="24"/>
          <w:szCs w:val="24"/>
        </w:rPr>
        <w:t>2</w:t>
      </w:r>
      <w:r>
        <w:rPr>
          <w:rFonts w:hint="eastAsia" w:ascii="宋体" w:hAnsi="宋体"/>
          <w:b/>
          <w:color w:val="auto"/>
          <w:sz w:val="24"/>
          <w:szCs w:val="24"/>
          <w:lang w:eastAsia="zh-CN"/>
        </w:rPr>
        <w:t>9.</w:t>
      </w:r>
      <w:r>
        <w:rPr>
          <w:rFonts w:hint="eastAsia" w:ascii="宋体" w:hAnsi="宋体"/>
          <w:b/>
          <w:color w:val="auto"/>
          <w:sz w:val="24"/>
          <w:szCs w:val="24"/>
        </w:rPr>
        <w:t>定标</w:t>
      </w:r>
    </w:p>
    <w:p w14:paraId="2C9A7BDD">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6CA1E6D5">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1FDC0283">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rPr>
        <w:t>。</w:t>
      </w:r>
    </w:p>
    <w:p w14:paraId="732EE5B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29.4</w:t>
      </w:r>
      <w:r>
        <w:rPr>
          <w:rFonts w:hint="eastAsia" w:ascii="宋体" w:hAnsi="宋体"/>
          <w:color w:val="auto"/>
          <w:sz w:val="24"/>
          <w:szCs w:val="24"/>
        </w:rPr>
        <w:t>采购代理机构向中标供应商发出《中标通知书》。</w:t>
      </w:r>
    </w:p>
    <w:p w14:paraId="64A3DAAA">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71" w:name="_Toc247085733"/>
      <w:bookmarkStart w:id="72" w:name="_Toc179632593"/>
      <w:bookmarkStart w:id="73" w:name="_Toc152045575"/>
      <w:bookmarkStart w:id="74" w:name="_Toc246996219"/>
      <w:bookmarkStart w:id="75" w:name="_Toc296590983"/>
      <w:bookmarkStart w:id="76" w:name="_Toc144974543"/>
      <w:bookmarkStart w:id="77" w:name="_Toc152042351"/>
      <w:bookmarkStart w:id="78" w:name="_Toc246996962"/>
      <w:bookmarkStart w:id="79" w:name="_Toc296602462"/>
      <w:bookmarkStart w:id="80"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265A526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成交后，成交供应商在收到成交通知书后</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764E22D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0E5C72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41BF1F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504F461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1A26EDD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160C8378">
      <w:pPr>
        <w:pStyle w:val="3"/>
        <w:pageBreakBefore w:val="0"/>
        <w:widowControl w:val="0"/>
        <w:kinsoku/>
        <w:wordWrap/>
        <w:overflowPunct/>
        <w:topLinePunct w:val="0"/>
        <w:bidi w:val="0"/>
        <w:spacing w:before="0" w:after="0" w:line="440" w:lineRule="exact"/>
        <w:jc w:val="center"/>
        <w:textAlignment w:val="auto"/>
        <w:rPr>
          <w:color w:val="auto"/>
        </w:rPr>
      </w:pPr>
      <w:bookmarkStart w:id="81" w:name="_Toc23258610"/>
      <w:bookmarkStart w:id="82" w:name="_Toc26541327"/>
      <w:r>
        <w:rPr>
          <w:rFonts w:hint="eastAsia"/>
          <w:color w:val="auto"/>
        </w:rPr>
        <w:t>六、代理服务费</w:t>
      </w:r>
      <w:bookmarkEnd w:id="81"/>
      <w:bookmarkEnd w:id="82"/>
    </w:p>
    <w:bookmarkEnd w:id="71"/>
    <w:bookmarkEnd w:id="72"/>
    <w:bookmarkEnd w:id="73"/>
    <w:bookmarkEnd w:id="74"/>
    <w:bookmarkEnd w:id="75"/>
    <w:bookmarkEnd w:id="76"/>
    <w:bookmarkEnd w:id="77"/>
    <w:bookmarkEnd w:id="78"/>
    <w:bookmarkEnd w:id="79"/>
    <w:p w14:paraId="38D3A792">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83" w:name="_Toc144974546"/>
      <w:r>
        <w:rPr>
          <w:rFonts w:ascii="宋体" w:hAnsi="宋体"/>
          <w:b/>
          <w:color w:val="auto"/>
          <w:sz w:val="24"/>
          <w:szCs w:val="24"/>
        </w:rPr>
        <w:t>3</w:t>
      </w:r>
      <w:r>
        <w:rPr>
          <w:rFonts w:hint="eastAsia" w:ascii="宋体" w:hAnsi="宋体"/>
          <w:b/>
          <w:color w:val="auto"/>
          <w:sz w:val="24"/>
          <w:szCs w:val="24"/>
          <w:lang w:eastAsia="zh-CN"/>
        </w:rPr>
        <w:t>1.</w:t>
      </w:r>
      <w:r>
        <w:rPr>
          <w:rFonts w:hint="eastAsia" w:ascii="宋体" w:hAnsi="宋体"/>
          <w:b/>
          <w:color w:val="auto"/>
          <w:sz w:val="24"/>
          <w:szCs w:val="24"/>
        </w:rPr>
        <w:t>代理服务费</w:t>
      </w:r>
    </w:p>
    <w:bookmarkEnd w:id="83"/>
    <w:p w14:paraId="35CEF50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eastAsia="zh-CN"/>
        </w:rPr>
      </w:pPr>
      <w:bookmarkStart w:id="84" w:name="_Toc23258611"/>
      <w:bookmarkStart w:id="85" w:name="_Toc26541328"/>
      <w:r>
        <w:rPr>
          <w:rFonts w:hint="eastAsia" w:ascii="宋体" w:hAnsi="宋体" w:eastAsia="宋体" w:cs="Times New Roman"/>
          <w:color w:val="auto"/>
          <w:sz w:val="24"/>
          <w:szCs w:val="24"/>
          <w:lang w:val="en-US" w:eastAsia="zh-CN"/>
        </w:rPr>
        <w:t>1.代理服务费参照国家计委关于印发《招标代理服务收费管理暂行办法》的通知（计价格[2002]1980号）和《国家发展改革委办公厅关于招标代理服务收费有关问题的通知》（发改办价格[2003]857号）规定标准计取。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eastAsia="宋体" w:cs="Times New Roman"/>
          <w:color w:val="auto"/>
          <w:sz w:val="24"/>
          <w:szCs w:val="24"/>
        </w:rPr>
        <w:t xml:space="preserve">采购代理机构开户名称：安康尚昊招标代理有限公司  开户行名称：中国建设银行股份有限公司安康分行营业部  </w:t>
      </w:r>
      <w:r>
        <w:rPr>
          <w:rFonts w:hint="eastAsia" w:ascii="宋体" w:hAnsi="宋体" w:cs="Times New Roman"/>
          <w:color w:val="auto"/>
          <w:sz w:val="24"/>
          <w:szCs w:val="24"/>
          <w:lang w:eastAsia="zh-CN"/>
        </w:rPr>
        <w:t>账</w:t>
      </w:r>
      <w:r>
        <w:rPr>
          <w:rFonts w:hint="eastAsia" w:ascii="宋体" w:hAnsi="宋体" w:eastAsia="宋体" w:cs="Times New Roman"/>
          <w:color w:val="auto"/>
          <w:sz w:val="24"/>
          <w:szCs w:val="24"/>
        </w:rPr>
        <w:t xml:space="preserve">      号：61050166371100000492</w:t>
      </w:r>
      <w:r>
        <w:rPr>
          <w:rFonts w:hint="eastAsia" w:ascii="宋体" w:hAnsi="宋体" w:eastAsia="宋体" w:cs="Times New Roman"/>
          <w:color w:val="auto"/>
          <w:sz w:val="24"/>
          <w:szCs w:val="24"/>
          <w:lang w:eastAsia="zh-CN"/>
        </w:rPr>
        <w:t>。</w:t>
      </w:r>
    </w:p>
    <w:p w14:paraId="6726BA1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在领取成交通知书前，须向采购代理机构一次性支付招标代理服务费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5DA004B3">
      <w:pPr>
        <w:pageBreakBefore w:val="0"/>
        <w:widowControl w:val="0"/>
        <w:kinsoku/>
        <w:wordWrap/>
        <w:overflowPunct/>
        <w:topLinePunct w:val="0"/>
        <w:bidi w:val="0"/>
        <w:adjustRightInd w:val="0"/>
        <w:snapToGrid w:val="0"/>
        <w:spacing w:line="440" w:lineRule="exact"/>
        <w:jc w:val="center"/>
        <w:textAlignment w:val="auto"/>
        <w:rPr>
          <w:rFonts w:hint="eastAsia" w:ascii="Calibri Light" w:hAnsi="Calibri Light" w:eastAsia="宋体" w:cs="Times New Roman"/>
          <w:b/>
          <w:bCs/>
          <w:color w:val="auto"/>
          <w:kern w:val="2"/>
          <w:sz w:val="32"/>
          <w:szCs w:val="32"/>
          <w:lang w:val="en-US" w:eastAsia="zh-CN" w:bidi="ar-SA"/>
        </w:rPr>
      </w:pPr>
      <w:r>
        <w:rPr>
          <w:rFonts w:hint="eastAsia" w:ascii="Calibri Light" w:hAnsi="Calibri Light" w:eastAsia="宋体" w:cs="Times New Roman"/>
          <w:b/>
          <w:bCs/>
          <w:color w:val="auto"/>
          <w:kern w:val="2"/>
          <w:sz w:val="32"/>
          <w:szCs w:val="32"/>
          <w:lang w:val="en-US" w:eastAsia="zh-CN" w:bidi="ar-SA"/>
        </w:rPr>
        <w:t>七、质疑、投诉</w:t>
      </w:r>
      <w:bookmarkEnd w:id="84"/>
      <w:bookmarkEnd w:id="85"/>
    </w:p>
    <w:p w14:paraId="7E17D9FB">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w:t>
      </w:r>
      <w:r>
        <w:rPr>
          <w:rFonts w:hint="eastAsia" w:ascii="宋体" w:hAnsi="宋体"/>
          <w:b/>
          <w:snapToGrid w:val="0"/>
          <w:color w:val="auto"/>
          <w:sz w:val="24"/>
          <w:szCs w:val="24"/>
          <w:lang w:eastAsia="zh-CN"/>
        </w:rPr>
        <w:t>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1A5AC63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5E6AD4F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6A8B7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(一)对可以质疑的采购文件提出质疑的，为收到采购文件之日或者采购文件公告期限届满之日</w:t>
      </w:r>
      <w:r>
        <w:rPr>
          <w:rFonts w:hint="eastAsia" w:ascii="宋体" w:hAnsi="宋体"/>
          <w:color w:val="auto"/>
          <w:sz w:val="24"/>
          <w:szCs w:val="24"/>
          <w:lang w:eastAsia="zh-CN"/>
        </w:rPr>
        <w:t>；</w:t>
      </w:r>
    </w:p>
    <w:p w14:paraId="36A77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(二)对采购过程提出质疑的，为各采购程序环节结束之日</w:t>
      </w:r>
      <w:r>
        <w:rPr>
          <w:rFonts w:hint="eastAsia" w:ascii="宋体" w:hAnsi="宋体"/>
          <w:color w:val="auto"/>
          <w:sz w:val="24"/>
          <w:szCs w:val="24"/>
          <w:lang w:eastAsia="zh-CN"/>
        </w:rPr>
        <w:t>；</w:t>
      </w:r>
    </w:p>
    <w:p w14:paraId="041535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(三)对中标或者成交结果提出质疑的，为中标或者成交结果公告期限届满之日。</w:t>
      </w:r>
    </w:p>
    <w:p w14:paraId="1AAC15F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3570A5C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17CDC7D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5DD00A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（2）质疑项目的名称、编号；</w:t>
      </w:r>
    </w:p>
    <w:p w14:paraId="5A2104E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（3）具体、明确的质疑事项和与质疑事项相关的请求；</w:t>
      </w:r>
    </w:p>
    <w:p w14:paraId="376465D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（4）事实依据；</w:t>
      </w:r>
    </w:p>
    <w:p w14:paraId="506B3BC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（5）必要的法律依据；</w:t>
      </w:r>
    </w:p>
    <w:p w14:paraId="1BD66B1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（6）提出质疑的日期。</w:t>
      </w:r>
    </w:p>
    <w:p w14:paraId="3E9E1B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69F8A1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9993A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24E704B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32.7</w:t>
      </w:r>
      <w:r>
        <w:rPr>
          <w:rFonts w:hint="eastAsia" w:ascii="宋体" w:hAnsi="宋体"/>
          <w:color w:val="auto"/>
          <w:sz w:val="24"/>
          <w:szCs w:val="24"/>
        </w:rPr>
        <w:t>质疑受理部门：安康尚昊招标代理有限公司</w:t>
      </w:r>
    </w:p>
    <w:p w14:paraId="6839D71A">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 xml:space="preserve">   质疑受理电话：</w:t>
      </w:r>
      <w:r>
        <w:rPr>
          <w:rFonts w:hint="eastAsia" w:ascii="宋体" w:hAnsi="宋体"/>
          <w:color w:val="auto"/>
          <w:sz w:val="24"/>
          <w:szCs w:val="24"/>
          <w:lang w:eastAsia="zh-CN"/>
        </w:rPr>
        <w:t>13991519725</w:t>
      </w:r>
    </w:p>
    <w:p w14:paraId="22A2A687">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color w:val="auto"/>
          <w:sz w:val="24"/>
          <w:szCs w:val="24"/>
          <w:lang w:eastAsia="zh-CN"/>
        </w:rPr>
        <w:t>安康市高新区高新观澜8栋</w:t>
      </w:r>
      <w:r>
        <w:rPr>
          <w:rFonts w:hint="eastAsia" w:ascii="宋体" w:hAnsi="宋体"/>
          <w:color w:val="auto"/>
          <w:sz w:val="24"/>
          <w:szCs w:val="24"/>
          <w:lang w:val="en-US" w:eastAsia="zh-CN"/>
        </w:rPr>
        <w:t>2</w:t>
      </w:r>
      <w:r>
        <w:rPr>
          <w:rFonts w:hint="eastAsia" w:ascii="宋体" w:hAnsi="宋体"/>
          <w:color w:val="auto"/>
          <w:sz w:val="24"/>
          <w:szCs w:val="24"/>
          <w:lang w:eastAsia="zh-CN"/>
        </w:rPr>
        <w:t>单元801室</w:t>
      </w:r>
    </w:p>
    <w:p w14:paraId="32B0E30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7AA75C9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38EF376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4639BB3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32.11</w:t>
      </w:r>
      <w:r>
        <w:rPr>
          <w:rFonts w:hint="eastAsia" w:ascii="宋体" w:hAnsi="宋体"/>
          <w:color w:val="auto"/>
          <w:sz w:val="24"/>
          <w:szCs w:val="24"/>
        </w:rPr>
        <w:t xml:space="preserve"> 质疑函应当使用中文。</w:t>
      </w:r>
    </w:p>
    <w:p w14:paraId="4DC0212E">
      <w:pPr>
        <w:pStyle w:val="3"/>
        <w:pageBreakBefore w:val="0"/>
        <w:widowControl w:val="0"/>
        <w:kinsoku/>
        <w:wordWrap/>
        <w:overflowPunct/>
        <w:topLinePunct w:val="0"/>
        <w:bidi w:val="0"/>
        <w:spacing w:before="0" w:after="0" w:line="440" w:lineRule="exact"/>
        <w:jc w:val="center"/>
        <w:textAlignment w:val="auto"/>
        <w:rPr>
          <w:color w:val="auto"/>
        </w:rPr>
      </w:pPr>
      <w:bookmarkStart w:id="86" w:name="_Toc23258612"/>
      <w:bookmarkStart w:id="87" w:name="_Toc26541329"/>
      <w:r>
        <w:rPr>
          <w:rFonts w:hint="eastAsia"/>
          <w:color w:val="auto"/>
        </w:rPr>
        <w:t>八、采购政策</w:t>
      </w:r>
      <w:bookmarkEnd w:id="86"/>
      <w:bookmarkEnd w:id="87"/>
    </w:p>
    <w:p w14:paraId="391BF956">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p w14:paraId="2D0C8AE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AC1A82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1C12E1B4">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79B776C6">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315DA608">
      <w:pPr>
        <w:pageBreakBefore w:val="0"/>
        <w:widowControl w:val="0"/>
        <w:kinsoku/>
        <w:wordWrap/>
        <w:overflowPunct/>
        <w:topLinePunct w:val="0"/>
        <w:bidi w:val="0"/>
        <w:spacing w:line="44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4DFF6DE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33A22A0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5E864E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2450B5A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w:t>
      </w:r>
      <w:r>
        <w:rPr>
          <w:rFonts w:hint="eastAsia" w:ascii="宋体" w:hAnsi="宋体"/>
          <w:color w:val="auto"/>
          <w:sz w:val="24"/>
          <w:szCs w:val="24"/>
          <w:lang w:eastAsia="zh-CN"/>
        </w:rPr>
        <w:t>〔2006〕90号</w:t>
      </w:r>
      <w:r>
        <w:rPr>
          <w:rFonts w:hint="eastAsia" w:ascii="宋体" w:hAnsi="宋体"/>
          <w:color w:val="auto"/>
          <w:sz w:val="24"/>
          <w:szCs w:val="24"/>
        </w:rPr>
        <w:t>）的规定，以中国政府采购网（http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32C52E16">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032D1F1B">
      <w:pPr>
        <w:pageBreakBefore w:val="0"/>
        <w:widowControl w:val="0"/>
        <w:kinsoku/>
        <w:wordWrap/>
        <w:overflowPunct/>
        <w:topLinePunct w:val="0"/>
        <w:bidi w:val="0"/>
        <w:spacing w:line="440" w:lineRule="exact"/>
        <w:ind w:firstLine="480" w:firstLineChars="200"/>
        <w:textAlignment w:val="auto"/>
        <w:rPr>
          <w:rFonts w:ascii="Calibri" w:hAnsi="Calibri"/>
          <w:color w:val="auto"/>
        </w:rPr>
      </w:pPr>
      <w:r>
        <w:rPr>
          <w:rFonts w:hint="eastAsia" w:ascii="宋体" w:hAnsi="宋体"/>
          <w:color w:val="auto"/>
          <w:sz w:val="24"/>
          <w:szCs w:val="24"/>
        </w:rPr>
        <w:t>（4）</w:t>
      </w:r>
      <w:r>
        <w:rPr>
          <w:rFonts w:ascii="宋体" w:hAnsi="宋体"/>
          <w:color w:val="auto"/>
          <w:sz w:val="24"/>
          <w:szCs w:val="24"/>
        </w:rPr>
        <w:t>关于信用记录的查询和使用</w:t>
      </w:r>
    </w:p>
    <w:p w14:paraId="23FDC2C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color w:val="auto"/>
        </w:rPr>
        <w:fldChar w:fldCharType="begin"/>
      </w:r>
      <w:r>
        <w:rPr>
          <w:color w:val="auto"/>
        </w:rPr>
        <w:instrText xml:space="preserve"> HYPERLINK "http://www.ccgp.gov.cn/cr/list" </w:instrText>
      </w:r>
      <w:r>
        <w:rPr>
          <w:rFonts w:hint="eastAsia"/>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s="宋体"/>
          <w:color w:val="auto"/>
          <w:sz w:val="24"/>
          <w:szCs w:val="24"/>
          <w:lang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1F6F9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41991A6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3.</w:t>
      </w:r>
      <w:r>
        <w:rPr>
          <w:rFonts w:ascii="宋体" w:hAnsi="宋体"/>
          <w:color w:val="auto"/>
          <w:sz w:val="24"/>
          <w:szCs w:val="24"/>
        </w:rPr>
        <w:t>信用记录查询的截止时点为“</w:t>
      </w:r>
      <w:r>
        <w:rPr>
          <w:rFonts w:hint="eastAsia" w:ascii="宋体" w:hAnsi="宋体"/>
          <w:color w:val="auto"/>
          <w:sz w:val="24"/>
          <w:szCs w:val="24"/>
        </w:rPr>
        <w:t>招标文件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w:t>
      </w:r>
      <w:bookmarkEnd w:id="68"/>
      <w:bookmarkEnd w:id="69"/>
      <w:bookmarkEnd w:id="70"/>
      <w:bookmarkEnd w:id="80"/>
    </w:p>
    <w:p w14:paraId="1AB204C9">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rPr>
      </w:pPr>
      <w:bookmarkStart w:id="88" w:name="_Toc26541330"/>
      <w:bookmarkStart w:id="89" w:name="_Toc23258613"/>
      <w:r>
        <w:rPr>
          <w:rFonts w:hint="eastAsia" w:ascii="宋体" w:hAnsi="宋体" w:eastAsia="宋体" w:cs="Times New Roman"/>
          <w:color w:val="auto"/>
          <w:sz w:val="24"/>
          <w:szCs w:val="24"/>
        </w:rPr>
        <w:t>(5)融资政策</w:t>
      </w:r>
    </w:p>
    <w:p w14:paraId="33C42D2B">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http</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//www.ccgp-shaanxi.gov.cn/zcdservice/zcd/shanxi/s</w:t>
      </w:r>
      <w:r>
        <w:rPr>
          <w:rFonts w:hint="eastAsia" w:ascii="宋体" w:hAnsi="宋体" w:eastAsia="宋体" w:cs="Times New Roman"/>
          <w:color w:val="auto"/>
          <w:sz w:val="24"/>
          <w:szCs w:val="24"/>
          <w:lang w:eastAsia="zh-CN"/>
        </w:rPr>
        <w:t>。</w:t>
      </w:r>
    </w:p>
    <w:p w14:paraId="7E95D8D1">
      <w:pPr>
        <w:pStyle w:val="3"/>
        <w:pageBreakBefore w:val="0"/>
        <w:widowControl w:val="0"/>
        <w:kinsoku/>
        <w:wordWrap/>
        <w:overflowPunct/>
        <w:topLinePunct w:val="0"/>
        <w:bidi w:val="0"/>
        <w:spacing w:before="0" w:after="0" w:line="440" w:lineRule="exact"/>
        <w:jc w:val="center"/>
        <w:textAlignment w:val="auto"/>
        <w:rPr>
          <w:color w:val="auto"/>
        </w:rPr>
      </w:pPr>
      <w:r>
        <w:rPr>
          <w:rFonts w:hint="eastAsia"/>
          <w:color w:val="auto"/>
        </w:rPr>
        <w:t>九</w:t>
      </w:r>
      <w:r>
        <w:rPr>
          <w:color w:val="auto"/>
        </w:rPr>
        <w:t>、</w:t>
      </w:r>
      <w:r>
        <w:rPr>
          <w:rFonts w:hint="eastAsia"/>
          <w:color w:val="auto"/>
        </w:rPr>
        <w:t>其它事项</w:t>
      </w:r>
      <w:bookmarkEnd w:id="88"/>
      <w:bookmarkEnd w:id="89"/>
    </w:p>
    <w:p w14:paraId="119BCD3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eastAsia="zh-CN"/>
        </w:rPr>
        <w:t>4.</w:t>
      </w:r>
      <w:r>
        <w:rPr>
          <w:rFonts w:hint="eastAsia" w:ascii="宋体" w:hAnsi="宋体"/>
          <w:b/>
          <w:color w:val="auto"/>
          <w:sz w:val="24"/>
          <w:szCs w:val="24"/>
        </w:rPr>
        <w:t>其它事项</w:t>
      </w:r>
    </w:p>
    <w:p w14:paraId="73A5B6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386832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68628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6C661C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667EB2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bookmarkStart w:id="90" w:name="_Toc53"/>
      <w:bookmarkStart w:id="91" w:name="_Toc23258614"/>
      <w:bookmarkStart w:id="92" w:name="_Toc26541331"/>
      <w:bookmarkStart w:id="93" w:name="_Toc484198838"/>
    </w:p>
    <w:p w14:paraId="5C0AB804">
      <w:pPr>
        <w:pStyle w:val="2"/>
        <w:keepNext/>
        <w:keepLines/>
        <w:pageBreakBefore w:val="0"/>
        <w:widowControl w:val="0"/>
        <w:numPr>
          <w:ilvl w:val="0"/>
          <w:numId w:val="6"/>
        </w:numPr>
        <w:tabs>
          <w:tab w:val="left" w:pos="305"/>
          <w:tab w:val="center" w:pos="4598"/>
        </w:tabs>
        <w:kinsoku/>
        <w:wordWrap/>
        <w:overflowPunct/>
        <w:topLinePunct w:val="0"/>
        <w:autoSpaceDE/>
        <w:autoSpaceDN/>
        <w:bidi w:val="0"/>
        <w:adjustRightInd/>
        <w:snapToGrid/>
        <w:spacing w:before="240" w:after="240" w:line="240" w:lineRule="auto"/>
        <w:jc w:val="center"/>
        <w:textAlignment w:val="auto"/>
        <w:rPr>
          <w:rFonts w:ascii="宋体" w:hAnsi="宋体"/>
          <w:color w:val="auto"/>
        </w:rPr>
      </w:pPr>
      <w:bookmarkStart w:id="94" w:name="_Toc14426"/>
      <w:r>
        <w:rPr>
          <w:rFonts w:hint="eastAsia" w:ascii="宋体" w:hAnsi="宋体"/>
          <w:color w:val="auto"/>
        </w:rPr>
        <w:t>采购内容</w:t>
      </w:r>
      <w:r>
        <w:rPr>
          <w:rFonts w:hint="eastAsia" w:ascii="宋体" w:hAnsi="宋体"/>
          <w:color w:val="auto"/>
          <w:lang w:val="en-US" w:eastAsia="zh-CN"/>
        </w:rPr>
        <w:t>及要求</w:t>
      </w:r>
      <w:bookmarkEnd w:id="94"/>
    </w:p>
    <w:bookmarkEnd w:id="90"/>
    <w:bookmarkEnd w:id="91"/>
    <w:bookmarkEnd w:id="92"/>
    <w:bookmarkEnd w:id="93"/>
    <w:p w14:paraId="6B5B3A9D">
      <w:pPr>
        <w:pStyle w:val="4"/>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0" w:leftChars="0" w:firstLine="482" w:firstLineChars="200"/>
        <w:textAlignment w:val="auto"/>
        <w:rPr>
          <w:rFonts w:hint="eastAsia" w:ascii="宋体" w:hAnsi="宋体" w:eastAsia="宋体" w:cs="宋体"/>
          <w:color w:val="auto"/>
          <w:sz w:val="24"/>
          <w:szCs w:val="24"/>
        </w:rPr>
      </w:pPr>
      <w:bookmarkStart w:id="95" w:name="_Toc484890084"/>
      <w:bookmarkStart w:id="96" w:name="_Toc23258621"/>
      <w:bookmarkStart w:id="97" w:name="_Toc26541332"/>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项目概况</w:t>
      </w:r>
    </w:p>
    <w:p w14:paraId="3013AF1D">
      <w:pPr>
        <w:pStyle w:val="4"/>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0" w:leftChars="0" w:firstLine="480" w:firstLineChars="200"/>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采购红外热成像气体泄漏仪、手持式光离子化检测仪、便携式氢火焰离子化检测仪等1批大气污染防治执法装备；主要功能或目标</w:t>
      </w:r>
      <w:r>
        <w:rPr>
          <w:rFonts w:hint="eastAsia" w:ascii="宋体" w:hAnsi="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准确定位大气重点污染源排放点位，快速检测固定污染源、移动污染源浓度，提高大气环境风险防控和执法监管能力；需满足的要求</w:t>
      </w:r>
      <w:r>
        <w:rPr>
          <w:rFonts w:hint="eastAsia" w:ascii="宋体" w:hAnsi="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满足生态环境部《生态环境保护综合行政执法装备标准化建设指导标准（2024版）》要求，具备便携性好、检测速度快、稳定性强等功能，满足大气环境移动执法线索取证。</w:t>
      </w:r>
    </w:p>
    <w:p w14:paraId="717686A4">
      <w:pPr>
        <w:pStyle w:val="4"/>
        <w:pageBreakBefore w:val="0"/>
        <w:widowControl w:val="0"/>
        <w:numPr>
          <w:ilvl w:val="0"/>
          <w:numId w:val="7"/>
        </w:numPr>
        <w:kinsoku/>
        <w:wordWrap/>
        <w:overflowPunct/>
        <w:topLinePunct w:val="0"/>
        <w:autoSpaceDE/>
        <w:autoSpaceDN/>
        <w:bidi w:val="0"/>
        <w:adjustRightInd/>
        <w:snapToGrid/>
        <w:spacing w:before="0" w:beforeAutospacing="0" w:after="0" w:afterAutospacing="0" w:line="480" w:lineRule="exact"/>
        <w:ind w:left="0" w:leftChars="0" w:firstLine="482"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采购清单</w:t>
      </w:r>
    </w:p>
    <w:tbl>
      <w:tblPr>
        <w:tblStyle w:val="4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2672"/>
        <w:gridCol w:w="3504"/>
        <w:gridCol w:w="748"/>
        <w:gridCol w:w="670"/>
        <w:gridCol w:w="1176"/>
      </w:tblGrid>
      <w:tr w14:paraId="4888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3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5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C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装备用途</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9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E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3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9AA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A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C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便携式粉尘检测仪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F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快速测定现场粉尘浓度，提升现场执法监测能力</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6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E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2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核心产品</w:t>
            </w:r>
          </w:p>
        </w:tc>
      </w:tr>
      <w:tr w14:paraId="4AFD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9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F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手持式光离子化检测仪（PID)</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7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通过光离子技术快速检测VOCs气体</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1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4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78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B86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C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9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油气回收检测仪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9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适用于加油站油气回收系统的密闭性、液阻和气液比等参数的监测；以及加油站油气回收在线监测系统的气液比、系统压力指标的比对</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B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2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F8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9E0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A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C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手持热电风速仪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1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配备热敏式感应探头，无需风叶旋转即可测量风速。应用于环境监测、空气监测、空气调节等系统的监控与测量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1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3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6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0BA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B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4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红外热成像气体泄漏检测仪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C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可通过非接触式、远距离操作、准确定位VOCs气体无组织排放泄漏点位</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A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2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2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核心产品</w:t>
            </w:r>
          </w:p>
        </w:tc>
      </w:tr>
      <w:tr w14:paraId="0120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8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9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便携式氢火焰离子化检测仪（FID)</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3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通过氢火焰离子化快速检测VOCs气体。适用于固定污染源和厂界组织非甲烷总烃的快速检测/快速进行固定污染源、厂界无组织和管阀泄漏检测</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E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F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B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核心产品</w:t>
            </w:r>
          </w:p>
        </w:tc>
      </w:tr>
      <w:tr w14:paraId="5EF7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C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3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便携式林格曼黑度检测仪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3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适用于现场检测柴油车黑烟浓度</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1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2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E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核心产品</w:t>
            </w:r>
          </w:p>
        </w:tc>
      </w:tr>
      <w:tr w14:paraId="7C5C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8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A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在用车尾气检测仪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A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快速检测汽车尾气浓度</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2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B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C3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80E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4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B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车用尿素检定仪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6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快速柴油车尿素浓度</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7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7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B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DE2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D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B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油品硫含量检测仪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3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检测现场成品油含硫量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8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0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46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A09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B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0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通用车载诊断仪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5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现场诊断车辆运行状态</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F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9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8B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8DF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0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B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氮氧化物检测仪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1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检测现场氮氧化物浓度</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B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4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FA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3C7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2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C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轻型无人机</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7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满足大气执法航空影像摄录、线索发现、执法取证等需求</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1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8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14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075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3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D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现场文书制作装备</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0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满足大气现场执法检查数据查询、检查情况记录、执法文书制作、数据上传、A4纸打印等需求</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0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7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EB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20F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D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8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现场执法记录仪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A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满足大气现场执法记录需求</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7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1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27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074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0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4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测距仪</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B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满足大气执法激光测距需求</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A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4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CD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14:paraId="6302C6A9">
      <w:pPr>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520" w:lineRule="exact"/>
        <w:ind w:left="0" w:leftChars="0" w:firstLine="482" w:firstLineChars="200"/>
        <w:jc w:val="both"/>
        <w:textAlignment w:val="baseline"/>
        <w:outlineLvl w:val="9"/>
        <w:rPr>
          <w:rStyle w:val="146"/>
          <w:rFonts w:hint="eastAsia" w:ascii="宋体" w:hAnsi="宋体" w:cs="宋体"/>
          <w:b/>
          <w:bCs/>
          <w:i w:val="0"/>
          <w:caps w:val="0"/>
          <w:color w:val="auto"/>
          <w:spacing w:val="0"/>
          <w:w w:val="100"/>
          <w:kern w:val="2"/>
          <w:sz w:val="24"/>
          <w:szCs w:val="24"/>
          <w:lang w:val="en-US" w:eastAsia="zh-CN" w:bidi="ar-SA"/>
        </w:rPr>
      </w:pPr>
      <w:r>
        <w:rPr>
          <w:rStyle w:val="146"/>
          <w:rFonts w:hint="eastAsia" w:ascii="宋体" w:hAnsi="宋体" w:cs="宋体"/>
          <w:b/>
          <w:bCs/>
          <w:i w:val="0"/>
          <w:caps w:val="0"/>
          <w:color w:val="auto"/>
          <w:spacing w:val="0"/>
          <w:w w:val="100"/>
          <w:kern w:val="2"/>
          <w:sz w:val="24"/>
          <w:szCs w:val="24"/>
          <w:lang w:val="en-US" w:eastAsia="zh-CN" w:bidi="ar-SA"/>
        </w:rPr>
        <w:t>技术参数</w:t>
      </w:r>
    </w:p>
    <w:p w14:paraId="7723581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200"/>
        <w:jc w:val="both"/>
        <w:textAlignment w:val="baseline"/>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便携式粉尘检测仪（核心产品）</w:t>
      </w:r>
    </w:p>
    <w:p w14:paraId="258E51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★可同时测量</w:t>
      </w:r>
      <w:r>
        <w:rPr>
          <w:rFonts w:hint="eastAsia" w:ascii="宋体" w:hAnsi="宋体" w:eastAsia="宋体" w:cs="宋体"/>
          <w:bCs/>
          <w:color w:val="auto"/>
          <w:sz w:val="24"/>
          <w:szCs w:val="24"/>
        </w:rPr>
        <w:t>TSP/PM</w:t>
      </w:r>
      <w:r>
        <w:rPr>
          <w:rFonts w:hint="eastAsia" w:ascii="宋体" w:hAnsi="宋体" w:eastAsia="宋体" w:cs="宋体"/>
          <w:bCs/>
          <w:color w:val="auto"/>
          <w:sz w:val="24"/>
          <w:szCs w:val="24"/>
          <w:vertAlign w:val="subscript"/>
        </w:rPr>
        <w:t>10</w:t>
      </w:r>
      <w:r>
        <w:rPr>
          <w:rFonts w:hint="eastAsia" w:ascii="宋体" w:hAnsi="宋体" w:eastAsia="宋体" w:cs="宋体"/>
          <w:bCs/>
          <w:color w:val="auto"/>
          <w:sz w:val="24"/>
          <w:szCs w:val="24"/>
        </w:rPr>
        <w:t>/PM</w:t>
      </w:r>
      <w:r>
        <w:rPr>
          <w:rFonts w:hint="eastAsia" w:ascii="宋体" w:hAnsi="宋体" w:eastAsia="宋体" w:cs="宋体"/>
          <w:bCs/>
          <w:color w:val="auto"/>
          <w:sz w:val="24"/>
          <w:szCs w:val="24"/>
          <w:vertAlign w:val="subscript"/>
        </w:rPr>
        <w:t>2.5</w:t>
      </w:r>
      <w:r>
        <w:rPr>
          <w:rFonts w:hint="eastAsia" w:ascii="宋体" w:hAnsi="宋体" w:eastAsia="宋体" w:cs="宋体"/>
          <w:color w:val="auto"/>
          <w:sz w:val="24"/>
          <w:szCs w:val="24"/>
        </w:rPr>
        <w:t>三个污染物浓度参数；</w:t>
      </w:r>
    </w:p>
    <w:p w14:paraId="2B7A8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具备温度、湿度和大气压测量功能</w:t>
      </w:r>
      <w:r>
        <w:rPr>
          <w:rFonts w:hint="eastAsia" w:ascii="宋体" w:hAnsi="宋体" w:eastAsia="宋体" w:cs="宋体"/>
          <w:color w:val="auto"/>
          <w:sz w:val="24"/>
          <w:szCs w:val="24"/>
          <w:lang w:eastAsia="zh-CN"/>
        </w:rPr>
        <w:t>，并具备直接读取数据功能</w:t>
      </w:r>
      <w:r>
        <w:rPr>
          <w:rFonts w:hint="eastAsia" w:ascii="宋体" w:hAnsi="宋体" w:eastAsia="宋体" w:cs="宋体"/>
          <w:color w:val="auto"/>
          <w:sz w:val="24"/>
          <w:szCs w:val="24"/>
        </w:rPr>
        <w:t>；</w:t>
      </w:r>
    </w:p>
    <w:p w14:paraId="0A4680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配置≥高清5寸触摸彩屏，亮度可调，阳光下可视；</w:t>
      </w:r>
    </w:p>
    <w:p w14:paraId="17ABFD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采用泵吸式进气方式，流量恒定；</w:t>
      </w:r>
    </w:p>
    <w:p w14:paraId="52CDE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动态显示</w:t>
      </w:r>
      <w:r>
        <w:rPr>
          <w:rFonts w:hint="eastAsia" w:ascii="宋体" w:hAnsi="宋体" w:eastAsia="宋体" w:cs="宋体"/>
          <w:color w:val="auto"/>
          <w:sz w:val="24"/>
          <w:szCs w:val="24"/>
        </w:rPr>
        <w:t>污染物浓度参数</w:t>
      </w:r>
      <w:r>
        <w:rPr>
          <w:rFonts w:hint="eastAsia" w:ascii="宋体" w:hAnsi="宋体" w:cs="宋体"/>
          <w:color w:val="auto"/>
          <w:sz w:val="24"/>
          <w:szCs w:val="24"/>
          <w:lang w:eastAsia="zh-CN"/>
        </w:rPr>
        <w:t>、</w:t>
      </w:r>
      <w:r>
        <w:rPr>
          <w:rFonts w:hint="eastAsia" w:ascii="宋体" w:hAnsi="宋体" w:eastAsia="宋体" w:cs="宋体"/>
          <w:color w:val="auto"/>
          <w:sz w:val="24"/>
          <w:szCs w:val="24"/>
        </w:rPr>
        <w:t>曲线；</w:t>
      </w:r>
    </w:p>
    <w:p w14:paraId="06A2C3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测量参数包含所有测量项目颗粒物浓度的实时值、均值、TWA值、最大值和最小值；</w:t>
      </w:r>
    </w:p>
    <w:p w14:paraId="539F60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能够</w:t>
      </w:r>
      <w:r>
        <w:rPr>
          <w:rFonts w:hint="eastAsia" w:ascii="宋体" w:hAnsi="宋体" w:eastAsia="宋体" w:cs="宋体"/>
          <w:color w:val="auto"/>
          <w:sz w:val="24"/>
          <w:szCs w:val="24"/>
        </w:rPr>
        <w:t>输入采样地点并对采样点周围环境进行拍照留痕；</w:t>
      </w:r>
    </w:p>
    <w:p w14:paraId="45A4B1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具备声音报警、流量异常报警、均值报警、最大值报警和TWA报警功能；</w:t>
      </w:r>
    </w:p>
    <w:p w14:paraId="05F9A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具备操作日志查询功能；</w:t>
      </w:r>
    </w:p>
    <w:p w14:paraId="16E67B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能</w:t>
      </w:r>
      <w:r>
        <w:rPr>
          <w:rFonts w:hint="eastAsia" w:ascii="宋体" w:hAnsi="宋体" w:eastAsia="宋体" w:cs="宋体"/>
          <w:color w:val="auto"/>
          <w:sz w:val="24"/>
          <w:szCs w:val="24"/>
        </w:rPr>
        <w:t>查询测量数据和留痕照片，并可以通过U盘导出；</w:t>
      </w:r>
    </w:p>
    <w:p w14:paraId="1F9DA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配置蓝牙</w:t>
      </w:r>
      <w:r>
        <w:rPr>
          <w:rFonts w:hint="eastAsia" w:ascii="宋体" w:hAnsi="宋体" w:eastAsia="宋体" w:cs="宋体"/>
          <w:color w:val="auto"/>
          <w:sz w:val="24"/>
          <w:szCs w:val="24"/>
        </w:rPr>
        <w:t>打印机</w:t>
      </w:r>
      <w:r>
        <w:rPr>
          <w:rFonts w:hint="eastAsia" w:ascii="宋体" w:hAnsi="宋体" w:eastAsia="宋体" w:cs="宋体"/>
          <w:color w:val="auto"/>
          <w:sz w:val="24"/>
          <w:szCs w:val="24"/>
          <w:lang w:eastAsia="zh-CN"/>
        </w:rPr>
        <w:t>；</w:t>
      </w:r>
    </w:p>
    <w:p w14:paraId="6EA4F3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查询数据可通过连接蓝牙打印机打印</w:t>
      </w:r>
      <w:r>
        <w:rPr>
          <w:rFonts w:hint="eastAsia" w:ascii="宋体" w:hAnsi="宋体" w:eastAsia="宋体" w:cs="宋体"/>
          <w:color w:val="auto"/>
          <w:sz w:val="24"/>
          <w:szCs w:val="24"/>
          <w:lang w:eastAsia="zh-CN"/>
        </w:rPr>
        <w:t>；</w:t>
      </w:r>
    </w:p>
    <w:p w14:paraId="0D58FD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13.内置过滤装置，避免粉尘对仪器部件的影响，延长仪器使用寿命。</w:t>
      </w:r>
    </w:p>
    <w:p w14:paraId="66C736A1">
      <w:pPr>
        <w:pStyle w:val="8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14.</w:t>
      </w:r>
      <w:r>
        <w:rPr>
          <w:rFonts w:hint="eastAsia" w:ascii="宋体" w:hAnsi="宋体" w:eastAsia="宋体" w:cs="宋体"/>
          <w:b w:val="0"/>
          <w:bCs/>
          <w:color w:val="auto"/>
          <w:sz w:val="24"/>
          <w:szCs w:val="24"/>
        </w:rPr>
        <w:t>技术指标</w:t>
      </w:r>
    </w:p>
    <w:tbl>
      <w:tblPr>
        <w:tblStyle w:val="41"/>
        <w:tblW w:w="808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122"/>
        <w:gridCol w:w="1701"/>
        <w:gridCol w:w="2551"/>
      </w:tblGrid>
      <w:tr w14:paraId="6BE9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06" w:type="dxa"/>
            <w:noWrap w:val="0"/>
            <w:vAlign w:val="center"/>
          </w:tcPr>
          <w:p w14:paraId="7B3BE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主要参数</w:t>
            </w:r>
          </w:p>
        </w:tc>
        <w:tc>
          <w:tcPr>
            <w:tcW w:w="2122" w:type="dxa"/>
            <w:noWrap w:val="0"/>
            <w:vAlign w:val="center"/>
          </w:tcPr>
          <w:p w14:paraId="350FB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参 数 范 围</w:t>
            </w:r>
          </w:p>
        </w:tc>
        <w:tc>
          <w:tcPr>
            <w:tcW w:w="1701" w:type="dxa"/>
            <w:noWrap w:val="0"/>
            <w:vAlign w:val="center"/>
          </w:tcPr>
          <w:p w14:paraId="1E6B1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分 辨 率</w:t>
            </w:r>
          </w:p>
        </w:tc>
        <w:tc>
          <w:tcPr>
            <w:tcW w:w="2551" w:type="dxa"/>
            <w:noWrap w:val="0"/>
            <w:vAlign w:val="center"/>
          </w:tcPr>
          <w:p w14:paraId="16F15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准 确 度</w:t>
            </w:r>
          </w:p>
        </w:tc>
      </w:tr>
      <w:tr w14:paraId="0E64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4A359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PM2.5测量范围</w:t>
            </w:r>
          </w:p>
        </w:tc>
        <w:tc>
          <w:tcPr>
            <w:tcW w:w="2122" w:type="dxa"/>
            <w:noWrap w:val="0"/>
            <w:vAlign w:val="center"/>
          </w:tcPr>
          <w:p w14:paraId="4288D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(0～1000)ug/m³</w:t>
            </w:r>
          </w:p>
        </w:tc>
        <w:tc>
          <w:tcPr>
            <w:tcW w:w="1701" w:type="dxa"/>
            <w:noWrap w:val="0"/>
            <w:vAlign w:val="center"/>
          </w:tcPr>
          <w:p w14:paraId="17D3C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1ug/m³ </w:t>
            </w:r>
          </w:p>
        </w:tc>
        <w:tc>
          <w:tcPr>
            <w:tcW w:w="2551" w:type="dxa"/>
            <w:noWrap w:val="0"/>
            <w:vAlign w:val="center"/>
          </w:tcPr>
          <w:p w14:paraId="24976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优于±10%和</w:t>
            </w:r>
          </w:p>
          <w:p w14:paraId="4AE01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±10μg/m³的最大值</w:t>
            </w:r>
          </w:p>
        </w:tc>
      </w:tr>
      <w:tr w14:paraId="3411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44D03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PM10测量范围</w:t>
            </w:r>
          </w:p>
        </w:tc>
        <w:tc>
          <w:tcPr>
            <w:tcW w:w="2122" w:type="dxa"/>
            <w:noWrap w:val="0"/>
            <w:vAlign w:val="center"/>
          </w:tcPr>
          <w:p w14:paraId="6BD49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(0～1000)ug/m³</w:t>
            </w:r>
          </w:p>
        </w:tc>
        <w:tc>
          <w:tcPr>
            <w:tcW w:w="1701" w:type="dxa"/>
            <w:noWrap w:val="0"/>
            <w:vAlign w:val="center"/>
          </w:tcPr>
          <w:p w14:paraId="00D93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1ug/m³ </w:t>
            </w:r>
          </w:p>
        </w:tc>
        <w:tc>
          <w:tcPr>
            <w:tcW w:w="2551" w:type="dxa"/>
            <w:noWrap w:val="0"/>
            <w:vAlign w:val="center"/>
          </w:tcPr>
          <w:p w14:paraId="7697F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优于±15%和</w:t>
            </w:r>
          </w:p>
          <w:p w14:paraId="30A47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±10μg/m³的最大值</w:t>
            </w:r>
          </w:p>
        </w:tc>
      </w:tr>
      <w:tr w14:paraId="6BA2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161CB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TSP测量范围</w:t>
            </w:r>
          </w:p>
        </w:tc>
        <w:tc>
          <w:tcPr>
            <w:tcW w:w="2122" w:type="dxa"/>
            <w:noWrap w:val="0"/>
            <w:vAlign w:val="center"/>
          </w:tcPr>
          <w:p w14:paraId="48496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(0～1000)ug/m³</w:t>
            </w:r>
          </w:p>
        </w:tc>
        <w:tc>
          <w:tcPr>
            <w:tcW w:w="1701" w:type="dxa"/>
            <w:noWrap w:val="0"/>
            <w:vAlign w:val="center"/>
          </w:tcPr>
          <w:p w14:paraId="7B2AE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1ug/m³ </w:t>
            </w:r>
          </w:p>
        </w:tc>
        <w:tc>
          <w:tcPr>
            <w:tcW w:w="2551" w:type="dxa"/>
            <w:noWrap w:val="0"/>
            <w:vAlign w:val="center"/>
          </w:tcPr>
          <w:p w14:paraId="3758F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优于±15%和</w:t>
            </w:r>
          </w:p>
          <w:p w14:paraId="04DC8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±10μg/m³的最大值</w:t>
            </w:r>
          </w:p>
        </w:tc>
      </w:tr>
      <w:tr w14:paraId="691B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781ADE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温度测量范围</w:t>
            </w:r>
          </w:p>
        </w:tc>
        <w:tc>
          <w:tcPr>
            <w:tcW w:w="2122" w:type="dxa"/>
            <w:noWrap w:val="0"/>
            <w:vAlign w:val="center"/>
          </w:tcPr>
          <w:p w14:paraId="14907F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r>
              <w:rPr>
                <w:rFonts w:hint="eastAsia" w:ascii="宋体" w:hAnsi="宋体" w:eastAsia="宋体" w:cs="宋体"/>
                <w:color w:val="auto"/>
                <w:kern w:val="0"/>
                <w:sz w:val="24"/>
                <w:szCs w:val="24"/>
                <w:lang w:val="en-US" w:eastAsia="zh-CN"/>
              </w:rPr>
              <w:t>70</w:t>
            </w:r>
            <w:r>
              <w:rPr>
                <w:rFonts w:hint="eastAsia" w:ascii="宋体" w:hAnsi="宋体" w:eastAsia="宋体" w:cs="宋体"/>
                <w:color w:val="auto"/>
                <w:kern w:val="0"/>
                <w:sz w:val="24"/>
                <w:szCs w:val="24"/>
              </w:rPr>
              <w:t>)℃</w:t>
            </w:r>
          </w:p>
        </w:tc>
        <w:tc>
          <w:tcPr>
            <w:tcW w:w="1701" w:type="dxa"/>
            <w:noWrap w:val="0"/>
            <w:vAlign w:val="center"/>
          </w:tcPr>
          <w:p w14:paraId="3AEE38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w:t>
            </w:r>
          </w:p>
        </w:tc>
        <w:tc>
          <w:tcPr>
            <w:tcW w:w="2551" w:type="dxa"/>
            <w:noWrap w:val="0"/>
            <w:vAlign w:val="center"/>
          </w:tcPr>
          <w:p w14:paraId="2E3117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优于±1.5℃</w:t>
            </w:r>
          </w:p>
        </w:tc>
      </w:tr>
      <w:tr w14:paraId="3600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781204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湿度测量范围</w:t>
            </w:r>
          </w:p>
        </w:tc>
        <w:tc>
          <w:tcPr>
            <w:tcW w:w="2122" w:type="dxa"/>
            <w:noWrap w:val="0"/>
            <w:vAlign w:val="center"/>
          </w:tcPr>
          <w:p w14:paraId="36CA75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w:t>
            </w:r>
            <w:r>
              <w:rPr>
                <w:rFonts w:hint="eastAsia" w:ascii="宋体" w:hAnsi="宋体" w:eastAsia="宋体" w:cs="宋体"/>
                <w:color w:val="auto"/>
                <w:kern w:val="0"/>
                <w:sz w:val="24"/>
                <w:szCs w:val="24"/>
                <w:lang w:val="en-US" w:eastAsia="zh-CN"/>
              </w:rPr>
              <w:t>100</w:t>
            </w:r>
            <w:r>
              <w:rPr>
                <w:rFonts w:hint="eastAsia" w:ascii="宋体" w:hAnsi="宋体" w:eastAsia="宋体" w:cs="宋体"/>
                <w:color w:val="auto"/>
                <w:kern w:val="0"/>
                <w:sz w:val="24"/>
                <w:szCs w:val="24"/>
              </w:rPr>
              <w:t>)%RH</w:t>
            </w:r>
          </w:p>
        </w:tc>
        <w:tc>
          <w:tcPr>
            <w:tcW w:w="1701" w:type="dxa"/>
            <w:noWrap w:val="0"/>
            <w:vAlign w:val="center"/>
          </w:tcPr>
          <w:p w14:paraId="6B8128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0.1%RH</w:t>
            </w:r>
          </w:p>
        </w:tc>
        <w:tc>
          <w:tcPr>
            <w:tcW w:w="2551" w:type="dxa"/>
            <w:noWrap w:val="0"/>
            <w:vAlign w:val="center"/>
          </w:tcPr>
          <w:p w14:paraId="0D28EC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优于±3%RH</w:t>
            </w:r>
          </w:p>
        </w:tc>
      </w:tr>
      <w:tr w14:paraId="1C18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0A9556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lang w:eastAsia="zh-CN"/>
              </w:rPr>
            </w:pPr>
            <w:r>
              <w:rPr>
                <w:rFonts w:hint="eastAsia" w:ascii="宋体" w:hAnsi="宋体" w:eastAsia="宋体" w:cs="宋体"/>
                <w:color w:val="auto"/>
                <w:spacing w:val="-17"/>
                <w:kern w:val="0"/>
                <w:sz w:val="24"/>
                <w:szCs w:val="24"/>
                <w:lang w:eastAsia="zh-CN"/>
              </w:rPr>
              <w:t>大气压测量范围</w:t>
            </w:r>
          </w:p>
        </w:tc>
        <w:tc>
          <w:tcPr>
            <w:tcW w:w="2122" w:type="dxa"/>
            <w:noWrap w:val="0"/>
            <w:vAlign w:val="center"/>
          </w:tcPr>
          <w:p w14:paraId="3EEE1A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130</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kPa</w:t>
            </w:r>
          </w:p>
        </w:tc>
        <w:tc>
          <w:tcPr>
            <w:tcW w:w="1701" w:type="dxa"/>
            <w:noWrap w:val="0"/>
            <w:vAlign w:val="center"/>
          </w:tcPr>
          <w:p w14:paraId="112770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100Pa</w:t>
            </w:r>
          </w:p>
        </w:tc>
        <w:tc>
          <w:tcPr>
            <w:tcW w:w="2551" w:type="dxa"/>
            <w:noWrap w:val="0"/>
            <w:vAlign w:val="center"/>
          </w:tcPr>
          <w:p w14:paraId="310B37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优于±</w:t>
            </w:r>
            <w:r>
              <w:rPr>
                <w:rFonts w:hint="eastAsia" w:ascii="宋体" w:hAnsi="宋体" w:eastAsia="宋体" w:cs="宋体"/>
                <w:color w:val="auto"/>
                <w:kern w:val="0"/>
                <w:sz w:val="24"/>
                <w:szCs w:val="24"/>
                <w:lang w:val="en-US" w:eastAsia="zh-CN"/>
              </w:rPr>
              <w:t>500Pa</w:t>
            </w:r>
          </w:p>
        </w:tc>
      </w:tr>
      <w:tr w14:paraId="6761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2F3C19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数据存储</w:t>
            </w:r>
          </w:p>
        </w:tc>
        <w:tc>
          <w:tcPr>
            <w:tcW w:w="6374" w:type="dxa"/>
            <w:gridSpan w:val="3"/>
            <w:noWrap w:val="0"/>
            <w:vAlign w:val="center"/>
          </w:tcPr>
          <w:p w14:paraId="26828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5000组数据</w:t>
            </w:r>
          </w:p>
        </w:tc>
      </w:tr>
      <w:tr w14:paraId="7A75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53A81F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工作时间</w:t>
            </w:r>
          </w:p>
        </w:tc>
        <w:tc>
          <w:tcPr>
            <w:tcW w:w="6374" w:type="dxa"/>
            <w:gridSpan w:val="3"/>
            <w:noWrap w:val="0"/>
            <w:vAlign w:val="center"/>
          </w:tcPr>
          <w:p w14:paraId="43871A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≥6小时</w:t>
            </w:r>
          </w:p>
        </w:tc>
      </w:tr>
      <w:tr w14:paraId="7229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7A50EF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数据打印</w:t>
            </w:r>
          </w:p>
        </w:tc>
        <w:tc>
          <w:tcPr>
            <w:tcW w:w="6374" w:type="dxa"/>
            <w:gridSpan w:val="3"/>
            <w:noWrap w:val="0"/>
            <w:vAlign w:val="center"/>
          </w:tcPr>
          <w:p w14:paraId="0E0D83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蓝牙打印</w:t>
            </w:r>
          </w:p>
        </w:tc>
      </w:tr>
      <w:tr w14:paraId="28C2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06C0C7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数据导出</w:t>
            </w:r>
          </w:p>
        </w:tc>
        <w:tc>
          <w:tcPr>
            <w:tcW w:w="6374" w:type="dxa"/>
            <w:gridSpan w:val="3"/>
            <w:noWrap w:val="0"/>
            <w:vAlign w:val="center"/>
          </w:tcPr>
          <w:p w14:paraId="0BD24C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U盘</w:t>
            </w:r>
          </w:p>
        </w:tc>
      </w:tr>
      <w:tr w14:paraId="237E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30629B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工作电源</w:t>
            </w:r>
          </w:p>
        </w:tc>
        <w:tc>
          <w:tcPr>
            <w:tcW w:w="6374" w:type="dxa"/>
            <w:gridSpan w:val="3"/>
            <w:noWrap w:val="0"/>
            <w:vAlign w:val="center"/>
          </w:tcPr>
          <w:p w14:paraId="0FD1D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DC3.7V 1A</w:t>
            </w:r>
          </w:p>
        </w:tc>
      </w:tr>
      <w:tr w14:paraId="6FE5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32963A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通讯接口</w:t>
            </w:r>
          </w:p>
        </w:tc>
        <w:tc>
          <w:tcPr>
            <w:tcW w:w="6374" w:type="dxa"/>
            <w:gridSpan w:val="3"/>
            <w:noWrap w:val="0"/>
            <w:vAlign w:val="center"/>
          </w:tcPr>
          <w:p w14:paraId="31A3AD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USB</w:t>
            </w:r>
          </w:p>
        </w:tc>
      </w:tr>
      <w:tr w14:paraId="21C5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50A081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测量数据</w:t>
            </w:r>
          </w:p>
        </w:tc>
        <w:tc>
          <w:tcPr>
            <w:tcW w:w="6374" w:type="dxa"/>
            <w:gridSpan w:val="3"/>
            <w:noWrap w:val="0"/>
            <w:vAlign w:val="center"/>
          </w:tcPr>
          <w:p w14:paraId="22119A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实时值、均值、TWA值、最大值、最小值</w:t>
            </w:r>
          </w:p>
        </w:tc>
      </w:tr>
      <w:tr w14:paraId="1C80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393EEB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保存数据</w:t>
            </w:r>
          </w:p>
        </w:tc>
        <w:tc>
          <w:tcPr>
            <w:tcW w:w="6374" w:type="dxa"/>
            <w:gridSpan w:val="3"/>
            <w:noWrap w:val="0"/>
            <w:vAlign w:val="center"/>
          </w:tcPr>
          <w:p w14:paraId="14C40A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均值、TWA值、最大值、最小值</w:t>
            </w:r>
          </w:p>
        </w:tc>
      </w:tr>
      <w:tr w14:paraId="5657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379A6D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拍照打卡功能</w:t>
            </w:r>
          </w:p>
        </w:tc>
        <w:tc>
          <w:tcPr>
            <w:tcW w:w="6374" w:type="dxa"/>
            <w:gridSpan w:val="3"/>
            <w:noWrap w:val="0"/>
            <w:vAlign w:val="center"/>
          </w:tcPr>
          <w:p w14:paraId="0FE5EC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33E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3C41E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工作温度范围</w:t>
            </w:r>
          </w:p>
        </w:tc>
        <w:tc>
          <w:tcPr>
            <w:tcW w:w="6374" w:type="dxa"/>
            <w:gridSpan w:val="3"/>
            <w:noWrap w:val="0"/>
            <w:vAlign w:val="center"/>
          </w:tcPr>
          <w:p w14:paraId="72F35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(-20～50)℃</w:t>
            </w:r>
          </w:p>
        </w:tc>
      </w:tr>
      <w:tr w14:paraId="5751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22617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测量原理</w:t>
            </w:r>
          </w:p>
        </w:tc>
        <w:tc>
          <w:tcPr>
            <w:tcW w:w="6374" w:type="dxa"/>
            <w:gridSpan w:val="3"/>
            <w:noWrap w:val="0"/>
            <w:vAlign w:val="center"/>
          </w:tcPr>
          <w:p w14:paraId="243D3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激光散射测量法</w:t>
            </w:r>
          </w:p>
        </w:tc>
      </w:tr>
      <w:tr w14:paraId="05B7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6" w:type="dxa"/>
            <w:noWrap w:val="0"/>
            <w:vAlign w:val="center"/>
          </w:tcPr>
          <w:p w14:paraId="18B99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响应时间</w:t>
            </w:r>
          </w:p>
        </w:tc>
        <w:tc>
          <w:tcPr>
            <w:tcW w:w="6374" w:type="dxa"/>
            <w:gridSpan w:val="3"/>
            <w:noWrap w:val="0"/>
            <w:vAlign w:val="center"/>
          </w:tcPr>
          <w:p w14:paraId="48273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≤10s</w:t>
            </w:r>
          </w:p>
        </w:tc>
      </w:tr>
    </w:tbl>
    <w:p w14:paraId="0BBA743C">
      <w:pPr>
        <w:pStyle w:val="87"/>
        <w:keepNext w:val="0"/>
        <w:keepLines w:val="0"/>
        <w:pageBreakBefore w:val="0"/>
        <w:kinsoku/>
        <w:wordWrap/>
        <w:overflowPunct/>
        <w:topLinePunct w:val="0"/>
        <w:autoSpaceDE/>
        <w:autoSpaceDN/>
        <w:bidi w:val="0"/>
        <w:adjustRightInd/>
        <w:snapToGrid/>
        <w:spacing w:line="500" w:lineRule="exact"/>
        <w:ind w:left="0" w:leftChars="0" w:firstLine="482" w:firstLineChars="200"/>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lang w:val="en-US" w:eastAsia="zh-CN"/>
        </w:rPr>
        <w:t>15.</w:t>
      </w:r>
      <w:r>
        <w:rPr>
          <w:rFonts w:hint="eastAsia" w:ascii="宋体" w:hAnsi="宋体" w:eastAsia="宋体" w:cs="宋体"/>
          <w:b/>
          <w:bCs w:val="0"/>
          <w:color w:val="auto"/>
          <w:sz w:val="24"/>
          <w:szCs w:val="24"/>
        </w:rPr>
        <w:t>配置要求：</w:t>
      </w:r>
      <w:r>
        <w:rPr>
          <w:rFonts w:hint="eastAsia" w:ascii="宋体" w:hAnsi="宋体" w:eastAsia="宋体" w:cs="宋体"/>
          <w:color w:val="auto"/>
          <w:sz w:val="24"/>
          <w:szCs w:val="24"/>
        </w:rPr>
        <w:t>主机1台，充电器1个，数据线1根，滤芯组件1套，U盘1个，蓝牙打印机1套。</w:t>
      </w:r>
    </w:p>
    <w:p w14:paraId="145BBA3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）手持式光离子化检测仪（PID）</w:t>
      </w:r>
    </w:p>
    <w:p w14:paraId="568D47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1.传感器类型：光离子化传感器(PID)，传感器使用寿命超过20000小时或3～5年；</w:t>
      </w:r>
    </w:p>
    <w:p w14:paraId="5F3000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2.★防爆要求：取得防爆合格证，防爆等级不低于Ex ia IIC T4 Ga。（提供防爆合格证复印件）；</w:t>
      </w:r>
    </w:p>
    <w:p w14:paraId="6D874C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3.用户可自行定制PID可检测物质≥15种；</w:t>
      </w:r>
    </w:p>
    <w:p w14:paraId="5508BD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.测量范围：0-10000ppm；（提供</w:t>
      </w:r>
      <w:r>
        <w:rPr>
          <w:rFonts w:hint="eastAsia" w:ascii="宋体" w:hAnsi="宋体" w:cs="宋体"/>
          <w:color w:val="auto"/>
          <w:sz w:val="24"/>
          <w:szCs w:val="24"/>
          <w:highlight w:val="none"/>
          <w:lang w:val="en-US" w:eastAsia="zh-CN"/>
        </w:rPr>
        <w:t>第三方</w:t>
      </w:r>
      <w:r>
        <w:rPr>
          <w:rFonts w:hint="eastAsia" w:ascii="宋体" w:hAnsi="宋体" w:eastAsia="宋体" w:cs="宋体"/>
          <w:color w:val="auto"/>
          <w:sz w:val="24"/>
          <w:szCs w:val="24"/>
          <w:highlight w:val="none"/>
          <w:lang w:val="en-US" w:eastAsia="zh-CN"/>
        </w:rPr>
        <w:t>计量机构</w:t>
      </w:r>
      <w:r>
        <w:rPr>
          <w:rFonts w:hint="eastAsia" w:ascii="宋体" w:hAnsi="宋体" w:eastAsia="宋体" w:cs="宋体"/>
          <w:color w:val="auto"/>
          <w:sz w:val="24"/>
          <w:szCs w:val="24"/>
          <w:lang w:val="en-US" w:eastAsia="zh-CN"/>
        </w:rPr>
        <w:t>出具的CMA检测报告复印件）；</w:t>
      </w:r>
    </w:p>
    <w:p w14:paraId="20C6DE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.分辨率：0.001ppm/1ppb；（提供</w:t>
      </w:r>
      <w:r>
        <w:rPr>
          <w:rFonts w:hint="eastAsia" w:ascii="宋体" w:hAnsi="宋体" w:cs="宋体"/>
          <w:color w:val="auto"/>
          <w:sz w:val="24"/>
          <w:szCs w:val="24"/>
          <w:highlight w:val="none"/>
          <w:lang w:val="en-US" w:eastAsia="zh-CN"/>
        </w:rPr>
        <w:t>第三方</w:t>
      </w:r>
      <w:r>
        <w:rPr>
          <w:rFonts w:hint="eastAsia" w:ascii="宋体" w:hAnsi="宋体" w:eastAsia="宋体" w:cs="宋体"/>
          <w:color w:val="auto"/>
          <w:sz w:val="24"/>
          <w:szCs w:val="24"/>
          <w:highlight w:val="none"/>
          <w:lang w:val="en-US" w:eastAsia="zh-CN"/>
        </w:rPr>
        <w:t>计量机构</w:t>
      </w:r>
      <w:r>
        <w:rPr>
          <w:rFonts w:hint="eastAsia" w:ascii="宋体" w:hAnsi="宋体" w:eastAsia="宋体" w:cs="宋体"/>
          <w:color w:val="auto"/>
          <w:sz w:val="24"/>
          <w:szCs w:val="24"/>
          <w:lang w:val="en-US" w:eastAsia="zh-CN"/>
        </w:rPr>
        <w:t>出具的CMA检测报告复印件）</w:t>
      </w:r>
    </w:p>
    <w:p w14:paraId="686583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.相对误差≤5%，响应时间≤3秒；</w:t>
      </w:r>
    </w:p>
    <w:p w14:paraId="12AA3A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.防护等级：</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IP66；</w:t>
      </w:r>
    </w:p>
    <w:p w14:paraId="51676A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.背光显示，内置照明灯，便于黑暗环境使用；</w:t>
      </w:r>
    </w:p>
    <w:p w14:paraId="53EF51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.报警方式：声、光报警功能；</w:t>
      </w:r>
    </w:p>
    <w:p w14:paraId="60D2E0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.进气方式：泵吸式自动进样；</w:t>
      </w:r>
    </w:p>
    <w:p w14:paraId="74EBB1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.电池：可充电锂电池供电，连续运行超过24小时；（提供</w:t>
      </w:r>
      <w:r>
        <w:rPr>
          <w:rFonts w:hint="eastAsia" w:ascii="宋体" w:hAnsi="宋体" w:cs="宋体"/>
          <w:color w:val="auto"/>
          <w:sz w:val="24"/>
          <w:szCs w:val="24"/>
          <w:highlight w:val="none"/>
          <w:lang w:val="en-US" w:eastAsia="zh-CN"/>
        </w:rPr>
        <w:t>第三方</w:t>
      </w:r>
      <w:r>
        <w:rPr>
          <w:rFonts w:hint="eastAsia" w:ascii="宋体" w:hAnsi="宋体" w:eastAsia="宋体" w:cs="宋体"/>
          <w:color w:val="auto"/>
          <w:sz w:val="24"/>
          <w:szCs w:val="24"/>
          <w:highlight w:val="none"/>
          <w:lang w:val="en-US" w:eastAsia="zh-CN"/>
        </w:rPr>
        <w:t>计量机构</w:t>
      </w:r>
      <w:r>
        <w:rPr>
          <w:rFonts w:hint="eastAsia" w:ascii="宋体" w:hAnsi="宋体" w:eastAsia="宋体" w:cs="宋体"/>
          <w:color w:val="auto"/>
          <w:sz w:val="24"/>
          <w:szCs w:val="24"/>
          <w:lang w:val="en-US" w:eastAsia="zh-CN"/>
        </w:rPr>
        <w:t>出具的CMA检测报告复印件）</w:t>
      </w:r>
    </w:p>
    <w:p w14:paraId="448EEB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.充电方式：Type-C USB充电接口；</w:t>
      </w:r>
    </w:p>
    <w:p w14:paraId="6DD260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.工作温度：-20℃≤Ta≤+50℃；（以防爆证书为准）；</w:t>
      </w:r>
    </w:p>
    <w:p w14:paraId="3CA51C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.传感器和紫外灯自动清洁；</w:t>
      </w:r>
    </w:p>
    <w:p w14:paraId="6BA85F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.数据传输：蓝牙模块可以使用手机app直接读出仪器检测到数据，并可进行集成和数据上传； 也可以使用Type-C USB连接电脑进行数据传输。</w:t>
      </w:r>
    </w:p>
    <w:p w14:paraId="3150CA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.★独立北斗授时和定位功能：满足《卫星定位导航授时设备北斗独立定位测试技术规范》测试用例1~5要求。（提供北斗独立定位终端检测证书及检测报告复印件）</w:t>
      </w:r>
    </w:p>
    <w:p w14:paraId="4542B7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为确保设备时空可溯、监测过程可控、样品轨迹可追，仪器可与环境现场监察数智化管理系统进行联动实现智能化管理，平台系统具有实时数据、数据质控、站点日志管理、数据预警、设备管理等功能。（提供平台对应功能截图）</w:t>
      </w:r>
    </w:p>
    <w:p w14:paraId="465A46C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）油气回收检测仪</w:t>
      </w:r>
    </w:p>
    <w:p w14:paraId="202E2D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1.主机采用防爆设计，可应用于加油站、油库等防爆场所，防爆等级</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Ex ib IIB T4 Gb；</w:t>
      </w:r>
    </w:p>
    <w:p w14:paraId="6278EE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一体化检测密闭性、液阻和气液比等参数，各参数均可实现多次检测；</w:t>
      </w:r>
    </w:p>
    <w:p w14:paraId="59431A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3.需配置手操器进行人机交互、数据存储，操作方便、安全；</w:t>
      </w:r>
    </w:p>
    <w:p w14:paraId="198D1D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4.仪器可通过Type-C转接线，进行检测数据导出和仪器升级；</w:t>
      </w:r>
    </w:p>
    <w:p w14:paraId="54F22F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5.需内置压力发生器，可进行仪器气密性检测，实时测量大气压、环境温度和环境相对湿度</w:t>
      </w:r>
      <w:r>
        <w:rPr>
          <w:rFonts w:hint="eastAsia" w:ascii="宋体" w:hAnsi="宋体" w:cs="宋体"/>
          <w:color w:val="auto"/>
          <w:sz w:val="24"/>
          <w:szCs w:val="24"/>
          <w:lang w:val="en-US" w:eastAsia="zh-CN"/>
        </w:rPr>
        <w:t>；</w:t>
      </w:r>
    </w:p>
    <w:p w14:paraId="58612B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6.仪器需可通过北斗卫星进行检测地点自动定位，方便记录；</w:t>
      </w:r>
    </w:p>
    <w:p w14:paraId="76004B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7.内置可充电高性能防爆型锂电池，充满电可连续工作不少于24h；</w:t>
      </w:r>
    </w:p>
    <w:p w14:paraId="576A0A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8.主机工具箱采用拉杆箱设计，强度高、重量轻、携带方便；</w:t>
      </w:r>
    </w:p>
    <w:p w14:paraId="6C55E2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9.需配备升降式油桶，油桶设计安全可靠易操作，可有效防止泄漏，确保安全检测；</w:t>
      </w:r>
    </w:p>
    <w:p w14:paraId="434F9A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10.主机需无触点裸露，与手操器采用分体式设计，保证现场仪器安全防爆使用；</w:t>
      </w:r>
    </w:p>
    <w:p w14:paraId="3FC6FD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11.需内置蓝牙模块，支持蓝牙通讯和数据打印，并</w:t>
      </w:r>
      <w:r>
        <w:rPr>
          <w:rFonts w:hint="eastAsia" w:ascii="宋体" w:hAnsi="宋体" w:eastAsia="宋体" w:cs="宋体"/>
          <w:color w:val="auto"/>
          <w:sz w:val="24"/>
          <w:szCs w:val="24"/>
          <w:lang w:eastAsia="zh-CN"/>
        </w:rPr>
        <w:t>配置蓝牙</w:t>
      </w:r>
      <w:r>
        <w:rPr>
          <w:rFonts w:hint="eastAsia" w:ascii="宋体" w:hAnsi="宋体" w:eastAsia="宋体" w:cs="宋体"/>
          <w:color w:val="auto"/>
          <w:sz w:val="24"/>
          <w:szCs w:val="24"/>
        </w:rPr>
        <w:t>打印机</w:t>
      </w:r>
      <w:r>
        <w:rPr>
          <w:rFonts w:hint="eastAsia" w:ascii="宋体" w:hAnsi="宋体" w:eastAsia="宋体" w:cs="宋体"/>
          <w:color w:val="auto"/>
          <w:sz w:val="24"/>
          <w:szCs w:val="24"/>
          <w:lang w:eastAsia="zh-CN"/>
        </w:rPr>
        <w:t>；</w:t>
      </w:r>
    </w:p>
    <w:p w14:paraId="3141D7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主机需实现所有检测过程自动记录、数据存储、生成报告等功能，无需查表或手动计算；</w:t>
      </w:r>
    </w:p>
    <w:p w14:paraId="290DBC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13.主机需带有指示灯报警提醒，可显示蓝牙连接状态和电池充电状态等信息；</w:t>
      </w:r>
    </w:p>
    <w:p w14:paraId="25C534E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14.参数要求</w:t>
      </w:r>
    </w:p>
    <w:p w14:paraId="5232F9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14.1流量：参数范围（10～130）L/min；分辨率0.1L/min；最大允许误差不超过±2%；</w:t>
      </w:r>
    </w:p>
    <w:p w14:paraId="178F08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14.2压力：参数范围（-2500～2500）Pa；分辨率1Pa；最大允许误差不超过±0.25%F.S；</w:t>
      </w:r>
    </w:p>
    <w:p w14:paraId="16B447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14.3环境温度：（-20～45）℃；</w:t>
      </w:r>
    </w:p>
    <w:p w14:paraId="675F36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14.4环境湿度：（0～90）%RH；</w:t>
      </w:r>
    </w:p>
    <w:p w14:paraId="34E3AF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14.5大气压力：（50～130）kPa；</w:t>
      </w:r>
    </w:p>
    <w:p w14:paraId="3E458F0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）手持热电风速仪</w:t>
      </w:r>
    </w:p>
    <w:p w14:paraId="6E836C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1.传感器类型：热敏性；</w:t>
      </w:r>
    </w:p>
    <w:p w14:paraId="4420BF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2.支持平均值测量、数据保持；</w:t>
      </w:r>
    </w:p>
    <w:p w14:paraId="2BC587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3.支持数据存储和删除功能，存储数据≥500笔； </w:t>
      </w:r>
    </w:p>
    <w:p w14:paraId="200004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4.具备自动关机功能；</w:t>
      </w:r>
    </w:p>
    <w:p w14:paraId="5A5583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5.支持风速、风温、风量单位转换；</w:t>
      </w:r>
    </w:p>
    <w:p w14:paraId="1D30A9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6.通过USB数据线可以PC相连；</w:t>
      </w:r>
    </w:p>
    <w:p w14:paraId="2C4042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7.具备背光、低电量指示功能；</w:t>
      </w:r>
    </w:p>
    <w:p w14:paraId="3D261E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8.探头可弯曲、可拉伸，适应各种工况测量；</w:t>
      </w:r>
    </w:p>
    <w:p w14:paraId="31AEA33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9.参数要求</w:t>
      </w:r>
    </w:p>
    <w:p w14:paraId="7271A3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9.1风速测量范围：（0～30.0）m/s</w:t>
      </w:r>
    </w:p>
    <w:p w14:paraId="5127AF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9.2风速测量误差：±10%</w:t>
      </w:r>
    </w:p>
    <w:p w14:paraId="2591F0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9.3风速分辨率：0.001 m/s</w:t>
      </w:r>
    </w:p>
    <w:p w14:paraId="028407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9.4风量测量范围：0～999900 m3/min </w:t>
      </w:r>
    </w:p>
    <w:p w14:paraId="6000F6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9.5风量测量误差：0.001～100 m3/min</w:t>
      </w:r>
    </w:p>
    <w:p w14:paraId="72EEB8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9.6风温测量范围：0～45℃</w:t>
      </w:r>
    </w:p>
    <w:p w14:paraId="483C21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9.7风温测量精度：±1℃</w:t>
      </w:r>
    </w:p>
    <w:p w14:paraId="7379B1A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）红外热成像气体泄漏检测仪（核心产品）</w:t>
      </w:r>
    </w:p>
    <w:p w14:paraId="7F982F0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★针对挥发性有机气体</w:t>
      </w:r>
      <w:r>
        <w:rPr>
          <w:rFonts w:hint="eastAsia" w:ascii="宋体" w:hAnsi="宋体" w:cs="宋体"/>
          <w:sz w:val="24"/>
          <w:szCs w:val="24"/>
          <w:lang w:eastAsia="zh-CN"/>
        </w:rPr>
        <w:t>（</w:t>
      </w:r>
      <w:r>
        <w:rPr>
          <w:rFonts w:hint="eastAsia" w:ascii="宋体" w:hAnsi="宋体" w:eastAsia="宋体" w:cs="宋体"/>
          <w:sz w:val="24"/>
          <w:szCs w:val="24"/>
        </w:rPr>
        <w:t>可检测气体至少包含：甲烷、乙烷、丙烷、丁烷、戊烷、环氧乙烷、溴甲烷、溴乙烷、氯甲烷、1-己烷、乙烯、丙烯、异戊二烯、异丁烯、1</w:t>
      </w:r>
      <w:r>
        <w:rPr>
          <w:rFonts w:hint="eastAsia" w:ascii="宋体" w:hAnsi="宋体" w:cs="宋体"/>
          <w:sz w:val="24"/>
          <w:szCs w:val="24"/>
          <w:lang w:eastAsia="zh-CN"/>
        </w:rPr>
        <w:t>，</w:t>
      </w:r>
      <w:r>
        <w:rPr>
          <w:rFonts w:hint="eastAsia" w:ascii="宋体" w:hAnsi="宋体" w:eastAsia="宋体" w:cs="宋体"/>
          <w:sz w:val="24"/>
          <w:szCs w:val="24"/>
        </w:rPr>
        <w:t>3-丁二烯、苯、甲苯、二甲苯、三甲苯、对二甲苯、乙苯、苯乙烯、1</w:t>
      </w:r>
      <w:r>
        <w:rPr>
          <w:rFonts w:hint="eastAsia" w:ascii="宋体" w:hAnsi="宋体" w:cs="宋体"/>
          <w:sz w:val="24"/>
          <w:szCs w:val="24"/>
          <w:lang w:eastAsia="zh-CN"/>
        </w:rPr>
        <w:t>，</w:t>
      </w:r>
      <w:r>
        <w:rPr>
          <w:rFonts w:hint="eastAsia" w:ascii="宋体" w:hAnsi="宋体" w:eastAsia="宋体" w:cs="宋体"/>
          <w:sz w:val="24"/>
          <w:szCs w:val="24"/>
        </w:rPr>
        <w:t>2-二甲苯、甲醇、乙醇、异丙醇等多种常见的挥发性有机气体</w:t>
      </w:r>
      <w:r>
        <w:rPr>
          <w:rFonts w:hint="eastAsia" w:ascii="宋体" w:hAnsi="宋体" w:cs="宋体"/>
          <w:sz w:val="24"/>
          <w:szCs w:val="24"/>
          <w:lang w:eastAsia="zh-CN"/>
        </w:rPr>
        <w:t>）</w:t>
      </w:r>
      <w:r>
        <w:rPr>
          <w:rFonts w:hint="eastAsia" w:ascii="宋体" w:hAnsi="宋体" w:eastAsia="宋体" w:cs="宋体"/>
          <w:sz w:val="24"/>
          <w:szCs w:val="24"/>
        </w:rPr>
        <w:t>的非接触式检测仪，以图像形式快速发现挥发性有机气体泄漏，并能精准定位泄漏或排放源头；</w:t>
      </w:r>
    </w:p>
    <w:p w14:paraId="1463C0D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探测器类型：制冷型高灵敏度探测器；</w:t>
      </w:r>
    </w:p>
    <w:p w14:paraId="0140D01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操作方式：具备中文操作界面，能够按键</w:t>
      </w:r>
      <w:r>
        <w:rPr>
          <w:rFonts w:hint="eastAsia" w:ascii="宋体" w:hAnsi="宋体" w:cs="宋体"/>
          <w:sz w:val="24"/>
          <w:szCs w:val="24"/>
          <w:lang w:val="en-US" w:eastAsia="zh-CN"/>
        </w:rPr>
        <w:t>和</w:t>
      </w:r>
      <w:r>
        <w:rPr>
          <w:rFonts w:hint="eastAsia" w:ascii="宋体" w:hAnsi="宋体" w:eastAsia="宋体" w:cs="宋体"/>
          <w:sz w:val="24"/>
          <w:szCs w:val="24"/>
        </w:rPr>
        <w:t>触摸屏操作；</w:t>
      </w:r>
    </w:p>
    <w:p w14:paraId="14DE212B">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录制红外视频和可见光视频时，能够同时录制语音数据；</w:t>
      </w:r>
    </w:p>
    <w:p w14:paraId="3DE8D357">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语音记录和回放功能：能够随图像一同存储不少于60秒语音记录； </w:t>
      </w:r>
    </w:p>
    <w:p w14:paraId="681B0E52">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具有可旋转触摸彩色显示屏，可根据测量点位调整屏幕视角，方便观察；</w:t>
      </w:r>
    </w:p>
    <w:p w14:paraId="14A7AABD">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激光指示：具有激光指示、激光测距功能，可在屏幕上显示距离信息；</w:t>
      </w:r>
    </w:p>
    <w:p w14:paraId="1DBB60CD">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激光定位：可将激光指示点位置在图像中标记出来，并进行跟随；</w:t>
      </w:r>
    </w:p>
    <w:p w14:paraId="5A424B08">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★独立北斗授时和定位功能：满足《卫星定位导航授时设备北斗独立定位测试技术规范》测试用例1-5要求；</w:t>
      </w:r>
    </w:p>
    <w:p w14:paraId="553EB087">
      <w:pPr>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eastAsia="宋体" w:cs="宋体"/>
          <w:sz w:val="24"/>
          <w:szCs w:val="24"/>
        </w:rPr>
        <w:t>放大镜功能：可使用放大镜功能对热图像进行局部放大</w:t>
      </w:r>
      <w:r>
        <w:rPr>
          <w:rFonts w:hint="eastAsia" w:ascii="宋体" w:hAnsi="宋体" w:cs="宋体"/>
          <w:sz w:val="24"/>
          <w:szCs w:val="24"/>
          <w:lang w:eastAsia="zh-CN"/>
        </w:rPr>
        <w:t>，</w:t>
      </w:r>
      <w:r>
        <w:rPr>
          <w:rFonts w:hint="eastAsia" w:ascii="宋体" w:hAnsi="宋体" w:cs="宋体"/>
          <w:sz w:val="24"/>
          <w:szCs w:val="24"/>
          <w:lang w:val="en-US" w:eastAsia="zh-CN"/>
        </w:rPr>
        <w:t>放大倍数不小于8倍；</w:t>
      </w:r>
    </w:p>
    <w:p w14:paraId="7A9A2FD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图像冻结功能：具备图像冻结功能；</w:t>
      </w:r>
    </w:p>
    <w:p w14:paraId="7DD593D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通过WIFI连接防爆手操器，可对红外热成像气体泄漏检测仪图像远程传输并可以进行远程控制，APP端可以控制仪器如拍照、录像、打开闪光灯、激光指示等操作，生成现场检测记录单，含被检测单位名称、地址、检测点位信息、定位信息、检测点位图像等内容；</w:t>
      </w:r>
    </w:p>
    <w:p w14:paraId="422BFB3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具有防爆合格证，防爆等级不低于Ex ic nC op is IIC T6 Gc；防护等级：不低于IP65；</w:t>
      </w:r>
    </w:p>
    <w:p w14:paraId="3A722F2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电池使用时间：具有电量报警、自动关机或自动息屏功能，单块电池连续使用时间≥4小时；低温环境下（-20℃及以下）电池使用时间≥3小时；</w:t>
      </w:r>
    </w:p>
    <w:p w14:paraId="6F1EACF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全景拼接功能：具备全景拼接、多帧拼接功能；</w:t>
      </w:r>
    </w:p>
    <w:p w14:paraId="1627CD52">
      <w:pPr>
        <w:spacing w:line="520" w:lineRule="exact"/>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能够通过WIFI连接便携式挥发性有机物气体检测仪（FID），仪器屏幕能够同时显示FID检测器实时检测数据，以及在一定时间范围内的最大值；</w:t>
      </w:r>
    </w:p>
    <w:p w14:paraId="102BC7C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参数要求</w:t>
      </w:r>
    </w:p>
    <w:p w14:paraId="2D62DC4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.1使用环境温度：-30℃～50℃；</w:t>
      </w:r>
    </w:p>
    <w:p w14:paraId="5FE5984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测温范围：-40℃～+500℃；</w:t>
      </w:r>
    </w:p>
    <w:p w14:paraId="5691262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工作波段：3.2～3.5μm；</w:t>
      </w:r>
    </w:p>
    <w:p w14:paraId="28F0F0A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分辨率：≥320×256；</w:t>
      </w:r>
    </w:p>
    <w:p w14:paraId="7E22753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热灵敏度：≤10mk@25℃；</w:t>
      </w:r>
    </w:p>
    <w:p w14:paraId="0A8E5CA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.6</w:t>
      </w:r>
      <w:r>
        <w:rPr>
          <w:rFonts w:hint="eastAsia" w:ascii="宋体" w:hAnsi="宋体" w:eastAsia="宋体" w:cs="宋体"/>
          <w:sz w:val="24"/>
          <w:szCs w:val="24"/>
        </w:rPr>
        <w:t>制冷器运行噪声：≤35dB；</w:t>
      </w:r>
    </w:p>
    <w:p w14:paraId="1808C04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.7</w:t>
      </w:r>
      <w:r>
        <w:rPr>
          <w:rFonts w:hint="eastAsia" w:ascii="宋体" w:hAnsi="宋体" w:eastAsia="宋体" w:cs="宋体"/>
          <w:sz w:val="24"/>
          <w:szCs w:val="24"/>
        </w:rPr>
        <w:t>显示屏：≥5英寸可旋转触摸液晶显示屏，分辨率≥800×480；</w:t>
      </w:r>
    </w:p>
    <w:p w14:paraId="7F3E932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.8</w:t>
      </w:r>
      <w:r>
        <w:rPr>
          <w:rFonts w:hint="eastAsia" w:ascii="宋体" w:hAnsi="宋体" w:eastAsia="宋体" w:cs="宋体"/>
          <w:sz w:val="24"/>
          <w:szCs w:val="24"/>
        </w:rPr>
        <w:t>目镜分辨率：≥800×480（OLED，可旋转）；</w:t>
      </w:r>
    </w:p>
    <w:p w14:paraId="2BF4E7B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.9</w:t>
      </w:r>
      <w:r>
        <w:rPr>
          <w:rFonts w:hint="eastAsia" w:ascii="宋体" w:hAnsi="宋体" w:eastAsia="宋体" w:cs="宋体"/>
          <w:sz w:val="24"/>
          <w:szCs w:val="24"/>
        </w:rPr>
        <w:t>可见光摄像头像素：≥500万（CMOS，带补光灯）；</w:t>
      </w:r>
    </w:p>
    <w:p w14:paraId="574456B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.10</w:t>
      </w:r>
      <w:r>
        <w:rPr>
          <w:rFonts w:hint="eastAsia" w:ascii="宋体" w:hAnsi="宋体" w:eastAsia="宋体" w:cs="宋体"/>
          <w:sz w:val="24"/>
          <w:szCs w:val="24"/>
        </w:rPr>
        <w:t>手柄可旋转角度：≥270度；</w:t>
      </w:r>
    </w:p>
    <w:p w14:paraId="012C588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.11</w:t>
      </w:r>
      <w:r>
        <w:rPr>
          <w:rFonts w:hint="eastAsia" w:ascii="宋体" w:hAnsi="宋体" w:eastAsia="宋体" w:cs="宋体"/>
          <w:sz w:val="24"/>
          <w:szCs w:val="24"/>
        </w:rPr>
        <w:t>显示模式：可使用用户自定义的调色板伪彩显示热图，具有不少于10种伪彩色调色板，可以手动/自动调节色标，具备色标反向功能；</w:t>
      </w:r>
    </w:p>
    <w:p w14:paraId="28EED36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.12</w:t>
      </w:r>
      <w:r>
        <w:rPr>
          <w:rFonts w:hint="eastAsia" w:ascii="宋体" w:hAnsi="宋体" w:eastAsia="宋体" w:cs="宋体"/>
          <w:sz w:val="24"/>
          <w:szCs w:val="24"/>
        </w:rPr>
        <w:t>网络接口：可选配RJ45网络接口连接PC端，对仪器图像进行远程传输，可</w:t>
      </w:r>
      <w:r>
        <w:rPr>
          <w:rFonts w:hint="eastAsia" w:ascii="宋体" w:hAnsi="宋体" w:cs="宋体"/>
          <w:sz w:val="24"/>
          <w:szCs w:val="24"/>
          <w:lang w:val="en-US" w:eastAsia="zh-CN"/>
        </w:rPr>
        <w:t>对该</w:t>
      </w:r>
      <w:r>
        <w:rPr>
          <w:rFonts w:hint="eastAsia" w:ascii="宋体" w:hAnsi="宋体" w:eastAsia="宋体" w:cs="宋体"/>
          <w:sz w:val="24"/>
          <w:szCs w:val="24"/>
        </w:rPr>
        <w:t>仪器进行远程控制；</w:t>
      </w:r>
    </w:p>
    <w:p w14:paraId="3C1E092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.13</w:t>
      </w:r>
      <w:r>
        <w:rPr>
          <w:rFonts w:hint="eastAsia" w:ascii="宋体" w:hAnsi="宋体" w:cs="宋体"/>
          <w:sz w:val="24"/>
          <w:szCs w:val="24"/>
          <w:lang w:val="en-US" w:eastAsia="zh-CN"/>
        </w:rPr>
        <w:t>探测器</w:t>
      </w:r>
      <w:r>
        <w:rPr>
          <w:rFonts w:hint="eastAsia" w:ascii="宋体" w:hAnsi="宋体" w:eastAsia="宋体" w:cs="宋体"/>
          <w:sz w:val="24"/>
          <w:szCs w:val="24"/>
        </w:rPr>
        <w:t>变倍：1～8倍连续数字变倍；</w:t>
      </w:r>
    </w:p>
    <w:p w14:paraId="288195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rPr>
        <w:t>注：提供第三方检测机构出具的</w:t>
      </w:r>
      <w:r>
        <w:rPr>
          <w:rFonts w:hint="eastAsia" w:ascii="宋体" w:hAnsi="宋体" w:cs="宋体"/>
          <w:sz w:val="24"/>
          <w:szCs w:val="24"/>
          <w:lang w:val="en-US" w:eastAsia="zh-CN"/>
        </w:rPr>
        <w:t>CMA</w:t>
      </w:r>
      <w:r>
        <w:rPr>
          <w:rFonts w:hint="eastAsia" w:ascii="宋体" w:hAnsi="宋体" w:eastAsia="宋体" w:cs="宋体"/>
          <w:sz w:val="24"/>
          <w:szCs w:val="24"/>
        </w:rPr>
        <w:t>检测报告，检测报告须包含核心参数。</w:t>
      </w:r>
    </w:p>
    <w:p w14:paraId="4FF492C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）便携式氢火焰离子化检测仪（FID)（核心产品）</w:t>
      </w:r>
    </w:p>
    <w:p w14:paraId="5F9FA7EF">
      <w:pPr>
        <w:spacing w:line="520" w:lineRule="exact"/>
        <w:ind w:firstLine="480" w:firstLineChars="200"/>
        <w:rPr>
          <w:rFonts w:hint="eastAsia" w:ascii="宋体" w:hAnsi="宋体" w:eastAsia="宋体" w:cs="宋体"/>
          <w:sz w:val="24"/>
          <w:szCs w:val="24"/>
        </w:rPr>
      </w:pPr>
      <w:bookmarkStart w:id="98" w:name="_Hlk136788738"/>
      <w:r>
        <w:rPr>
          <w:rFonts w:hint="eastAsia" w:ascii="宋体" w:hAnsi="宋体" w:eastAsia="宋体" w:cs="宋体"/>
          <w:sz w:val="24"/>
          <w:szCs w:val="24"/>
        </w:rPr>
        <w:t>1.监测项目：固定污染源、厂界无组织、环境空气中的总烃、甲烷及非甲烷总烃的测定。检测原理为催化氧化-FID原理；</w:t>
      </w:r>
    </w:p>
    <w:p w14:paraId="0AFA573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检测器：微型化专用高温FID检测器，能实时自动检测当前FID火焰状态，当检测到火焰熄灭故障状态后发出报警，能自动点火，恢复正常运行；</w:t>
      </w:r>
    </w:p>
    <w:p w14:paraId="7789D9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样品采集部位具备加热、保温、过滤功能，加热温度在（0～180）℃可调节，实际温度在仪器中显示；</w:t>
      </w:r>
    </w:p>
    <w:p w14:paraId="32A3F06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★供气方式：分析仪应采用内置固态储合金供氢，氢气存储非高压，以安全的固态金属氢化物形式被存储，应可无工具手拧快速拆卸；</w:t>
      </w:r>
    </w:p>
    <w:p w14:paraId="0BCC140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FID助燃气：内置高温催化除烃零级空气发生器模块，FID助燃气无需外接钢瓶零级空气；</w:t>
      </w:r>
    </w:p>
    <w:p w14:paraId="0E81AA3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★储氢合金充氢方式可选择小型氢气发生器和高压气瓶两种方式，氢气发生器采用电解水原理；</w:t>
      </w:r>
    </w:p>
    <w:p w14:paraId="750AA009">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供电方式：仪器可通过电池或220V电源供电；分析仪电池可快速无工具拆卸，支持热插拔，可在不关机的状态下更换电池</w:t>
      </w:r>
      <w:r>
        <w:rPr>
          <w:rFonts w:hint="eastAsia" w:ascii="宋体" w:hAnsi="宋体" w:cs="宋体"/>
          <w:sz w:val="24"/>
          <w:szCs w:val="24"/>
          <w:lang w:eastAsia="zh-CN"/>
        </w:rPr>
        <w:t>；</w:t>
      </w:r>
    </w:p>
    <w:p w14:paraId="431D86D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★分析模式：分析周期支持1-120s可调，根据实际应用需求进行分期周期选择，可实现实时采样，实时响应；</w:t>
      </w:r>
    </w:p>
    <w:p w14:paraId="3831D9BD">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高温伴热：全程高温伴热样品传输，可有效避免高沸点、高浓度样品损失</w:t>
      </w:r>
      <w:r>
        <w:rPr>
          <w:rFonts w:hint="eastAsia" w:ascii="宋体" w:hAnsi="宋体" w:cs="宋体"/>
          <w:sz w:val="24"/>
          <w:szCs w:val="24"/>
          <w:lang w:eastAsia="zh-CN"/>
        </w:rPr>
        <w:t>；</w:t>
      </w:r>
    </w:p>
    <w:p w14:paraId="7268278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人机交互：内置彩色触摸显示屏，屏幕尺寸≥5英寸，具有中文数据采集、记录、处理和控制的软件，能进行实时浓度显示、方法选择。参数监控、建准曲线建立等操作；</w:t>
      </w:r>
    </w:p>
    <w:p w14:paraId="37509471">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仪器内置定位模块，可实时获取检测点位的位置信息</w:t>
      </w:r>
      <w:r>
        <w:rPr>
          <w:rFonts w:hint="eastAsia" w:ascii="宋体" w:hAnsi="宋体" w:cs="宋体"/>
          <w:sz w:val="24"/>
          <w:szCs w:val="24"/>
          <w:lang w:eastAsia="zh-CN"/>
        </w:rPr>
        <w:t>；</w:t>
      </w:r>
    </w:p>
    <w:p w14:paraId="16C718C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专业分析软件：软件全中文控制界面，具有具有参数监控、参数设置、历史数据查询等功能；软件应能够显示实时数据，可查询至少365天历史数据；仪器断电故障后，应能自动保存数据；恢复供电后系统可自动启动，恢复运行状态并正常开始工作。</w:t>
      </w:r>
    </w:p>
    <w:bookmarkEnd w:id="98"/>
    <w:p w14:paraId="06E78D8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技术指标</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6405"/>
      </w:tblGrid>
      <w:tr w14:paraId="264E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586" w:type="dxa"/>
            <w:vAlign w:val="center"/>
          </w:tcPr>
          <w:p w14:paraId="7C2CF803">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bookmarkStart w:id="99" w:name="_Hlk136788800"/>
            <w:r>
              <w:rPr>
                <w:rFonts w:hint="eastAsia" w:ascii="宋体" w:hAnsi="宋体" w:eastAsia="宋体" w:cs="宋体"/>
                <w:sz w:val="24"/>
                <w:szCs w:val="24"/>
              </w:rPr>
              <w:t>项目</w:t>
            </w:r>
          </w:p>
        </w:tc>
        <w:tc>
          <w:tcPr>
            <w:tcW w:w="6405" w:type="dxa"/>
            <w:vAlign w:val="center"/>
          </w:tcPr>
          <w:p w14:paraId="64337CFB">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技术指标</w:t>
            </w:r>
          </w:p>
        </w:tc>
      </w:tr>
      <w:tr w14:paraId="5053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86" w:type="dxa"/>
            <w:vAlign w:val="center"/>
          </w:tcPr>
          <w:p w14:paraId="2D8F48A5">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工作现场条件</w:t>
            </w:r>
          </w:p>
        </w:tc>
        <w:tc>
          <w:tcPr>
            <w:tcW w:w="6405" w:type="dxa"/>
            <w:vAlign w:val="center"/>
          </w:tcPr>
          <w:p w14:paraId="6CE2B556">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工作温度：-20℃~50℃；工作湿度：(0~95)%RH</w:t>
            </w:r>
          </w:p>
        </w:tc>
      </w:tr>
      <w:tr w14:paraId="7538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586" w:type="dxa"/>
            <w:vAlign w:val="center"/>
          </w:tcPr>
          <w:p w14:paraId="44C03335">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监测因子</w:t>
            </w:r>
          </w:p>
        </w:tc>
        <w:tc>
          <w:tcPr>
            <w:tcW w:w="6405" w:type="dxa"/>
            <w:vAlign w:val="center"/>
          </w:tcPr>
          <w:p w14:paraId="1C79517F">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总烃、甲烷、非甲烷总烃</w:t>
            </w:r>
          </w:p>
        </w:tc>
      </w:tr>
      <w:tr w14:paraId="0964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2586" w:type="dxa"/>
            <w:vAlign w:val="center"/>
          </w:tcPr>
          <w:p w14:paraId="08666A99">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检出限</w:t>
            </w:r>
          </w:p>
        </w:tc>
        <w:tc>
          <w:tcPr>
            <w:tcW w:w="6405" w:type="dxa"/>
            <w:vAlign w:val="center"/>
          </w:tcPr>
          <w:p w14:paraId="5C141485">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≤0.07 mg/m3（以碳计）</w:t>
            </w:r>
          </w:p>
        </w:tc>
      </w:tr>
      <w:tr w14:paraId="325C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586" w:type="dxa"/>
            <w:vAlign w:val="center"/>
          </w:tcPr>
          <w:p w14:paraId="615AE7DC">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量程</w:t>
            </w:r>
          </w:p>
        </w:tc>
        <w:tc>
          <w:tcPr>
            <w:tcW w:w="6405" w:type="dxa"/>
            <w:vAlign w:val="center"/>
          </w:tcPr>
          <w:p w14:paraId="777DDB8E">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（0-20/200/可定制）mg/m3</w:t>
            </w:r>
          </w:p>
        </w:tc>
      </w:tr>
      <w:tr w14:paraId="49D8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2586" w:type="dxa"/>
            <w:vAlign w:val="center"/>
          </w:tcPr>
          <w:p w14:paraId="6266A45B">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定量重复性</w:t>
            </w:r>
          </w:p>
        </w:tc>
        <w:tc>
          <w:tcPr>
            <w:tcW w:w="6405" w:type="dxa"/>
            <w:vAlign w:val="center"/>
          </w:tcPr>
          <w:p w14:paraId="16BC1E03">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≤1%</w:t>
            </w:r>
          </w:p>
        </w:tc>
      </w:tr>
      <w:tr w14:paraId="025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586" w:type="dxa"/>
            <w:vAlign w:val="center"/>
          </w:tcPr>
          <w:p w14:paraId="03B40254">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线性误差</w:t>
            </w:r>
          </w:p>
        </w:tc>
        <w:tc>
          <w:tcPr>
            <w:tcW w:w="6405" w:type="dxa"/>
            <w:vAlign w:val="center"/>
          </w:tcPr>
          <w:p w14:paraId="2BCA1394">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≤2% F.S.</w:t>
            </w:r>
          </w:p>
        </w:tc>
      </w:tr>
      <w:tr w14:paraId="594B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586" w:type="dxa"/>
            <w:vAlign w:val="center"/>
          </w:tcPr>
          <w:p w14:paraId="661C3E8F">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转化效率</w:t>
            </w:r>
          </w:p>
        </w:tc>
        <w:tc>
          <w:tcPr>
            <w:tcW w:w="6405" w:type="dxa"/>
            <w:vAlign w:val="center"/>
          </w:tcPr>
          <w:p w14:paraId="6498E9BD">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≥98%</w:t>
            </w:r>
          </w:p>
        </w:tc>
      </w:tr>
      <w:tr w14:paraId="66FE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586" w:type="dxa"/>
            <w:vAlign w:val="center"/>
          </w:tcPr>
          <w:p w14:paraId="4D7D03FD">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预热时间</w:t>
            </w:r>
          </w:p>
        </w:tc>
        <w:tc>
          <w:tcPr>
            <w:tcW w:w="6405" w:type="dxa"/>
            <w:vAlign w:val="center"/>
          </w:tcPr>
          <w:p w14:paraId="500EE89C">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≤8 min</w:t>
            </w:r>
          </w:p>
        </w:tc>
      </w:tr>
      <w:tr w14:paraId="5F00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6" w:type="dxa"/>
            <w:vAlign w:val="center"/>
          </w:tcPr>
          <w:p w14:paraId="2427D273">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供电</w:t>
            </w:r>
          </w:p>
        </w:tc>
        <w:tc>
          <w:tcPr>
            <w:tcW w:w="6405" w:type="dxa"/>
            <w:vAlign w:val="center"/>
          </w:tcPr>
          <w:p w14:paraId="26C141A6">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支持电池供电和220V供电两种形式，电池可快速无工具拆卸，持续使用时间时间≥8h</w:t>
            </w:r>
          </w:p>
        </w:tc>
      </w:tr>
      <w:tr w14:paraId="3C34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86" w:type="dxa"/>
            <w:vAlign w:val="center"/>
          </w:tcPr>
          <w:p w14:paraId="261CD1AA">
            <w:pPr>
              <w:keepNext w:val="0"/>
              <w:keepLines w:val="0"/>
              <w:suppressLineNumbers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氢气</w:t>
            </w:r>
          </w:p>
        </w:tc>
        <w:tc>
          <w:tcPr>
            <w:tcW w:w="6405" w:type="dxa"/>
            <w:vAlign w:val="center"/>
          </w:tcPr>
          <w:p w14:paraId="491B6D17">
            <w:pPr>
              <w:keepNext w:val="0"/>
              <w:keepLines w:val="0"/>
              <w:suppressLineNumbers w:val="0"/>
              <w:spacing w:before="0" w:beforeAutospacing="0" w:after="0" w:afterAutospacing="0" w:line="520" w:lineRule="exact"/>
              <w:ind w:left="0" w:right="0"/>
              <w:jc w:val="left"/>
              <w:rPr>
                <w:rFonts w:hint="eastAsia" w:ascii="宋体" w:hAnsi="宋体" w:eastAsia="宋体" w:cs="宋体"/>
                <w:sz w:val="24"/>
                <w:szCs w:val="24"/>
              </w:rPr>
            </w:pPr>
            <w:r>
              <w:rPr>
                <w:rFonts w:hint="eastAsia" w:ascii="宋体" w:hAnsi="宋体" w:eastAsia="宋体" w:cs="宋体"/>
                <w:sz w:val="24"/>
                <w:szCs w:val="24"/>
              </w:rPr>
              <w:t>标配储氢合金，连续使用时间≥12h</w:t>
            </w:r>
          </w:p>
        </w:tc>
      </w:tr>
      <w:bookmarkEnd w:id="99"/>
    </w:tbl>
    <w:p w14:paraId="7B1864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单套配置要求：分析仪主机及控制软件1套；氢气发生器1套；储氢合金4个；可拆卸电池4套；电源适配器1套；温度可调采样伴热管线1套；便携热敏打印机1台。</w:t>
      </w:r>
    </w:p>
    <w:p w14:paraId="7123C4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注：提供第三方检测机构出具的</w:t>
      </w:r>
      <w:r>
        <w:rPr>
          <w:rFonts w:hint="eastAsia" w:ascii="宋体" w:hAnsi="宋体" w:cs="宋体"/>
          <w:sz w:val="24"/>
          <w:szCs w:val="24"/>
          <w:lang w:val="en-US" w:eastAsia="zh-CN"/>
        </w:rPr>
        <w:t>CMA</w:t>
      </w:r>
      <w:r>
        <w:rPr>
          <w:rFonts w:hint="eastAsia" w:ascii="宋体" w:hAnsi="宋体" w:eastAsia="宋体" w:cs="宋体"/>
          <w:sz w:val="24"/>
          <w:szCs w:val="24"/>
        </w:rPr>
        <w:t>检测报告，检测报告须包含核心参数。</w:t>
      </w:r>
    </w:p>
    <w:p w14:paraId="60F0466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lang w:val="en-US" w:eastAsia="zh-CN"/>
        </w:rPr>
        <w:t>）便携</w:t>
      </w:r>
      <w:r>
        <w:rPr>
          <w:rFonts w:hint="eastAsia" w:ascii="宋体" w:hAnsi="宋体" w:eastAsia="宋体" w:cs="宋体"/>
          <w:b/>
          <w:bCs/>
          <w:color w:val="000000" w:themeColor="text1"/>
          <w:sz w:val="24"/>
          <w:szCs w:val="24"/>
          <w:lang w:val="en-US" w:eastAsia="zh-CN"/>
          <w14:textFill>
            <w14:solidFill>
              <w14:schemeClr w14:val="tx1"/>
            </w14:solidFill>
          </w14:textFill>
        </w:rPr>
        <w:t>式林格曼黑</w:t>
      </w:r>
      <w:r>
        <w:rPr>
          <w:rFonts w:hint="eastAsia" w:ascii="宋体" w:hAnsi="宋体" w:eastAsia="宋体" w:cs="宋体"/>
          <w:b/>
          <w:bCs/>
          <w:color w:val="auto"/>
          <w:sz w:val="24"/>
          <w:szCs w:val="24"/>
          <w:lang w:val="en-US" w:eastAsia="zh-CN"/>
        </w:rPr>
        <w:t>度检测仪（核心产品）</w:t>
      </w:r>
    </w:p>
    <w:p w14:paraId="689800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符合国家GB3847-2018和GB36886-2018标准；</w:t>
      </w:r>
    </w:p>
    <w:p w14:paraId="4BBEAD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便捷性强，整个设备由采集摄像头及手机组成，安装简单、携带方便；</w:t>
      </w:r>
    </w:p>
    <w:p w14:paraId="77BAD9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分体式结构，采集与分析单元分开，设备轻巧，单人即可轻松操作；</w:t>
      </w:r>
    </w:p>
    <w:p w14:paraId="0AD6B3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分析速度快，拥有强大软件加持，能即时计算出林格曼黑度等级值；</w:t>
      </w:r>
    </w:p>
    <w:p w14:paraId="2517C5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加长2.1m伸缩连杆，采集孔尺寸≥9cm ×9cm适用多种排烟口位置，并使操作员远离尾气；</w:t>
      </w:r>
    </w:p>
    <w:p w14:paraId="12F7B4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采集摄像头自带8颗LED专业补光灯，可日夜进行烟气检测；</w:t>
      </w:r>
    </w:p>
    <w:p w14:paraId="4BA082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7.采用不低于</w:t>
      </w:r>
      <w:r>
        <w:rPr>
          <w:rFonts w:hint="eastAsia" w:ascii="宋体" w:hAnsi="宋体" w:eastAsia="宋体" w:cs="宋体"/>
          <w:color w:val="auto"/>
          <w:sz w:val="24"/>
          <w:szCs w:val="24"/>
          <w:lang w:val="zh-CN" w:eastAsia="zh-CN"/>
        </w:rPr>
        <w:t>0.3秒自动对焦、85°视角、30帧超高清采集摄像头，采集视频清晰；</w:t>
      </w:r>
    </w:p>
    <w:p w14:paraId="4646B1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仪器可不使用手机终端单独完成检测；</w:t>
      </w:r>
    </w:p>
    <w:p w14:paraId="13BC0C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内置强劲算法软件，精确到0.01级，识别精准；</w:t>
      </w:r>
    </w:p>
    <w:p w14:paraId="3C798D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eastAsia="zh-CN"/>
        </w:rPr>
        <w:t>电池容量大，整机操作可连续使用 6小时以上；</w:t>
      </w:r>
    </w:p>
    <w:p w14:paraId="24D053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val="zh-CN" w:eastAsia="zh-CN"/>
        </w:rPr>
        <w:t>设备内置采集腔体，用于采集尾气及屏蔽环境干扰；</w:t>
      </w:r>
    </w:p>
    <w:p w14:paraId="729B6A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val="zh-CN" w:eastAsia="zh-CN"/>
        </w:rPr>
        <w:t>采集腔体内置补光单元，补光单元发光面积≥20cm²；</w:t>
      </w:r>
    </w:p>
    <w:p w14:paraId="6C3869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val="zh-CN" w:eastAsia="zh-CN"/>
        </w:rPr>
        <w:t>设备内置灰度参考板，且具有灵活结构，能快速对参考板进行清洁；</w:t>
      </w:r>
    </w:p>
    <w:p w14:paraId="4EB715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val="zh-CN" w:eastAsia="zh-CN"/>
        </w:rPr>
        <w:t>智能终端分析、显示，完整呈现整个证据链；</w:t>
      </w:r>
    </w:p>
    <w:p w14:paraId="5DAB2B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lang w:val="zh-CN" w:eastAsia="zh-CN"/>
        </w:rPr>
        <w:t>技术要求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732D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7A7730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测量对象</w:t>
            </w:r>
          </w:p>
        </w:tc>
        <w:tc>
          <w:tcPr>
            <w:tcW w:w="6571" w:type="dxa"/>
            <w:noWrap w:val="0"/>
            <w:vAlign w:val="top"/>
          </w:tcPr>
          <w:p w14:paraId="14ED5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压燃式发动机机动车车辆和机械</w:t>
            </w:r>
          </w:p>
        </w:tc>
      </w:tr>
      <w:tr w14:paraId="1215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2154E3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测量范围</w:t>
            </w:r>
          </w:p>
        </w:tc>
        <w:tc>
          <w:tcPr>
            <w:tcW w:w="6571" w:type="dxa"/>
            <w:noWrap w:val="0"/>
            <w:vAlign w:val="top"/>
          </w:tcPr>
          <w:p w14:paraId="50AAA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林格曼黑度 0-5 级</w:t>
            </w:r>
          </w:p>
        </w:tc>
      </w:tr>
      <w:tr w14:paraId="4F8B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6B06E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测量误差</w:t>
            </w:r>
          </w:p>
        </w:tc>
        <w:tc>
          <w:tcPr>
            <w:tcW w:w="6571" w:type="dxa"/>
            <w:noWrap w:val="0"/>
            <w:vAlign w:val="top"/>
          </w:tcPr>
          <w:p w14:paraId="55521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±0.01 级</w:t>
            </w:r>
          </w:p>
        </w:tc>
      </w:tr>
      <w:tr w14:paraId="4540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0977AD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测量时间</w:t>
            </w:r>
          </w:p>
        </w:tc>
        <w:tc>
          <w:tcPr>
            <w:tcW w:w="6571" w:type="dxa"/>
            <w:noWrap w:val="0"/>
            <w:vAlign w:val="top"/>
          </w:tcPr>
          <w:p w14:paraId="01360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≤1s</w:t>
            </w:r>
          </w:p>
        </w:tc>
      </w:tr>
      <w:tr w14:paraId="0BA9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13ED0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显示屏</w:t>
            </w:r>
          </w:p>
        </w:tc>
        <w:tc>
          <w:tcPr>
            <w:tcW w:w="6571" w:type="dxa"/>
            <w:noWrap w:val="0"/>
            <w:vAlign w:val="top"/>
          </w:tcPr>
          <w:p w14:paraId="0439B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≥10.1寸电容式触摸屏</w:t>
            </w:r>
          </w:p>
        </w:tc>
      </w:tr>
      <w:tr w14:paraId="15BD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5148C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采集腔</w:t>
            </w:r>
            <w:r>
              <w:rPr>
                <w:rFonts w:hint="eastAsia" w:ascii="宋体" w:hAnsi="宋体" w:eastAsia="宋体" w:cs="宋体"/>
                <w:color w:val="auto"/>
                <w:sz w:val="24"/>
                <w:szCs w:val="24"/>
                <w:lang w:val="en-US" w:eastAsia="zh-CN"/>
              </w:rPr>
              <w:t>★</w:t>
            </w:r>
          </w:p>
        </w:tc>
        <w:tc>
          <w:tcPr>
            <w:tcW w:w="6571" w:type="dxa"/>
            <w:noWrap w:val="0"/>
            <w:vAlign w:val="top"/>
          </w:tcPr>
          <w:p w14:paraId="537377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≥800W像素超高清摄像头，≤0.3S自动对焦</w:t>
            </w:r>
          </w:p>
        </w:tc>
      </w:tr>
      <w:tr w14:paraId="6E2E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51" w:type="dxa"/>
            <w:noWrap w:val="0"/>
            <w:vAlign w:val="top"/>
          </w:tcPr>
          <w:p w14:paraId="3DAC9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内置灯光</w:t>
            </w:r>
          </w:p>
        </w:tc>
        <w:tc>
          <w:tcPr>
            <w:tcW w:w="6571" w:type="dxa"/>
            <w:noWrap w:val="0"/>
            <w:vAlign w:val="top"/>
          </w:tcPr>
          <w:p w14:paraId="07DD7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8 颗 LED 灯，可调亮度</w:t>
            </w:r>
          </w:p>
        </w:tc>
      </w:tr>
      <w:tr w14:paraId="0AB6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3146A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采集孔</w:t>
            </w:r>
          </w:p>
        </w:tc>
        <w:tc>
          <w:tcPr>
            <w:tcW w:w="6571" w:type="dxa"/>
            <w:noWrap w:val="0"/>
            <w:vAlign w:val="top"/>
          </w:tcPr>
          <w:p w14:paraId="64AB1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尺寸≥9cm ×9cm</w:t>
            </w:r>
          </w:p>
        </w:tc>
      </w:tr>
      <w:tr w14:paraId="75E6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3EB75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补光单元</w:t>
            </w:r>
          </w:p>
        </w:tc>
        <w:tc>
          <w:tcPr>
            <w:tcW w:w="6571" w:type="dxa"/>
            <w:noWrap w:val="0"/>
            <w:vAlign w:val="top"/>
          </w:tcPr>
          <w:p w14:paraId="63C8D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发光面积≥20cm²</w:t>
            </w:r>
          </w:p>
        </w:tc>
      </w:tr>
      <w:tr w14:paraId="3592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5DA8D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采集杆</w:t>
            </w:r>
          </w:p>
        </w:tc>
        <w:tc>
          <w:tcPr>
            <w:tcW w:w="6571" w:type="dxa"/>
            <w:noWrap w:val="0"/>
            <w:vAlign w:val="top"/>
          </w:tcPr>
          <w:p w14:paraId="2E9C4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0.8-2.1m可伸缩可调</w:t>
            </w:r>
          </w:p>
        </w:tc>
      </w:tr>
      <w:tr w14:paraId="0471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3CFD3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电源</w:t>
            </w:r>
          </w:p>
        </w:tc>
        <w:tc>
          <w:tcPr>
            <w:tcW w:w="6571" w:type="dxa"/>
            <w:noWrap w:val="0"/>
            <w:vAlign w:val="top"/>
          </w:tcPr>
          <w:p w14:paraId="4248A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AC220V 50Hz；1.5A</w:t>
            </w:r>
          </w:p>
        </w:tc>
      </w:tr>
      <w:tr w14:paraId="560D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0C36D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打印机</w:t>
            </w:r>
          </w:p>
        </w:tc>
        <w:tc>
          <w:tcPr>
            <w:tcW w:w="6571" w:type="dxa"/>
            <w:noWrap w:val="0"/>
            <w:vAlign w:val="top"/>
          </w:tcPr>
          <w:p w14:paraId="27EDD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蓝牙热敏打印机</w:t>
            </w:r>
          </w:p>
        </w:tc>
      </w:tr>
      <w:tr w14:paraId="23D1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0999C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证据链</w:t>
            </w:r>
          </w:p>
        </w:tc>
        <w:tc>
          <w:tcPr>
            <w:tcW w:w="6571" w:type="dxa"/>
            <w:noWrap w:val="0"/>
            <w:vAlign w:val="top"/>
          </w:tcPr>
          <w:p w14:paraId="77EA1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自动录制保存视频</w:t>
            </w:r>
          </w:p>
        </w:tc>
      </w:tr>
      <w:tr w14:paraId="21F4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14:paraId="420ED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数据记录</w:t>
            </w:r>
          </w:p>
        </w:tc>
        <w:tc>
          <w:tcPr>
            <w:tcW w:w="6571" w:type="dxa"/>
            <w:noWrap w:val="0"/>
            <w:vAlign w:val="top"/>
          </w:tcPr>
          <w:p w14:paraId="767F9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检测日期、检测时间、检测单位、被测单位、车牌号、检测地点、林格曼级别等</w:t>
            </w:r>
          </w:p>
        </w:tc>
      </w:tr>
    </w:tbl>
    <w:p w14:paraId="59D16E2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在</w:t>
      </w:r>
      <w:r>
        <w:rPr>
          <w:rFonts w:hint="eastAsia" w:ascii="宋体" w:hAnsi="宋体" w:eastAsia="宋体" w:cs="宋体"/>
          <w:b/>
          <w:bCs/>
          <w:color w:val="auto"/>
          <w:sz w:val="24"/>
          <w:szCs w:val="24"/>
          <w:lang w:val="en-US" w:eastAsia="zh-CN"/>
        </w:rPr>
        <w:t>用车尾气检测仪</w:t>
      </w:r>
    </w:p>
    <w:p w14:paraId="04BE40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1.烟度计具备烟室压力测量功能，且烟室中排气压力与大气压力之差满足GB3847-2018要求；</w:t>
      </w:r>
    </w:p>
    <w:p w14:paraId="4121A0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2.烟度计采用可热插拔 USB 无线通信模块，内置多种无线配置模式，使用更加便捷；（出具证明材料）</w:t>
      </w:r>
    </w:p>
    <w:p w14:paraId="19EE24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3.设备采用高性能锂电池，环境温度在25℃时，续航时间不低于9小时；</w:t>
      </w:r>
    </w:p>
    <w:p w14:paraId="2439F7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4.检测软件具备行驶证图像识别技术，车辆信息输入便捷和高效，采用二维码扫描，识别环保登记号和申报识别号；</w:t>
      </w:r>
    </w:p>
    <w:p w14:paraId="394FF1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5.烟度计自带显示模块，可单机标定，计量检定无需外部显示设备；（需提供实物照片并加盖厂家公章）</w:t>
      </w:r>
    </w:p>
    <w:p w14:paraId="1BE290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6.集成化设计，携带方便，子设备之间无连接线，检测流程高效便携。</w:t>
      </w:r>
    </w:p>
    <w:p w14:paraId="631CB6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7.汽车排放气体测试仪界面图像化设计，菜单式操作，采用触控屏，使用方便；</w:t>
      </w:r>
    </w:p>
    <w:p w14:paraId="3B9C1A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8.参数要求</w:t>
      </w:r>
    </w:p>
    <w:p w14:paraId="71319F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8.1透射式烟度计（需提供计量器具型式批准证书并加盖厂家公章）</w:t>
      </w:r>
    </w:p>
    <w:p w14:paraId="1BFBCA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8.2★测量范围：（1）吸收比(Ns)：0%～99.90%；（2）光吸收系数(K)（0～16.08）m-1；</w:t>
      </w:r>
    </w:p>
    <w:p w14:paraId="1CE1F2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8.3分辨率：（1）吸收比(N)：0.01%；（2）光吸收系数(K)：0.01 m-1；</w:t>
      </w:r>
    </w:p>
    <w:p w14:paraId="54BB65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8.4最大允许误差(绝对误差)：1；吸收比(N)：±2.0%；</w:t>
      </w:r>
    </w:p>
    <w:p w14:paraId="71A4B7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8.5移动终端：</w:t>
      </w:r>
    </w:p>
    <w:p w14:paraId="7575D6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①屏幕：不小于8英寸</w:t>
      </w:r>
    </w:p>
    <w:p w14:paraId="339594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②★操作系统：国产系统</w:t>
      </w:r>
    </w:p>
    <w:p w14:paraId="6D9D87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③CPU：不低于4核</w:t>
      </w:r>
    </w:p>
    <w:p w14:paraId="30A3D1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④路由器：支持4G全网通；Wi-Fi支持2.4G和5G双频，150Mbps疾速上网，Wi-Fi加密认证</w:t>
      </w:r>
    </w:p>
    <w:p w14:paraId="3112F4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⑤打印类型：便携式彩色（配置彩色液晶屏），使用A4纸张；</w:t>
      </w:r>
    </w:p>
    <w:p w14:paraId="75C609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8.6移动源五参数综合测试仪：</w:t>
      </w:r>
    </w:p>
    <w:p w14:paraId="1CDE15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①★具备测量环境温度、湿度、大气压及发动机油温、转速数据的功能；（需提供软著并加盖厂家公章扫描件）</w:t>
      </w:r>
    </w:p>
    <w:p w14:paraId="5E9805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②测量范围：温度(-20～60)℃，湿度(0～95)%RH，大气压(40～110)kPa，油温(-30～150)℃，转速（500～6000）r/min</w:t>
      </w:r>
    </w:p>
    <w:p w14:paraId="307125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③分辨率：温度0.1℃，湿度0.1%RH，大气压0.1kPa，油温（0.1℃），转速 1rpm</w:t>
      </w:r>
    </w:p>
    <w:p w14:paraId="75CBEB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④示值误差：温度±0.5℃，湿度±3%RH，大气压±0.5kPa，油温（±2℃），转速±1%</w:t>
      </w:r>
    </w:p>
    <w:p w14:paraId="55E21CB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lang w:val="en-US" w:eastAsia="zh-CN"/>
        </w:rPr>
        <w:t>）车用</w:t>
      </w:r>
      <w:r>
        <w:rPr>
          <w:rFonts w:hint="eastAsia" w:ascii="宋体" w:hAnsi="宋体" w:cs="宋体"/>
          <w:b/>
          <w:bCs/>
          <w:color w:val="auto"/>
          <w:sz w:val="24"/>
          <w:szCs w:val="24"/>
          <w:lang w:val="en-US" w:eastAsia="zh-CN"/>
        </w:rPr>
        <w:t>尿素</w:t>
      </w:r>
      <w:r>
        <w:rPr>
          <w:rFonts w:hint="eastAsia" w:ascii="宋体" w:hAnsi="宋体" w:eastAsia="宋体" w:cs="宋体"/>
          <w:b/>
          <w:bCs/>
          <w:color w:val="auto"/>
          <w:sz w:val="24"/>
          <w:szCs w:val="24"/>
          <w:lang w:val="en-US" w:eastAsia="zh-CN"/>
        </w:rPr>
        <w:t>检定仪</w:t>
      </w:r>
    </w:p>
    <w:p w14:paraId="48BB6D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1.0-40℃自动温度补偿(ATC)；</w:t>
      </w:r>
    </w:p>
    <w:p w14:paraId="095FFF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2.使用蒸馏水校准；</w:t>
      </w:r>
    </w:p>
    <w:p w14:paraId="622D8F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3.三分钟无操作自动关机；</w:t>
      </w:r>
    </w:p>
    <w:p w14:paraId="065735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4.不锈钢样品池；</w:t>
      </w:r>
    </w:p>
    <w:p w14:paraId="7AE0FB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5.使用湿度：低于90%，使用海拔</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低于2000m，使用温度：0℃(32℉) -40℃ (104℉)，储存温度</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-10℃ (14℉)- 50℃(122℉)；</w:t>
      </w:r>
    </w:p>
    <w:p w14:paraId="707545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6.使用时间</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每节电池支持多于8000次的测量；</w:t>
      </w:r>
    </w:p>
    <w:p w14:paraId="1A839B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7.检测范围：25-38% ；</w:t>
      </w:r>
    </w:p>
    <w:p w14:paraId="2AA3D3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.分辨率：0.1%；精度：±0.2%</w:t>
      </w:r>
      <w:r>
        <w:rPr>
          <w:rFonts w:hint="eastAsia" w:ascii="宋体" w:hAnsi="宋体" w:cs="宋体"/>
          <w:color w:val="auto"/>
          <w:sz w:val="24"/>
          <w:szCs w:val="24"/>
          <w:lang w:val="en-US" w:eastAsia="zh-CN"/>
        </w:rPr>
        <w:t>。</w:t>
      </w:r>
    </w:p>
    <w:p w14:paraId="51D9618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十</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油品硫含量检测仪</w:t>
      </w:r>
    </w:p>
    <w:p w14:paraId="186C09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1.设备结构包括主机，以及现场检测正常使用所必须的电源、样品盒、密封膜等全部配件</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设备自身具备一定的抗震动和辐射防护设计，在使用现场不需要单独携带额外的支架或辐射防护配件。</w:t>
      </w:r>
    </w:p>
    <w:p w14:paraId="4C07C4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2.测试原理：能量色散X射线荧光光谱法；满足GB/T 17040-2019《石油和石油产品中硫含量的测定能量色散X射线荧光光谱法》。</w:t>
      </w:r>
    </w:p>
    <w:p w14:paraId="15861E5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3.参数要求</w:t>
      </w:r>
    </w:p>
    <w:p w14:paraId="056DB3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3.1检测范围：0.5mg/kg-60000mg/kg；</w:t>
      </w:r>
    </w:p>
    <w:p w14:paraId="41C130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3.2检出限：0.5mg/kg；</w:t>
      </w:r>
    </w:p>
    <w:p w14:paraId="408547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3.3准确度：样品硫元素含量不超过10mg/kg</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RSD≤10%；样品硫元素含量超过10mg/kg时RSD≤5%；</w:t>
      </w:r>
    </w:p>
    <w:p w14:paraId="183BE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3.4样品检测时间不超过100S，并可调；</w:t>
      </w:r>
    </w:p>
    <w:p w14:paraId="2E78BC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3.5★数据显示系统：显示器不小于5英寸，采用工业级彩色触摸屏，仪器自带一体化可收纳式彩色触摸屏显示器，屏幕可上下翻转，便于直观查看数据；（出具证明材料）</w:t>
      </w:r>
    </w:p>
    <w:p w14:paraId="27B50F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3.6结果记录简便性：检测结果可现场读取并打印；设备可储存、调看不少于10万条历史检测结果；</w:t>
      </w:r>
    </w:p>
    <w:p w14:paraId="713CD7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★便携性</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主机及所有配件（不需要携带到现场的替换配件不计入）方便一人携带，同时可解放双手、适合单兵作业；</w:t>
      </w:r>
    </w:p>
    <w:p w14:paraId="217297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核心元件寿命：正常连续使用时间≥8000小时；</w:t>
      </w:r>
    </w:p>
    <w:p w14:paraId="4E73F2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环境温度与湿度</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0℃～40℃环境可正常使用，并可在-20℃～50℃环境下长时间存放。在20%～80%RH环境可正常使用；</w:t>
      </w:r>
    </w:p>
    <w:p w14:paraId="4B36F8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操作系统简便</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设备操作界面简便，满足环保执法常规需要；</w:t>
      </w:r>
    </w:p>
    <w:p w14:paraId="7778A7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电池：自带移动电源，支持连续检测样品数量≥50个，电池不插入设备可在电池上直接查看电池电量，且插入设备也可在电池上直接查看电池电量。（出具证明材料）</w:t>
      </w:r>
    </w:p>
    <w:p w14:paraId="0A489A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防震功能：设备须具有防震功能。</w:t>
      </w:r>
    </w:p>
    <w:p w14:paraId="264833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安全性保证：设备应具有屏蔽样品舱等防护措施，具有在测试过程中样品舱的止锁功能。具有自动切断保护装置、安全联动锁装置，样品舱关闭后属于全封闭性能，操作界面有样品舱关闭提示功能，可通过软件和外部机械开关打开样品舱。（出具证明材料）</w:t>
      </w:r>
    </w:p>
    <w:p w14:paraId="0BA72A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★云端服务功能：设备有配套使用可同步控制的移动端APP服务，移动端APP服务具有数据累积汇总，标签信息卡片化管理；可同步录入标签信息、测试仪器，返回实时数据；设备支持手工录入数据等功能</w:t>
      </w:r>
      <w:r>
        <w:rPr>
          <w:rFonts w:hint="eastAsia" w:ascii="宋体" w:hAnsi="宋体" w:cs="宋体"/>
          <w:color w:val="auto"/>
          <w:sz w:val="24"/>
          <w:szCs w:val="24"/>
          <w:lang w:val="en-US" w:eastAsia="zh-CN"/>
        </w:rPr>
        <w:t>。</w:t>
      </w:r>
    </w:p>
    <w:p w14:paraId="3E2917A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十一</w:t>
      </w:r>
      <w:r>
        <w:rPr>
          <w:rFonts w:hint="eastAsia" w:ascii="宋体" w:hAnsi="宋体" w:eastAsia="宋体" w:cs="宋体"/>
          <w:b/>
          <w:bCs/>
          <w:color w:val="auto"/>
          <w:sz w:val="24"/>
          <w:szCs w:val="24"/>
          <w:lang w:val="en-US" w:eastAsia="zh-CN"/>
        </w:rPr>
        <w:t>）通用车载诊断仪（OBD）</w:t>
      </w:r>
    </w:p>
    <w:p w14:paraId="058F53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1.全系统全车型诊断，支持读码、清码、读数据流、动作测试、设码、匹配等功能；</w:t>
      </w:r>
    </w:p>
    <w:p w14:paraId="758896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2.支持超级远程诊断+本地诊断双模式；</w:t>
      </w:r>
    </w:p>
    <w:p w14:paraId="765D9D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3.支持多通道极速扫描、拓扑图、引脚检测等功能；</w:t>
      </w:r>
    </w:p>
    <w:p w14:paraId="1460CB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4.支持CAN2.0/DOIP协议/J2534标准/D-PDU标准。</w:t>
      </w:r>
    </w:p>
    <w:p w14:paraId="0633D9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5.主机技术要求</w:t>
      </w:r>
    </w:p>
    <w:p w14:paraId="181EFC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5.1处理器：4核2.0 GHz及以上；</w:t>
      </w:r>
    </w:p>
    <w:p w14:paraId="36C982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5.2储存：内存≥4GB，存储≥64GB；</w:t>
      </w:r>
    </w:p>
    <w:p w14:paraId="36F55E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5.3电池：容量不小于6000mAh；</w:t>
      </w:r>
    </w:p>
    <w:p w14:paraId="60E187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5.4显示屏：屏幕≥10英寸，分辨率≥1280×800，摄像头≥800万像素；</w:t>
      </w:r>
    </w:p>
    <w:p w14:paraId="0AE31B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5.5传输模式：Wi-Fi（2.4GHz/5GHz(双频支持4G)）、蓝牙（BT5.1并向下兼容）。</w:t>
      </w:r>
    </w:p>
    <w:p w14:paraId="715B38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6.诊断盒技术要求</w:t>
      </w:r>
    </w:p>
    <w:p w14:paraId="589253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6.1CPU：双处理器Cortex-A7+Cortex-M7，操作系统：Linux</w:t>
      </w:r>
    </w:p>
    <w:p w14:paraId="1900F4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6.2内存≥256M，存储≥8GB；</w:t>
      </w:r>
    </w:p>
    <w:p w14:paraId="53ECF4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6.3分辨率：≥320×480；</w:t>
      </w:r>
    </w:p>
    <w:p w14:paraId="150470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6.4通讯方式：本地诊断模式Wi-Fi/蓝牙/USB；</w:t>
      </w:r>
    </w:p>
    <w:p w14:paraId="637EB8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6.5远程诊断模式：以太网/Wi-Fi。</w:t>
      </w:r>
    </w:p>
    <w:p w14:paraId="1043B82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w:t>
      </w: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）氮氧化物检测仪</w:t>
      </w:r>
    </w:p>
    <w:p w14:paraId="6C3D84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1.环境温度： +5℃~+40℃；</w:t>
      </w:r>
    </w:p>
    <w:p w14:paraId="2E56F6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2.相对湿度：≦90％(非冷凝)；</w:t>
      </w:r>
    </w:p>
    <w:p w14:paraId="1979F2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3.大气压：86 kPa~106 kPa；</w:t>
      </w:r>
    </w:p>
    <w:p w14:paraId="2524DC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4.电源：电压DC10.6V~12.8V；</w:t>
      </w:r>
    </w:p>
    <w:p w14:paraId="0AA14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5.测量范围：氮氧化物 (0~3000) ppm；</w:t>
      </w:r>
    </w:p>
    <w:p w14:paraId="21ED4B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6.分辨率：氮氧化物1 ppm；</w:t>
      </w:r>
    </w:p>
    <w:p w14:paraId="03C3B8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7.示值允许误差：氮氧化物，相对误差±10%；</w:t>
      </w:r>
    </w:p>
    <w:p w14:paraId="1B53BD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8.测量方式：排放污染物安装取样管直接取样。</w:t>
      </w:r>
    </w:p>
    <w:p w14:paraId="5F55A9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9.重复性：</w:t>
      </w:r>
    </w:p>
    <w:p w14:paraId="52B4BE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0~90</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ppm</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 xml:space="preserve">    17 ppm</w:t>
      </w:r>
    </w:p>
    <w:p w14:paraId="555F4D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91~1500 ppm    10%</w:t>
      </w:r>
    </w:p>
    <w:p w14:paraId="77881E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1501~3000ppm   10%</w:t>
      </w:r>
    </w:p>
    <w:p w14:paraId="6DB9EF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10.预热时间：≤2分钟。</w:t>
      </w:r>
    </w:p>
    <w:p w14:paraId="0C8A12C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（十三）轻型无人机</w:t>
      </w:r>
    </w:p>
    <w:p w14:paraId="3AEF74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13.1最大起飞重量：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1450g。</w:t>
      </w:r>
    </w:p>
    <w:p w14:paraId="047CF5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13.2折叠后尺寸(长×宽×高)：</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270</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mm</w:t>
      </w:r>
      <w:r>
        <w:rPr>
          <w:rFonts w:hint="eastAsia" w:ascii="宋体" w:hAnsi="宋体" w:eastAsia="宋体" w:cs="宋体"/>
          <w:color w:val="auto"/>
          <w:sz w:val="24"/>
          <w:szCs w:val="24"/>
          <w:lang w:val="en-US" w:eastAsia="zh-CN"/>
        </w:rPr>
        <w:t>。</w:t>
      </w:r>
    </w:p>
    <w:p w14:paraId="1272EB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13.3对角线轴距：≤443mm。</w:t>
      </w:r>
    </w:p>
    <w:p w14:paraId="2EB44D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13.4最大信号有效距离(无干扰、无遮挡)：≥15km。 </w:t>
      </w:r>
    </w:p>
    <w:p w14:paraId="35C79A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13.5★最长飞行时间：≥49分钟。</w:t>
      </w:r>
    </w:p>
    <w:p w14:paraId="24A94A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13.6定位悬停精度：垂直≤0.1 m，水平≤0.1 m。 </w:t>
      </w:r>
    </w:p>
    <w:p w14:paraId="6A7F8F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13.7★GNSS：单北斗。</w:t>
      </w:r>
    </w:p>
    <w:p w14:paraId="4E52FC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13.8★支持人车船目标的AI 识别。</w:t>
      </w:r>
    </w:p>
    <w:p w14:paraId="1CBA00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13.9广角相机有效像素不低于4800万，同时具备中长焦相机。</w:t>
      </w:r>
    </w:p>
    <w:p w14:paraId="03D781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13.10可见光相机变焦倍数≥112倍。</w:t>
      </w:r>
    </w:p>
    <w:p w14:paraId="177AAB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13.11红外热成像分辨率：≥640*512。</w:t>
      </w:r>
    </w:p>
    <w:p w14:paraId="1176D4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13.12配备热成像相机，采用非制冷氧化钒传感器，测温方式： 支持点测温和区域测温。</w:t>
      </w:r>
    </w:p>
    <w:p w14:paraId="60C654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13.13支持近红外补光灯。</w:t>
      </w:r>
    </w:p>
    <w:p w14:paraId="42F448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13.14遥控器：屏幕显示分辨率≥1920*1080p。</w:t>
      </w:r>
    </w:p>
    <w:p w14:paraId="423E9A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13.15智能飞行电池：容量≥6700毫安时，配备系列电池≥2块。</w:t>
      </w:r>
    </w:p>
    <w:p w14:paraId="67C670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13.16提供不少于2年的保险：在服务期内，由于意外导致的设备损坏，可享受在保障额度内的免维修费。</w:t>
      </w:r>
    </w:p>
    <w:p w14:paraId="21C404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13.17为采购人培训14名民用无人机驾驶员并取得操作驾驶证。</w:t>
      </w:r>
    </w:p>
    <w:p w14:paraId="0FAB7EC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（十四）现场文书制作装备</w:t>
      </w:r>
    </w:p>
    <w:p w14:paraId="73EA7C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包括笔记本电脑、便携式彩色打印机，配备手提式防护包，方便携带。</w:t>
      </w:r>
    </w:p>
    <w:p w14:paraId="4C5BC64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14.1笔记本电脑</w:t>
      </w:r>
    </w:p>
    <w:p w14:paraId="6AF23A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14.1.1CPU：ARM 架构，核心数≥8，最高主频≥3.0GHz；</w:t>
      </w:r>
    </w:p>
    <w:p w14:paraId="4E8A02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14.1.2内存容量：≥16GB；</w:t>
      </w:r>
    </w:p>
    <w:p w14:paraId="16E55C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14.1.3内存频率：≥5600MT/s；</w:t>
      </w:r>
    </w:p>
    <w:p w14:paraId="4EFF05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14.1.4硬盘：≥512GB 固态硬盘；</w:t>
      </w:r>
    </w:p>
    <w:p w14:paraId="356D85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14.1.5屏幕：≥14.1寸，显示分辨率≥2880*1920，最高120Hz 刷新率；</w:t>
      </w:r>
    </w:p>
    <w:p w14:paraId="7AB616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14.1.6显卡：集成显卡；</w:t>
      </w:r>
    </w:p>
    <w:p w14:paraId="12C4EF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14.1.7国产操作系统；</w:t>
      </w:r>
    </w:p>
    <w:p w14:paraId="6A5CF5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14.1.8接口：≥1个HDMI，≥1 个音频口，≥3个USB 其中至少包 含 1 个USB-C和 1 个USB3.0，具备蓝牙功能；</w:t>
      </w:r>
    </w:p>
    <w:p w14:paraId="5F0CEC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14.1.9网卡：≥1个10/100/1000M自适应网口，无线网卡具备IEEE802.11b/g/n/ac/ax 功能；</w:t>
      </w:r>
    </w:p>
    <w:p w14:paraId="3FB8EB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14.1.10摄像头：≥1080P，支持物理断联，防止隐私泄露；</w:t>
      </w:r>
    </w:p>
    <w:p w14:paraId="22AE16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14.1.11指纹识别：电源键具备指纹识别功能，开机登录一键完成；</w:t>
      </w:r>
    </w:p>
    <w:p w14:paraId="50CBAA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14.1.12键盘：背光键盘；</w:t>
      </w:r>
    </w:p>
    <w:p w14:paraId="6AE900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14.1.13电池：≥70Wh 额定容量；</w:t>
      </w:r>
    </w:p>
    <w:p w14:paraId="7CB3EA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14.1.14机身：金属外壳；</w:t>
      </w:r>
    </w:p>
    <w:p w14:paraId="442D28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14.1.15安全管控：支持USB管控方案，支持左右端口单独控制；</w:t>
      </w:r>
    </w:p>
    <w:p w14:paraId="7062CF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14.1.16MTBF：≥80W 小时；</w:t>
      </w:r>
    </w:p>
    <w:p w14:paraId="7E23B7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14.1.17防尘：支持防尘设计，通过 IP2X 认证</w:t>
      </w:r>
      <w:r>
        <w:rPr>
          <w:rFonts w:hint="eastAsia" w:ascii="宋体" w:hAnsi="宋体" w:cs="宋体"/>
          <w:color w:val="auto"/>
          <w:sz w:val="24"/>
          <w:szCs w:val="24"/>
          <w:lang w:val="en-US" w:eastAsia="zh-CN"/>
        </w:rPr>
        <w:t>。</w:t>
      </w:r>
    </w:p>
    <w:p w14:paraId="6E86B21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14.2便携式打印机</w:t>
      </w:r>
    </w:p>
    <w:p w14:paraId="4023E4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14.2.1打印方式：彩色喷墨；</w:t>
      </w:r>
    </w:p>
    <w:p w14:paraId="30FD21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14.2.2支持最大纸张尺寸：A4；</w:t>
      </w:r>
    </w:p>
    <w:p w14:paraId="0B8878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14.2.3最高打印分辨率：5760×1440 dpi；</w:t>
      </w:r>
    </w:p>
    <w:p w14:paraId="7CCF76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14.2.4打印速度：≥7ipm；</w:t>
      </w:r>
    </w:p>
    <w:p w14:paraId="615CC5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14.2.5配置内置充电电池，支持市电、USB 充电，充满电耗时≤ 3小时；</w:t>
      </w:r>
    </w:p>
    <w:p w14:paraId="77A07C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14.2.6驱动支持国产操作系统，可通过无线或有线与笔记本电脑、移动执法终端连接；</w:t>
      </w:r>
    </w:p>
    <w:p w14:paraId="647E2A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14.2.7配备彩色液晶屏，Wi-Fi 设定一触即可。</w:t>
      </w:r>
    </w:p>
    <w:p w14:paraId="086E65C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（十五）现场执法记录仪</w:t>
      </w:r>
    </w:p>
    <w:p w14:paraId="636C28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1.外形尺寸：小于或等于76.5mmx55.6mmx30.5mm（长×宽×高）。</w:t>
      </w:r>
    </w:p>
    <w:p w14:paraId="04CB31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2.内存：≥512GB。</w:t>
      </w:r>
    </w:p>
    <w:p w14:paraId="59908F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3.外壳防护等级：执法记录仪外壳防护等级应符合GB/T4208-2008中IP65要求。</w:t>
      </w:r>
    </w:p>
    <w:p w14:paraId="31C245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4.显示屏：具备彩色触摸显示屏，显示屏对角线尺寸应大于或等于2.0in。</w:t>
      </w:r>
    </w:p>
    <w:p w14:paraId="4949AB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5.照片分辨率：拍摄的照片最高分辨率不低于4000万</w:t>
      </w:r>
      <w:r>
        <w:rPr>
          <w:rFonts w:hint="eastAsia" w:ascii="宋体" w:hAnsi="宋体" w:cs="宋体"/>
          <w:color w:val="auto"/>
          <w:sz w:val="24"/>
          <w:szCs w:val="24"/>
          <w:lang w:val="en-US" w:eastAsia="zh-CN"/>
        </w:rPr>
        <w:t>像素</w:t>
      </w:r>
      <w:r>
        <w:rPr>
          <w:rFonts w:hint="eastAsia" w:ascii="宋体" w:hAnsi="宋体" w:eastAsia="宋体" w:cs="宋体"/>
          <w:color w:val="auto"/>
          <w:sz w:val="24"/>
          <w:szCs w:val="24"/>
          <w:lang w:val="en-US" w:eastAsia="zh-CN"/>
        </w:rPr>
        <w:t>，950线（7360*5496）。</w:t>
      </w:r>
    </w:p>
    <w:p w14:paraId="59D2F0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6.★视频分辨率：摄像视频最高像素不低于4k，3840*2160 30fps。</w:t>
      </w:r>
    </w:p>
    <w:p w14:paraId="61D170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7.视频压缩技术：执法记录仪支持H.264、H.265视频压缩编码方式。</w:t>
      </w:r>
    </w:p>
    <w:p w14:paraId="172529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8.防抖功能：执法记录仪支持视频防抖功能，开启防抖功能后摄录的视音频图像具有明显防抖效果。</w:t>
      </w:r>
    </w:p>
    <w:p w14:paraId="39F8FC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9.星光夜视：采用高灵敏度图像传感器，在低光照环境下能明显增强视频效果。</w:t>
      </w:r>
    </w:p>
    <w:p w14:paraId="0D4C04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10.密码保护：执法记录仪通过本机密码保护及上位机管理软件分级授权。</w:t>
      </w:r>
    </w:p>
    <w:p w14:paraId="1AE099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11.语音播报：可以开启或者关闭，取出主电池后，执法记录仪应该语音提示。</w:t>
      </w:r>
    </w:p>
    <w:p w14:paraId="3AB265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12.超级存储：开启超级存储功能，存储空间可以增加30%。</w:t>
      </w:r>
    </w:p>
    <w:p w14:paraId="7BB31D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13.移动侦测：移动侦测功能开启、关闭可选。</w:t>
      </w:r>
    </w:p>
    <w:p w14:paraId="5486F6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14.病毒防火墙：病毒防火墙功能开启、关闭可选。</w:t>
      </w:r>
    </w:p>
    <w:p w14:paraId="4ECCFC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15.抓拍功能：记录仪在摄录过程中按下拍照键能抓拍与视频分辨率相同的照片，但不影响正常的摄录</w:t>
      </w:r>
    </w:p>
    <w:p w14:paraId="21A1CD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16.★卫星定位：内置单北斗，可接收卫星数据并提供定位信息。</w:t>
      </w:r>
    </w:p>
    <w:p w14:paraId="150720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17.预录延录：能预录触发前90S，延录触发后300S的视音频信息。延时录像可设置延时时间为5s、10s、30s、60s。</w:t>
      </w:r>
    </w:p>
    <w:p w14:paraId="3096B6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18.自动关屏：当显示屏幕被遮挡时，可自动关屏。</w:t>
      </w:r>
    </w:p>
    <w:p w14:paraId="0F6FD8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19.补光灯：可通过按键开启/关闭白光灯、激光灯和红蓝爆闪预警灯。</w:t>
      </w:r>
    </w:p>
    <w:p w14:paraId="422211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红外夜视：设备具备夜视功能，在开启红外夜视灯后，距离机器12米处能辨别画面中人物面部特征；能够看清距离样机22米处人体轮廓，在3米距离外光线能覆盖80％的有效面积。后置式红外切换，拍摄的图片不存在偏色。</w:t>
      </w:r>
    </w:p>
    <w:p w14:paraId="07F1A8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21.★紧急摄录：执法记录仪具有开启/关闭紧急摄录功能，在紧急摄录功能开启状态下，录像过程中发生撞击时，可自动将录像标记为重点文件。</w:t>
      </w:r>
    </w:p>
    <w:p w14:paraId="3525F245">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baseline"/>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（十六）测距仪</w:t>
      </w:r>
    </w:p>
    <w:p w14:paraId="6F6E31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1.工作方式：手持式</w:t>
      </w:r>
    </w:p>
    <w:p w14:paraId="6CEE28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2.工作温度：0～40℃</w:t>
      </w:r>
    </w:p>
    <w:p w14:paraId="295BDB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3.最大测量距离：≥200米</w:t>
      </w:r>
    </w:p>
    <w:p w14:paraId="2F82BF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4.激光等级：Ⅱ级。激光类型：500-800nm，&lt;1mW</w:t>
      </w:r>
    </w:p>
    <w:p w14:paraId="31088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5.重复测量稳定性：≥99.9%</w:t>
      </w:r>
    </w:p>
    <w:p w14:paraId="37C8AC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6.具有双向绿光测量功能，测量便捷、室外强光环境测量精准。</w:t>
      </w:r>
    </w:p>
    <w:p w14:paraId="207DA5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7.测量时可根据测量角度自由调节屏幕转动和锁定屏幕。</w:t>
      </w:r>
    </w:p>
    <w:p w14:paraId="23229E6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bCs/>
          <w:color w:val="auto"/>
          <w:kern w:val="0"/>
          <w:sz w:val="24"/>
          <w:szCs w:val="24"/>
          <w:lang w:val="en-US" w:eastAsia="zh-CN" w:bidi="ar-SA"/>
        </w:rPr>
      </w:pPr>
      <w:r>
        <w:rPr>
          <w:rFonts w:hint="eastAsia" w:ascii="宋体" w:hAnsi="宋体" w:eastAsia="宋体" w:cs="宋体"/>
          <w:color w:val="auto"/>
          <w:sz w:val="24"/>
          <w:szCs w:val="24"/>
          <w:lang w:val="en-US" w:eastAsia="zh-CN"/>
        </w:rPr>
        <w:t>8.支持连续测量、面积体积、测角测高、长度加减测量等功能。</w:t>
      </w:r>
    </w:p>
    <w:p w14:paraId="739923A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四、</w:t>
      </w:r>
      <w:r>
        <w:rPr>
          <w:rFonts w:hint="eastAsia" w:ascii="宋体" w:hAnsi="宋体" w:eastAsia="宋体" w:cs="宋体"/>
          <w:b/>
          <w:bCs/>
          <w:color w:val="auto"/>
          <w:kern w:val="0"/>
          <w:sz w:val="24"/>
          <w:szCs w:val="24"/>
          <w:lang w:val="en-US" w:eastAsia="zh-CN" w:bidi="ar-SA"/>
        </w:rPr>
        <w:t>商务要求</w:t>
      </w:r>
    </w:p>
    <w:p w14:paraId="5068BF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1.合同履行</w:t>
      </w:r>
      <w:r>
        <w:rPr>
          <w:rFonts w:hint="eastAsia" w:ascii="宋体" w:hAnsi="宋体" w:eastAsia="宋体" w:cs="宋体"/>
          <w:color w:val="auto"/>
          <w:kern w:val="0"/>
          <w:sz w:val="24"/>
          <w:szCs w:val="24"/>
          <w:lang w:val="en-US" w:eastAsia="zh-CN" w:bidi="ar-SA"/>
        </w:rPr>
        <w:t>期：</w:t>
      </w:r>
      <w:r>
        <w:rPr>
          <w:rFonts w:hint="eastAsia" w:ascii="宋体" w:hAnsi="宋体" w:cs="宋体"/>
          <w:bCs w:val="0"/>
          <w:color w:val="auto"/>
          <w:spacing w:val="0"/>
          <w:sz w:val="24"/>
          <w:szCs w:val="24"/>
          <w:lang w:eastAsia="zh-CN"/>
        </w:rPr>
        <w:t>自合同签订生效之日起45个日历天内交付（包含调试验收）</w:t>
      </w:r>
      <w:r>
        <w:rPr>
          <w:rFonts w:hint="eastAsia" w:ascii="宋体" w:hAnsi="宋体" w:cs="宋体"/>
          <w:color w:val="auto"/>
          <w:kern w:val="0"/>
          <w:sz w:val="24"/>
          <w:szCs w:val="24"/>
          <w:lang w:val="en-US" w:eastAsia="zh-CN" w:bidi="ar-SA"/>
        </w:rPr>
        <w:t>。</w:t>
      </w:r>
    </w:p>
    <w:p w14:paraId="593CB5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服务地点：采购人指定地点。</w:t>
      </w:r>
    </w:p>
    <w:p w14:paraId="0C55C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付款方式：</w:t>
      </w:r>
      <w:r>
        <w:rPr>
          <w:rFonts w:hint="eastAsia" w:ascii="宋体" w:hAnsi="宋体" w:cs="宋体"/>
          <w:color w:val="auto"/>
          <w:sz w:val="24"/>
          <w:szCs w:val="24"/>
          <w:highlight w:val="none"/>
          <w:lang w:eastAsia="zh-CN"/>
        </w:rPr>
        <w:t>合同</w:t>
      </w:r>
      <w:r>
        <w:rPr>
          <w:rFonts w:hint="eastAsia" w:ascii="宋体" w:hAnsi="宋体" w:cs="宋体"/>
          <w:color w:val="auto"/>
          <w:sz w:val="24"/>
          <w:szCs w:val="24"/>
          <w:highlight w:val="none"/>
          <w:lang w:val="en-US" w:eastAsia="zh-CN"/>
        </w:rPr>
        <w:t>签订后</w:t>
      </w:r>
      <w:r>
        <w:rPr>
          <w:rFonts w:hint="eastAsia" w:ascii="宋体" w:hAnsi="宋体" w:cs="宋体"/>
          <w:color w:val="auto"/>
          <w:sz w:val="24"/>
          <w:szCs w:val="24"/>
          <w:highlight w:val="none"/>
          <w:lang w:eastAsia="zh-CN"/>
        </w:rPr>
        <w:t>甲方向乙方支付合同总价款的30%，设备调试、设备使用培训完成并经甲方验收合格后，支付至合同总价款的</w:t>
      </w:r>
      <w:r>
        <w:rPr>
          <w:rFonts w:hint="eastAsia" w:ascii="宋体" w:hAnsi="宋体" w:cs="宋体"/>
          <w:color w:val="auto"/>
          <w:sz w:val="24"/>
          <w:szCs w:val="24"/>
          <w:highlight w:val="none"/>
          <w:lang w:val="en-US" w:eastAsia="zh-CN"/>
        </w:rPr>
        <w:t>95%，剩余5%一年后付清。</w:t>
      </w:r>
    </w:p>
    <w:p w14:paraId="57AD80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售后服务要求：</w:t>
      </w:r>
    </w:p>
    <w:p w14:paraId="406DB26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4.1质量保证期为</w:t>
      </w:r>
      <w:r>
        <w:rPr>
          <w:rFonts w:hint="eastAsia" w:ascii="宋体" w:hAnsi="宋体" w:cs="Times New Roman"/>
          <w:color w:val="auto"/>
          <w:kern w:val="0"/>
          <w:sz w:val="24"/>
          <w:szCs w:val="24"/>
          <w:lang w:val="en-US" w:eastAsia="zh-CN"/>
        </w:rPr>
        <w:t>自项目通过最终验收合格之日起三年，若国家有明确规定的质量保证期高于此质量保证期的，执行国家规定</w:t>
      </w:r>
      <w:r>
        <w:rPr>
          <w:rFonts w:hint="eastAsia" w:ascii="宋体" w:hAnsi="宋体" w:eastAsia="宋体" w:cs="宋体"/>
          <w:color w:val="auto"/>
          <w:kern w:val="0"/>
          <w:sz w:val="24"/>
          <w:szCs w:val="24"/>
          <w:lang w:val="en-US" w:eastAsia="zh-CN" w:bidi="ar-SA"/>
        </w:rPr>
        <w:t xml:space="preserve">。 </w:t>
      </w:r>
    </w:p>
    <w:p w14:paraId="39E1C26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4.2</w:t>
      </w:r>
      <w:r>
        <w:rPr>
          <w:rFonts w:hint="eastAsia" w:ascii="宋体" w:hAnsi="宋体" w:eastAsia="宋体" w:cs="宋体"/>
          <w:color w:val="auto"/>
          <w:kern w:val="0"/>
          <w:sz w:val="24"/>
          <w:szCs w:val="24"/>
          <w:lang w:val="en-US" w:eastAsia="zh-CN" w:bidi="ar-SA"/>
        </w:rPr>
        <w:t>供应商应设有稳定可靠的售后服务机构或同类合作机构，可提供7天×24小时热线服务和长期的免费技术支持。</w:t>
      </w:r>
    </w:p>
    <w:p w14:paraId="108CDC9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对采购人的售后服务通知，供应商接报后30分钟内响应，2小时到达现场维修，如24小时内未处理完毕，供应商须采取应急措施解决，不得影响采购人的正常工作业务。</w:t>
      </w:r>
    </w:p>
    <w:p w14:paraId="1A38D80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w:t>
      </w:r>
      <w:r>
        <w:rPr>
          <w:rFonts w:hint="eastAsia" w:ascii="宋体" w:hAnsi="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服务机构须设专业人员提供远程服务。若远程维护无法解决的，供应商应及时安排人员前往现场处理故障。</w:t>
      </w:r>
    </w:p>
    <w:p w14:paraId="7FA8FB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w:t>
      </w:r>
      <w:r>
        <w:rPr>
          <w:rFonts w:hint="eastAsia" w:ascii="宋体" w:hAnsi="宋体" w:eastAsia="宋体" w:cs="宋体"/>
          <w:color w:val="000000"/>
          <w:kern w:val="0"/>
          <w:sz w:val="24"/>
          <w:szCs w:val="24"/>
          <w:lang w:val="en-US" w:eastAsia="zh-CN" w:bidi="ar-SA"/>
        </w:rPr>
        <w:t>培训要求</w:t>
      </w:r>
    </w:p>
    <w:p w14:paraId="7ACA62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5.1供应商必须向采购人提供免费培训，供应商在投标文件中提出全面、详细的培训计划，包括但不限于培训内容、培训时间、地点等。</w:t>
      </w:r>
    </w:p>
    <w:p w14:paraId="6F613B6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5.2供应商应按采购人约定合理的安排培训时间。供应商提供培训，为用户讲使用方法。</w:t>
      </w:r>
    </w:p>
    <w:p w14:paraId="51828C18">
      <w:pPr>
        <w:pStyle w:val="159"/>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6.验收：由中标人负责安装调试，安装调试完毕后，中标人提交验收文件，采购方的设备使用单位对设备进行技术验收（中标人协助），验收以国家标准或以合同文本中描述的有关技术要求为准。</w:t>
      </w:r>
    </w:p>
    <w:p w14:paraId="530C2AE1">
      <w:pPr>
        <w:pStyle w:val="159"/>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技术验收合格后的，采购人根据使用单位技术验收报告，组织相关部门对设备进行最终验收，验收合格后出具《验收报告》。</w:t>
      </w:r>
    </w:p>
    <w:p w14:paraId="1BF60654">
      <w:pPr>
        <w:pStyle w:val="159"/>
        <w:keepNext w:val="0"/>
        <w:keepLines w:val="0"/>
        <w:pageBreakBefore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kern w:val="0"/>
          <w:sz w:val="24"/>
          <w:szCs w:val="24"/>
          <w:lang w:val="en-US" w:eastAsia="zh-CN" w:bidi="ar-SA"/>
        </w:rPr>
        <w:sectPr>
          <w:headerReference r:id="rId13" w:type="default"/>
          <w:footerReference r:id="rId14"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000000"/>
          <w:kern w:val="0"/>
          <w:sz w:val="24"/>
          <w:szCs w:val="24"/>
          <w:lang w:val="en-US" w:eastAsia="zh-CN" w:bidi="ar-SA"/>
        </w:rPr>
        <w:t>验收依据：合同文本；国家有关的验收标准及规范；招标文件；投标文件。</w:t>
      </w:r>
    </w:p>
    <w:p w14:paraId="2CAA594D">
      <w:pPr>
        <w:pStyle w:val="2"/>
        <w:tabs>
          <w:tab w:val="left" w:pos="305"/>
          <w:tab w:val="center" w:pos="4598"/>
        </w:tabs>
        <w:spacing w:before="240" w:after="240" w:line="360" w:lineRule="auto"/>
        <w:jc w:val="center"/>
        <w:rPr>
          <w:rFonts w:hint="eastAsia" w:ascii="宋体" w:hAnsi="宋体" w:cs="Times New Roman"/>
          <w:color w:val="auto"/>
        </w:rPr>
      </w:pPr>
      <w:bookmarkStart w:id="100" w:name="_Toc25123"/>
      <w:r>
        <w:rPr>
          <w:rFonts w:hint="eastAsia" w:ascii="宋体" w:hAnsi="宋体"/>
          <w:color w:val="auto"/>
        </w:rPr>
        <w:t xml:space="preserve">第五章 </w:t>
      </w:r>
      <w:r>
        <w:rPr>
          <w:rFonts w:hint="eastAsia" w:ascii="宋体" w:hAnsi="宋体" w:cs="Times New Roman"/>
          <w:color w:val="auto"/>
        </w:rPr>
        <w:t>合同格式</w:t>
      </w:r>
      <w:bookmarkEnd w:id="100"/>
    </w:p>
    <w:bookmarkEnd w:id="95"/>
    <w:bookmarkEnd w:id="96"/>
    <w:bookmarkEnd w:id="97"/>
    <w:p w14:paraId="354342E8">
      <w:pPr>
        <w:pStyle w:val="18"/>
        <w:jc w:val="center"/>
        <w:rPr>
          <w:rFonts w:hint="eastAsia" w:ascii="仿宋" w:hAnsi="仿宋" w:eastAsia="仿宋"/>
          <w:b/>
          <w:color w:val="auto"/>
          <w:sz w:val="36"/>
          <w:szCs w:val="36"/>
          <w:lang w:val="en-US" w:eastAsia="zh-CN"/>
        </w:rPr>
      </w:pPr>
      <w:bookmarkStart w:id="101" w:name="_Toc417906114"/>
      <w:bookmarkStart w:id="102" w:name="_Toc484890085"/>
      <w:bookmarkStart w:id="103" w:name="_Toc528240830"/>
    </w:p>
    <w:p w14:paraId="74CF8AC2">
      <w:pPr>
        <w:pStyle w:val="18"/>
        <w:jc w:val="center"/>
        <w:rPr>
          <w:rFonts w:hint="eastAsia" w:ascii="宋体" w:hAnsi="宋体" w:eastAsia="宋体" w:cs="Times New Roman"/>
          <w:b/>
          <w:bCs/>
          <w:color w:val="auto"/>
          <w:kern w:val="44"/>
          <w:sz w:val="44"/>
          <w:szCs w:val="44"/>
          <w:lang w:val="en-US" w:eastAsia="zh-CN" w:bidi="ar-SA"/>
        </w:rPr>
      </w:pPr>
      <w:r>
        <w:rPr>
          <w:rFonts w:hint="eastAsia" w:cs="Times New Roman"/>
          <w:b/>
          <w:bCs/>
          <w:color w:val="auto"/>
          <w:kern w:val="44"/>
          <w:sz w:val="48"/>
          <w:szCs w:val="48"/>
          <w:lang w:val="en-US" w:eastAsia="zh-CN" w:bidi="ar-SA"/>
        </w:rPr>
        <w:t>安康市大气污染防治执法装备标准化项目</w:t>
      </w:r>
    </w:p>
    <w:p w14:paraId="15C7A97F">
      <w:pPr>
        <w:spacing w:line="440" w:lineRule="exact"/>
        <w:jc w:val="center"/>
        <w:rPr>
          <w:rFonts w:hint="eastAsia" w:ascii="宋体" w:hAnsi="宋体" w:eastAsia="宋体" w:cs="宋体"/>
          <w:b/>
          <w:color w:val="auto"/>
        </w:rPr>
      </w:pPr>
    </w:p>
    <w:p w14:paraId="741E2B37">
      <w:pPr>
        <w:spacing w:line="440" w:lineRule="exact"/>
        <w:jc w:val="center"/>
        <w:rPr>
          <w:rFonts w:hint="eastAsia" w:ascii="宋体" w:hAnsi="宋体" w:eastAsia="宋体" w:cs="宋体"/>
          <w:b/>
          <w:color w:val="auto"/>
        </w:rPr>
      </w:pPr>
    </w:p>
    <w:p w14:paraId="4CD83F00">
      <w:pPr>
        <w:spacing w:line="440" w:lineRule="exact"/>
        <w:jc w:val="center"/>
        <w:rPr>
          <w:rFonts w:hint="eastAsia" w:ascii="宋体" w:hAnsi="宋体" w:eastAsia="宋体" w:cs="宋体"/>
          <w:b/>
          <w:color w:val="auto"/>
        </w:rPr>
      </w:pPr>
    </w:p>
    <w:p w14:paraId="6C379B02">
      <w:pPr>
        <w:jc w:val="center"/>
        <w:rPr>
          <w:rFonts w:hint="eastAsia" w:ascii="宋体" w:hAnsi="宋体" w:eastAsia="宋体" w:cs="宋体"/>
          <w:b/>
          <w:color w:val="auto"/>
        </w:rPr>
      </w:pPr>
      <w:r>
        <w:rPr>
          <w:rFonts w:hint="eastAsia" w:ascii="宋体" w:hAnsi="宋体" w:eastAsia="宋体" w:cs="宋体"/>
          <w:b/>
          <w:color w:val="auto"/>
          <w:sz w:val="52"/>
          <w:szCs w:val="52"/>
        </w:rPr>
        <w:t>合</w:t>
      </w:r>
    </w:p>
    <w:p w14:paraId="30301F9F">
      <w:pPr>
        <w:rPr>
          <w:rFonts w:hint="eastAsia" w:ascii="宋体" w:hAnsi="宋体" w:eastAsia="宋体" w:cs="宋体"/>
          <w:b/>
          <w:color w:val="auto"/>
        </w:rPr>
      </w:pPr>
    </w:p>
    <w:p w14:paraId="54B693A3">
      <w:pPr>
        <w:jc w:val="center"/>
        <w:rPr>
          <w:rFonts w:hint="eastAsia" w:ascii="宋体" w:hAnsi="宋体" w:eastAsia="宋体" w:cs="宋体"/>
          <w:b/>
          <w:color w:val="auto"/>
        </w:rPr>
      </w:pPr>
      <w:r>
        <w:rPr>
          <w:rFonts w:hint="eastAsia" w:ascii="宋体" w:hAnsi="宋体" w:eastAsia="宋体" w:cs="宋体"/>
          <w:b/>
          <w:color w:val="auto"/>
          <w:sz w:val="52"/>
          <w:szCs w:val="52"/>
        </w:rPr>
        <w:t>同</w:t>
      </w:r>
    </w:p>
    <w:p w14:paraId="55B1D778">
      <w:pPr>
        <w:rPr>
          <w:rFonts w:hint="eastAsia" w:ascii="宋体" w:hAnsi="宋体" w:eastAsia="宋体" w:cs="宋体"/>
          <w:b/>
          <w:color w:val="auto"/>
        </w:rPr>
      </w:pPr>
    </w:p>
    <w:p w14:paraId="307FF762">
      <w:pPr>
        <w:jc w:val="center"/>
        <w:rPr>
          <w:rFonts w:hint="eastAsia" w:ascii="宋体" w:hAnsi="宋体" w:eastAsia="宋体" w:cs="宋体"/>
          <w:b/>
          <w:color w:val="auto"/>
        </w:rPr>
      </w:pPr>
      <w:r>
        <w:rPr>
          <w:rFonts w:hint="eastAsia" w:ascii="宋体" w:hAnsi="宋体" w:eastAsia="宋体" w:cs="宋体"/>
          <w:b/>
          <w:color w:val="auto"/>
          <w:sz w:val="52"/>
          <w:szCs w:val="52"/>
        </w:rPr>
        <w:t>书</w:t>
      </w:r>
    </w:p>
    <w:p w14:paraId="2FBAEE3F">
      <w:pPr>
        <w:spacing w:line="440" w:lineRule="exact"/>
        <w:jc w:val="center"/>
        <w:rPr>
          <w:rFonts w:hint="eastAsia" w:ascii="宋体" w:hAnsi="宋体" w:eastAsia="宋体" w:cs="宋体"/>
          <w:b/>
          <w:color w:val="auto"/>
        </w:rPr>
      </w:pPr>
    </w:p>
    <w:p w14:paraId="77C43093">
      <w:pPr>
        <w:pStyle w:val="18"/>
        <w:rPr>
          <w:rFonts w:hint="eastAsia" w:ascii="宋体" w:hAnsi="宋体" w:eastAsia="宋体" w:cs="宋体"/>
          <w:b/>
          <w:color w:val="auto"/>
          <w:kern w:val="2"/>
          <w:sz w:val="32"/>
          <w:szCs w:val="32"/>
          <w:lang w:val="en-US" w:eastAsia="zh-CN" w:bidi="ar-SA"/>
        </w:rPr>
      </w:pPr>
    </w:p>
    <w:p w14:paraId="1AC06EF1">
      <w:pPr>
        <w:spacing w:before="91" w:line="221" w:lineRule="auto"/>
        <w:ind w:left="1395"/>
        <w:rPr>
          <w:rFonts w:hint="eastAsia" w:ascii="宋体" w:hAnsi="宋体" w:eastAsia="宋体" w:cs="宋体"/>
          <w:b/>
          <w:color w:val="auto"/>
          <w:kern w:val="2"/>
          <w:sz w:val="32"/>
          <w:szCs w:val="32"/>
          <w:lang w:val="en-US" w:eastAsia="zh-CN" w:bidi="ar-SA"/>
        </w:rPr>
      </w:pPr>
    </w:p>
    <w:p w14:paraId="50C01DE7">
      <w:pPr>
        <w:spacing w:before="91" w:line="221" w:lineRule="auto"/>
        <w:ind w:firstLine="964" w:firstLineChars="3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甲    方：安康市生态环境保护综合执法支队</w:t>
      </w:r>
    </w:p>
    <w:p w14:paraId="6EADA37C">
      <w:pPr>
        <w:pStyle w:val="18"/>
        <w:spacing w:line="353" w:lineRule="auto"/>
        <w:rPr>
          <w:rFonts w:hint="eastAsia" w:ascii="宋体" w:hAnsi="宋体" w:eastAsia="宋体" w:cs="宋体"/>
          <w:b/>
          <w:color w:val="auto"/>
          <w:kern w:val="2"/>
          <w:sz w:val="32"/>
          <w:szCs w:val="32"/>
          <w:lang w:val="en-US" w:eastAsia="zh-CN" w:bidi="ar-SA"/>
        </w:rPr>
      </w:pPr>
    </w:p>
    <w:p w14:paraId="3AE143D8">
      <w:pPr>
        <w:spacing w:line="440" w:lineRule="exact"/>
        <w:ind w:firstLine="964" w:firstLineChars="300"/>
        <w:rPr>
          <w:rFonts w:hint="default"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 xml:space="preserve">乙    方： </w:t>
      </w:r>
      <w:r>
        <w:rPr>
          <w:rFonts w:hint="eastAsia" w:ascii="宋体" w:hAnsi="宋体" w:eastAsia="宋体" w:cs="宋体"/>
          <w:b/>
          <w:color w:val="auto"/>
          <w:kern w:val="2"/>
          <w:sz w:val="32"/>
          <w:szCs w:val="32"/>
          <w:u w:val="single"/>
          <w:lang w:val="en-US" w:eastAsia="zh-CN" w:bidi="ar-SA"/>
        </w:rPr>
        <w:t xml:space="preserve">          </w:t>
      </w:r>
    </w:p>
    <w:p w14:paraId="6AB14356">
      <w:pPr>
        <w:spacing w:line="440" w:lineRule="exact"/>
        <w:rPr>
          <w:rFonts w:hint="eastAsia" w:ascii="宋体" w:hAnsi="宋体" w:eastAsia="宋体" w:cs="宋体"/>
          <w:b/>
          <w:color w:val="auto"/>
        </w:rPr>
      </w:pPr>
    </w:p>
    <w:p w14:paraId="26117D81">
      <w:pPr>
        <w:spacing w:line="660" w:lineRule="exact"/>
        <w:ind w:firstLine="1606" w:firstLineChars="500"/>
        <w:rPr>
          <w:rFonts w:hint="eastAsia" w:ascii="宋体" w:hAnsi="宋体" w:eastAsia="宋体" w:cs="宋体"/>
          <w:b/>
          <w:color w:val="auto"/>
          <w:sz w:val="32"/>
          <w:szCs w:val="32"/>
          <w:u w:val="single"/>
        </w:rPr>
      </w:pPr>
    </w:p>
    <w:p w14:paraId="309D91B1">
      <w:pPr>
        <w:spacing w:line="800" w:lineRule="exact"/>
        <w:ind w:left="620" w:firstLine="1606" w:firstLineChars="5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签订时间：</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 xml:space="preserve"> </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月  日</w:t>
      </w:r>
    </w:p>
    <w:p w14:paraId="2A9C6624">
      <w:pPr>
        <w:spacing w:line="800" w:lineRule="exact"/>
        <w:ind w:left="620" w:firstLine="643" w:firstLineChars="200"/>
        <w:jc w:val="left"/>
        <w:rPr>
          <w:rFonts w:hint="eastAsia" w:ascii="宋体" w:hAnsi="宋体" w:eastAsia="宋体" w:cs="宋体"/>
          <w:b/>
          <w:color w:val="auto"/>
          <w:sz w:val="32"/>
          <w:szCs w:val="32"/>
        </w:rPr>
      </w:pPr>
    </w:p>
    <w:p w14:paraId="6019E77F">
      <w:pPr>
        <w:pStyle w:val="17"/>
        <w:jc w:val="center"/>
        <w:rPr>
          <w:rFonts w:hint="eastAsia"/>
          <w:b/>
          <w:bCs/>
          <w:color w:val="auto"/>
          <w:sz w:val="28"/>
          <w:szCs w:val="28"/>
          <w:lang w:val="en-US" w:eastAsia="zh-CN"/>
        </w:rPr>
      </w:pPr>
    </w:p>
    <w:p w14:paraId="341EB003">
      <w:pPr>
        <w:pStyle w:val="17"/>
        <w:jc w:val="center"/>
        <w:rPr>
          <w:rFonts w:hint="default" w:eastAsia="宋体"/>
          <w:b/>
          <w:bCs/>
          <w:color w:val="auto"/>
          <w:sz w:val="28"/>
          <w:szCs w:val="28"/>
          <w:lang w:val="en-US" w:eastAsia="zh-CN"/>
        </w:rPr>
      </w:pPr>
      <w:r>
        <w:rPr>
          <w:rFonts w:hint="eastAsia"/>
          <w:b/>
          <w:bCs/>
          <w:color w:val="auto"/>
          <w:sz w:val="28"/>
          <w:szCs w:val="28"/>
          <w:lang w:val="en-US" w:eastAsia="zh-CN"/>
        </w:rPr>
        <w:t>合同文本</w:t>
      </w:r>
    </w:p>
    <w:p w14:paraId="4A2D084D">
      <w:pPr>
        <w:spacing w:line="360" w:lineRule="auto"/>
        <w:ind w:firstLine="482" w:firstLineChars="200"/>
        <w:rPr>
          <w:rFonts w:ascii="宋体" w:hAnsi="宋体"/>
          <w:b/>
          <w:bCs/>
          <w:color w:val="auto"/>
          <w:sz w:val="28"/>
          <w:szCs w:val="32"/>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p>
    <w:p w14:paraId="36F188FA">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甲方(采购人)</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安康市生态环境保护综合执法支队 </w:t>
      </w:r>
    </w:p>
    <w:p w14:paraId="67CBBF58">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乙方(供应商)</w:t>
      </w:r>
      <w:r>
        <w:rPr>
          <w:rFonts w:hint="eastAsia" w:ascii="宋体" w:hAnsi="宋体" w:cs="宋体"/>
          <w:b w:val="0"/>
          <w:bCs w:val="0"/>
          <w:color w:val="auto"/>
          <w:sz w:val="24"/>
          <w:szCs w:val="24"/>
          <w:lang w:eastAsia="zh-CN"/>
        </w:rPr>
        <w:t>：</w:t>
      </w:r>
    </w:p>
    <w:p w14:paraId="71813218">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甲方的安康市大气污染防治执法装备标准化项目(项目编号：</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依法经过政府采购程序，确定乙方为成交单位，根据《中华人民共和国民法典》《中华人民共和国政府采购法》及其他有关法律、法规，遵循平等、自愿、公平和诚信的原则，双方就下述项目范围与相关服务事项协商一致，订立本合同。</w:t>
      </w:r>
    </w:p>
    <w:p w14:paraId="43B4AD47">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合同文件</w:t>
      </w:r>
    </w:p>
    <w:p w14:paraId="53ABBECF">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下列与本次采购活动有关的文件及附件是本合同不可分割的组成部分，与本合同具有同等法律效力，这些文件包括但不限于：</w:t>
      </w:r>
    </w:p>
    <w:p w14:paraId="02796007">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1.招标文件</w:t>
      </w:r>
    </w:p>
    <w:p w14:paraId="0A1ECBE2">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2.投标文件</w:t>
      </w:r>
    </w:p>
    <w:p w14:paraId="7404611B">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3.乙方在投标时的书面承诺</w:t>
      </w:r>
    </w:p>
    <w:p w14:paraId="178564E0">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4.中标通知书</w:t>
      </w:r>
    </w:p>
    <w:p w14:paraId="7B71CFE1">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5.合同补充条款或说明</w:t>
      </w:r>
    </w:p>
    <w:p w14:paraId="59EE0656">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6.保密协议或条款</w:t>
      </w:r>
    </w:p>
    <w:p w14:paraId="7CCF1CF7">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7.相关附件、图纸</w:t>
      </w:r>
    </w:p>
    <w:p w14:paraId="37F2DA39">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合同标的</w:t>
      </w:r>
    </w:p>
    <w:p w14:paraId="4CFB0838">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乙方根据招投标文件需向甲方提供下列货物</w:t>
      </w:r>
    </w:p>
    <w:tbl>
      <w:tblPr>
        <w:tblStyle w:val="106"/>
        <w:tblW w:w="102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35"/>
        <w:gridCol w:w="1225"/>
        <w:gridCol w:w="1403"/>
        <w:gridCol w:w="1188"/>
        <w:gridCol w:w="879"/>
        <w:gridCol w:w="1329"/>
        <w:gridCol w:w="1698"/>
        <w:gridCol w:w="1623"/>
        <w:gridCol w:w="30"/>
      </w:tblGrid>
      <w:tr w14:paraId="01DD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1039" w:hRule="atLeast"/>
          <w:jc w:val="center"/>
        </w:trPr>
        <w:tc>
          <w:tcPr>
            <w:tcW w:w="914" w:type="dxa"/>
            <w:gridSpan w:val="2"/>
            <w:vAlign w:val="center"/>
          </w:tcPr>
          <w:p w14:paraId="7C976129">
            <w:pPr>
              <w:autoSpaceDE w:val="0"/>
              <w:autoSpaceDN w:val="0"/>
              <w:spacing w:before="101" w:line="221" w:lineRule="auto"/>
              <w:ind w:left="94"/>
              <w:jc w:val="center"/>
              <w:rPr>
                <w:rFonts w:hint="eastAsia" w:ascii="宋体" w:hAnsi="宋体" w:eastAsia="宋体" w:cs="宋体"/>
                <w:sz w:val="24"/>
                <w:szCs w:val="24"/>
              </w:rPr>
            </w:pPr>
            <w:r>
              <w:rPr>
                <w:rFonts w:hint="eastAsia" w:ascii="宋体" w:hAnsi="宋体" w:eastAsia="宋体" w:cs="宋体"/>
                <w:spacing w:val="9"/>
                <w:sz w:val="24"/>
                <w:szCs w:val="24"/>
              </w:rPr>
              <w:t>序号</w:t>
            </w:r>
          </w:p>
        </w:tc>
        <w:tc>
          <w:tcPr>
            <w:tcW w:w="1225" w:type="dxa"/>
            <w:vAlign w:val="center"/>
          </w:tcPr>
          <w:p w14:paraId="5D10C120">
            <w:pPr>
              <w:autoSpaceDE w:val="0"/>
              <w:autoSpaceDN w:val="0"/>
              <w:spacing w:before="101"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货物名称</w:t>
            </w:r>
          </w:p>
        </w:tc>
        <w:tc>
          <w:tcPr>
            <w:tcW w:w="1403" w:type="dxa"/>
            <w:vAlign w:val="center"/>
          </w:tcPr>
          <w:p w14:paraId="507D91FA">
            <w:pPr>
              <w:autoSpaceDE w:val="0"/>
              <w:autoSpaceDN w:val="0"/>
              <w:spacing w:before="139" w:line="298" w:lineRule="auto"/>
              <w:ind w:right="202"/>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品牌</w:t>
            </w:r>
          </w:p>
        </w:tc>
        <w:tc>
          <w:tcPr>
            <w:tcW w:w="1188" w:type="dxa"/>
            <w:vAlign w:val="center"/>
          </w:tcPr>
          <w:p w14:paraId="0CDCF3B4">
            <w:pPr>
              <w:autoSpaceDE w:val="0"/>
              <w:autoSpaceDN w:val="0"/>
              <w:spacing w:before="101" w:line="220" w:lineRule="auto"/>
              <w:ind w:left="133"/>
              <w:jc w:val="center"/>
              <w:rPr>
                <w:rFonts w:hint="default" w:ascii="宋体" w:hAnsi="宋体" w:eastAsia="宋体" w:cs="宋体"/>
                <w:spacing w:val="6"/>
                <w:sz w:val="24"/>
                <w:szCs w:val="24"/>
                <w:lang w:val="en-US" w:eastAsia="zh-CN"/>
              </w:rPr>
            </w:pPr>
            <w:r>
              <w:rPr>
                <w:rFonts w:hint="eastAsia" w:ascii="宋体" w:hAnsi="宋体" w:cs="宋体"/>
                <w:spacing w:val="6"/>
                <w:sz w:val="24"/>
                <w:szCs w:val="24"/>
                <w:lang w:val="en-US" w:eastAsia="zh-CN"/>
              </w:rPr>
              <w:t>规格型号</w:t>
            </w:r>
          </w:p>
        </w:tc>
        <w:tc>
          <w:tcPr>
            <w:tcW w:w="879" w:type="dxa"/>
            <w:vAlign w:val="center"/>
          </w:tcPr>
          <w:p w14:paraId="6712D25E">
            <w:pPr>
              <w:autoSpaceDE w:val="0"/>
              <w:autoSpaceDN w:val="0"/>
              <w:spacing w:before="101" w:line="220" w:lineRule="auto"/>
              <w:ind w:left="133"/>
              <w:jc w:val="center"/>
              <w:rPr>
                <w:rFonts w:hint="eastAsia" w:ascii="宋体" w:hAnsi="宋体" w:eastAsia="宋体" w:cs="宋体"/>
                <w:sz w:val="24"/>
                <w:szCs w:val="24"/>
              </w:rPr>
            </w:pPr>
            <w:r>
              <w:rPr>
                <w:rFonts w:hint="eastAsia" w:ascii="宋体" w:hAnsi="宋体" w:eastAsia="宋体" w:cs="宋体"/>
                <w:spacing w:val="6"/>
                <w:sz w:val="24"/>
                <w:szCs w:val="24"/>
              </w:rPr>
              <w:t>单位</w:t>
            </w:r>
          </w:p>
        </w:tc>
        <w:tc>
          <w:tcPr>
            <w:tcW w:w="1329" w:type="dxa"/>
            <w:vAlign w:val="center"/>
          </w:tcPr>
          <w:p w14:paraId="35073B59">
            <w:pPr>
              <w:autoSpaceDE w:val="0"/>
              <w:autoSpaceDN w:val="0"/>
              <w:spacing w:before="100" w:line="219" w:lineRule="auto"/>
              <w:ind w:left="344"/>
              <w:jc w:val="center"/>
              <w:rPr>
                <w:rFonts w:hint="eastAsia" w:ascii="宋体" w:hAnsi="宋体" w:eastAsia="宋体" w:cs="宋体"/>
                <w:sz w:val="24"/>
                <w:szCs w:val="24"/>
              </w:rPr>
            </w:pPr>
            <w:r>
              <w:rPr>
                <w:rFonts w:hint="eastAsia" w:ascii="宋体" w:hAnsi="宋体" w:eastAsia="宋体" w:cs="宋体"/>
                <w:spacing w:val="6"/>
                <w:sz w:val="24"/>
                <w:szCs w:val="24"/>
              </w:rPr>
              <w:t>数量</w:t>
            </w:r>
          </w:p>
        </w:tc>
        <w:tc>
          <w:tcPr>
            <w:tcW w:w="1698" w:type="dxa"/>
            <w:vAlign w:val="center"/>
          </w:tcPr>
          <w:p w14:paraId="6B41AC65">
            <w:pPr>
              <w:autoSpaceDE w:val="0"/>
              <w:autoSpaceDN w:val="0"/>
              <w:spacing w:before="100" w:line="218" w:lineRule="auto"/>
              <w:ind w:left="106"/>
              <w:jc w:val="center"/>
              <w:rPr>
                <w:rFonts w:hint="eastAsia" w:ascii="宋体" w:hAnsi="宋体" w:eastAsia="宋体" w:cs="宋体"/>
                <w:sz w:val="24"/>
                <w:szCs w:val="24"/>
              </w:rPr>
            </w:pPr>
            <w:r>
              <w:rPr>
                <w:rFonts w:hint="eastAsia" w:ascii="宋体" w:hAnsi="宋体" w:eastAsia="宋体" w:cs="宋体"/>
                <w:spacing w:val="13"/>
                <w:sz w:val="24"/>
                <w:szCs w:val="24"/>
              </w:rPr>
              <w:t>单价(元)</w:t>
            </w:r>
          </w:p>
        </w:tc>
        <w:tc>
          <w:tcPr>
            <w:tcW w:w="1623" w:type="dxa"/>
            <w:vAlign w:val="center"/>
          </w:tcPr>
          <w:p w14:paraId="721448D4">
            <w:pPr>
              <w:autoSpaceDE w:val="0"/>
              <w:autoSpaceDN w:val="0"/>
              <w:spacing w:before="101" w:line="220" w:lineRule="auto"/>
              <w:ind w:left="117"/>
              <w:jc w:val="center"/>
              <w:rPr>
                <w:rFonts w:hint="eastAsia" w:ascii="宋体" w:hAnsi="宋体" w:eastAsia="宋体" w:cs="宋体"/>
                <w:sz w:val="24"/>
                <w:szCs w:val="24"/>
              </w:rPr>
            </w:pPr>
            <w:r>
              <w:rPr>
                <w:rFonts w:hint="eastAsia" w:ascii="宋体" w:hAnsi="宋体" w:eastAsia="宋体" w:cs="宋体"/>
                <w:spacing w:val="13"/>
                <w:sz w:val="24"/>
                <w:szCs w:val="24"/>
              </w:rPr>
              <w:t>合计(元)</w:t>
            </w:r>
          </w:p>
        </w:tc>
      </w:tr>
      <w:tr w14:paraId="0D663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98" w:hRule="atLeast"/>
          <w:jc w:val="center"/>
        </w:trPr>
        <w:tc>
          <w:tcPr>
            <w:tcW w:w="914" w:type="dxa"/>
            <w:gridSpan w:val="2"/>
            <w:vAlign w:val="center"/>
          </w:tcPr>
          <w:p w14:paraId="5B767037">
            <w:pPr>
              <w:autoSpaceDE w:val="0"/>
              <w:autoSpaceDN w:val="0"/>
              <w:spacing w:before="137" w:line="209" w:lineRule="auto"/>
              <w:ind w:left="94"/>
              <w:jc w:val="center"/>
              <w:rPr>
                <w:rFonts w:hint="eastAsia" w:ascii="宋体" w:hAnsi="宋体" w:eastAsia="宋体" w:cs="宋体"/>
                <w:sz w:val="24"/>
                <w:szCs w:val="24"/>
              </w:rPr>
            </w:pPr>
            <w:r>
              <w:rPr>
                <w:rFonts w:hint="eastAsia" w:ascii="宋体" w:hAnsi="宋体" w:eastAsia="宋体" w:cs="宋体"/>
                <w:sz w:val="24"/>
                <w:szCs w:val="24"/>
              </w:rPr>
              <w:t>1</w:t>
            </w:r>
          </w:p>
        </w:tc>
        <w:tc>
          <w:tcPr>
            <w:tcW w:w="1225" w:type="dxa"/>
            <w:vAlign w:val="top"/>
          </w:tcPr>
          <w:p w14:paraId="441719F8">
            <w:pPr>
              <w:pStyle w:val="90"/>
              <w:autoSpaceDE w:val="0"/>
              <w:autoSpaceDN w:val="0"/>
              <w:rPr>
                <w:rFonts w:hint="eastAsia" w:ascii="宋体" w:hAnsi="宋体" w:eastAsia="宋体" w:cs="宋体"/>
                <w:sz w:val="24"/>
                <w:szCs w:val="24"/>
              </w:rPr>
            </w:pPr>
          </w:p>
        </w:tc>
        <w:tc>
          <w:tcPr>
            <w:tcW w:w="1403" w:type="dxa"/>
            <w:vAlign w:val="top"/>
          </w:tcPr>
          <w:p w14:paraId="61B53EB5">
            <w:pPr>
              <w:pStyle w:val="90"/>
              <w:autoSpaceDE w:val="0"/>
              <w:autoSpaceDN w:val="0"/>
              <w:rPr>
                <w:rFonts w:hint="eastAsia" w:ascii="宋体" w:hAnsi="宋体" w:eastAsia="宋体" w:cs="宋体"/>
                <w:sz w:val="24"/>
                <w:szCs w:val="24"/>
              </w:rPr>
            </w:pPr>
          </w:p>
        </w:tc>
        <w:tc>
          <w:tcPr>
            <w:tcW w:w="1188" w:type="dxa"/>
            <w:vAlign w:val="top"/>
          </w:tcPr>
          <w:p w14:paraId="11580145">
            <w:pPr>
              <w:pStyle w:val="90"/>
              <w:autoSpaceDE w:val="0"/>
              <w:autoSpaceDN w:val="0"/>
              <w:rPr>
                <w:rFonts w:hint="eastAsia" w:ascii="宋体" w:hAnsi="宋体" w:eastAsia="宋体" w:cs="宋体"/>
                <w:sz w:val="24"/>
                <w:szCs w:val="24"/>
              </w:rPr>
            </w:pPr>
          </w:p>
        </w:tc>
        <w:tc>
          <w:tcPr>
            <w:tcW w:w="879" w:type="dxa"/>
            <w:vAlign w:val="top"/>
          </w:tcPr>
          <w:p w14:paraId="34A94202">
            <w:pPr>
              <w:pStyle w:val="90"/>
              <w:autoSpaceDE w:val="0"/>
              <w:autoSpaceDN w:val="0"/>
              <w:rPr>
                <w:rFonts w:hint="eastAsia" w:ascii="宋体" w:hAnsi="宋体" w:eastAsia="宋体" w:cs="宋体"/>
                <w:sz w:val="24"/>
                <w:szCs w:val="24"/>
              </w:rPr>
            </w:pPr>
          </w:p>
        </w:tc>
        <w:tc>
          <w:tcPr>
            <w:tcW w:w="1329" w:type="dxa"/>
            <w:vAlign w:val="top"/>
          </w:tcPr>
          <w:p w14:paraId="1F5DDACE">
            <w:pPr>
              <w:pStyle w:val="90"/>
              <w:autoSpaceDE w:val="0"/>
              <w:autoSpaceDN w:val="0"/>
              <w:rPr>
                <w:rFonts w:hint="eastAsia" w:ascii="宋体" w:hAnsi="宋体" w:eastAsia="宋体" w:cs="宋体"/>
                <w:sz w:val="24"/>
                <w:szCs w:val="24"/>
              </w:rPr>
            </w:pPr>
          </w:p>
        </w:tc>
        <w:tc>
          <w:tcPr>
            <w:tcW w:w="1698" w:type="dxa"/>
            <w:vAlign w:val="top"/>
          </w:tcPr>
          <w:p w14:paraId="3CA8DF36">
            <w:pPr>
              <w:pStyle w:val="90"/>
              <w:autoSpaceDE w:val="0"/>
              <w:autoSpaceDN w:val="0"/>
              <w:rPr>
                <w:rFonts w:hint="eastAsia" w:ascii="宋体" w:hAnsi="宋体" w:eastAsia="宋体" w:cs="宋体"/>
                <w:sz w:val="24"/>
                <w:szCs w:val="24"/>
              </w:rPr>
            </w:pPr>
          </w:p>
        </w:tc>
        <w:tc>
          <w:tcPr>
            <w:tcW w:w="1623" w:type="dxa"/>
            <w:vAlign w:val="top"/>
          </w:tcPr>
          <w:p w14:paraId="1ED9E56F">
            <w:pPr>
              <w:pStyle w:val="90"/>
              <w:autoSpaceDE w:val="0"/>
              <w:autoSpaceDN w:val="0"/>
              <w:rPr>
                <w:rFonts w:hint="eastAsia" w:ascii="宋体" w:hAnsi="宋体" w:eastAsia="宋体" w:cs="宋体"/>
                <w:sz w:val="24"/>
                <w:szCs w:val="24"/>
              </w:rPr>
            </w:pPr>
          </w:p>
        </w:tc>
      </w:tr>
      <w:tr w14:paraId="5A12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99" w:hRule="atLeast"/>
          <w:jc w:val="center"/>
        </w:trPr>
        <w:tc>
          <w:tcPr>
            <w:tcW w:w="914" w:type="dxa"/>
            <w:gridSpan w:val="2"/>
            <w:vAlign w:val="center"/>
          </w:tcPr>
          <w:p w14:paraId="0C1B70FC">
            <w:pPr>
              <w:autoSpaceDE w:val="0"/>
              <w:autoSpaceDN w:val="0"/>
              <w:spacing w:before="139" w:line="208" w:lineRule="auto"/>
              <w:ind w:left="94"/>
              <w:jc w:val="center"/>
              <w:rPr>
                <w:rFonts w:hint="eastAsia" w:ascii="宋体" w:hAnsi="宋体" w:eastAsia="宋体" w:cs="宋体"/>
                <w:sz w:val="24"/>
                <w:szCs w:val="24"/>
              </w:rPr>
            </w:pPr>
            <w:r>
              <w:rPr>
                <w:rFonts w:hint="eastAsia" w:ascii="宋体" w:hAnsi="宋体" w:eastAsia="宋体" w:cs="宋体"/>
                <w:sz w:val="24"/>
                <w:szCs w:val="24"/>
              </w:rPr>
              <w:t>2</w:t>
            </w:r>
          </w:p>
        </w:tc>
        <w:tc>
          <w:tcPr>
            <w:tcW w:w="1225" w:type="dxa"/>
            <w:vAlign w:val="top"/>
          </w:tcPr>
          <w:p w14:paraId="7087A381">
            <w:pPr>
              <w:pStyle w:val="90"/>
              <w:autoSpaceDE w:val="0"/>
              <w:autoSpaceDN w:val="0"/>
              <w:rPr>
                <w:rFonts w:hint="eastAsia" w:ascii="宋体" w:hAnsi="宋体" w:eastAsia="宋体" w:cs="宋体"/>
                <w:sz w:val="24"/>
                <w:szCs w:val="24"/>
              </w:rPr>
            </w:pPr>
          </w:p>
        </w:tc>
        <w:tc>
          <w:tcPr>
            <w:tcW w:w="1403" w:type="dxa"/>
            <w:vAlign w:val="top"/>
          </w:tcPr>
          <w:p w14:paraId="47408DE0">
            <w:pPr>
              <w:pStyle w:val="90"/>
              <w:autoSpaceDE w:val="0"/>
              <w:autoSpaceDN w:val="0"/>
              <w:rPr>
                <w:rFonts w:hint="eastAsia" w:ascii="宋体" w:hAnsi="宋体" w:eastAsia="宋体" w:cs="宋体"/>
                <w:sz w:val="24"/>
                <w:szCs w:val="24"/>
              </w:rPr>
            </w:pPr>
          </w:p>
        </w:tc>
        <w:tc>
          <w:tcPr>
            <w:tcW w:w="1188" w:type="dxa"/>
            <w:vAlign w:val="top"/>
          </w:tcPr>
          <w:p w14:paraId="6F1B8D7F">
            <w:pPr>
              <w:pStyle w:val="90"/>
              <w:autoSpaceDE w:val="0"/>
              <w:autoSpaceDN w:val="0"/>
              <w:rPr>
                <w:rFonts w:hint="eastAsia" w:ascii="宋体" w:hAnsi="宋体" w:eastAsia="宋体" w:cs="宋体"/>
                <w:sz w:val="24"/>
                <w:szCs w:val="24"/>
              </w:rPr>
            </w:pPr>
          </w:p>
        </w:tc>
        <w:tc>
          <w:tcPr>
            <w:tcW w:w="879" w:type="dxa"/>
            <w:vAlign w:val="top"/>
          </w:tcPr>
          <w:p w14:paraId="43EA2897">
            <w:pPr>
              <w:pStyle w:val="90"/>
              <w:autoSpaceDE w:val="0"/>
              <w:autoSpaceDN w:val="0"/>
              <w:rPr>
                <w:rFonts w:hint="eastAsia" w:ascii="宋体" w:hAnsi="宋体" w:eastAsia="宋体" w:cs="宋体"/>
                <w:sz w:val="24"/>
                <w:szCs w:val="24"/>
              </w:rPr>
            </w:pPr>
          </w:p>
        </w:tc>
        <w:tc>
          <w:tcPr>
            <w:tcW w:w="1329" w:type="dxa"/>
            <w:vAlign w:val="top"/>
          </w:tcPr>
          <w:p w14:paraId="5C0A4FE7">
            <w:pPr>
              <w:pStyle w:val="90"/>
              <w:autoSpaceDE w:val="0"/>
              <w:autoSpaceDN w:val="0"/>
              <w:rPr>
                <w:rFonts w:hint="eastAsia" w:ascii="宋体" w:hAnsi="宋体" w:eastAsia="宋体" w:cs="宋体"/>
                <w:sz w:val="24"/>
                <w:szCs w:val="24"/>
              </w:rPr>
            </w:pPr>
          </w:p>
        </w:tc>
        <w:tc>
          <w:tcPr>
            <w:tcW w:w="1698" w:type="dxa"/>
            <w:vAlign w:val="top"/>
          </w:tcPr>
          <w:p w14:paraId="48AE0933">
            <w:pPr>
              <w:pStyle w:val="90"/>
              <w:autoSpaceDE w:val="0"/>
              <w:autoSpaceDN w:val="0"/>
              <w:rPr>
                <w:rFonts w:hint="eastAsia" w:ascii="宋体" w:hAnsi="宋体" w:eastAsia="宋体" w:cs="宋体"/>
                <w:sz w:val="24"/>
                <w:szCs w:val="24"/>
              </w:rPr>
            </w:pPr>
          </w:p>
        </w:tc>
        <w:tc>
          <w:tcPr>
            <w:tcW w:w="1623" w:type="dxa"/>
            <w:vAlign w:val="top"/>
          </w:tcPr>
          <w:p w14:paraId="633D7331">
            <w:pPr>
              <w:pStyle w:val="90"/>
              <w:autoSpaceDE w:val="0"/>
              <w:autoSpaceDN w:val="0"/>
              <w:rPr>
                <w:rFonts w:hint="eastAsia" w:ascii="宋体" w:hAnsi="宋体" w:eastAsia="宋体" w:cs="宋体"/>
                <w:sz w:val="24"/>
                <w:szCs w:val="24"/>
              </w:rPr>
            </w:pPr>
          </w:p>
        </w:tc>
      </w:tr>
      <w:tr w14:paraId="31B5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99" w:hRule="atLeast"/>
          <w:jc w:val="center"/>
        </w:trPr>
        <w:tc>
          <w:tcPr>
            <w:tcW w:w="914" w:type="dxa"/>
            <w:gridSpan w:val="2"/>
            <w:vAlign w:val="center"/>
          </w:tcPr>
          <w:p w14:paraId="758964DA">
            <w:pPr>
              <w:autoSpaceDE w:val="0"/>
              <w:autoSpaceDN w:val="0"/>
              <w:spacing w:before="141" w:line="207" w:lineRule="auto"/>
              <w:ind w:left="94"/>
              <w:jc w:val="center"/>
              <w:rPr>
                <w:rFonts w:hint="eastAsia" w:ascii="宋体" w:hAnsi="宋体" w:eastAsia="宋体" w:cs="宋体"/>
                <w:sz w:val="24"/>
                <w:szCs w:val="24"/>
              </w:rPr>
            </w:pPr>
            <w:r>
              <w:rPr>
                <w:rFonts w:hint="eastAsia" w:ascii="宋体" w:hAnsi="宋体" w:eastAsia="宋体" w:cs="宋体"/>
                <w:sz w:val="24"/>
                <w:szCs w:val="24"/>
              </w:rPr>
              <w:t>3</w:t>
            </w:r>
          </w:p>
        </w:tc>
        <w:tc>
          <w:tcPr>
            <w:tcW w:w="1225" w:type="dxa"/>
            <w:vAlign w:val="top"/>
          </w:tcPr>
          <w:p w14:paraId="36D5B4D4">
            <w:pPr>
              <w:pStyle w:val="90"/>
              <w:autoSpaceDE w:val="0"/>
              <w:autoSpaceDN w:val="0"/>
              <w:rPr>
                <w:rFonts w:hint="eastAsia" w:ascii="宋体" w:hAnsi="宋体" w:eastAsia="宋体" w:cs="宋体"/>
                <w:sz w:val="24"/>
                <w:szCs w:val="24"/>
              </w:rPr>
            </w:pPr>
          </w:p>
        </w:tc>
        <w:tc>
          <w:tcPr>
            <w:tcW w:w="1403" w:type="dxa"/>
            <w:vAlign w:val="top"/>
          </w:tcPr>
          <w:p w14:paraId="2339BDAD">
            <w:pPr>
              <w:pStyle w:val="90"/>
              <w:autoSpaceDE w:val="0"/>
              <w:autoSpaceDN w:val="0"/>
              <w:rPr>
                <w:rFonts w:hint="eastAsia" w:ascii="宋体" w:hAnsi="宋体" w:eastAsia="宋体" w:cs="宋体"/>
                <w:sz w:val="24"/>
                <w:szCs w:val="24"/>
              </w:rPr>
            </w:pPr>
          </w:p>
        </w:tc>
        <w:tc>
          <w:tcPr>
            <w:tcW w:w="1188" w:type="dxa"/>
            <w:vAlign w:val="top"/>
          </w:tcPr>
          <w:p w14:paraId="766FE692">
            <w:pPr>
              <w:pStyle w:val="90"/>
              <w:autoSpaceDE w:val="0"/>
              <w:autoSpaceDN w:val="0"/>
              <w:rPr>
                <w:rFonts w:hint="eastAsia" w:ascii="宋体" w:hAnsi="宋体" w:eastAsia="宋体" w:cs="宋体"/>
                <w:sz w:val="24"/>
                <w:szCs w:val="24"/>
              </w:rPr>
            </w:pPr>
          </w:p>
        </w:tc>
        <w:tc>
          <w:tcPr>
            <w:tcW w:w="879" w:type="dxa"/>
            <w:vAlign w:val="top"/>
          </w:tcPr>
          <w:p w14:paraId="3E2B08DB">
            <w:pPr>
              <w:pStyle w:val="90"/>
              <w:autoSpaceDE w:val="0"/>
              <w:autoSpaceDN w:val="0"/>
              <w:rPr>
                <w:rFonts w:hint="eastAsia" w:ascii="宋体" w:hAnsi="宋体" w:eastAsia="宋体" w:cs="宋体"/>
                <w:sz w:val="24"/>
                <w:szCs w:val="24"/>
              </w:rPr>
            </w:pPr>
          </w:p>
        </w:tc>
        <w:tc>
          <w:tcPr>
            <w:tcW w:w="1329" w:type="dxa"/>
            <w:vAlign w:val="top"/>
          </w:tcPr>
          <w:p w14:paraId="6BD25DBD">
            <w:pPr>
              <w:pStyle w:val="90"/>
              <w:autoSpaceDE w:val="0"/>
              <w:autoSpaceDN w:val="0"/>
              <w:rPr>
                <w:rFonts w:hint="eastAsia" w:ascii="宋体" w:hAnsi="宋体" w:eastAsia="宋体" w:cs="宋体"/>
                <w:sz w:val="24"/>
                <w:szCs w:val="24"/>
              </w:rPr>
            </w:pPr>
          </w:p>
        </w:tc>
        <w:tc>
          <w:tcPr>
            <w:tcW w:w="1698" w:type="dxa"/>
            <w:vAlign w:val="top"/>
          </w:tcPr>
          <w:p w14:paraId="5547FCC3">
            <w:pPr>
              <w:pStyle w:val="90"/>
              <w:autoSpaceDE w:val="0"/>
              <w:autoSpaceDN w:val="0"/>
              <w:rPr>
                <w:rFonts w:hint="eastAsia" w:ascii="宋体" w:hAnsi="宋体" w:eastAsia="宋体" w:cs="宋体"/>
                <w:sz w:val="24"/>
                <w:szCs w:val="24"/>
              </w:rPr>
            </w:pPr>
          </w:p>
        </w:tc>
        <w:tc>
          <w:tcPr>
            <w:tcW w:w="1623" w:type="dxa"/>
            <w:vAlign w:val="top"/>
          </w:tcPr>
          <w:p w14:paraId="6366D077">
            <w:pPr>
              <w:pStyle w:val="90"/>
              <w:autoSpaceDE w:val="0"/>
              <w:autoSpaceDN w:val="0"/>
              <w:rPr>
                <w:rFonts w:hint="eastAsia" w:ascii="宋体" w:hAnsi="宋体" w:eastAsia="宋体" w:cs="宋体"/>
                <w:sz w:val="24"/>
                <w:szCs w:val="24"/>
              </w:rPr>
            </w:pPr>
          </w:p>
        </w:tc>
      </w:tr>
      <w:tr w14:paraId="120C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503" w:hRule="atLeast"/>
          <w:jc w:val="center"/>
        </w:trPr>
        <w:tc>
          <w:tcPr>
            <w:tcW w:w="914" w:type="dxa"/>
            <w:gridSpan w:val="2"/>
            <w:vAlign w:val="center"/>
          </w:tcPr>
          <w:p w14:paraId="37CF9D76">
            <w:pPr>
              <w:autoSpaceDE w:val="0"/>
              <w:autoSpaceDN w:val="0"/>
              <w:spacing w:before="142" w:line="209" w:lineRule="auto"/>
              <w:ind w:left="94"/>
              <w:jc w:val="center"/>
              <w:rPr>
                <w:rFonts w:hint="eastAsia" w:ascii="宋体" w:hAnsi="宋体" w:eastAsia="宋体" w:cs="宋体"/>
                <w:sz w:val="24"/>
                <w:szCs w:val="24"/>
              </w:rPr>
            </w:pPr>
            <w:r>
              <w:rPr>
                <w:rFonts w:hint="eastAsia" w:ascii="宋体" w:hAnsi="宋体" w:eastAsia="宋体" w:cs="宋体"/>
                <w:sz w:val="24"/>
                <w:szCs w:val="24"/>
              </w:rPr>
              <w:t>4</w:t>
            </w:r>
          </w:p>
        </w:tc>
        <w:tc>
          <w:tcPr>
            <w:tcW w:w="1225" w:type="dxa"/>
            <w:vAlign w:val="top"/>
          </w:tcPr>
          <w:p w14:paraId="09082E38">
            <w:pPr>
              <w:pStyle w:val="90"/>
              <w:autoSpaceDE w:val="0"/>
              <w:autoSpaceDN w:val="0"/>
              <w:rPr>
                <w:rFonts w:hint="eastAsia" w:ascii="宋体" w:hAnsi="宋体" w:eastAsia="宋体" w:cs="宋体"/>
                <w:sz w:val="24"/>
                <w:szCs w:val="24"/>
              </w:rPr>
            </w:pPr>
          </w:p>
        </w:tc>
        <w:tc>
          <w:tcPr>
            <w:tcW w:w="1403" w:type="dxa"/>
            <w:vAlign w:val="top"/>
          </w:tcPr>
          <w:p w14:paraId="7EABDA4E">
            <w:pPr>
              <w:pStyle w:val="90"/>
              <w:autoSpaceDE w:val="0"/>
              <w:autoSpaceDN w:val="0"/>
              <w:rPr>
                <w:rFonts w:hint="eastAsia" w:ascii="宋体" w:hAnsi="宋体" w:eastAsia="宋体" w:cs="宋体"/>
                <w:sz w:val="24"/>
                <w:szCs w:val="24"/>
              </w:rPr>
            </w:pPr>
          </w:p>
        </w:tc>
        <w:tc>
          <w:tcPr>
            <w:tcW w:w="1188" w:type="dxa"/>
            <w:vAlign w:val="top"/>
          </w:tcPr>
          <w:p w14:paraId="2C2CFC18">
            <w:pPr>
              <w:pStyle w:val="90"/>
              <w:autoSpaceDE w:val="0"/>
              <w:autoSpaceDN w:val="0"/>
              <w:rPr>
                <w:rFonts w:hint="eastAsia" w:ascii="宋体" w:hAnsi="宋体" w:eastAsia="宋体" w:cs="宋体"/>
                <w:sz w:val="24"/>
                <w:szCs w:val="24"/>
              </w:rPr>
            </w:pPr>
          </w:p>
        </w:tc>
        <w:tc>
          <w:tcPr>
            <w:tcW w:w="879" w:type="dxa"/>
            <w:vAlign w:val="top"/>
          </w:tcPr>
          <w:p w14:paraId="6A2CB55C">
            <w:pPr>
              <w:pStyle w:val="90"/>
              <w:autoSpaceDE w:val="0"/>
              <w:autoSpaceDN w:val="0"/>
              <w:rPr>
                <w:rFonts w:hint="eastAsia" w:ascii="宋体" w:hAnsi="宋体" w:eastAsia="宋体" w:cs="宋体"/>
                <w:sz w:val="24"/>
                <w:szCs w:val="24"/>
              </w:rPr>
            </w:pPr>
          </w:p>
        </w:tc>
        <w:tc>
          <w:tcPr>
            <w:tcW w:w="1329" w:type="dxa"/>
            <w:vAlign w:val="top"/>
          </w:tcPr>
          <w:p w14:paraId="5C273678">
            <w:pPr>
              <w:pStyle w:val="90"/>
              <w:autoSpaceDE w:val="0"/>
              <w:autoSpaceDN w:val="0"/>
              <w:rPr>
                <w:rFonts w:hint="eastAsia" w:ascii="宋体" w:hAnsi="宋体" w:eastAsia="宋体" w:cs="宋体"/>
                <w:sz w:val="24"/>
                <w:szCs w:val="24"/>
              </w:rPr>
            </w:pPr>
          </w:p>
        </w:tc>
        <w:tc>
          <w:tcPr>
            <w:tcW w:w="1698" w:type="dxa"/>
            <w:vAlign w:val="top"/>
          </w:tcPr>
          <w:p w14:paraId="5BED0757">
            <w:pPr>
              <w:pStyle w:val="90"/>
              <w:autoSpaceDE w:val="0"/>
              <w:autoSpaceDN w:val="0"/>
              <w:rPr>
                <w:rFonts w:hint="eastAsia" w:ascii="宋体" w:hAnsi="宋体" w:eastAsia="宋体" w:cs="宋体"/>
                <w:sz w:val="24"/>
                <w:szCs w:val="24"/>
              </w:rPr>
            </w:pPr>
          </w:p>
        </w:tc>
        <w:tc>
          <w:tcPr>
            <w:tcW w:w="1623" w:type="dxa"/>
            <w:vAlign w:val="top"/>
          </w:tcPr>
          <w:p w14:paraId="54F4F557">
            <w:pPr>
              <w:pStyle w:val="90"/>
              <w:autoSpaceDE w:val="0"/>
              <w:autoSpaceDN w:val="0"/>
              <w:rPr>
                <w:rFonts w:hint="eastAsia" w:ascii="宋体" w:hAnsi="宋体" w:eastAsia="宋体" w:cs="宋体"/>
                <w:sz w:val="24"/>
                <w:szCs w:val="24"/>
              </w:rPr>
            </w:pPr>
          </w:p>
        </w:tc>
      </w:tr>
      <w:tr w14:paraId="69C6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98" w:hRule="atLeast"/>
          <w:jc w:val="center"/>
        </w:trPr>
        <w:tc>
          <w:tcPr>
            <w:tcW w:w="914" w:type="dxa"/>
            <w:gridSpan w:val="2"/>
            <w:vAlign w:val="top"/>
          </w:tcPr>
          <w:p w14:paraId="0693F33C">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240" w:firstLineChars="1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w:t>
            </w:r>
          </w:p>
        </w:tc>
        <w:tc>
          <w:tcPr>
            <w:tcW w:w="1225" w:type="dxa"/>
            <w:vAlign w:val="top"/>
          </w:tcPr>
          <w:p w14:paraId="4D2BCB5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c>
          <w:tcPr>
            <w:tcW w:w="1403" w:type="dxa"/>
            <w:vAlign w:val="top"/>
          </w:tcPr>
          <w:p w14:paraId="68A634C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c>
          <w:tcPr>
            <w:tcW w:w="1188" w:type="dxa"/>
            <w:vAlign w:val="top"/>
          </w:tcPr>
          <w:p w14:paraId="2B59228E">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c>
          <w:tcPr>
            <w:tcW w:w="879" w:type="dxa"/>
            <w:vAlign w:val="top"/>
          </w:tcPr>
          <w:p w14:paraId="5430CFF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c>
          <w:tcPr>
            <w:tcW w:w="1329" w:type="dxa"/>
            <w:vAlign w:val="top"/>
          </w:tcPr>
          <w:p w14:paraId="60BAD080">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c>
          <w:tcPr>
            <w:tcW w:w="1698" w:type="dxa"/>
            <w:vAlign w:val="top"/>
          </w:tcPr>
          <w:p w14:paraId="50B54EB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c>
          <w:tcPr>
            <w:tcW w:w="1623" w:type="dxa"/>
            <w:vAlign w:val="top"/>
          </w:tcPr>
          <w:p w14:paraId="54740F7E">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r>
      <w:tr w14:paraId="4CC98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879" w:type="dxa"/>
            <w:vAlign w:val="top"/>
          </w:tcPr>
          <w:p w14:paraId="25048AD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c>
          <w:tcPr>
            <w:tcW w:w="9410" w:type="dxa"/>
            <w:gridSpan w:val="9"/>
            <w:vAlign w:val="top"/>
          </w:tcPr>
          <w:p w14:paraId="0A57578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总报价(人民币大写)</w:t>
            </w:r>
            <w:r>
              <w:rPr>
                <w:rFonts w:hint="eastAsia" w:ascii="宋体" w:hAnsi="宋体" w:cs="宋体"/>
                <w:sz w:val="24"/>
                <w:szCs w:val="24"/>
                <w:lang w:val="en-US" w:eastAsia="zh-CN"/>
              </w:rPr>
              <w:t>：</w:t>
            </w:r>
            <w:r>
              <w:rPr>
                <w:rFonts w:hint="default" w:ascii="宋体" w:hAnsi="宋体" w:eastAsia="宋体" w:cs="宋体"/>
                <w:sz w:val="24"/>
                <w:szCs w:val="24"/>
                <w:lang w:val="en-US"/>
              </w:rPr>
              <w:t xml:space="preserve">                 (¥             元 )</w:t>
            </w:r>
          </w:p>
        </w:tc>
      </w:tr>
      <w:tr w14:paraId="43C1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879" w:type="dxa"/>
            <w:vAlign w:val="top"/>
          </w:tcPr>
          <w:p w14:paraId="3B61FCA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p>
        </w:tc>
        <w:tc>
          <w:tcPr>
            <w:tcW w:w="9410" w:type="dxa"/>
            <w:gridSpan w:val="9"/>
            <w:vAlign w:val="top"/>
          </w:tcPr>
          <w:p w14:paraId="421D0EE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备注：表内报价内容以元为单位。</w:t>
            </w:r>
          </w:p>
        </w:tc>
      </w:tr>
    </w:tbl>
    <w:p w14:paraId="5264098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第三条  合同总金额</w:t>
      </w:r>
    </w:p>
    <w:p w14:paraId="20F4C6D8">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1.合同价款：小写： ¥</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元，大写：</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元整。</w:t>
      </w:r>
    </w:p>
    <w:p w14:paraId="3A460126">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2.合同总价即成交价，固定总价包干，本合同执行期间合同总价款不变。合同价格包括但不限于货物(含软件、标准附件、备品备件、专用工具、图纸资料)、包装、运输(含保险)</w:t>
      </w:r>
      <w:r>
        <w:rPr>
          <w:rFonts w:hint="eastAsia" w:ascii="宋体" w:hAnsi="宋体" w:cs="宋体"/>
          <w:sz w:val="24"/>
          <w:szCs w:val="24"/>
          <w:lang w:val="en-US" w:eastAsia="zh-CN"/>
        </w:rPr>
        <w:t>，</w:t>
      </w:r>
      <w:r>
        <w:rPr>
          <w:rFonts w:hint="default" w:ascii="宋体" w:hAnsi="宋体" w:eastAsia="宋体" w:cs="宋体"/>
          <w:sz w:val="24"/>
          <w:szCs w:val="24"/>
          <w:lang w:val="en-US"/>
        </w:rPr>
        <w:t>货到就位以及安装、调试、培训、保修等验收合格之前和质保期内的售后服务一切税金和费用。合同价格为含税价，乙方提供产品所发生的一切税(包括增值税)费等都已包含于合同价款中。</w:t>
      </w:r>
    </w:p>
    <w:p w14:paraId="6B07992C">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第四条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交货规定</w:t>
      </w:r>
    </w:p>
    <w:p w14:paraId="48535900">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1.交货方法：由乙方送货。</w:t>
      </w:r>
    </w:p>
    <w:p w14:paraId="6799E7BD">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2.运输方式：由乙方自行选择运输方式，运输及保险费用由乙方负担。货物交付给甲方验收之前，货物相关全部风险由乙方承担。</w:t>
      </w:r>
    </w:p>
    <w:p w14:paraId="3DD7DCE2">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3.交货地点：甲方要求地点。</w:t>
      </w:r>
    </w:p>
    <w:p w14:paraId="61C84BF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4.合同履行期：</w:t>
      </w:r>
      <w:r>
        <w:rPr>
          <w:rFonts w:hint="default" w:ascii="宋体" w:hAnsi="宋体" w:eastAsia="宋体" w:cs="宋体"/>
          <w:color w:val="auto"/>
          <w:sz w:val="24"/>
          <w:szCs w:val="24"/>
          <w:lang w:val="en-US" w:eastAsia="zh-CN"/>
        </w:rPr>
        <w:t>自合同签订生效之日起45个日历天内交付（包含调试验收）</w:t>
      </w:r>
      <w:r>
        <w:rPr>
          <w:rFonts w:hint="default" w:ascii="宋体" w:hAnsi="宋体" w:eastAsia="宋体" w:cs="宋体"/>
          <w:color w:val="auto"/>
          <w:sz w:val="24"/>
          <w:szCs w:val="24"/>
          <w:lang w:val="en-US"/>
        </w:rPr>
        <w:t>。</w:t>
      </w:r>
    </w:p>
    <w:p w14:paraId="2E2CBC8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color w:val="auto"/>
          <w:sz w:val="24"/>
          <w:szCs w:val="24"/>
          <w:lang w:val="en-US"/>
        </w:rPr>
        <w:t>5.需要乙方对货物(包括软件)或系统进行安装调试的，乙方应派经甲方认可</w:t>
      </w:r>
      <w:r>
        <w:rPr>
          <w:rFonts w:hint="default" w:ascii="宋体" w:hAnsi="宋体" w:eastAsia="宋体" w:cs="宋体"/>
          <w:sz w:val="24"/>
          <w:szCs w:val="24"/>
          <w:lang w:val="en-US"/>
        </w:rPr>
        <w:t>的有经验和能力、具有相应资质的技术人员，负责供货及安装调试工作，在供货期间应充分了解供货进度，保证货物质量，解决安装中出现的技术问题。乙方负责整个货物的供应，供货前应完成出厂检验并向甲方提供检验报告，甲方有权对供货前的生产过程及检验环节进行抽查监督，乙方应予以配合。</w:t>
      </w:r>
    </w:p>
    <w:p w14:paraId="4522161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6.乙方交货时应派遣专业技术人员到甲方指定地点进行现场培训，培训次数不少于    次，直至甲方指定的操作人员能够独立、熟练操作设备及进行日常维护。培训内容至少包括：设备的基本原理、安装调试、操作使用、日常维护保养、常见故障诊断与排除等。</w:t>
      </w:r>
    </w:p>
    <w:p w14:paraId="6353CEBF">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第五条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付款方式</w:t>
      </w:r>
    </w:p>
    <w:p w14:paraId="30B80688">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1.本合同项下所有款项均以人民币支付。</w:t>
      </w:r>
    </w:p>
    <w:p w14:paraId="105C6B3F">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2.乙方向甲方提交下列文件材料，经甲方审核无误后支 付采购资金：</w:t>
      </w:r>
    </w:p>
    <w:p w14:paraId="385FABB0">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(1)经甲方确认的发票；</w:t>
      </w:r>
    </w:p>
    <w:p w14:paraId="73173288">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rPr>
        <w:t>(2)经甲乙双方确认签署的《验收报告》</w:t>
      </w:r>
      <w:r>
        <w:rPr>
          <w:rFonts w:hint="eastAsia" w:ascii="宋体" w:hAnsi="宋体" w:cs="宋体"/>
          <w:sz w:val="24"/>
          <w:szCs w:val="24"/>
          <w:lang w:val="en-US" w:eastAsia="zh-CN"/>
        </w:rPr>
        <w:t>；</w:t>
      </w:r>
    </w:p>
    <w:p w14:paraId="5F7E5F87">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(3)其他材料。</w:t>
      </w:r>
    </w:p>
    <w:p w14:paraId="15C28B27">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3.付款方式：</w:t>
      </w:r>
      <w:r>
        <w:rPr>
          <w:rFonts w:hint="default" w:ascii="宋体" w:hAnsi="宋体" w:eastAsia="宋体" w:cs="宋体"/>
          <w:color w:val="auto"/>
          <w:sz w:val="24"/>
          <w:szCs w:val="24"/>
          <w:lang w:val="en-US" w:eastAsia="zh-CN"/>
        </w:rPr>
        <w:t>合同签订后甲方向乙方支付合同总价款的30%，设备调试、设备使用培训完成并经甲方验收合格后，支付至合同总价款的95%，剩余5%一年后付清</w:t>
      </w:r>
      <w:r>
        <w:rPr>
          <w:rFonts w:hint="default" w:ascii="宋体" w:hAnsi="宋体" w:eastAsia="宋体" w:cs="宋体"/>
          <w:color w:val="auto"/>
          <w:sz w:val="24"/>
          <w:szCs w:val="24"/>
          <w:lang w:val="en-US"/>
        </w:rPr>
        <w:t>。</w:t>
      </w:r>
    </w:p>
    <w:p w14:paraId="686E6ED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第六条  权利和质量保证</w:t>
      </w:r>
    </w:p>
    <w:p w14:paraId="522BB9F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1.乙方应保证货物及与货物有关的附属件完全符合有关国家规范和相关政策，且是未使用过的全新货物，质量优良、渠道正当、配置合理，如发生质量问题由乙方承担全部责任。</w:t>
      </w:r>
      <w:r>
        <w:rPr>
          <w:rFonts w:hint="eastAsia" w:ascii="宋体" w:hAnsi="宋体" w:cs="Times New Roman"/>
          <w:color w:val="auto"/>
          <w:kern w:val="0"/>
          <w:sz w:val="24"/>
          <w:szCs w:val="24"/>
          <w:lang w:val="en-US" w:eastAsia="zh-CN"/>
        </w:rPr>
        <w:t>自项目通过最终验收合格之日起三年，若国家有明确规定的质量保证期高于此质量保证期的，执行国家规定。</w:t>
      </w:r>
    </w:p>
    <w:p w14:paraId="47A6F5B0">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2.乙方提交的货物应满足招标文件要求，全面符合投标文件中记载的生产厂家、规格型号、技术参数、性能等，并应附有此类货物完整、详细的技术资料和说明文件。</w:t>
      </w:r>
    </w:p>
    <w:p w14:paraId="68E3A10E">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3.乙方提交的货物必须按照招标采购文件的要求和中标人投标文件的承诺，以约定标准进行制造、安装。</w:t>
      </w:r>
    </w:p>
    <w:p w14:paraId="728606EC">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4.乙方应保证将货物按照国家或专业标准包装、确保货物安全无损运抵合同规定的交货地点，并进行安装、试运行。</w:t>
      </w:r>
    </w:p>
    <w:p w14:paraId="362E2D12">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5.乙方应保证甲方在使用该货物或其任何一部分时不受第三方提出侵犯其专利权、版权、商标权或其他权利的起诉。一旦出现侵权，索赔或诉讼，乙方应承担全部责任(包 括但不限于诉讼费、律师费、赔偿金等)。如因此影响到甲方的正常使用，甲方有权单方解除本合同，乙方应无条件向甲方退回已收取的全部合同价款，给甲方造成损失的，由乙 方一并赔偿。</w:t>
      </w:r>
    </w:p>
    <w:p w14:paraId="4894522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6.乙方应保证货物不存在危及人身及财产安全的产品缺陷，否则应承担全部法律责任。</w:t>
      </w:r>
    </w:p>
    <w:p w14:paraId="11B624DE">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7.乙方需对本项目一切资料和文件进行保密，且不得向第三方或公众泄露。本规定在本项目实施结束后仍应有效， 否则因此造成的损失和责任由乙方承担。</w:t>
      </w:r>
    </w:p>
    <w:p w14:paraId="77EF32BD">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8.乙方员工在工作期间发生一切事故、伤亡事故以及其他损失由乙方自行承担。</w:t>
      </w:r>
    </w:p>
    <w:p w14:paraId="737188F8">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9.因乙方自身原因造成的甲方损失，乙方应承担赔偿责任。</w:t>
      </w:r>
    </w:p>
    <w:p w14:paraId="5F17096C">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10.甲方按合同约定向乙方支付费用，甲方对乙方供货内容进行监督和初验，发现问题及时要求乙方改正，直至达到要求。</w:t>
      </w:r>
    </w:p>
    <w:p w14:paraId="77F159A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第七条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货物验收</w:t>
      </w:r>
    </w:p>
    <w:p w14:paraId="3734C74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 乙方申请验收时应提供货物的装箱清单、产品合格证、设备手册(说明书)、原厂保修卡、检验报告、随箱资料及备品备件、易损件、专用工具、软件技术资料等。</w:t>
      </w:r>
    </w:p>
    <w:p w14:paraId="195C291E">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2.需要乙方对货物(包括软件)或系统进行安装调试的，甲乙双方应在货物安装调试完毕后的</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个工作日内进行运行效果验收。调试检验出现全部或部分未达到本合同所约定的技术指标，甲方有权选择下列任一处理方式：</w:t>
      </w:r>
    </w:p>
    <w:p w14:paraId="4D9BF41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a. 重新调试直至合格为止；</w:t>
      </w:r>
    </w:p>
    <w:p w14:paraId="6EBABC33">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b. 要求乙方对货物进行免费更换，然后重新调试直至合格为止。</w:t>
      </w:r>
    </w:p>
    <w:p w14:paraId="5624A237">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3.货物安装调试完成后验收时，甲乙双方必须同时在场。如有必要可邀请有关专家验收。其内容包括生产厂家、 品牌、规格、型号和数量，外观质量是否符合本合同约定，产品技术指标、性能参数以及质量是否达到现行国家有关验收规范标准、是否按照甲方要求安装到位、是否按照甲方要求进行调试和提供相关培训、是否在规定时间内安装完毕、 所有产品的配套技术资料及包装是否完好无损等进行逐项 检查。验收合格的，由双方共同签署《验收报告》。验收不合格的，乙方应在</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个工作日内完成整改并重新申请验收，因此产生的费用由乙方承担，且交货期不予顺延。若整改后仍不合格，甲方有权解除合同并要求乙方承担违约责任。</w:t>
      </w:r>
    </w:p>
    <w:p w14:paraId="2635C4A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4.货物达不到本合同“第二条合同标的”规定的数量、质量要求和运行效果，甲方有权拒收，并可以解除合同；由此引起甲方损失及赔偿责任由乙方承担。</w:t>
      </w:r>
    </w:p>
    <w:p w14:paraId="40DF87E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第八条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项目管理服务</w:t>
      </w:r>
    </w:p>
    <w:p w14:paraId="6CBBCC76">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乙方应指定不少于一人全权全程负责本项目的商务服务，以及货物安装、调试、咨询、培训和售后等技术服务工作。</w:t>
      </w:r>
    </w:p>
    <w:p w14:paraId="3A0C3A98">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项目负责人姓名：</w:t>
      </w:r>
      <w:r>
        <w:rPr>
          <w:rFonts w:hint="default" w:ascii="宋体" w:hAnsi="宋体" w:eastAsia="宋体" w:cs="宋体"/>
          <w:sz w:val="24"/>
          <w:szCs w:val="24"/>
          <w:u w:val="single"/>
          <w:lang w:val="en-US"/>
        </w:rPr>
        <w:t xml:space="preserve">       </w:t>
      </w:r>
      <w:r>
        <w:rPr>
          <w:rFonts w:hint="eastAsia" w:ascii="宋体" w:hAnsi="宋体" w:cs="宋体"/>
          <w:sz w:val="24"/>
          <w:szCs w:val="24"/>
          <w:lang w:val="en-US" w:eastAsia="zh-CN"/>
        </w:rPr>
        <w:t>；</w:t>
      </w:r>
      <w:r>
        <w:rPr>
          <w:rFonts w:hint="default" w:ascii="宋体" w:hAnsi="宋体" w:eastAsia="宋体" w:cs="宋体"/>
          <w:sz w:val="24"/>
          <w:szCs w:val="24"/>
          <w:lang w:val="en-US"/>
        </w:rPr>
        <w:t xml:space="preserve"> 联系电话：</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o</w:t>
      </w:r>
    </w:p>
    <w:p w14:paraId="771152BD">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sz w:val="24"/>
          <w:szCs w:val="24"/>
          <w:lang w:val="en-US"/>
        </w:rPr>
      </w:pPr>
      <w:r>
        <w:rPr>
          <w:rFonts w:hint="eastAsia" w:ascii="宋体" w:hAnsi="宋体" w:cs="宋体"/>
          <w:b/>
          <w:bCs/>
          <w:sz w:val="24"/>
          <w:szCs w:val="24"/>
          <w:lang w:val="en-US" w:eastAsia="zh-CN"/>
        </w:rPr>
        <w:t xml:space="preserve">第九条  </w:t>
      </w:r>
      <w:r>
        <w:rPr>
          <w:rFonts w:hint="default" w:ascii="宋体" w:hAnsi="宋体" w:eastAsia="宋体" w:cs="宋体"/>
          <w:b/>
          <w:bCs/>
          <w:sz w:val="24"/>
          <w:szCs w:val="24"/>
          <w:lang w:val="en-US"/>
        </w:rPr>
        <w:t xml:space="preserve">售后服务 </w:t>
      </w:r>
      <w:r>
        <w:rPr>
          <w:rFonts w:hint="default" w:ascii="宋体" w:hAnsi="宋体" w:eastAsia="宋体" w:cs="宋体"/>
          <w:sz w:val="24"/>
          <w:szCs w:val="24"/>
          <w:lang w:val="en-US"/>
        </w:rPr>
        <w:t xml:space="preserve">  </w:t>
      </w:r>
    </w:p>
    <w:p w14:paraId="353A32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1.乙方应为甲方提供所投产品自验收合格之日起至少</w:t>
      </w:r>
      <w:r>
        <w:rPr>
          <w:rFonts w:hint="default" w:ascii="宋体" w:hAnsi="宋体" w:eastAsia="宋体" w:cs="宋体"/>
          <w:color w:val="auto"/>
          <w:sz w:val="24"/>
          <w:szCs w:val="24"/>
          <w:u w:val="single"/>
          <w:lang w:val="en-US"/>
        </w:rPr>
        <w:t xml:space="preserve"> </w:t>
      </w:r>
      <w:r>
        <w:rPr>
          <w:rFonts w:hint="eastAsia" w:ascii="宋体" w:hAnsi="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rPr>
        <w:t xml:space="preserve">  </w:t>
      </w:r>
      <w:r>
        <w:rPr>
          <w:rFonts w:hint="default" w:ascii="宋体" w:hAnsi="宋体" w:eastAsia="宋体" w:cs="宋体"/>
          <w:color w:val="auto"/>
          <w:sz w:val="24"/>
          <w:szCs w:val="24"/>
          <w:lang w:val="en-US"/>
        </w:rPr>
        <w:t>年</w:t>
      </w:r>
      <w:r>
        <w:rPr>
          <w:rFonts w:hint="default" w:ascii="宋体" w:hAnsi="宋体" w:eastAsia="宋体" w:cs="宋体"/>
          <w:sz w:val="24"/>
          <w:szCs w:val="24"/>
          <w:lang w:val="en-US"/>
        </w:rPr>
        <w:t>的免费软件升级及技术咨询(国家/行业有更长规定的从其规定)</w:t>
      </w:r>
      <w:r>
        <w:rPr>
          <w:rFonts w:hint="eastAsia" w:ascii="宋体" w:hAnsi="宋体" w:cs="宋体"/>
          <w:sz w:val="24"/>
          <w:szCs w:val="24"/>
          <w:lang w:val="en-US" w:eastAsia="zh-CN"/>
        </w:rPr>
        <w:t>，</w:t>
      </w:r>
      <w:r>
        <w:rPr>
          <w:rFonts w:hint="default" w:ascii="宋体" w:hAnsi="宋体" w:eastAsia="宋体" w:cs="宋体"/>
          <w:sz w:val="24"/>
          <w:szCs w:val="24"/>
          <w:lang w:val="en-US"/>
        </w:rPr>
        <w:t>并能够及时提供设备后期维修及易损件供应服务；乙方承诺在服务期内保持技术支持能力，若无法继续履约应提前</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个月书面通知甲方，并承担甲方获取同等服务的合理费用。所提供的服务内容应严格按国家最新发布的规范标准执行，符合投标文件的技术参数及质量标准，如发生质量问题由乙方承担全部责任。</w:t>
      </w:r>
    </w:p>
    <w:p w14:paraId="3C6195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2.乙方应负责货物及主要部件、配件维修更换。质保期内，乙方对货物提供全免费保修或免费更换；质保期后，如需更换零部件，乙方应以成本价提供。</w:t>
      </w:r>
    </w:p>
    <w:p w14:paraId="6A8160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3.乙方应在收到甲方的售后服务通知</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分钟内响应，</w:t>
      </w:r>
      <w:r>
        <w:rPr>
          <w:rFonts w:hint="default" w:ascii="宋体" w:hAnsi="宋体" w:eastAsia="宋体" w:cs="宋体"/>
          <w:sz w:val="24"/>
          <w:szCs w:val="24"/>
          <w:u w:val="single"/>
          <w:lang w:val="en-US"/>
        </w:rPr>
        <w:t xml:space="preserve"> </w:t>
      </w:r>
      <w:r>
        <w:rPr>
          <w:rFonts w:hint="default" w:ascii="宋体" w:hAnsi="宋体" w:eastAsia="宋体" w:cs="宋体"/>
          <w:sz w:val="24"/>
          <w:szCs w:val="24"/>
          <w:u w:val="single"/>
          <w:lang w:val="en-US"/>
        </w:rPr>
        <w:tab/>
      </w:r>
      <w:r>
        <w:rPr>
          <w:rFonts w:hint="default" w:ascii="宋体" w:hAnsi="宋体" w:eastAsia="宋体" w:cs="宋体"/>
          <w:sz w:val="24"/>
          <w:szCs w:val="24"/>
          <w:lang w:val="en-US"/>
        </w:rPr>
        <w:t>小时到达现场维修。如   小时内未处理完毕，乙方须采取包括但不限于提供备用设备、临时替代方案等有效应急 措施，确保不影响甲方的正常工作业务；逾期未采取有效应急措施的，每延误</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天乙方应向甲方支付合同总价款</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 的违约金(累计不超过合同总价款的</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w:t>
      </w:r>
    </w:p>
    <w:p w14:paraId="230ACF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4.乙方应设有稳定可靠的售后服务机构或同类合作机构，可提供24小时热线服务和技术支持。服务机构须设专业人员提供远程服务，若远程维护无法解决的，乙方应及时安排人员前往现场处理故障。</w:t>
      </w:r>
    </w:p>
    <w:p w14:paraId="21104F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第十条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分包</w:t>
      </w:r>
    </w:p>
    <w:p w14:paraId="1AB1DF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除招标采购文件事先说明且经甲方事先书面同意外，乙方不得分包其应履行的合同义务。</w:t>
      </w:r>
    </w:p>
    <w:p w14:paraId="757D9C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第十一条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合同的生效</w:t>
      </w:r>
    </w:p>
    <w:p w14:paraId="5B30AA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本合同经甲乙双方授权代表签订并加盖公章或合同专用章后生效。</w:t>
      </w:r>
    </w:p>
    <w:p w14:paraId="378DE1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第十二条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违约责任</w:t>
      </w:r>
    </w:p>
    <w:p w14:paraId="3C91FC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1.若发现乙方有弄虚作假的，在投标阶段故意或随意夸大产品技术性能，乙方应无条件退货，本合同解除，乙方赔偿甲方相应的损失。</w:t>
      </w:r>
    </w:p>
    <w:p w14:paraId="076130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2.乙方所交付的货物达不到本合同规定要求的，甲方有权拒收，乙方应</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日内采取补救措施，逾期未采取补救措施的，乙方应向甲方支付合同相关货物总价</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%的违约金，若甲方实际损失超过违约金的，乙方应赔偿超出部分损失。</w:t>
      </w:r>
    </w:p>
    <w:p w14:paraId="7116C2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3.甲方无正当理由拒收货物、拒付货款的，应向乙方偿付拒付货款</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%的违约金。甲方有正当理由(包括但不限于货物品牌、规格、质量不符合合同约定或未按约定时间交付)拒收货物的，应在验收时书面说明理由，乙方应在</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日内采取补救措施，因此产生的费用由乙方承担。</w:t>
      </w:r>
    </w:p>
    <w:p w14:paraId="01AD04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4.乙方无正当理由逾期交付货物的，每逾期</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天，乙方向甲方偿付逾期交货部分货款总额的</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‰的违约金。如乙方逾期交货达</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天，甲方有权解除合同，甲方解除合同的通知自到达乙方时生效。在此情况下，乙方给甲方造成的实际损失高于违约金的，对高出违约金的部分乙方应予以赔偿。</w:t>
      </w:r>
    </w:p>
    <w:p w14:paraId="3FF964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5.在乙方承诺的或国家规定的质量保证期内(取两者中最长的期限)</w:t>
      </w:r>
      <w:r>
        <w:rPr>
          <w:rFonts w:hint="eastAsia" w:ascii="宋体" w:hAnsi="宋体" w:cs="宋体"/>
          <w:sz w:val="24"/>
          <w:szCs w:val="24"/>
          <w:lang w:val="en-US" w:eastAsia="zh-CN"/>
        </w:rPr>
        <w:t>，</w:t>
      </w:r>
      <w:r>
        <w:rPr>
          <w:rFonts w:hint="default" w:ascii="宋体" w:hAnsi="宋体" w:eastAsia="宋体" w:cs="宋体"/>
          <w:sz w:val="24"/>
          <w:szCs w:val="24"/>
          <w:lang w:val="en-US"/>
        </w:rPr>
        <w:t>如经乙方两次维修，货物仍不能达到合同约定的质量标准、运行效果的，甲方有权要求乙方更换为全新合格货物。如更换的货物仍无法正常使用的，甲方有权解除 合同并要求乙方退还已支付的全部款项，同时乙方应支付合同总价款</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%的违约金。</w:t>
      </w:r>
    </w:p>
    <w:p w14:paraId="66EE6E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6.乙方违法本合同第九条售后服务约定，未能按规定响应时间、到达现场时间或修复故障时间提供服务的，每逾期</w:t>
      </w:r>
      <w:r>
        <w:rPr>
          <w:rFonts w:hint="default" w:ascii="宋体" w:hAnsi="宋体" w:eastAsia="宋体" w:cs="宋体"/>
          <w:sz w:val="24"/>
          <w:szCs w:val="24"/>
          <w:u w:val="single"/>
          <w:lang w:val="en-US"/>
        </w:rPr>
        <w:tab/>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小时，应向甲方支付合同总价款</w:t>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%的违约金，逾期超过</w:t>
      </w:r>
      <w:r>
        <w:rPr>
          <w:rFonts w:hint="default" w:ascii="宋体" w:hAnsi="宋体" w:eastAsia="宋体" w:cs="宋体"/>
          <w:sz w:val="24"/>
          <w:szCs w:val="24"/>
          <w:u w:val="single"/>
          <w:lang w:val="en-US"/>
        </w:rPr>
        <w:tab/>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小时仍未解决的，甲方有权自行委托第三方进行维修，所产生的费用由乙方承担，乙方还应支付合同总价款</w:t>
      </w:r>
      <w:r>
        <w:rPr>
          <w:rFonts w:hint="default" w:ascii="宋体" w:hAnsi="宋体" w:eastAsia="宋体" w:cs="宋体"/>
          <w:sz w:val="24"/>
          <w:szCs w:val="24"/>
          <w:u w:val="single"/>
          <w:lang w:val="en-US"/>
        </w:rPr>
        <w:tab/>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%的违约金。</w:t>
      </w:r>
    </w:p>
    <w:p w14:paraId="385582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7.其它未尽事宜，以《中华人民共和国民法典》和《政府采购法》等有关法律法规规定为准，无相关规定的，双方协商解决。</w:t>
      </w:r>
    </w:p>
    <w:p w14:paraId="5A50C8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第十三条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不可抗力</w:t>
      </w:r>
    </w:p>
    <w:p w14:paraId="17F2F1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甲、乙方中任何一方，因不可抗力不能按时或完全履行合同的，应及时通知对方，并在</w:t>
      </w:r>
      <w:r>
        <w:rPr>
          <w:rFonts w:hint="default" w:ascii="宋体" w:hAnsi="宋体" w:eastAsia="宋体" w:cs="宋体"/>
          <w:sz w:val="24"/>
          <w:szCs w:val="24"/>
          <w:u w:val="single"/>
          <w:lang w:val="en-US"/>
        </w:rPr>
        <w:tab/>
      </w:r>
      <w:r>
        <w:rPr>
          <w:rFonts w:hint="default" w:ascii="宋体" w:hAnsi="宋体" w:eastAsia="宋体" w:cs="宋体"/>
          <w:sz w:val="24"/>
          <w:szCs w:val="24"/>
          <w:u w:val="single"/>
          <w:lang w:val="en-US"/>
        </w:rPr>
        <w:t xml:space="preserve"> </w:t>
      </w:r>
      <w:r>
        <w:rPr>
          <w:rFonts w:hint="default" w:ascii="宋体" w:hAnsi="宋体" w:eastAsia="宋体" w:cs="宋体"/>
          <w:sz w:val="24"/>
          <w:szCs w:val="24"/>
          <w:lang w:val="en-US"/>
        </w:rPr>
        <w:t>个工作日内提供相应证明。未履行完合同部分是否继续履行、如何履行等问题，可由双方初步协商，并向主管部门和政府采购管理部门报告。确定为不可抗力原因造成的损失，免予承担责任。</w:t>
      </w:r>
    </w:p>
    <w:p w14:paraId="6FCB16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第十四条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争议的解决方式</w:t>
      </w:r>
    </w:p>
    <w:p w14:paraId="035226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1.因货物的质量问题发生争议的，应当邀请国家认可的质量检测机构对货物质量进行鉴定。货物完全符合合同约定标准的，鉴定费由甲方承担；主要技术参数不符合合同约定标准的，鉴定费用由乙方承担；部分指标不符合或双方对鉴定结论有异议的，鉴定费用由责任方承担(无法确定责任的，由双方平均承担)。</w:t>
      </w:r>
    </w:p>
    <w:p w14:paraId="7E82F8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2.在解释或者执行本合同的过程中发生争议时，双方应通过协商方式解决。</w:t>
      </w:r>
    </w:p>
    <w:p w14:paraId="727CD8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3.经协商不能解决的争议，双方应向安康市有管辖权的法院提起诉讼。</w:t>
      </w:r>
    </w:p>
    <w:p w14:paraId="223E9B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sz w:val="24"/>
          <w:szCs w:val="24"/>
          <w:lang w:val="en-US"/>
        </w:rPr>
      </w:pPr>
      <w:r>
        <w:rPr>
          <w:rFonts w:hint="default" w:ascii="宋体" w:hAnsi="宋体" w:eastAsia="宋体" w:cs="宋体"/>
          <w:sz w:val="24"/>
          <w:szCs w:val="24"/>
          <w:lang w:val="en-US"/>
        </w:rPr>
        <w:t>4.在法院审理和仲裁期间，除有争议部分外，本合同其他部分可以履行的仍应按合同条款继续履行。</w:t>
      </w:r>
    </w:p>
    <w:p w14:paraId="1358B5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r>
        <w:rPr>
          <w:rFonts w:hint="default" w:ascii="宋体" w:hAnsi="宋体" w:eastAsia="宋体" w:cs="宋体"/>
          <w:b/>
          <w:bCs/>
          <w:sz w:val="24"/>
          <w:szCs w:val="24"/>
          <w:lang w:val="en-US"/>
        </w:rPr>
        <w:t>第十五条</w:t>
      </w:r>
      <w:r>
        <w:rPr>
          <w:rFonts w:hint="eastAsia" w:ascii="宋体" w:hAnsi="宋体" w:cs="宋体"/>
          <w:b/>
          <w:bCs/>
          <w:sz w:val="24"/>
          <w:szCs w:val="24"/>
          <w:lang w:val="en-US" w:eastAsia="zh-CN"/>
        </w:rPr>
        <w:t xml:space="preserve">  </w:t>
      </w:r>
      <w:r>
        <w:rPr>
          <w:rFonts w:hint="default" w:ascii="宋体" w:hAnsi="宋体" w:eastAsia="宋体" w:cs="宋体"/>
          <w:b/>
          <w:bCs/>
          <w:sz w:val="24"/>
          <w:szCs w:val="24"/>
          <w:lang w:val="en-US"/>
        </w:rPr>
        <w:t>其他</w:t>
      </w:r>
    </w:p>
    <w:p w14:paraId="1940CD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符合《政府采购法》规定的，经双方协商，办理政府采购手续后，可签订补充合同，所签订的补充合同与本合同具 有同等法律效力。</w:t>
      </w:r>
    </w:p>
    <w:p w14:paraId="460D87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本合同一式</w:t>
      </w:r>
      <w:r>
        <w:rPr>
          <w:rFonts w:hint="default" w:ascii="宋体" w:hAnsi="宋体" w:eastAsia="宋体" w:cs="宋体"/>
          <w:b w:val="0"/>
          <w:bCs w:val="0"/>
          <w:sz w:val="24"/>
          <w:szCs w:val="24"/>
          <w:u w:val="single"/>
          <w:lang w:val="en-US"/>
        </w:rPr>
        <w:t xml:space="preserve">    </w:t>
      </w:r>
      <w:r>
        <w:rPr>
          <w:rFonts w:hint="default" w:ascii="宋体" w:hAnsi="宋体" w:eastAsia="宋体" w:cs="宋体"/>
          <w:b w:val="0"/>
          <w:bCs w:val="0"/>
          <w:sz w:val="24"/>
          <w:szCs w:val="24"/>
          <w:lang w:val="en-US"/>
        </w:rPr>
        <w:t>份，甲、乙双方各执</w:t>
      </w:r>
      <w:r>
        <w:rPr>
          <w:rFonts w:hint="default" w:ascii="宋体" w:hAnsi="宋体" w:eastAsia="宋体" w:cs="宋体"/>
          <w:b w:val="0"/>
          <w:bCs w:val="0"/>
          <w:sz w:val="24"/>
          <w:szCs w:val="24"/>
          <w:u w:val="single"/>
          <w:lang w:val="en-US"/>
        </w:rPr>
        <w:t xml:space="preserve">    </w:t>
      </w:r>
      <w:r>
        <w:rPr>
          <w:rFonts w:hint="default" w:ascii="宋体" w:hAnsi="宋体" w:eastAsia="宋体" w:cs="宋体"/>
          <w:b w:val="0"/>
          <w:bCs w:val="0"/>
          <w:sz w:val="24"/>
          <w:szCs w:val="24"/>
          <w:lang w:val="en-US"/>
        </w:rPr>
        <w:t>份。</w:t>
      </w:r>
    </w:p>
    <w:p w14:paraId="26DD3E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rPr>
      </w:pPr>
    </w:p>
    <w:p w14:paraId="34A30E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rPr>
      </w:pPr>
    </w:p>
    <w:p w14:paraId="088711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rPr>
        <w:t>甲方名称： (盖章)</w:t>
      </w:r>
      <w:r>
        <w:rPr>
          <w:rFonts w:hint="eastAsia" w:ascii="宋体" w:hAnsi="宋体" w:cs="宋体"/>
          <w:b w:val="0"/>
          <w:bCs w:val="0"/>
          <w:sz w:val="24"/>
          <w:szCs w:val="24"/>
          <w:lang w:val="en-US" w:eastAsia="zh-CN"/>
        </w:rPr>
        <w:t xml:space="preserve">                           </w:t>
      </w:r>
      <w:r>
        <w:rPr>
          <w:rFonts w:hint="default" w:ascii="宋体" w:hAnsi="宋体" w:eastAsia="宋体" w:cs="宋体"/>
          <w:b w:val="0"/>
          <w:bCs w:val="0"/>
          <w:sz w:val="24"/>
          <w:szCs w:val="24"/>
          <w:lang w:val="en-US"/>
        </w:rPr>
        <w:t>乙方名称 ： (盖章)</w:t>
      </w:r>
    </w:p>
    <w:p w14:paraId="3D59E4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rPr>
        <w:t xml:space="preserve">地址：安康市高新区创业大厦14楼 </w:t>
      </w:r>
      <w:r>
        <w:rPr>
          <w:rFonts w:hint="eastAsia" w:ascii="宋体" w:hAnsi="宋体" w:cs="宋体"/>
          <w:b w:val="0"/>
          <w:bCs w:val="0"/>
          <w:sz w:val="24"/>
          <w:szCs w:val="24"/>
          <w:lang w:val="en-US" w:eastAsia="zh-CN"/>
        </w:rPr>
        <w:t xml:space="preserve">            </w:t>
      </w:r>
      <w:r>
        <w:rPr>
          <w:rFonts w:hint="default" w:ascii="宋体" w:hAnsi="宋体" w:eastAsia="宋体" w:cs="宋体"/>
          <w:b w:val="0"/>
          <w:bCs w:val="0"/>
          <w:sz w:val="24"/>
          <w:szCs w:val="24"/>
          <w:lang w:val="en-US"/>
        </w:rPr>
        <w:t>地址：</w:t>
      </w:r>
    </w:p>
    <w:p w14:paraId="41FFEA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法定代表人或授权代表(签字):</w:t>
      </w:r>
      <w:r>
        <w:rPr>
          <w:rFonts w:hint="eastAsia" w:ascii="宋体" w:hAnsi="宋体" w:cs="宋体"/>
          <w:b w:val="0"/>
          <w:bCs w:val="0"/>
          <w:sz w:val="24"/>
          <w:szCs w:val="24"/>
          <w:lang w:val="en-US" w:eastAsia="zh-CN"/>
        </w:rPr>
        <w:t xml:space="preserve">                 </w:t>
      </w:r>
      <w:r>
        <w:rPr>
          <w:rFonts w:hint="default" w:ascii="宋体" w:hAnsi="宋体" w:eastAsia="宋体" w:cs="宋体"/>
          <w:b w:val="0"/>
          <w:bCs w:val="0"/>
          <w:sz w:val="24"/>
          <w:szCs w:val="24"/>
          <w:lang w:val="en-US"/>
        </w:rPr>
        <w:t>法定代表人或授权代表(签字):</w:t>
      </w:r>
    </w:p>
    <w:p w14:paraId="74519B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rPr>
      </w:pPr>
    </w:p>
    <w:p w14:paraId="7BAF13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sz w:val="24"/>
          <w:szCs w:val="24"/>
          <w:lang w:val="en-US"/>
        </w:rPr>
      </w:pPr>
    </w:p>
    <w:p w14:paraId="32DBAF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年      月        日                            年     月       日</w:t>
      </w:r>
    </w:p>
    <w:p w14:paraId="3BBF55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sz w:val="24"/>
          <w:szCs w:val="24"/>
          <w:lang w:val="en-US"/>
        </w:rPr>
      </w:pPr>
      <w:r>
        <w:rPr>
          <w:rFonts w:hint="default" w:ascii="宋体" w:hAnsi="宋体" w:eastAsia="宋体" w:cs="宋体"/>
          <w:b/>
          <w:bCs/>
          <w:sz w:val="24"/>
          <w:szCs w:val="24"/>
          <w:lang w:val="en-US"/>
        </w:rPr>
        <w:t xml:space="preserve">  </w:t>
      </w:r>
      <w:r>
        <w:rPr>
          <w:rFonts w:hint="default" w:ascii="宋体" w:hAnsi="宋体" w:eastAsia="宋体" w:cs="宋体"/>
          <w:sz w:val="24"/>
          <w:szCs w:val="24"/>
          <w:lang w:val="en-US"/>
        </w:rPr>
        <w:t xml:space="preserve">        </w:t>
      </w:r>
    </w:p>
    <w:p w14:paraId="5EB563FF">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04" w:name="_Toc23258622"/>
      <w:bookmarkStart w:id="105" w:name="_Toc26541333"/>
      <w:bookmarkStart w:id="106" w:name="_Toc9064"/>
    </w:p>
    <w:p w14:paraId="352F038D">
      <w:pPr>
        <w:pStyle w:val="2"/>
        <w:keepNext/>
        <w:keepLines/>
        <w:pageBreakBefore w:val="0"/>
        <w:widowControl w:val="0"/>
        <w:kinsoku/>
        <w:wordWrap/>
        <w:overflowPunct/>
        <w:topLinePunct w:val="0"/>
        <w:autoSpaceDE/>
        <w:autoSpaceDN/>
        <w:bidi w:val="0"/>
        <w:adjustRightInd/>
        <w:snapToGrid/>
        <w:spacing w:line="579" w:lineRule="auto"/>
        <w:jc w:val="center"/>
        <w:textAlignment w:val="auto"/>
        <w:rPr>
          <w:color w:val="auto"/>
        </w:rPr>
      </w:pPr>
      <w:bookmarkStart w:id="107" w:name="_Toc12481"/>
      <w:r>
        <w:rPr>
          <w:rFonts w:hint="eastAsia"/>
          <w:color w:val="auto"/>
        </w:rPr>
        <w:t>第六章 投标文件</w:t>
      </w:r>
      <w:bookmarkEnd w:id="101"/>
      <w:bookmarkEnd w:id="102"/>
      <w:r>
        <w:rPr>
          <w:rFonts w:hint="eastAsia"/>
          <w:color w:val="auto"/>
        </w:rPr>
        <w:t>（格式）</w:t>
      </w:r>
      <w:bookmarkEnd w:id="103"/>
      <w:bookmarkEnd w:id="104"/>
      <w:bookmarkEnd w:id="105"/>
      <w:bookmarkEnd w:id="106"/>
      <w:bookmarkEnd w:id="107"/>
    </w:p>
    <w:p w14:paraId="3C4EAAB2">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604016FA">
      <w:pPr>
        <w:rPr>
          <w:color w:val="auto"/>
        </w:rPr>
      </w:pPr>
    </w:p>
    <w:p w14:paraId="6C93BB5B">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62166F93">
      <w:pPr>
        <w:spacing w:line="480" w:lineRule="exact"/>
        <w:rPr>
          <w:rFonts w:ascii="宋体" w:hAnsi="宋体"/>
          <w:b/>
          <w:color w:val="auto"/>
          <w:sz w:val="180"/>
          <w:szCs w:val="48"/>
        </w:rPr>
      </w:pPr>
    </w:p>
    <w:p w14:paraId="575D6EA2">
      <w:pPr>
        <w:spacing w:line="480" w:lineRule="exact"/>
        <w:rPr>
          <w:rFonts w:ascii="宋体" w:hAnsi="宋体"/>
          <w:b/>
          <w:color w:val="auto"/>
          <w:sz w:val="180"/>
          <w:szCs w:val="48"/>
        </w:rPr>
      </w:pPr>
    </w:p>
    <w:p w14:paraId="150E0041">
      <w:pPr>
        <w:spacing w:line="480" w:lineRule="exact"/>
        <w:rPr>
          <w:rFonts w:ascii="宋体" w:hAnsi="宋体"/>
          <w:b/>
          <w:color w:val="auto"/>
          <w:sz w:val="180"/>
          <w:szCs w:val="48"/>
        </w:rPr>
      </w:pPr>
    </w:p>
    <w:p w14:paraId="5D207778">
      <w:pPr>
        <w:spacing w:line="480" w:lineRule="exact"/>
        <w:rPr>
          <w:rFonts w:ascii="宋体" w:hAnsi="宋体"/>
          <w:b/>
          <w:color w:val="auto"/>
          <w:sz w:val="180"/>
          <w:szCs w:val="48"/>
        </w:rPr>
      </w:pPr>
    </w:p>
    <w:p w14:paraId="03D9C536">
      <w:pPr>
        <w:pStyle w:val="63"/>
        <w:spacing w:line="360" w:lineRule="auto"/>
        <w:ind w:left="3970" w:leftChars="418" w:hanging="3092" w:hangingChars="700"/>
        <w:rPr>
          <w:rFonts w:ascii="宋体" w:hAnsi="宋体"/>
          <w:b/>
          <w:color w:val="auto"/>
          <w:sz w:val="44"/>
          <w:szCs w:val="20"/>
        </w:rPr>
      </w:pPr>
      <w:r>
        <w:rPr>
          <w:rFonts w:hint="eastAsia" w:ascii="宋体" w:hAnsi="宋体"/>
          <w:b/>
          <w:color w:val="auto"/>
          <w:sz w:val="44"/>
          <w:szCs w:val="20"/>
        </w:rPr>
        <w:t xml:space="preserve"> </w:t>
      </w:r>
      <w:r>
        <w:rPr>
          <w:rFonts w:hint="eastAsia" w:ascii="宋体" w:hAnsi="宋体"/>
          <w:b/>
          <w:color w:val="auto"/>
          <w:sz w:val="44"/>
          <w:szCs w:val="20"/>
          <w:u w:val="single"/>
        </w:rPr>
        <w:t xml:space="preserve">                       </w:t>
      </w:r>
      <w:r>
        <w:rPr>
          <w:rFonts w:hint="eastAsia" w:ascii="宋体" w:hAnsi="宋体"/>
          <w:b/>
          <w:color w:val="auto"/>
          <w:sz w:val="44"/>
          <w:szCs w:val="20"/>
        </w:rPr>
        <w:t xml:space="preserve"> 项目</w:t>
      </w:r>
    </w:p>
    <w:p w14:paraId="2A9D8DA1">
      <w:pPr>
        <w:rPr>
          <w:color w:val="auto"/>
        </w:rPr>
      </w:pPr>
    </w:p>
    <w:p w14:paraId="09885060">
      <w:pPr>
        <w:rPr>
          <w:color w:val="auto"/>
        </w:rPr>
      </w:pPr>
    </w:p>
    <w:p w14:paraId="694527F3">
      <w:pPr>
        <w:pStyle w:val="18"/>
        <w:rPr>
          <w:color w:val="auto"/>
          <w:lang w:val="en-US" w:bidi="ar-SA"/>
        </w:rPr>
      </w:pPr>
    </w:p>
    <w:p w14:paraId="1DBCC870">
      <w:pPr>
        <w:rPr>
          <w:color w:val="auto"/>
        </w:rPr>
      </w:pPr>
    </w:p>
    <w:p w14:paraId="409FE87C">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665CD90C">
      <w:pPr>
        <w:spacing w:line="360" w:lineRule="auto"/>
        <w:rPr>
          <w:rFonts w:ascii="宋体" w:hAnsi="宋体"/>
          <w:b/>
          <w:color w:val="auto"/>
          <w:sz w:val="28"/>
          <w:szCs w:val="28"/>
        </w:rPr>
      </w:pPr>
    </w:p>
    <w:p w14:paraId="208A1996">
      <w:pPr>
        <w:spacing w:line="360" w:lineRule="auto"/>
        <w:jc w:val="center"/>
        <w:rPr>
          <w:rFonts w:ascii="宋体" w:hAnsi="宋体"/>
          <w:b/>
          <w:color w:val="auto"/>
          <w:sz w:val="28"/>
          <w:szCs w:val="28"/>
        </w:rPr>
      </w:pPr>
    </w:p>
    <w:p w14:paraId="714A2A45">
      <w:pPr>
        <w:widowControl/>
        <w:spacing w:line="360" w:lineRule="auto"/>
        <w:ind w:left="199" w:leftChars="95" w:firstLine="360" w:firstLineChars="150"/>
        <w:rPr>
          <w:rFonts w:ascii="宋体" w:hAnsi="宋体"/>
          <w:color w:val="auto"/>
          <w:sz w:val="24"/>
          <w:szCs w:val="24"/>
        </w:rPr>
      </w:pPr>
    </w:p>
    <w:p w14:paraId="7CA18EA0">
      <w:pPr>
        <w:widowControl/>
        <w:spacing w:line="360" w:lineRule="auto"/>
        <w:ind w:left="199" w:leftChars="95" w:firstLine="360" w:firstLineChars="150"/>
        <w:rPr>
          <w:rFonts w:ascii="宋体" w:hAnsi="宋体"/>
          <w:color w:val="auto"/>
          <w:sz w:val="24"/>
          <w:szCs w:val="24"/>
        </w:rPr>
      </w:pPr>
    </w:p>
    <w:p w14:paraId="03127625">
      <w:pPr>
        <w:pStyle w:val="37"/>
        <w:rPr>
          <w:color w:val="auto"/>
        </w:rPr>
      </w:pPr>
    </w:p>
    <w:p w14:paraId="452A8B9B">
      <w:pPr>
        <w:widowControl/>
        <w:spacing w:line="360" w:lineRule="auto"/>
        <w:ind w:left="199" w:leftChars="95" w:firstLine="360" w:firstLineChars="150"/>
        <w:rPr>
          <w:rFonts w:ascii="宋体" w:hAnsi="宋体"/>
          <w:color w:val="auto"/>
          <w:sz w:val="24"/>
          <w:szCs w:val="24"/>
          <w:u w:val="single"/>
        </w:rPr>
      </w:pPr>
    </w:p>
    <w:p w14:paraId="40CA83A2">
      <w:pPr>
        <w:snapToGrid w:val="0"/>
        <w:spacing w:line="360" w:lineRule="auto"/>
        <w:ind w:firstLine="640" w:firstLineChars="200"/>
        <w:jc w:val="left"/>
        <w:rPr>
          <w:rFonts w:ascii="宋体"/>
          <w:color w:val="auto"/>
          <w:sz w:val="32"/>
          <w:szCs w:val="32"/>
          <w:u w:val="single"/>
        </w:rPr>
      </w:pPr>
      <w:bookmarkStart w:id="108" w:name="_Toc528240831"/>
      <w:bookmarkStart w:id="109" w:name="_Toc484890086"/>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1D5CC6FB">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rPr>
        <w:t>或</w:t>
      </w:r>
      <w:r>
        <w:rPr>
          <w:rFonts w:hint="eastAsia" w:ascii="宋体" w:hAnsi="宋体" w:cs="宋体"/>
          <w:color w:val="auto"/>
          <w:sz w:val="32"/>
          <w:szCs w:val="32"/>
          <w:lang w:val="zh-CN"/>
        </w:rPr>
        <w:t>被授权人（签字</w:t>
      </w:r>
      <w:r>
        <w:rPr>
          <w:rFonts w:hint="eastAsia" w:ascii="宋体" w:hAnsi="宋体" w:cs="宋体"/>
          <w:color w:val="auto"/>
          <w:sz w:val="32"/>
          <w:szCs w:val="32"/>
        </w:rPr>
        <w:t>或盖章</w:t>
      </w:r>
      <w:r>
        <w:rPr>
          <w:rFonts w:hint="eastAsia" w:ascii="宋体" w:hAnsi="宋体" w:cs="宋体"/>
          <w:color w:val="auto"/>
          <w:sz w:val="32"/>
          <w:szCs w:val="32"/>
          <w:lang w:val="zh-CN"/>
        </w:rPr>
        <w:t>）：</w:t>
      </w:r>
      <w:r>
        <w:rPr>
          <w:rFonts w:hint="eastAsia" w:ascii="宋体" w:hAnsi="宋体" w:cs="宋体"/>
          <w:color w:val="auto"/>
          <w:sz w:val="24"/>
          <w:szCs w:val="24"/>
        </w:rPr>
        <w:t>_________________</w:t>
      </w:r>
    </w:p>
    <w:p w14:paraId="1A998941">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62D4E83E">
      <w:pPr>
        <w:widowControl/>
        <w:ind w:firstLine="2400" w:firstLineChars="250"/>
        <w:jc w:val="left"/>
        <w:rPr>
          <w:color w:val="auto"/>
          <w:sz w:val="96"/>
        </w:rPr>
      </w:pPr>
    </w:p>
    <w:p w14:paraId="0CCBCB28">
      <w:pPr>
        <w:pStyle w:val="34"/>
        <w:rPr>
          <w:color w:val="auto"/>
        </w:rPr>
      </w:pPr>
    </w:p>
    <w:p w14:paraId="1D64071C">
      <w:pPr>
        <w:widowControl/>
        <w:jc w:val="center"/>
        <w:rPr>
          <w:color w:val="auto"/>
          <w:sz w:val="52"/>
          <w:szCs w:val="18"/>
        </w:rPr>
      </w:pPr>
      <w:r>
        <w:rPr>
          <w:rFonts w:hint="eastAsia"/>
          <w:color w:val="auto"/>
          <w:sz w:val="52"/>
          <w:szCs w:val="18"/>
        </w:rPr>
        <w:t>目   录</w:t>
      </w:r>
    </w:p>
    <w:p w14:paraId="008D68AF">
      <w:pPr>
        <w:widowControl/>
        <w:jc w:val="left"/>
        <w:rPr>
          <w:color w:val="auto"/>
          <w:sz w:val="36"/>
        </w:rPr>
      </w:pPr>
    </w:p>
    <w:p w14:paraId="231FE970">
      <w:pPr>
        <w:pageBreakBefore w:val="0"/>
        <w:widowControl/>
        <w:numPr>
          <w:ilvl w:val="0"/>
          <w:numId w:val="8"/>
        </w:numPr>
        <w:kinsoku/>
        <w:wordWrap/>
        <w:overflowPunct/>
        <w:topLinePunct w:val="0"/>
        <w:autoSpaceDE/>
        <w:autoSpaceDN/>
        <w:bidi w:val="0"/>
        <w:adjustRightInd/>
        <w:snapToGrid/>
        <w:spacing w:line="720" w:lineRule="exact"/>
        <w:ind w:firstLine="320" w:firstLineChars="100"/>
        <w:jc w:val="left"/>
        <w:textAlignment w:val="auto"/>
        <w:rPr>
          <w:rFonts w:hint="eastAsia"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投标函</w:t>
      </w:r>
    </w:p>
    <w:p w14:paraId="2DD87165">
      <w:pPr>
        <w:pageBreakBefore w:val="0"/>
        <w:widowControl/>
        <w:numPr>
          <w:ilvl w:val="0"/>
          <w:numId w:val="8"/>
        </w:numPr>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投标一览表</w:t>
      </w:r>
    </w:p>
    <w:p w14:paraId="33F05FAA">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三</w:t>
      </w:r>
      <w:r>
        <w:rPr>
          <w:rFonts w:hint="eastAsia" w:cs="仿宋" w:asciiTheme="minorEastAsia" w:hAnsiTheme="minorEastAsia" w:eastAsiaTheme="minorEastAsia"/>
          <w:b w:val="0"/>
          <w:color w:val="auto"/>
          <w:szCs w:val="28"/>
          <w:lang w:eastAsia="zh-CN"/>
        </w:rPr>
        <w:t>、</w:t>
      </w:r>
      <w:r>
        <w:rPr>
          <w:rFonts w:hint="eastAsia" w:cs="仿宋" w:asciiTheme="minorEastAsia" w:hAnsiTheme="minorEastAsia" w:eastAsiaTheme="minorEastAsia"/>
          <w:b w:val="0"/>
          <w:color w:val="auto"/>
          <w:szCs w:val="28"/>
        </w:rPr>
        <w:t>资格证明文件</w:t>
      </w:r>
    </w:p>
    <w:p w14:paraId="7FF6B393">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四、技术商务偏离表</w:t>
      </w:r>
    </w:p>
    <w:p w14:paraId="0F3A1582">
      <w:pPr>
        <w:pStyle w:val="3"/>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五、投标方案</w:t>
      </w:r>
    </w:p>
    <w:p w14:paraId="21B55B24">
      <w:pPr>
        <w:pageBreakBefore w:val="0"/>
        <w:widowControl/>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六、</w:t>
      </w:r>
      <w:r>
        <w:rPr>
          <w:rFonts w:hint="eastAsia" w:cs="仿宋" w:asciiTheme="minorEastAsia" w:hAnsiTheme="minorEastAsia" w:eastAsiaTheme="minorEastAsia"/>
          <w:bCs/>
          <w:color w:val="auto"/>
          <w:sz w:val="32"/>
          <w:szCs w:val="28"/>
          <w:lang w:val="en-US" w:eastAsia="zh-CN"/>
        </w:rPr>
        <w:t>供应商</w:t>
      </w:r>
      <w:r>
        <w:rPr>
          <w:rFonts w:hint="eastAsia" w:cs="仿宋" w:asciiTheme="minorEastAsia" w:hAnsiTheme="minorEastAsia" w:eastAsiaTheme="minorEastAsia"/>
          <w:bCs/>
          <w:color w:val="auto"/>
          <w:sz w:val="32"/>
          <w:szCs w:val="28"/>
        </w:rPr>
        <w:t>承诺书</w:t>
      </w:r>
    </w:p>
    <w:p w14:paraId="6C4AD9A6">
      <w:pPr>
        <w:widowControl/>
        <w:spacing w:line="360" w:lineRule="auto"/>
        <w:jc w:val="left"/>
        <w:rPr>
          <w:rFonts w:ascii="Calibri Light" w:hAnsi="Calibri Light"/>
          <w:b/>
          <w:bCs/>
          <w:color w:val="auto"/>
          <w:sz w:val="36"/>
          <w:szCs w:val="32"/>
        </w:rPr>
      </w:pPr>
      <w:r>
        <w:rPr>
          <w:color w:val="auto"/>
          <w:sz w:val="22"/>
        </w:rPr>
        <w:br w:type="page"/>
      </w:r>
    </w:p>
    <w:bookmarkEnd w:id="108"/>
    <w:bookmarkEnd w:id="109"/>
    <w:p w14:paraId="145CB55C">
      <w:pPr>
        <w:pStyle w:val="3"/>
        <w:spacing w:before="0" w:after="0"/>
        <w:ind w:firstLine="482" w:firstLineChars="150"/>
        <w:jc w:val="center"/>
        <w:rPr>
          <w:color w:val="auto"/>
        </w:rPr>
      </w:pPr>
      <w:bookmarkStart w:id="110" w:name="_Toc26541334"/>
      <w:bookmarkStart w:id="111" w:name="_Toc23258623"/>
      <w:bookmarkStart w:id="112" w:name="_Toc484890087"/>
      <w:r>
        <w:rPr>
          <w:rFonts w:hint="eastAsia"/>
          <w:color w:val="auto"/>
        </w:rPr>
        <w:t>一、投标函</w:t>
      </w:r>
      <w:bookmarkEnd w:id="110"/>
      <w:bookmarkEnd w:id="111"/>
    </w:p>
    <w:p w14:paraId="4D80D8CA">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1AF4D2E3">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0C87FC0E">
      <w:pPr>
        <w:spacing w:line="360" w:lineRule="auto"/>
        <w:ind w:firstLine="480" w:firstLineChars="200"/>
        <w:rPr>
          <w:rFonts w:ascii="宋体"/>
          <w:sz w:val="24"/>
          <w:szCs w:val="24"/>
        </w:rPr>
      </w:pPr>
      <w:r>
        <w:rPr>
          <w:rFonts w:hint="eastAsia" w:ascii="宋体" w:hAnsi="宋体" w:cs="宋体"/>
          <w:sz w:val="24"/>
          <w:szCs w:val="24"/>
        </w:rPr>
        <w:t>1.我方决定参加：</w:t>
      </w:r>
      <w:r>
        <w:rPr>
          <w:rFonts w:hint="eastAsia" w:ascii="宋体" w:hAnsi="宋体" w:cs="宋体"/>
          <w:sz w:val="24"/>
          <w:szCs w:val="24"/>
          <w:u w:val="single"/>
        </w:rPr>
        <w:t>项目名称（项目编号：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的报价，我公司的</w:t>
      </w:r>
      <w:r>
        <w:rPr>
          <w:rFonts w:hint="eastAsia" w:ascii="宋体" w:hAnsi="宋体" w:cs="宋体"/>
          <w:sz w:val="24"/>
          <w:szCs w:val="24"/>
          <w:lang w:val="en-US" w:eastAsia="zh-CN"/>
        </w:rPr>
        <w:t>投标</w:t>
      </w:r>
      <w:r>
        <w:rPr>
          <w:rFonts w:hint="eastAsia" w:ascii="宋体" w:hAnsi="宋体" w:cs="宋体"/>
          <w:sz w:val="24"/>
          <w:szCs w:val="24"/>
        </w:rPr>
        <w:t>总报价为：</w:t>
      </w:r>
    </w:p>
    <w:p w14:paraId="54F5A55C">
      <w:pPr>
        <w:spacing w:line="360" w:lineRule="auto"/>
        <w:ind w:firstLine="480" w:firstLineChars="200"/>
        <w:rPr>
          <w:rFonts w:ascii="宋体" w:hAnsi="宋体" w:cs="宋体"/>
          <w:sz w:val="24"/>
          <w:szCs w:val="24"/>
        </w:rPr>
      </w:pPr>
      <w:r>
        <w:rPr>
          <w:rFonts w:hint="eastAsia" w:ascii="宋体" w:hAnsi="宋体" w:cs="宋体"/>
          <w:sz w:val="24"/>
          <w:szCs w:val="24"/>
        </w:rPr>
        <w:t>人民币（大写）：______________元；（小写）￥：______元；</w:t>
      </w:r>
    </w:p>
    <w:p w14:paraId="0D6E5F17">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7A98FD9D">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w:t>
      </w:r>
      <w:r>
        <w:rPr>
          <w:rFonts w:hint="eastAsia" w:ascii="宋体" w:hAnsi="宋体" w:cs="宋体"/>
          <w:sz w:val="24"/>
          <w:szCs w:val="24"/>
          <w:lang w:eastAsia="zh-CN"/>
        </w:rPr>
        <w:t>（</w:t>
      </w:r>
      <w:r>
        <w:rPr>
          <w:rFonts w:hint="eastAsia" w:ascii="宋体" w:hAnsi="宋体" w:cs="宋体"/>
          <w:sz w:val="24"/>
          <w:szCs w:val="24"/>
        </w:rPr>
        <w:t>如果有</w:t>
      </w:r>
      <w:r>
        <w:rPr>
          <w:rFonts w:hint="eastAsia" w:ascii="宋体" w:hAnsi="宋体" w:cs="宋体"/>
          <w:sz w:val="24"/>
          <w:szCs w:val="24"/>
          <w:lang w:eastAsia="zh-CN"/>
        </w:rPr>
        <w:t>）</w:t>
      </w:r>
      <w:r>
        <w:rPr>
          <w:rFonts w:hint="eastAsia" w:ascii="宋体" w:hAnsi="宋体" w:cs="宋体"/>
          <w:sz w:val="24"/>
          <w:szCs w:val="24"/>
        </w:rPr>
        <w:t>和所有已提供的参考资料以及有关格式并完全明白，我方同意放弃对这些文件所提出异议的权利。</w:t>
      </w:r>
    </w:p>
    <w:p w14:paraId="3D70BC21">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w:t>
      </w:r>
      <w:r>
        <w:rPr>
          <w:rFonts w:hint="eastAsia" w:ascii="宋体" w:hAnsi="宋体" w:cs="宋体"/>
          <w:sz w:val="24"/>
          <w:szCs w:val="24"/>
          <w:lang w:eastAsia="zh-CN"/>
        </w:rPr>
        <w:t>任何其他</w:t>
      </w:r>
      <w:r>
        <w:rPr>
          <w:rFonts w:hint="eastAsia" w:ascii="宋体" w:hAnsi="宋体" w:cs="宋体"/>
          <w:sz w:val="24"/>
          <w:szCs w:val="24"/>
        </w:rPr>
        <w:t>材料或信息。</w:t>
      </w:r>
    </w:p>
    <w:p w14:paraId="1CC56CE3">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5.我方完全服从和尊重评委会所作的评定结果，同时清楚理解到最低报价并非意味着必定获得中标资格。</w:t>
      </w:r>
    </w:p>
    <w:p w14:paraId="618C4BB0">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6036EAEA">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1BC51DB0">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8.我方承诺在本次投标中提供的一切文件均为真实、有效、完整和准确的，绝无任何虚假、伪造和夸大</w:t>
      </w:r>
      <w:r>
        <w:rPr>
          <w:rFonts w:hint="eastAsia" w:ascii="宋体" w:hAnsi="宋体" w:cs="宋体"/>
          <w:sz w:val="24"/>
          <w:szCs w:val="24"/>
          <w:lang w:eastAsia="zh-CN"/>
        </w:rPr>
        <w:t>的成分</w:t>
      </w:r>
      <w:r>
        <w:rPr>
          <w:rFonts w:hint="eastAsia" w:ascii="宋体" w:hAnsi="宋体" w:cs="宋体"/>
          <w:sz w:val="24"/>
          <w:szCs w:val="24"/>
        </w:rPr>
        <w:t>，如有违法、违规、弄虚作假行为，造成的损失、不良后果及法律责任，一律由我方自行承担。</w:t>
      </w:r>
    </w:p>
    <w:p w14:paraId="686945DE">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4EDC6C62">
      <w:pPr>
        <w:spacing w:line="360" w:lineRule="auto"/>
        <w:ind w:firstLine="480" w:firstLineChars="200"/>
        <w:rPr>
          <w:rFonts w:ascii="宋体" w:hAnsi="宋体"/>
          <w:color w:val="auto"/>
          <w:sz w:val="24"/>
          <w:szCs w:val="24"/>
        </w:rPr>
      </w:pPr>
      <w:r>
        <w:rPr>
          <w:rFonts w:hint="eastAsia" w:ascii="宋体" w:hAnsi="宋体"/>
          <w:sz w:val="24"/>
          <w:szCs w:val="24"/>
          <w:lang w:eastAsia="zh-CN"/>
        </w:rPr>
        <w:t>10.</w:t>
      </w:r>
      <w:r>
        <w:rPr>
          <w:rFonts w:hint="eastAsia" w:ascii="宋体" w:hAnsi="宋体"/>
          <w:sz w:val="24"/>
          <w:szCs w:val="24"/>
        </w:rPr>
        <w:t>所有关于本投标文件的函电，请按下列地址联系。</w:t>
      </w:r>
    </w:p>
    <w:p w14:paraId="0D93F554">
      <w:pPr>
        <w:spacing w:line="360" w:lineRule="auto"/>
        <w:ind w:firstLine="211"/>
        <w:rPr>
          <w:rFonts w:hint="eastAsia" w:ascii="宋体" w:hAnsi="宋体" w:cs="仿宋"/>
          <w:color w:val="auto"/>
          <w:sz w:val="24"/>
          <w:szCs w:val="24"/>
        </w:rPr>
      </w:pPr>
    </w:p>
    <w:p w14:paraId="50799225">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w:t>
      </w:r>
      <w:r>
        <w:rPr>
          <w:rFonts w:hint="eastAsia" w:ascii="宋体" w:hAnsi="宋体" w:cs="仿宋"/>
          <w:color w:val="auto"/>
          <w:sz w:val="24"/>
          <w:szCs w:val="24"/>
          <w:lang w:eastAsia="zh-CN"/>
        </w:rPr>
        <w:t>：</w:t>
      </w:r>
      <w:r>
        <w:rPr>
          <w:rFonts w:hint="eastAsia" w:ascii="宋体" w:hAnsi="宋体" w:cs="仿宋"/>
          <w:color w:val="auto"/>
          <w:sz w:val="24"/>
          <w:szCs w:val="24"/>
        </w:rPr>
        <w:t>（盖章）</w:t>
      </w:r>
    </w:p>
    <w:p w14:paraId="453CB709">
      <w:pPr>
        <w:spacing w:line="360" w:lineRule="auto"/>
        <w:ind w:firstLine="211"/>
        <w:rPr>
          <w:rFonts w:ascii="宋体" w:hAnsi="宋体"/>
          <w:color w:val="auto"/>
          <w:sz w:val="24"/>
          <w:szCs w:val="24"/>
        </w:rPr>
      </w:pPr>
      <w:r>
        <w:rPr>
          <w:rFonts w:hint="eastAsia" w:ascii="宋体" w:hAnsi="宋体"/>
          <w:color w:val="auto"/>
          <w:sz w:val="24"/>
          <w:szCs w:val="24"/>
        </w:rPr>
        <w:t>法定代表人：（签字或盖章）</w:t>
      </w:r>
    </w:p>
    <w:p w14:paraId="59C82122">
      <w:pPr>
        <w:spacing w:line="360" w:lineRule="auto"/>
        <w:ind w:firstLine="211"/>
        <w:rPr>
          <w:rFonts w:ascii="宋体" w:hAnsi="宋体"/>
          <w:color w:val="auto"/>
          <w:sz w:val="24"/>
          <w:szCs w:val="24"/>
        </w:rPr>
      </w:pPr>
      <w:r>
        <w:rPr>
          <w:rFonts w:hint="eastAsia" w:ascii="宋体" w:hAnsi="宋体"/>
          <w:color w:val="auto"/>
          <w:sz w:val="24"/>
          <w:szCs w:val="24"/>
        </w:rPr>
        <w:t xml:space="preserve">地    址：                         </w:t>
      </w:r>
    </w:p>
    <w:p w14:paraId="698A3DB3">
      <w:pPr>
        <w:spacing w:line="360" w:lineRule="auto"/>
        <w:ind w:firstLine="211"/>
        <w:rPr>
          <w:rFonts w:ascii="宋体" w:hAnsi="宋体"/>
          <w:color w:val="auto"/>
          <w:sz w:val="24"/>
          <w:szCs w:val="24"/>
        </w:rPr>
      </w:pPr>
      <w:r>
        <w:rPr>
          <w:rFonts w:hint="eastAsia" w:ascii="宋体" w:hAnsi="宋体"/>
          <w:color w:val="auto"/>
          <w:sz w:val="24"/>
          <w:szCs w:val="24"/>
        </w:rPr>
        <w:t xml:space="preserve">开 户 行：                   </w:t>
      </w:r>
    </w:p>
    <w:p w14:paraId="654F0DDF">
      <w:pPr>
        <w:spacing w:line="360" w:lineRule="auto"/>
        <w:ind w:firstLine="211"/>
        <w:rPr>
          <w:rFonts w:ascii="宋体" w:hAnsi="宋体"/>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                         </w:t>
      </w:r>
    </w:p>
    <w:p w14:paraId="0FFD2107">
      <w:pPr>
        <w:spacing w:line="360" w:lineRule="auto"/>
        <w:ind w:firstLine="211"/>
        <w:rPr>
          <w:rFonts w:ascii="宋体" w:hAnsi="宋体"/>
          <w:color w:val="auto"/>
          <w:sz w:val="24"/>
          <w:szCs w:val="24"/>
        </w:rPr>
      </w:pPr>
      <w:r>
        <w:rPr>
          <w:rFonts w:hint="eastAsia" w:ascii="宋体" w:hAnsi="宋体"/>
          <w:color w:val="auto"/>
          <w:sz w:val="24"/>
          <w:szCs w:val="24"/>
        </w:rPr>
        <w:t xml:space="preserve">电    话：                   传    真：                        </w:t>
      </w:r>
    </w:p>
    <w:p w14:paraId="502528D3">
      <w:pPr>
        <w:spacing w:line="360" w:lineRule="auto"/>
        <w:ind w:firstLine="211"/>
        <w:rPr>
          <w:rFonts w:ascii="宋体" w:hAnsi="宋体"/>
          <w:color w:val="auto"/>
          <w:sz w:val="24"/>
          <w:szCs w:val="24"/>
        </w:rPr>
      </w:pPr>
      <w:r>
        <w:rPr>
          <w:rFonts w:hint="eastAsia" w:ascii="宋体" w:hAnsi="宋体"/>
          <w:color w:val="auto"/>
          <w:sz w:val="24"/>
          <w:szCs w:val="24"/>
        </w:rPr>
        <w:t>邮    编：</w:t>
      </w:r>
    </w:p>
    <w:p w14:paraId="1E410995">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28E79BCF">
      <w:pPr>
        <w:spacing w:line="360" w:lineRule="auto"/>
        <w:ind w:firstLine="211"/>
        <w:rPr>
          <w:rFonts w:ascii="宋体" w:hAnsi="宋体"/>
          <w:color w:val="auto"/>
          <w:sz w:val="24"/>
          <w:szCs w:val="24"/>
        </w:rPr>
      </w:pPr>
    </w:p>
    <w:p w14:paraId="072AE7B5">
      <w:pPr>
        <w:pStyle w:val="3"/>
        <w:jc w:val="cente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13" w:name="_Toc528240832"/>
    </w:p>
    <w:bookmarkEnd w:id="112"/>
    <w:bookmarkEnd w:id="113"/>
    <w:p w14:paraId="64544078">
      <w:pPr>
        <w:pStyle w:val="3"/>
        <w:jc w:val="center"/>
      </w:pPr>
      <w:bookmarkStart w:id="114" w:name="_Toc26541335"/>
      <w:bookmarkStart w:id="115" w:name="_Toc23258624"/>
      <w:r>
        <w:rPr>
          <w:rFonts w:hint="eastAsia"/>
        </w:rPr>
        <w:t>二、投标一览表</w:t>
      </w:r>
      <w:bookmarkEnd w:id="114"/>
      <w:bookmarkEnd w:id="115"/>
    </w:p>
    <w:p w14:paraId="644B720C">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567B6FA5">
      <w:pPr>
        <w:kinsoku w:val="0"/>
        <w:spacing w:line="360" w:lineRule="auto"/>
        <w:jc w:val="left"/>
        <w:rPr>
          <w:rFonts w:ascii="宋体" w:hAnsi="宋体"/>
          <w:sz w:val="24"/>
          <w:szCs w:val="24"/>
        </w:rPr>
      </w:pPr>
      <w:r>
        <w:rPr>
          <w:rFonts w:hint="eastAsia" w:ascii="宋体" w:hAnsi="宋体" w:cs="宋体"/>
          <w:sz w:val="24"/>
        </w:rPr>
        <w:t xml:space="preserve">项目编号：                                                                                    </w:t>
      </w:r>
    </w:p>
    <w:tbl>
      <w:tblPr>
        <w:tblStyle w:val="41"/>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693"/>
        <w:gridCol w:w="2028"/>
        <w:gridCol w:w="2038"/>
      </w:tblGrid>
      <w:tr w14:paraId="70CE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3119" w:type="dxa"/>
            <w:vAlign w:val="center"/>
          </w:tcPr>
          <w:p w14:paraId="33EA4640">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投标总报价</w:t>
            </w:r>
          </w:p>
          <w:p w14:paraId="254F2111">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（元）</w:t>
            </w:r>
          </w:p>
        </w:tc>
        <w:tc>
          <w:tcPr>
            <w:tcW w:w="2693" w:type="dxa"/>
            <w:vAlign w:val="center"/>
          </w:tcPr>
          <w:p w14:paraId="5D674B97">
            <w:pPr>
              <w:keepNext w:val="0"/>
              <w:keepLines w:val="0"/>
              <w:suppressLineNumbers w:val="0"/>
              <w:spacing w:before="0" w:beforeAutospacing="0" w:after="0" w:afterAutospacing="0"/>
              <w:ind w:left="0" w:right="0"/>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合同履行期</w:t>
            </w:r>
          </w:p>
          <w:p w14:paraId="30DB3CA8">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auto"/>
                <w:kern w:val="0"/>
                <w:sz w:val="24"/>
                <w:szCs w:val="24"/>
                <w:lang w:val="en-US" w:eastAsia="zh-CN" w:bidi="ar-SA"/>
              </w:rPr>
              <w:t>日历天</w:t>
            </w:r>
            <w:r>
              <w:rPr>
                <w:rFonts w:hint="eastAsia" w:ascii="宋体" w:hAnsi="宋体" w:cs="宋体"/>
                <w:color w:val="000000" w:themeColor="text1"/>
                <w:kern w:val="0"/>
                <w:sz w:val="24"/>
                <w:szCs w:val="24"/>
                <w14:textFill>
                  <w14:solidFill>
                    <w14:schemeClr w14:val="tx1"/>
                  </w14:solidFill>
                </w14:textFill>
              </w:rPr>
              <w:t>）</w:t>
            </w:r>
          </w:p>
        </w:tc>
        <w:tc>
          <w:tcPr>
            <w:tcW w:w="2028" w:type="dxa"/>
            <w:vAlign w:val="center"/>
          </w:tcPr>
          <w:p w14:paraId="070187C8">
            <w:pPr>
              <w:keepNext w:val="0"/>
              <w:keepLines w:val="0"/>
              <w:suppressLineNumbers w:val="0"/>
              <w:spacing w:before="0" w:beforeAutospacing="0" w:after="0" w:afterAutospacing="0"/>
              <w:ind w:left="0" w:right="0"/>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质保期</w:t>
            </w:r>
          </w:p>
          <w:p w14:paraId="306BF0AA">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eastAsia="zh-CN"/>
              </w:rPr>
            </w:pPr>
            <w:r>
              <w:rPr>
                <w:rFonts w:hint="eastAsia" w:ascii="宋体" w:hAnsi="宋体" w:cs="宋体"/>
                <w:color w:val="000000" w:themeColor="text1"/>
                <w:kern w:val="0"/>
                <w:sz w:val="24"/>
                <w:szCs w:val="24"/>
                <w:lang w:val="en-US" w:eastAsia="zh-CN"/>
                <w14:textFill>
                  <w14:solidFill>
                    <w14:schemeClr w14:val="tx1"/>
                  </w14:solidFill>
                </w14:textFill>
              </w:rPr>
              <w:t>（年）</w:t>
            </w:r>
          </w:p>
        </w:tc>
        <w:tc>
          <w:tcPr>
            <w:tcW w:w="2038" w:type="dxa"/>
            <w:vAlign w:val="center"/>
          </w:tcPr>
          <w:p w14:paraId="3F1589B1">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olor w:val="000000" w:themeColor="text1"/>
                <w:kern w:val="0"/>
                <w:sz w:val="24"/>
                <w:szCs w:val="24"/>
                <w:highlight w:val="none"/>
                <w:lang w:val="en-US" w:eastAsia="zh-CN"/>
                <w14:textFill>
                  <w14:solidFill>
                    <w14:schemeClr w14:val="tx1"/>
                  </w14:solidFill>
                </w14:textFill>
              </w:rPr>
              <w:t>备注</w:t>
            </w:r>
          </w:p>
        </w:tc>
      </w:tr>
      <w:tr w14:paraId="7CA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119" w:type="dxa"/>
            <w:vAlign w:val="center"/>
          </w:tcPr>
          <w:p w14:paraId="329837E7">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693" w:type="dxa"/>
            <w:vAlign w:val="center"/>
          </w:tcPr>
          <w:p w14:paraId="4E0001D6">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28" w:type="dxa"/>
            <w:vAlign w:val="center"/>
          </w:tcPr>
          <w:p w14:paraId="032C7362">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038" w:type="dxa"/>
          </w:tcPr>
          <w:p w14:paraId="22D8C57B">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r w14:paraId="1F6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56B52FE8">
            <w:pPr>
              <w:keepNext w:val="0"/>
              <w:keepLines w:val="0"/>
              <w:suppressLineNumbers w:val="0"/>
              <w:spacing w:before="0" w:beforeAutospacing="0" w:after="0" w:afterAutospacing="0"/>
              <w:ind w:left="0" w:right="0"/>
              <w:jc w:val="both"/>
              <w:rPr>
                <w:rFonts w:hint="default" w:ascii="宋体" w:hAnsi="宋体" w:cs="宋体"/>
                <w:kern w:val="0"/>
                <w:sz w:val="24"/>
                <w:szCs w:val="24"/>
              </w:rPr>
            </w:pPr>
            <w:r>
              <w:rPr>
                <w:rFonts w:hint="eastAsia" w:ascii="宋体" w:hAnsi="宋体" w:cs="宋体"/>
                <w:kern w:val="0"/>
                <w:sz w:val="24"/>
                <w:szCs w:val="24"/>
              </w:rPr>
              <w:t>投标总报价（大写）：                            （小写：￥       ）</w:t>
            </w:r>
          </w:p>
        </w:tc>
      </w:tr>
      <w:tr w14:paraId="6FE5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2856B9F7">
            <w:pPr>
              <w:keepNext w:val="0"/>
              <w:keepLines w:val="0"/>
              <w:suppressLineNumbers w:val="0"/>
              <w:spacing w:before="0" w:beforeAutospacing="0" w:after="0" w:afterAutospacing="0"/>
              <w:ind w:left="0" w:right="0"/>
              <w:rPr>
                <w:rFonts w:hint="default" w:ascii="宋体" w:hAnsi="宋体" w:cs="宋体"/>
                <w:kern w:val="0"/>
                <w:sz w:val="24"/>
                <w:szCs w:val="24"/>
              </w:rPr>
            </w:pPr>
            <w:r>
              <w:rPr>
                <w:rFonts w:hint="eastAsia" w:ascii="宋体" w:hAnsi="宋体" w:cs="宋体"/>
                <w:kern w:val="0"/>
                <w:sz w:val="24"/>
                <w:szCs w:val="24"/>
              </w:rPr>
              <w:t>备注：表内总报价保留小数点后两位。</w:t>
            </w:r>
          </w:p>
        </w:tc>
      </w:tr>
    </w:tbl>
    <w:p w14:paraId="105629C2">
      <w:pPr>
        <w:kinsoku w:val="0"/>
        <w:spacing w:line="500" w:lineRule="exact"/>
        <w:rPr>
          <w:rFonts w:ascii="宋体" w:hAnsi="宋体"/>
          <w:sz w:val="24"/>
          <w:szCs w:val="24"/>
        </w:rPr>
      </w:pPr>
      <w:r>
        <w:rPr>
          <w:rFonts w:hint="eastAsia" w:ascii="宋体" w:hAnsi="宋体"/>
          <w:sz w:val="24"/>
          <w:szCs w:val="24"/>
        </w:rPr>
        <w:t xml:space="preserve">                                                               </w:t>
      </w:r>
    </w:p>
    <w:p w14:paraId="6CF75EAE">
      <w:pPr>
        <w:widowControl/>
        <w:rPr>
          <w:rFonts w:ascii="宋体" w:hAnsi="宋体" w:cs="宋体"/>
          <w:bCs/>
          <w:kern w:val="0"/>
          <w:sz w:val="24"/>
        </w:rPr>
      </w:pPr>
      <w:r>
        <w:rPr>
          <w:rFonts w:hint="eastAsia" w:ascii="宋体" w:hAnsi="宋体" w:cs="宋体"/>
          <w:bCs/>
          <w:kern w:val="0"/>
          <w:sz w:val="24"/>
        </w:rPr>
        <w:t>说明：</w:t>
      </w:r>
    </w:p>
    <w:p w14:paraId="3EFCB69A">
      <w:pPr>
        <w:numPr>
          <w:ilvl w:val="0"/>
          <w:numId w:val="9"/>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04F90B44">
      <w:pPr>
        <w:numPr>
          <w:ilvl w:val="0"/>
          <w:numId w:val="9"/>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w:t>
      </w:r>
      <w:r>
        <w:rPr>
          <w:rFonts w:hint="eastAsia" w:ascii="宋体" w:hAnsi="宋体" w:cs="宋体"/>
          <w:sz w:val="24"/>
          <w:lang w:val="en-US" w:eastAsia="zh-CN"/>
        </w:rPr>
        <w:t>以及</w:t>
      </w:r>
      <w:r>
        <w:rPr>
          <w:rFonts w:hint="eastAsia" w:ascii="宋体" w:hAnsi="宋体" w:cs="宋体"/>
          <w:sz w:val="24"/>
        </w:rPr>
        <w:t>履行合同产生的一切相关费用。</w:t>
      </w:r>
    </w:p>
    <w:p w14:paraId="3601BB12"/>
    <w:p w14:paraId="3A5544E5">
      <w:pPr>
        <w:pStyle w:val="37"/>
      </w:pPr>
    </w:p>
    <w:p w14:paraId="19A777EA">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1F1C5FB0">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425163D7">
      <w:pPr>
        <w:tabs>
          <w:tab w:val="left" w:pos="3045"/>
        </w:tabs>
        <w:spacing w:line="360" w:lineRule="auto"/>
        <w:rPr>
          <w:rFonts w:ascii="宋体" w:hAnsi="宋体"/>
          <w:color w:val="auto"/>
          <w:sz w:val="24"/>
          <w:szCs w:val="24"/>
        </w:rPr>
      </w:pPr>
      <w:r>
        <w:rPr>
          <w:rFonts w:hint="eastAsia" w:ascii="宋体" w:hAnsi="宋体"/>
          <w:sz w:val="24"/>
          <w:szCs w:val="24"/>
        </w:rPr>
        <w:t>日      期：</w:t>
      </w:r>
      <w:r>
        <w:rPr>
          <w:rFonts w:hint="eastAsia" w:ascii="宋体" w:hAnsi="宋体"/>
          <w:color w:val="auto"/>
          <w:sz w:val="24"/>
          <w:szCs w:val="24"/>
        </w:rPr>
        <w:tab/>
      </w:r>
    </w:p>
    <w:p w14:paraId="6B25883C">
      <w:pPr>
        <w:widowControl/>
        <w:jc w:val="left"/>
        <w:rPr>
          <w:rFonts w:ascii="Calibri Light" w:hAnsi="Calibri Light"/>
          <w:b/>
          <w:bCs/>
          <w:color w:val="auto"/>
          <w:sz w:val="32"/>
          <w:szCs w:val="32"/>
        </w:rPr>
      </w:pPr>
      <w:bookmarkStart w:id="116" w:name="_Toc484890088"/>
      <w:r>
        <w:rPr>
          <w:color w:val="auto"/>
        </w:rPr>
        <w:br w:type="page"/>
      </w:r>
    </w:p>
    <w:bookmarkEnd w:id="116"/>
    <w:p w14:paraId="7999D436">
      <w:pPr>
        <w:pStyle w:val="3"/>
        <w:jc w:val="center"/>
        <w:rPr>
          <w:rFonts w:hint="eastAsia"/>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17" w:name="_Toc23258626"/>
      <w:bookmarkStart w:id="118" w:name="_Toc26541337"/>
    </w:p>
    <w:p w14:paraId="71D0D765">
      <w:pPr>
        <w:pStyle w:val="3"/>
        <w:jc w:val="center"/>
      </w:pPr>
      <w:bookmarkStart w:id="119" w:name="_Toc26541336"/>
      <w:r>
        <w:rPr>
          <w:rFonts w:hint="eastAsia"/>
        </w:rPr>
        <w:t>投标分项报价表</w:t>
      </w:r>
      <w:bookmarkEnd w:id="119"/>
    </w:p>
    <w:p w14:paraId="480A6396"/>
    <w:p w14:paraId="586280B5">
      <w:pPr>
        <w:spacing w:line="480" w:lineRule="exact"/>
        <w:rPr>
          <w:rFonts w:hint="default" w:ascii="宋体" w:hAnsi="宋体" w:eastAsia="宋体"/>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 xml:space="preserve">                                           </w:t>
      </w:r>
      <w:r>
        <w:rPr>
          <w:rFonts w:hint="eastAsia" w:ascii="宋体" w:hAnsi="宋体" w:eastAsia="宋体"/>
          <w:sz w:val="24"/>
          <w:szCs w:val="24"/>
        </w:rPr>
        <w:t xml:space="preserve">第 </w:t>
      </w:r>
      <w:r>
        <w:rPr>
          <w:rFonts w:ascii="宋体" w:hAnsi="宋体" w:eastAsia="宋体"/>
          <w:sz w:val="24"/>
          <w:szCs w:val="24"/>
        </w:rPr>
        <w:t xml:space="preserve"> </w:t>
      </w:r>
      <w:r>
        <w:rPr>
          <w:rFonts w:hint="eastAsia" w:ascii="宋体" w:hAnsi="宋体" w:eastAsia="宋体"/>
          <w:sz w:val="24"/>
          <w:szCs w:val="24"/>
        </w:rPr>
        <w:t>页   共</w:t>
      </w:r>
      <w:r>
        <w:rPr>
          <w:rFonts w:hint="eastAsia" w:ascii="宋体" w:hAnsi="宋体"/>
          <w:sz w:val="24"/>
          <w:szCs w:val="24"/>
          <w:lang w:val="en-US" w:eastAsia="zh-CN"/>
        </w:rPr>
        <w:t xml:space="preserve"> </w:t>
      </w:r>
      <w:r>
        <w:rPr>
          <w:rFonts w:hint="eastAsia" w:ascii="宋体" w:hAnsi="宋体" w:eastAsia="宋体"/>
          <w:sz w:val="24"/>
          <w:szCs w:val="24"/>
        </w:rPr>
        <w:t xml:space="preserve"> 页</w:t>
      </w:r>
    </w:p>
    <w:tbl>
      <w:tblPr>
        <w:tblStyle w:val="42"/>
        <w:tblpPr w:leftFromText="180" w:rightFromText="180" w:vertAnchor="text" w:horzAnchor="page" w:tblpXSpec="center" w:tblpY="321"/>
        <w:tblOverlap w:val="never"/>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09"/>
        <w:gridCol w:w="965"/>
        <w:gridCol w:w="1029"/>
        <w:gridCol w:w="1717"/>
        <w:gridCol w:w="1114"/>
        <w:gridCol w:w="965"/>
        <w:gridCol w:w="965"/>
        <w:gridCol w:w="8"/>
        <w:gridCol w:w="962"/>
      </w:tblGrid>
      <w:tr w14:paraId="7ABD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22" w:type="dxa"/>
            <w:vAlign w:val="center"/>
          </w:tcPr>
          <w:p w14:paraId="749210C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序号</w:t>
            </w:r>
          </w:p>
        </w:tc>
        <w:tc>
          <w:tcPr>
            <w:tcW w:w="1209" w:type="dxa"/>
            <w:vAlign w:val="center"/>
          </w:tcPr>
          <w:p w14:paraId="1BEA781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名称</w:t>
            </w:r>
          </w:p>
        </w:tc>
        <w:tc>
          <w:tcPr>
            <w:tcW w:w="965" w:type="dxa"/>
            <w:vAlign w:val="center"/>
          </w:tcPr>
          <w:p w14:paraId="01C08B7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品牌</w:t>
            </w:r>
          </w:p>
        </w:tc>
        <w:tc>
          <w:tcPr>
            <w:tcW w:w="1029" w:type="dxa"/>
            <w:vAlign w:val="center"/>
          </w:tcPr>
          <w:p w14:paraId="3634A38E">
            <w:pPr>
              <w:keepNext w:val="0"/>
              <w:keepLines w:val="0"/>
              <w:suppressLineNumbers w:val="0"/>
              <w:spacing w:before="0" w:beforeAutospacing="0" w:after="0" w:afterAutospacing="0" w:line="300" w:lineRule="exact"/>
              <w:ind w:left="0" w:right="0"/>
              <w:jc w:val="center"/>
              <w:rPr>
                <w:rFonts w:hint="eastAsia" w:ascii="宋体" w:hAnsi="宋体" w:cs="宋体"/>
                <w:kern w:val="0"/>
                <w:sz w:val="24"/>
                <w:szCs w:val="24"/>
              </w:rPr>
            </w:pPr>
            <w:r>
              <w:rPr>
                <w:rFonts w:hint="eastAsia" w:ascii="宋体" w:hAnsi="宋体" w:cs="宋体"/>
                <w:kern w:val="0"/>
                <w:sz w:val="24"/>
                <w:szCs w:val="24"/>
              </w:rPr>
              <w:t>生产</w:t>
            </w:r>
          </w:p>
          <w:p w14:paraId="0B680A2E">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kern w:val="0"/>
                <w:sz w:val="24"/>
                <w:szCs w:val="24"/>
              </w:rPr>
              <w:t>厂家</w:t>
            </w:r>
          </w:p>
        </w:tc>
        <w:tc>
          <w:tcPr>
            <w:tcW w:w="1717" w:type="dxa"/>
            <w:vAlign w:val="center"/>
          </w:tcPr>
          <w:p w14:paraId="63D1F91E">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eastAsia="宋体" w:cs="宋体"/>
                <w:kern w:val="0"/>
                <w:sz w:val="24"/>
                <w:szCs w:val="24"/>
              </w:rPr>
              <w:t>规格型号</w:t>
            </w:r>
          </w:p>
        </w:tc>
        <w:tc>
          <w:tcPr>
            <w:tcW w:w="1114" w:type="dxa"/>
            <w:vAlign w:val="center"/>
          </w:tcPr>
          <w:p w14:paraId="568EDD46">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单位</w:t>
            </w:r>
          </w:p>
        </w:tc>
        <w:tc>
          <w:tcPr>
            <w:tcW w:w="965" w:type="dxa"/>
            <w:vAlign w:val="center"/>
          </w:tcPr>
          <w:p w14:paraId="0D092ED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r>
              <w:rPr>
                <w:rFonts w:hint="eastAsia" w:ascii="宋体" w:hAnsi="宋体" w:cs="宋体"/>
                <w:sz w:val="24"/>
                <w:szCs w:val="24"/>
              </w:rPr>
              <w:t>数量</w:t>
            </w:r>
          </w:p>
        </w:tc>
        <w:tc>
          <w:tcPr>
            <w:tcW w:w="965" w:type="dxa"/>
            <w:vAlign w:val="center"/>
          </w:tcPr>
          <w:p w14:paraId="20A22055">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单价（元）</w:t>
            </w:r>
          </w:p>
        </w:tc>
        <w:tc>
          <w:tcPr>
            <w:tcW w:w="970" w:type="dxa"/>
            <w:gridSpan w:val="2"/>
            <w:vAlign w:val="center"/>
          </w:tcPr>
          <w:p w14:paraId="0392C987">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总价</w:t>
            </w:r>
          </w:p>
          <w:p w14:paraId="4E0670B7">
            <w:pPr>
              <w:keepNext w:val="0"/>
              <w:keepLines w:val="0"/>
              <w:suppressLineNumbers w:val="0"/>
              <w:spacing w:before="0" w:beforeAutospacing="0" w:after="0" w:afterAutospacing="0" w:line="300" w:lineRule="exact"/>
              <w:ind w:left="0" w:right="0"/>
              <w:jc w:val="center"/>
              <w:rPr>
                <w:rFonts w:hint="default" w:ascii="宋体" w:hAnsi="宋体" w:cs="宋体"/>
                <w:sz w:val="24"/>
                <w:szCs w:val="24"/>
              </w:rPr>
            </w:pPr>
            <w:r>
              <w:rPr>
                <w:rFonts w:hint="eastAsia" w:ascii="宋体" w:hAnsi="宋体" w:cs="宋体"/>
                <w:sz w:val="24"/>
                <w:szCs w:val="24"/>
              </w:rPr>
              <w:t>（元）</w:t>
            </w:r>
          </w:p>
        </w:tc>
      </w:tr>
      <w:tr w14:paraId="59B9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0430374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09" w:type="dxa"/>
          </w:tcPr>
          <w:p w14:paraId="334571E4">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7667A65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29" w:type="dxa"/>
          </w:tcPr>
          <w:p w14:paraId="6D63F81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717" w:type="dxa"/>
          </w:tcPr>
          <w:p w14:paraId="4F04716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4" w:type="dxa"/>
          </w:tcPr>
          <w:p w14:paraId="34DB6C2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2F7AB06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2D6AAE1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70" w:type="dxa"/>
            <w:gridSpan w:val="2"/>
          </w:tcPr>
          <w:p w14:paraId="74D035B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3679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2BC2DC3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09" w:type="dxa"/>
          </w:tcPr>
          <w:p w14:paraId="20F34DAD">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52D54C1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29" w:type="dxa"/>
          </w:tcPr>
          <w:p w14:paraId="5FC661C2">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717" w:type="dxa"/>
          </w:tcPr>
          <w:p w14:paraId="4F408120">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4" w:type="dxa"/>
          </w:tcPr>
          <w:p w14:paraId="1C922AA1">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1BACEAA7">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23ACC01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70" w:type="dxa"/>
            <w:gridSpan w:val="2"/>
          </w:tcPr>
          <w:p w14:paraId="108F4C3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3846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2" w:type="dxa"/>
          </w:tcPr>
          <w:p w14:paraId="34363035">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209" w:type="dxa"/>
          </w:tcPr>
          <w:p w14:paraId="40C36F1C">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0DC5A989">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029" w:type="dxa"/>
          </w:tcPr>
          <w:p w14:paraId="7AA93673">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717" w:type="dxa"/>
          </w:tcPr>
          <w:p w14:paraId="0434C14F">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1114" w:type="dxa"/>
          </w:tcPr>
          <w:p w14:paraId="793ACFC2">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2A9A5668">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65" w:type="dxa"/>
          </w:tcPr>
          <w:p w14:paraId="4B44F1EA">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c>
          <w:tcPr>
            <w:tcW w:w="970" w:type="dxa"/>
            <w:gridSpan w:val="2"/>
          </w:tcPr>
          <w:p w14:paraId="79865A7E">
            <w:pPr>
              <w:keepNext w:val="0"/>
              <w:keepLines w:val="0"/>
              <w:suppressLineNumbers w:val="0"/>
              <w:spacing w:before="0" w:beforeAutospacing="0" w:after="0" w:afterAutospacing="0" w:line="520" w:lineRule="exact"/>
              <w:ind w:left="0" w:right="0"/>
              <w:jc w:val="center"/>
              <w:rPr>
                <w:rFonts w:hint="default" w:ascii="宋体" w:hAnsi="宋体" w:cs="宋体"/>
                <w:sz w:val="24"/>
                <w:szCs w:val="24"/>
              </w:rPr>
            </w:pPr>
          </w:p>
        </w:tc>
      </w:tr>
      <w:tr w14:paraId="056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94" w:type="dxa"/>
            <w:gridSpan w:val="9"/>
          </w:tcPr>
          <w:p w14:paraId="5B72CD84">
            <w:pPr>
              <w:keepNext w:val="0"/>
              <w:keepLines w:val="0"/>
              <w:suppressLineNumbers w:val="0"/>
              <w:spacing w:before="0" w:beforeAutospacing="0" w:after="0" w:afterAutospacing="0" w:line="520" w:lineRule="exact"/>
              <w:ind w:left="0" w:right="0"/>
              <w:jc w:val="left"/>
              <w:rPr>
                <w:rFonts w:hint="default" w:ascii="宋体" w:hAnsi="宋体" w:cs="宋体"/>
                <w:sz w:val="24"/>
                <w:szCs w:val="24"/>
              </w:rPr>
            </w:pPr>
            <w:r>
              <w:rPr>
                <w:rFonts w:hint="eastAsia" w:ascii="宋体" w:hAnsi="宋体" w:cs="宋体"/>
                <w:kern w:val="0"/>
                <w:sz w:val="24"/>
                <w:szCs w:val="24"/>
              </w:rPr>
              <w:t>投标总报价（大写）：                            （小写：￥       ）</w:t>
            </w:r>
          </w:p>
        </w:tc>
        <w:tc>
          <w:tcPr>
            <w:tcW w:w="962" w:type="dxa"/>
          </w:tcPr>
          <w:p w14:paraId="0E2CC428">
            <w:pPr>
              <w:keepNext w:val="0"/>
              <w:keepLines w:val="0"/>
              <w:suppressLineNumbers w:val="0"/>
              <w:spacing w:before="0" w:beforeAutospacing="0" w:after="0" w:afterAutospacing="0" w:line="520" w:lineRule="exact"/>
              <w:ind w:left="0" w:right="0"/>
              <w:jc w:val="left"/>
              <w:rPr>
                <w:rFonts w:hint="eastAsia" w:ascii="宋体" w:hAnsi="宋体" w:cs="宋体"/>
                <w:kern w:val="0"/>
                <w:sz w:val="24"/>
                <w:szCs w:val="24"/>
              </w:rPr>
            </w:pPr>
          </w:p>
        </w:tc>
      </w:tr>
    </w:tbl>
    <w:p w14:paraId="68734324">
      <w:pPr>
        <w:jc w:val="both"/>
        <w:rPr>
          <w:rFonts w:hint="eastAsia" w:ascii="宋体" w:hAnsi="宋体"/>
          <w:sz w:val="24"/>
          <w:szCs w:val="24"/>
        </w:rPr>
      </w:pPr>
      <w:r>
        <w:rPr>
          <w:rFonts w:hint="eastAsia" w:ascii="宋体" w:hAnsi="宋体"/>
          <w:sz w:val="24"/>
          <w:szCs w:val="24"/>
          <w:lang w:val="en-US" w:eastAsia="zh-CN"/>
        </w:rPr>
        <w:t xml:space="preserve">                                                     </w:t>
      </w:r>
      <w:r>
        <w:rPr>
          <w:rFonts w:ascii="宋体" w:hAnsi="宋体" w:eastAsia="宋体"/>
          <w:sz w:val="24"/>
          <w:szCs w:val="24"/>
        </w:rPr>
        <w:t xml:space="preserve"> </w:t>
      </w:r>
      <w:r>
        <w:rPr>
          <w:rFonts w:hint="eastAsia" w:ascii="宋体" w:hAnsi="宋体"/>
          <w:sz w:val="24"/>
          <w:szCs w:val="24"/>
        </w:rPr>
        <w:t xml:space="preserve">  </w:t>
      </w:r>
    </w:p>
    <w:p w14:paraId="3850033E">
      <w:pPr>
        <w:rPr>
          <w:rFonts w:hint="eastAsia"/>
          <w:lang w:val="en-US" w:eastAsia="zh-CN"/>
        </w:rPr>
      </w:pPr>
    </w:p>
    <w:p w14:paraId="4EE4B73C">
      <w:pPr>
        <w:pStyle w:val="143"/>
      </w:pPr>
    </w:p>
    <w:p w14:paraId="2421871A">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769797E5">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50EAAFFD">
      <w:pPr>
        <w:spacing w:line="360" w:lineRule="auto"/>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301AFD73">
      <w:pPr>
        <w:spacing w:line="360" w:lineRule="auto"/>
        <w:ind w:firstLine="480" w:firstLineChars="200"/>
        <w:rPr>
          <w:rFonts w:ascii="宋体" w:hAnsi="宋体" w:cs="仿宋"/>
          <w:sz w:val="24"/>
          <w:szCs w:val="24"/>
        </w:rPr>
      </w:pPr>
      <w:r>
        <w:rPr>
          <w:rFonts w:hint="eastAsia" w:ascii="宋体" w:hAnsi="宋体" w:eastAsia="宋体" w:cs="仿宋"/>
          <w:kern w:val="2"/>
          <w:sz w:val="24"/>
          <w:szCs w:val="24"/>
          <w:lang w:val="en-US" w:eastAsia="zh-CN" w:bidi="ar"/>
        </w:rPr>
        <w:t>4.如中标，本表内容将作为采购人验收、查找内容之一。</w:t>
      </w:r>
    </w:p>
    <w:p w14:paraId="49A8F123">
      <w:pPr>
        <w:spacing w:line="360" w:lineRule="auto"/>
        <w:ind w:firstLine="480" w:firstLineChars="200"/>
        <w:rPr>
          <w:rFonts w:ascii="宋体" w:hAnsi="宋体" w:cs="仿宋"/>
          <w:sz w:val="24"/>
          <w:szCs w:val="24"/>
        </w:rPr>
      </w:pPr>
    </w:p>
    <w:p w14:paraId="3DD18D3D">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416C800F">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55807D47">
      <w:pPr>
        <w:pStyle w:val="3"/>
        <w:keepNext/>
        <w:keepLines/>
        <w:pageBreakBefore w:val="0"/>
        <w:widowControl w:val="0"/>
        <w:kinsoku/>
        <w:wordWrap/>
        <w:overflowPunct/>
        <w:topLinePunct w:val="0"/>
        <w:autoSpaceDE/>
        <w:autoSpaceDN/>
        <w:bidi w:val="0"/>
        <w:adjustRightInd/>
        <w:snapToGrid/>
        <w:spacing w:before="0" w:after="0" w:line="416" w:lineRule="auto"/>
        <w:jc w:val="both"/>
        <w:textAlignment w:val="auto"/>
        <w:rPr>
          <w:rFonts w:hint="eastAsia" w:ascii="宋体" w:hAnsi="宋体" w:eastAsia="宋体" w:cs="仿宋"/>
          <w:b w:val="0"/>
          <w:bCs w:val="0"/>
          <w:kern w:val="2"/>
          <w:sz w:val="24"/>
          <w:szCs w:val="24"/>
          <w:lang w:val="en-US" w:eastAsia="zh-CN" w:bidi="ar-SA"/>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仿宋"/>
          <w:b w:val="0"/>
          <w:bCs w:val="0"/>
          <w:kern w:val="2"/>
          <w:sz w:val="24"/>
          <w:szCs w:val="24"/>
          <w:lang w:val="en-US" w:eastAsia="zh-CN" w:bidi="ar-SA"/>
        </w:rPr>
        <w:t>日      期：</w:t>
      </w:r>
    </w:p>
    <w:p w14:paraId="0901115F">
      <w:pPr>
        <w:pStyle w:val="3"/>
        <w:jc w:val="center"/>
        <w:rPr>
          <w:rFonts w:hint="eastAsia"/>
          <w:color w:val="auto"/>
          <w:lang w:val="en-US" w:eastAsia="zh-CN"/>
        </w:rPr>
      </w:pPr>
      <w:r>
        <w:rPr>
          <w:rFonts w:hint="eastAsia"/>
          <w:color w:val="auto"/>
          <w:lang w:val="en-US" w:eastAsia="zh-CN"/>
        </w:rPr>
        <w:t>货物说明一览表</w:t>
      </w:r>
    </w:p>
    <w:p w14:paraId="523CBAAB">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53A8015A">
      <w:pPr>
        <w:rPr>
          <w:rFonts w:hint="default" w:eastAsia="宋体"/>
          <w:lang w:val="en-US" w:eastAsia="zh-CN"/>
        </w:rPr>
      </w:pPr>
      <w:r>
        <w:rPr>
          <w:rFonts w:hint="eastAsia" w:ascii="宋体" w:hAnsi="宋体" w:cs="宋体"/>
          <w:sz w:val="24"/>
        </w:rPr>
        <w:t>项目编号：</w:t>
      </w:r>
      <w:r>
        <w:rPr>
          <w:rFonts w:hint="eastAsia" w:ascii="宋体" w:hAnsi="宋体" w:cs="宋体"/>
          <w:sz w:val="24"/>
          <w:lang w:val="en-US" w:eastAsia="zh-CN"/>
        </w:rPr>
        <w:t xml:space="preserve">                                                   </w:t>
      </w:r>
      <w:r>
        <w:rPr>
          <w:rFonts w:hint="eastAsia" w:ascii="宋体" w:hAnsi="宋体" w:eastAsia="宋体"/>
          <w:sz w:val="24"/>
          <w:szCs w:val="24"/>
        </w:rPr>
        <w:t xml:space="preserve">第 </w:t>
      </w:r>
      <w:r>
        <w:rPr>
          <w:rFonts w:ascii="宋体" w:hAnsi="宋体" w:eastAsia="宋体"/>
          <w:sz w:val="24"/>
          <w:szCs w:val="24"/>
        </w:rPr>
        <w:t xml:space="preserve"> </w:t>
      </w:r>
      <w:r>
        <w:rPr>
          <w:rFonts w:hint="eastAsia" w:ascii="宋体" w:hAnsi="宋体" w:eastAsia="宋体"/>
          <w:sz w:val="24"/>
          <w:szCs w:val="24"/>
        </w:rPr>
        <w:t>页   共</w:t>
      </w:r>
      <w:r>
        <w:rPr>
          <w:rFonts w:hint="eastAsia" w:ascii="宋体" w:hAnsi="宋体"/>
          <w:sz w:val="24"/>
          <w:szCs w:val="24"/>
          <w:lang w:val="en-US" w:eastAsia="zh-CN"/>
        </w:rPr>
        <w:t xml:space="preserve"> </w:t>
      </w:r>
      <w:r>
        <w:rPr>
          <w:rFonts w:hint="eastAsia" w:ascii="宋体" w:hAnsi="宋体" w:eastAsia="宋体"/>
          <w:sz w:val="24"/>
          <w:szCs w:val="24"/>
        </w:rPr>
        <w:t xml:space="preserve"> 页</w:t>
      </w:r>
    </w:p>
    <w:p w14:paraId="3DEBC3DB">
      <w:pPr>
        <w:rPr>
          <w:rFonts w:hint="eastAsia"/>
          <w:color w:val="auto"/>
          <w:lang w:val="en-US" w:eastAsia="zh-CN"/>
        </w:rPr>
      </w:pPr>
    </w:p>
    <w:tbl>
      <w:tblPr>
        <w:tblStyle w:val="42"/>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1863"/>
        <w:gridCol w:w="1863"/>
        <w:gridCol w:w="1864"/>
        <w:gridCol w:w="1864"/>
      </w:tblGrid>
      <w:tr w14:paraId="007A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863" w:type="dxa"/>
            <w:vAlign w:val="center"/>
          </w:tcPr>
          <w:p w14:paraId="646E92F1">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序号</w:t>
            </w:r>
          </w:p>
        </w:tc>
        <w:tc>
          <w:tcPr>
            <w:tcW w:w="1863" w:type="dxa"/>
            <w:vAlign w:val="center"/>
          </w:tcPr>
          <w:p w14:paraId="56A2236F">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产品名称</w:t>
            </w:r>
          </w:p>
        </w:tc>
        <w:tc>
          <w:tcPr>
            <w:tcW w:w="1863" w:type="dxa"/>
            <w:vAlign w:val="center"/>
          </w:tcPr>
          <w:p w14:paraId="1B03DF38">
            <w:pPr>
              <w:pStyle w:val="18"/>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品牌/型号/</w:t>
            </w:r>
          </w:p>
          <w:p w14:paraId="5529B379">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规格</w:t>
            </w:r>
          </w:p>
        </w:tc>
        <w:tc>
          <w:tcPr>
            <w:tcW w:w="1864" w:type="dxa"/>
            <w:vAlign w:val="center"/>
          </w:tcPr>
          <w:p w14:paraId="00E3D959">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技术参数</w:t>
            </w:r>
          </w:p>
        </w:tc>
        <w:tc>
          <w:tcPr>
            <w:tcW w:w="1864" w:type="dxa"/>
            <w:vAlign w:val="center"/>
          </w:tcPr>
          <w:p w14:paraId="58D1C55D">
            <w:pPr>
              <w:pStyle w:val="18"/>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备注</w:t>
            </w:r>
          </w:p>
        </w:tc>
      </w:tr>
      <w:tr w14:paraId="358E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63" w:type="dxa"/>
            <w:vAlign w:val="center"/>
          </w:tcPr>
          <w:p w14:paraId="2FFFAC3C">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3FA1E92C">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02EB536D">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4" w:type="dxa"/>
            <w:vAlign w:val="center"/>
          </w:tcPr>
          <w:p w14:paraId="554AB7FE">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4" w:type="dxa"/>
            <w:vAlign w:val="center"/>
          </w:tcPr>
          <w:p w14:paraId="1B1D957D">
            <w:pPr>
              <w:pStyle w:val="18"/>
              <w:keepNext w:val="0"/>
              <w:keepLines w:val="0"/>
              <w:suppressLineNumbers w:val="0"/>
              <w:spacing w:before="0" w:beforeAutospacing="0" w:after="0" w:afterAutospacing="0"/>
              <w:ind w:left="0" w:right="0"/>
              <w:jc w:val="center"/>
              <w:rPr>
                <w:rFonts w:hint="default"/>
                <w:vertAlign w:val="baseline"/>
                <w:lang w:val="en-US" w:eastAsia="zh-CN"/>
              </w:rPr>
            </w:pPr>
          </w:p>
        </w:tc>
      </w:tr>
      <w:tr w14:paraId="31E2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63" w:type="dxa"/>
            <w:vAlign w:val="center"/>
          </w:tcPr>
          <w:p w14:paraId="08AF8D1D">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4D87DFCB">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2466368F">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4" w:type="dxa"/>
            <w:vAlign w:val="center"/>
          </w:tcPr>
          <w:p w14:paraId="486FD0CB">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4" w:type="dxa"/>
            <w:vAlign w:val="center"/>
          </w:tcPr>
          <w:p w14:paraId="1A49D233">
            <w:pPr>
              <w:pStyle w:val="18"/>
              <w:keepNext w:val="0"/>
              <w:keepLines w:val="0"/>
              <w:suppressLineNumbers w:val="0"/>
              <w:spacing w:before="0" w:beforeAutospacing="0" w:after="0" w:afterAutospacing="0"/>
              <w:ind w:left="0" w:right="0"/>
              <w:jc w:val="center"/>
              <w:rPr>
                <w:rFonts w:hint="default"/>
                <w:vertAlign w:val="baseline"/>
                <w:lang w:val="en-US" w:eastAsia="zh-CN"/>
              </w:rPr>
            </w:pPr>
          </w:p>
        </w:tc>
      </w:tr>
      <w:tr w14:paraId="13C9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63" w:type="dxa"/>
            <w:vAlign w:val="center"/>
          </w:tcPr>
          <w:p w14:paraId="4B2FFB8B">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24DDB696">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65A85724">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4" w:type="dxa"/>
            <w:vAlign w:val="center"/>
          </w:tcPr>
          <w:p w14:paraId="21D6BA76">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4" w:type="dxa"/>
            <w:vAlign w:val="center"/>
          </w:tcPr>
          <w:p w14:paraId="37CBEE20">
            <w:pPr>
              <w:pStyle w:val="18"/>
              <w:keepNext w:val="0"/>
              <w:keepLines w:val="0"/>
              <w:suppressLineNumbers w:val="0"/>
              <w:spacing w:before="0" w:beforeAutospacing="0" w:after="0" w:afterAutospacing="0"/>
              <w:ind w:left="0" w:right="0"/>
              <w:jc w:val="center"/>
              <w:rPr>
                <w:rFonts w:hint="default"/>
                <w:vertAlign w:val="baseline"/>
                <w:lang w:val="en-US" w:eastAsia="zh-CN"/>
              </w:rPr>
            </w:pPr>
          </w:p>
        </w:tc>
      </w:tr>
      <w:tr w14:paraId="7C77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63" w:type="dxa"/>
            <w:vAlign w:val="center"/>
          </w:tcPr>
          <w:p w14:paraId="00D2026D">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7CA596F2">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3" w:type="dxa"/>
            <w:vAlign w:val="center"/>
          </w:tcPr>
          <w:p w14:paraId="0A7FE439">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4" w:type="dxa"/>
            <w:vAlign w:val="center"/>
          </w:tcPr>
          <w:p w14:paraId="41E1BD7F">
            <w:pPr>
              <w:pStyle w:val="18"/>
              <w:keepNext w:val="0"/>
              <w:keepLines w:val="0"/>
              <w:suppressLineNumbers w:val="0"/>
              <w:spacing w:before="0" w:beforeAutospacing="0" w:after="0" w:afterAutospacing="0"/>
              <w:ind w:left="0" w:right="0"/>
              <w:jc w:val="center"/>
              <w:rPr>
                <w:rFonts w:hint="default"/>
                <w:vertAlign w:val="baseline"/>
                <w:lang w:val="en-US" w:eastAsia="zh-CN"/>
              </w:rPr>
            </w:pPr>
          </w:p>
        </w:tc>
        <w:tc>
          <w:tcPr>
            <w:tcW w:w="1864" w:type="dxa"/>
            <w:vAlign w:val="center"/>
          </w:tcPr>
          <w:p w14:paraId="081B8F99">
            <w:pPr>
              <w:pStyle w:val="18"/>
              <w:keepNext w:val="0"/>
              <w:keepLines w:val="0"/>
              <w:suppressLineNumbers w:val="0"/>
              <w:spacing w:before="0" w:beforeAutospacing="0" w:after="0" w:afterAutospacing="0"/>
              <w:ind w:left="0" w:right="0"/>
              <w:jc w:val="center"/>
              <w:rPr>
                <w:rFonts w:hint="default"/>
                <w:vertAlign w:val="baseline"/>
                <w:lang w:val="en-US" w:eastAsia="zh-CN"/>
              </w:rPr>
            </w:pPr>
          </w:p>
        </w:tc>
      </w:tr>
    </w:tbl>
    <w:p w14:paraId="0FFFB15D">
      <w:pPr>
        <w:pStyle w:val="18"/>
        <w:rPr>
          <w:rFonts w:hint="default"/>
          <w:lang w:val="en-US" w:eastAsia="zh-CN"/>
        </w:rPr>
      </w:pPr>
    </w:p>
    <w:p w14:paraId="7839A00D">
      <w:pPr>
        <w:pStyle w:val="18"/>
        <w:rPr>
          <w:rFonts w:hint="default"/>
          <w:lang w:val="en-US" w:eastAsia="zh-CN"/>
        </w:rPr>
      </w:pPr>
    </w:p>
    <w:p w14:paraId="379EDC26">
      <w:pPr>
        <w:pStyle w:val="18"/>
        <w:rPr>
          <w:rFonts w:hint="default"/>
          <w:lang w:val="en-US" w:eastAsia="zh-CN"/>
        </w:rPr>
      </w:pPr>
    </w:p>
    <w:p w14:paraId="6F884073">
      <w:pPr>
        <w:pStyle w:val="18"/>
        <w:rPr>
          <w:rFonts w:hint="default"/>
          <w:lang w:val="en-US" w:eastAsia="zh-CN"/>
        </w:rPr>
      </w:pPr>
    </w:p>
    <w:p w14:paraId="6BC0ACC3">
      <w:pPr>
        <w:pStyle w:val="18"/>
        <w:rPr>
          <w:rFonts w:hint="default"/>
          <w:lang w:val="en-US" w:eastAsia="zh-CN"/>
        </w:rPr>
      </w:pPr>
    </w:p>
    <w:p w14:paraId="22EFD635">
      <w:pPr>
        <w:pStyle w:val="18"/>
        <w:rPr>
          <w:rFonts w:hint="default"/>
          <w:lang w:val="en-US" w:eastAsia="zh-CN"/>
        </w:rPr>
      </w:pPr>
    </w:p>
    <w:p w14:paraId="19B6AD68">
      <w:pPr>
        <w:pStyle w:val="18"/>
        <w:rPr>
          <w:rFonts w:hint="default"/>
          <w:lang w:val="en-US" w:eastAsia="zh-CN"/>
        </w:rPr>
      </w:pPr>
    </w:p>
    <w:p w14:paraId="412606B9">
      <w:pPr>
        <w:pStyle w:val="18"/>
        <w:rPr>
          <w:rFonts w:hint="default"/>
          <w:lang w:val="en-US" w:eastAsia="zh-CN"/>
        </w:rPr>
      </w:pPr>
    </w:p>
    <w:p w14:paraId="5945CEC7">
      <w:pPr>
        <w:pStyle w:val="18"/>
        <w:rPr>
          <w:rFonts w:hint="default"/>
          <w:lang w:val="en-US" w:eastAsia="zh-CN"/>
        </w:rPr>
      </w:pPr>
    </w:p>
    <w:p w14:paraId="2498E49F">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32CA80D3">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202AF525">
      <w:pPr>
        <w:pStyle w:val="18"/>
        <w:rPr>
          <w:rFonts w:hint="default"/>
          <w:lang w:val="en-US" w:eastAsia="zh-CN"/>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sz w:val="24"/>
          <w:szCs w:val="24"/>
        </w:rPr>
        <w:t>日      期：</w:t>
      </w:r>
    </w:p>
    <w:p w14:paraId="65602F52">
      <w:pPr>
        <w:pStyle w:val="3"/>
        <w:jc w:val="center"/>
        <w:rPr>
          <w:color w:val="auto"/>
        </w:rPr>
      </w:pPr>
      <w:r>
        <w:rPr>
          <w:rFonts w:hint="eastAsia"/>
          <w:color w:val="auto"/>
        </w:rPr>
        <w:t>三 、资格证明文件</w:t>
      </w:r>
    </w:p>
    <w:p w14:paraId="0BCD080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具有独立承担民事责任能力的法人、其他组织或自然人，并出具合法有效的营业执照或事业单位法人证书等国家规定的相关证明，自然人参与的提供其身份证明。</w:t>
      </w:r>
    </w:p>
    <w:p w14:paraId="25F1F5D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2.法定代表人授权书及被授权人身份证复印件（法定代表人直接投标只需提交其身份证明资料）。</w:t>
      </w:r>
    </w:p>
    <w:p w14:paraId="303A6B2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3D1A5E9E">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7959BC0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财务状况报告：</w:t>
      </w:r>
      <w:r>
        <w:rPr>
          <w:rFonts w:hint="eastAsia" w:ascii="宋体" w:hAnsi="宋体" w:cs="宋体"/>
          <w:color w:val="auto"/>
          <w:sz w:val="24"/>
          <w:szCs w:val="24"/>
          <w:lang w:eastAsia="zh-CN"/>
        </w:rPr>
        <w:t>提供2024年度经审计的财务审计报告或投标截止时间前六个月内基本开户银行出具的资信证明</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截止时间不足一年的可提供成立后任意时段的资产负债表）</w:t>
      </w:r>
      <w:r>
        <w:rPr>
          <w:rFonts w:hint="eastAsia" w:ascii="宋体" w:hAnsi="宋体" w:cs="宋体"/>
          <w:color w:val="auto"/>
          <w:sz w:val="24"/>
          <w:szCs w:val="24"/>
          <w:lang w:eastAsia="zh-CN"/>
        </w:rPr>
        <w:t>。</w:t>
      </w:r>
    </w:p>
    <w:p w14:paraId="4E60246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6FE1261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3985566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8.提供具有履行合同所必需的设备和专业技术能力的承诺书（格式自拟）。</w:t>
      </w:r>
    </w:p>
    <w:p w14:paraId="0AF59A6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9.本项目不接受联合体投标。</w:t>
      </w:r>
    </w:p>
    <w:p w14:paraId="4FEA489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sz w:val="24"/>
          <w:szCs w:val="24"/>
          <w:lang w:val="en-US" w:eastAsia="zh-CN"/>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4A11E3B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ascii="Calibri Light" w:hAnsi="Calibri Light"/>
          <w:b/>
          <w:bCs/>
          <w:color w:val="auto"/>
          <w:sz w:val="28"/>
          <w:szCs w:val="28"/>
        </w:rPr>
      </w:pPr>
      <w:r>
        <w:rPr>
          <w:rFonts w:hint="eastAsia" w:ascii="宋体" w:hAnsi="宋体" w:cs="Arial"/>
          <w:b/>
          <w:color w:val="auto"/>
          <w:kern w:val="0"/>
          <w:sz w:val="28"/>
          <w:szCs w:val="28"/>
        </w:rPr>
        <w:t>法定代表人证明书</w:t>
      </w:r>
    </w:p>
    <w:p w14:paraId="032677AD">
      <w:pPr>
        <w:tabs>
          <w:tab w:val="left" w:pos="210"/>
        </w:tabs>
        <w:spacing w:line="320" w:lineRule="exact"/>
        <w:jc w:val="center"/>
        <w:rPr>
          <w:rFonts w:ascii="宋体" w:hAnsi="宋体" w:cs="Arial"/>
          <w:b/>
          <w:color w:val="auto"/>
          <w:kern w:val="0"/>
          <w:sz w:val="32"/>
          <w:szCs w:val="32"/>
        </w:rPr>
      </w:pPr>
    </w:p>
    <w:tbl>
      <w:tblPr>
        <w:tblStyle w:val="41"/>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CC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02F6251B">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致：安康尚昊招标代理有限公司</w:t>
            </w:r>
          </w:p>
        </w:tc>
      </w:tr>
      <w:tr w14:paraId="7D1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FDD0C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2055DE4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2C850F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5EBEFE3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27765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09358C2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EE9F1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484378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059E64F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39FC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D4D350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C60D7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4B7F0A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01E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92A84D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66104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5CD5EF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C8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665E2AB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B2A88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37021E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07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49425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E21C85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43F765EA">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31A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FE8786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707430E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1590A8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DE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19D42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4EE7DC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0CFAEBA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3A43BBA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77B634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11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38317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A83B0F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49C075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765B47F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0C5CFA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02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1E898F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4A6284D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0163071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4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23A8C36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5A98FB9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2C010C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4A4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0C7821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241DCA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59115C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50D544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AD478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1BA6C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AEAB76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60C7E8B2">
      <w:pPr>
        <w:widowControl/>
        <w:jc w:val="left"/>
        <w:rPr>
          <w:rFonts w:ascii="Calibri Light" w:hAnsi="Calibri Light"/>
          <w:b/>
          <w:bCs/>
          <w:color w:val="auto"/>
          <w:sz w:val="32"/>
          <w:szCs w:val="32"/>
        </w:rPr>
      </w:pPr>
    </w:p>
    <w:p w14:paraId="6A128EF6">
      <w:pPr>
        <w:pStyle w:val="3"/>
        <w:jc w:val="center"/>
        <w:rPr>
          <w:color w:val="auto"/>
          <w:sz w:val="28"/>
          <w:szCs w:val="28"/>
        </w:rPr>
      </w:pPr>
      <w:bookmarkStart w:id="120" w:name="_Toc22911935"/>
      <w:bookmarkStart w:id="121" w:name="_Toc22911714"/>
      <w:bookmarkStart w:id="122" w:name="_Toc23258627"/>
      <w:bookmarkStart w:id="123" w:name="_Toc22910776"/>
      <w:bookmarkStart w:id="124" w:name="_Toc26541338"/>
      <w:r>
        <w:rPr>
          <w:rFonts w:hint="eastAsia"/>
          <w:color w:val="auto"/>
          <w:sz w:val="28"/>
          <w:szCs w:val="28"/>
        </w:rPr>
        <w:t>法人授权委托书</w:t>
      </w:r>
      <w:bookmarkEnd w:id="120"/>
      <w:bookmarkEnd w:id="121"/>
      <w:bookmarkEnd w:id="122"/>
      <w:bookmarkEnd w:id="123"/>
      <w:bookmarkEnd w:id="124"/>
    </w:p>
    <w:p w14:paraId="086E7960">
      <w:pPr>
        <w:spacing w:line="360" w:lineRule="auto"/>
        <w:rPr>
          <w:rFonts w:ascii="宋体" w:hAnsi="宋体"/>
          <w:color w:val="auto"/>
          <w:sz w:val="24"/>
          <w:szCs w:val="24"/>
        </w:rPr>
      </w:pPr>
      <w:r>
        <w:rPr>
          <w:rFonts w:hint="eastAsia" w:ascii="宋体" w:hAnsi="宋体"/>
          <w:color w:val="auto"/>
          <w:sz w:val="24"/>
          <w:szCs w:val="24"/>
        </w:rPr>
        <w:t>致：安康尚昊</w:t>
      </w:r>
      <w:r>
        <w:rPr>
          <w:rFonts w:ascii="宋体" w:hAnsi="宋体"/>
          <w:color w:val="auto"/>
          <w:sz w:val="24"/>
          <w:szCs w:val="24"/>
        </w:rPr>
        <w:t>招标代理有限公司</w:t>
      </w:r>
    </w:p>
    <w:p w14:paraId="46ED499F">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3CF470CF">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1945AC76">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3795B2F9">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w:t>
      </w:r>
      <w:r>
        <w:rPr>
          <w:rFonts w:hint="eastAsia" w:ascii="宋体" w:hAnsi="宋体" w:cs="Courier New"/>
          <w:color w:val="auto"/>
          <w:sz w:val="24"/>
          <w:szCs w:val="24"/>
          <w:lang w:eastAsia="zh-CN"/>
        </w:rPr>
        <w:t>（</w:t>
      </w:r>
      <w:r>
        <w:rPr>
          <w:rFonts w:hint="eastAsia" w:ascii="宋体" w:hAnsi="宋体" w:cs="Courier New"/>
          <w:color w:val="auto"/>
          <w:sz w:val="24"/>
          <w:szCs w:val="24"/>
          <w:lang w:val="en-US" w:eastAsia="zh-CN"/>
        </w:rPr>
        <w:t>签字或盖章</w:t>
      </w:r>
      <w:r>
        <w:rPr>
          <w:rFonts w:hint="eastAsia" w:ascii="宋体" w:hAnsi="宋体" w:cs="Courier New"/>
          <w:color w:val="auto"/>
          <w:sz w:val="24"/>
          <w:szCs w:val="24"/>
          <w:lang w:eastAsia="zh-CN"/>
        </w:rPr>
        <w:t>）</w:t>
      </w:r>
      <w:r>
        <w:rPr>
          <w:rFonts w:hint="eastAsia" w:ascii="宋体" w:hAnsi="宋体" w:cs="Courier New"/>
          <w:color w:val="auto"/>
          <w:sz w:val="24"/>
          <w:szCs w:val="24"/>
        </w:rPr>
        <w:t>：</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u w:val="single"/>
        </w:rPr>
        <w:t xml:space="preserve">          </w:t>
      </w:r>
    </w:p>
    <w:p w14:paraId="5A42B9E0">
      <w:pPr>
        <w:spacing w:line="500" w:lineRule="exact"/>
        <w:ind w:firstLine="480" w:firstLineChars="200"/>
        <w:rPr>
          <w:rFonts w:hint="eastAsia" w:ascii="宋体" w:hAnsi="宋体" w:cs="Courier New"/>
          <w:color w:val="auto"/>
          <w:sz w:val="24"/>
          <w:szCs w:val="24"/>
          <w:u w:val="none"/>
          <w:lang w:val="en-US" w:eastAsia="zh-CN"/>
        </w:rPr>
      </w:pPr>
      <w:r>
        <w:rPr>
          <w:rFonts w:hint="eastAsia" w:ascii="宋体" w:hAnsi="宋体" w:cs="Courier New"/>
          <w:color w:val="auto"/>
          <w:sz w:val="24"/>
          <w:szCs w:val="24"/>
        </w:rPr>
        <w:t>联系地址：</w:t>
      </w:r>
      <w:r>
        <w:rPr>
          <w:rFonts w:hint="eastAsia" w:ascii="宋体" w:hAnsi="宋体" w:cs="Courier New"/>
          <w:color w:val="auto"/>
          <w:sz w:val="24"/>
          <w:szCs w:val="24"/>
          <w:u w:val="none"/>
          <w:lang w:val="en-US" w:eastAsia="zh-CN"/>
        </w:rPr>
        <w:t xml:space="preserve">                </w:t>
      </w:r>
    </w:p>
    <w:p w14:paraId="6B2C863C">
      <w:pPr>
        <w:spacing w:line="500" w:lineRule="exact"/>
        <w:ind w:firstLine="480" w:firstLineChars="200"/>
        <w:rPr>
          <w:rFonts w:hint="eastAsia" w:ascii="宋体" w:hAnsi="宋体" w:cs="Courier New"/>
          <w:color w:val="auto"/>
          <w:sz w:val="24"/>
          <w:szCs w:val="24"/>
          <w:lang w:val="en-US" w:eastAsia="zh-CN"/>
        </w:rPr>
      </w:pPr>
      <w:r>
        <w:rPr>
          <w:rFonts w:hint="eastAsia" w:ascii="宋体" w:hAnsi="宋体" w:cs="Courier New"/>
          <w:color w:val="auto"/>
          <w:sz w:val="24"/>
          <w:szCs w:val="24"/>
        </w:rPr>
        <w:t>联系电话：</w:t>
      </w:r>
      <w:r>
        <w:rPr>
          <w:rFonts w:hint="eastAsia" w:ascii="宋体" w:hAnsi="宋体" w:cs="Courier New"/>
          <w:color w:val="auto"/>
          <w:sz w:val="24"/>
          <w:szCs w:val="24"/>
          <w:lang w:val="en-US" w:eastAsia="zh-CN"/>
        </w:rPr>
        <w:t xml:space="preserve">                   </w:t>
      </w:r>
    </w:p>
    <w:p w14:paraId="5047F547">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u w:val="thick"/>
        </w:rPr>
        <w:t xml:space="preserve">   </w:t>
      </w:r>
    </w:p>
    <w:p w14:paraId="22BA1CFF">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41"/>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00"/>
        <w:gridCol w:w="4700"/>
      </w:tblGrid>
      <w:tr w14:paraId="592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08" w:hRule="atLeast"/>
        </w:trPr>
        <w:tc>
          <w:tcPr>
            <w:tcW w:w="4700" w:type="dxa"/>
            <w:shd w:val="clear" w:color="auto" w:fill="E0E0E0"/>
            <w:vAlign w:val="center"/>
          </w:tcPr>
          <w:p w14:paraId="181E977D">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700" w:type="dxa"/>
            <w:shd w:val="clear" w:color="auto" w:fill="E0E0E0"/>
            <w:vAlign w:val="center"/>
          </w:tcPr>
          <w:p w14:paraId="045A73B8">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799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trPr>
        <w:tc>
          <w:tcPr>
            <w:tcW w:w="4700" w:type="dxa"/>
            <w:shd w:val="clear" w:color="auto" w:fill="E0E0E0"/>
            <w:vAlign w:val="center"/>
          </w:tcPr>
          <w:p w14:paraId="79B7BF7C">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700" w:type="dxa"/>
            <w:shd w:val="clear" w:color="auto" w:fill="E0E0E0"/>
            <w:vAlign w:val="center"/>
          </w:tcPr>
          <w:p w14:paraId="236A1B16">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4907255D">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70A80855">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260F00CF">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2．授权书内容填写要明确，文字要工整清楚，涂改无效。</w:t>
      </w:r>
    </w:p>
    <w:p w14:paraId="73BDCBC9">
      <w:pPr>
        <w:pStyle w:val="3"/>
        <w:jc w:val="center"/>
        <w:rPr>
          <w:rFonts w:ascii="宋体" w:hAnsi="宋体" w:cs="宋体"/>
          <w:color w:val="auto"/>
          <w:sz w:val="28"/>
          <w:szCs w:val="28"/>
        </w:rPr>
      </w:pPr>
      <w:bookmarkStart w:id="125" w:name="_Toc24284"/>
      <w:r>
        <w:rPr>
          <w:rFonts w:hint="eastAsia" w:ascii="宋体" w:hAnsi="宋体" w:cs="宋体"/>
          <w:color w:val="auto"/>
          <w:sz w:val="28"/>
          <w:szCs w:val="28"/>
        </w:rPr>
        <w:t>无重大违法记录声明</w:t>
      </w:r>
      <w:bookmarkEnd w:id="125"/>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val="en-US" w:eastAsia="zh-CN"/>
        </w:rPr>
        <w:t>公开招标</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27D52B89">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cs="宋体"/>
          <w:color w:val="auto"/>
          <w:sz w:val="24"/>
          <w:szCs w:val="24"/>
          <w:u w:val="single"/>
          <w:lang w:val="en-US" w:eastAsia="zh-CN"/>
        </w:rPr>
        <w:t xml:space="preserve">                 </w:t>
      </w:r>
    </w:p>
    <w:p w14:paraId="6EE6C09D">
      <w:pPr>
        <w:adjustRightInd w:val="0"/>
        <w:snapToGrid w:val="0"/>
        <w:spacing w:line="408" w:lineRule="auto"/>
        <w:rPr>
          <w:rFonts w:ascii="宋体" w:hAnsi="宋体" w:cs="宋体"/>
          <w:b/>
          <w:bCs/>
          <w:color w:val="auto"/>
          <w:sz w:val="24"/>
          <w:szCs w:val="24"/>
        </w:rPr>
      </w:pPr>
    </w:p>
    <w:p w14:paraId="69FC9B0B">
      <w:pPr>
        <w:adjustRightInd w:val="0"/>
        <w:snapToGrid w:val="0"/>
        <w:spacing w:line="408" w:lineRule="auto"/>
        <w:rPr>
          <w:rFonts w:ascii="宋体" w:hAnsi="宋体" w:cs="宋体"/>
          <w:bCs/>
          <w:color w:val="auto"/>
          <w:sz w:val="24"/>
          <w:szCs w:val="24"/>
        </w:rPr>
      </w:pPr>
    </w:p>
    <w:p w14:paraId="6089B7D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7A40680D">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46AAF76">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78E369A2">
      <w:pPr>
        <w:rPr>
          <w:rFonts w:ascii="宋体" w:hAnsi="宋体" w:cs="宋体"/>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s="宋体"/>
          <w:color w:val="auto"/>
        </w:rPr>
        <w:br w:type="page"/>
      </w:r>
    </w:p>
    <w:p w14:paraId="54DEAC6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4CFB6473">
      <w:pPr>
        <w:adjustRightInd w:val="0"/>
        <w:snapToGrid w:val="0"/>
        <w:spacing w:line="360" w:lineRule="auto"/>
        <w:rPr>
          <w:rFonts w:ascii="仿宋" w:hAnsi="仿宋" w:eastAsia="仿宋" w:cs="黑体"/>
          <w:bCs/>
          <w:color w:val="auto"/>
          <w:sz w:val="28"/>
          <w:szCs w:val="28"/>
        </w:rPr>
      </w:pPr>
    </w:p>
    <w:p w14:paraId="2F817921">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77E6931E">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7F997A6A">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3A74ADB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2EEB19EB">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73CC879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特此声明。</w:t>
      </w:r>
    </w:p>
    <w:p w14:paraId="449EAB62">
      <w:pPr>
        <w:snapToGrid w:val="0"/>
        <w:spacing w:line="408" w:lineRule="auto"/>
        <w:rPr>
          <w:rFonts w:ascii="宋体" w:hAnsi="宋体" w:cs="宋体"/>
          <w:bCs/>
          <w:color w:val="auto"/>
          <w:sz w:val="24"/>
          <w:szCs w:val="24"/>
        </w:rPr>
      </w:pPr>
    </w:p>
    <w:p w14:paraId="08C3BF84">
      <w:pPr>
        <w:snapToGrid w:val="0"/>
        <w:spacing w:line="408" w:lineRule="auto"/>
        <w:rPr>
          <w:rFonts w:ascii="宋体" w:hAnsi="宋体" w:cs="宋体"/>
          <w:bCs/>
          <w:color w:val="auto"/>
          <w:sz w:val="24"/>
          <w:szCs w:val="24"/>
        </w:rPr>
      </w:pPr>
    </w:p>
    <w:p w14:paraId="2D238FA0">
      <w:pPr>
        <w:snapToGrid w:val="0"/>
        <w:spacing w:line="408" w:lineRule="auto"/>
        <w:rPr>
          <w:rFonts w:ascii="宋体" w:hAnsi="宋体" w:cs="宋体"/>
          <w:bCs/>
          <w:color w:val="auto"/>
          <w:sz w:val="24"/>
          <w:szCs w:val="24"/>
        </w:rPr>
      </w:pPr>
    </w:p>
    <w:p w14:paraId="6C126CD7">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6AC4A1AB">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17BC524A">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olor w:val="auto"/>
          <w:sz w:val="24"/>
          <w:szCs w:val="24"/>
        </w:rPr>
        <w:t>日      期：</w:t>
      </w:r>
    </w:p>
    <w:p w14:paraId="0810911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中小微企业声明函（</w:t>
      </w:r>
      <w:r>
        <w:rPr>
          <w:rFonts w:hint="eastAsia" w:ascii="宋体" w:hAnsi="宋体" w:cs="宋体"/>
          <w:b/>
          <w:bCs/>
          <w:color w:val="auto"/>
          <w:sz w:val="28"/>
          <w:szCs w:val="28"/>
          <w:lang w:val="en-US" w:eastAsia="zh-CN"/>
        </w:rPr>
        <w:t>货物</w:t>
      </w:r>
      <w:r>
        <w:rPr>
          <w:rFonts w:hint="eastAsia" w:ascii="宋体" w:hAnsi="宋体" w:cs="宋体"/>
          <w:b/>
          <w:bCs/>
          <w:color w:val="auto"/>
          <w:sz w:val="28"/>
          <w:szCs w:val="28"/>
        </w:rPr>
        <w:t>）</w:t>
      </w:r>
    </w:p>
    <w:p w14:paraId="7C50C49B">
      <w:pPr>
        <w:adjustRightInd w:val="0"/>
        <w:snapToGrid w:val="0"/>
        <w:spacing w:line="360" w:lineRule="auto"/>
        <w:jc w:val="center"/>
        <w:rPr>
          <w:rFonts w:ascii="仿宋" w:hAnsi="仿宋" w:eastAsia="仿宋" w:cs="黑体"/>
          <w:bCs/>
          <w:color w:val="auto"/>
          <w:sz w:val="28"/>
          <w:szCs w:val="28"/>
        </w:rPr>
      </w:pPr>
    </w:p>
    <w:p w14:paraId="7DB1B0DD">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本公司郑重声明，根据《政府采购促进中小企业发展管理办法》（财库[2020]46 号）的规定，本公司参加</w:t>
      </w:r>
      <w:r>
        <w:rPr>
          <w:rFonts w:hint="eastAsia" w:ascii="宋体" w:hAnsi="宋体" w:cs="宋体"/>
          <w:bCs/>
          <w:color w:val="auto"/>
          <w:sz w:val="24"/>
          <w:szCs w:val="24"/>
          <w:u w:val="single"/>
        </w:rPr>
        <w:t>（单位名称）</w:t>
      </w:r>
      <w:r>
        <w:rPr>
          <w:rFonts w:hint="eastAsia" w:ascii="宋体" w:hAnsi="宋体" w:cs="宋体"/>
          <w:bCs/>
          <w:color w:val="auto"/>
          <w:sz w:val="24"/>
          <w:szCs w:val="24"/>
        </w:rPr>
        <w:t>的</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项目名称：（项目编号：）</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采购活动，提供的货物全部由符合政策要求的中小企业制造。相关企业的具体情况如下：</w:t>
      </w:r>
    </w:p>
    <w:p w14:paraId="36A0B207">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67B931E8">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10AC0FF2">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p>
    <w:p w14:paraId="6ED18EE9">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以上企业，不属于大企业的分支机构，不存在控股股东为大企业的情形，也不存在与大企业的负责人为同一人的情形。</w:t>
      </w:r>
    </w:p>
    <w:p w14:paraId="1091C5B3">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本企业对上述声明内容的真实性负责。如有虚假，将依法承担相应责任。</w:t>
      </w:r>
    </w:p>
    <w:p w14:paraId="7AE95E83">
      <w:pPr>
        <w:wordWrap w:val="0"/>
        <w:snapToGrid w:val="0"/>
        <w:spacing w:line="360" w:lineRule="auto"/>
        <w:ind w:firstLine="480" w:firstLineChars="200"/>
        <w:rPr>
          <w:rFonts w:hint="eastAsia" w:ascii="宋体" w:hAnsi="宋体" w:eastAsia="宋体" w:cs="宋体"/>
          <w:bCs/>
          <w:color w:val="auto"/>
          <w:sz w:val="24"/>
          <w:szCs w:val="24"/>
        </w:rPr>
      </w:pPr>
    </w:p>
    <w:p w14:paraId="37903E1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4B10EBD">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AC6222B">
      <w:pPr>
        <w:pStyle w:val="140"/>
        <w:rPr>
          <w:rFonts w:hint="eastAsia"/>
          <w:color w:val="auto"/>
          <w:lang w:val="en-US" w:eastAsia="zh-CN"/>
        </w:rPr>
      </w:pPr>
    </w:p>
    <w:p w14:paraId="37FAD018">
      <w:pPr>
        <w:pStyle w:val="3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9760FE5">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765079C3">
      <w:pPr>
        <w:spacing w:line="360" w:lineRule="auto"/>
        <w:jc w:val="center"/>
        <w:outlineLvl w:val="1"/>
        <w:rPr>
          <w:rFonts w:hAnsi="宋体" w:cs="宋体"/>
          <w:b/>
          <w:color w:val="auto"/>
          <w:sz w:val="28"/>
          <w:szCs w:val="28"/>
        </w:rPr>
      </w:pPr>
      <w:r>
        <w:rPr>
          <w:rFonts w:hint="eastAsia" w:hAnsi="宋体" w:cs="宋体"/>
          <w:b/>
          <w:color w:val="auto"/>
          <w:sz w:val="28"/>
          <w:szCs w:val="28"/>
        </w:rPr>
        <w:t>投标产品属节能、环境标志产品列表（如有）</w:t>
      </w:r>
    </w:p>
    <w:p w14:paraId="1324ACB6">
      <w:pPr>
        <w:spacing w:line="360" w:lineRule="auto"/>
        <w:outlineLvl w:val="1"/>
        <w:rPr>
          <w:rFonts w:hAnsi="宋体" w:cs="宋体"/>
          <w:color w:val="auto"/>
          <w:sz w:val="24"/>
          <w:szCs w:val="24"/>
        </w:rPr>
      </w:pPr>
      <w:r>
        <w:rPr>
          <w:rFonts w:hint="eastAsia" w:hAnsi="宋体" w:cs="宋体"/>
          <w:color w:val="auto"/>
          <w:sz w:val="24"/>
          <w:szCs w:val="24"/>
        </w:rPr>
        <w:t>项目名称：</w:t>
      </w:r>
    </w:p>
    <w:p w14:paraId="102C8A26">
      <w:pPr>
        <w:spacing w:line="360" w:lineRule="auto"/>
        <w:jc w:val="left"/>
        <w:outlineLvl w:val="1"/>
        <w:rPr>
          <w:rFonts w:hAnsi="宋体" w:cs="宋体"/>
          <w:color w:val="auto"/>
          <w:sz w:val="24"/>
          <w:szCs w:val="24"/>
        </w:rPr>
      </w:pPr>
      <w:r>
        <w:rPr>
          <w:rFonts w:hint="eastAsia" w:hAnsi="宋体" w:cs="宋体"/>
          <w:color w:val="auto"/>
          <w:sz w:val="24"/>
          <w:szCs w:val="24"/>
        </w:rPr>
        <w:t xml:space="preserve">项目编号： </w:t>
      </w:r>
    </w:p>
    <w:p w14:paraId="6D9CDED3">
      <w:pPr>
        <w:adjustRightInd w:val="0"/>
        <w:snapToGrid w:val="0"/>
        <w:spacing w:line="360" w:lineRule="auto"/>
        <w:outlineLvl w:val="1"/>
        <w:rPr>
          <w:rFonts w:hAnsi="宋体" w:cs="宋体"/>
          <w:color w:val="auto"/>
          <w:sz w:val="24"/>
          <w:szCs w:val="24"/>
        </w:rPr>
      </w:pPr>
    </w:p>
    <w:tbl>
      <w:tblPr>
        <w:tblStyle w:val="41"/>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073CB9AC">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FE31D17">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4700ACEB">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5F7A065">
            <w:pPr>
              <w:keepNext w:val="0"/>
              <w:keepLines w:val="0"/>
              <w:suppressLineNumbers w:val="0"/>
              <w:spacing w:before="163" w:beforeLines="5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6DDF5D0F">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0B48B341">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单价</w:t>
            </w:r>
          </w:p>
          <w:p w14:paraId="428CD39B">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color w:val="auto"/>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65698A61">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总价</w:t>
            </w:r>
          </w:p>
          <w:p w14:paraId="46AF0C65">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（元）</w:t>
            </w:r>
          </w:p>
        </w:tc>
      </w:tr>
      <w:tr w14:paraId="3780C5F3">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5359FE24">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1EA4BC1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72F3D117">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40C5DD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2DFAFF6E">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684FCAF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241EDE4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916385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425D3803">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F3BD8E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BECF2B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63429B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643790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1F3336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2390C28">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0A3BF9C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36540B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C8EA7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05D3B3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6C99F79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11A85E6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A55BE5E">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2BCA815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95A5EC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3702CE6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97C4B0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3C5D58A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5440F7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285AE43">
            <w:pPr>
              <w:keepNext w:val="0"/>
              <w:keepLines w:val="0"/>
              <w:suppressLineNumbers w:val="0"/>
              <w:spacing w:before="326" w:beforeLines="100" w:beforeAutospacing="0" w:after="0" w:afterAutospacing="0" w:line="360" w:lineRule="auto"/>
              <w:ind w:left="0" w:right="0"/>
              <w:jc w:val="center"/>
              <w:outlineLvl w:val="1"/>
              <w:rPr>
                <w:rFonts w:hint="default" w:hAnsi="宋体" w:cs="宋体"/>
                <w:b/>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24219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579372C">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757B9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4A9B23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4B4637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E5FB48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0ABEF00">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2E353F79">
            <w:pPr>
              <w:keepNext w:val="0"/>
              <w:keepLines w:val="0"/>
              <w:suppressLineNumbers w:val="0"/>
              <w:spacing w:before="163" w:beforeLines="50" w:beforeAutospacing="0" w:after="0" w:afterAutospacing="0" w:line="360" w:lineRule="auto"/>
              <w:ind w:left="0" w:right="0"/>
              <w:jc w:val="left"/>
              <w:outlineLvl w:val="1"/>
              <w:rPr>
                <w:rFonts w:hint="default" w:hAnsi="宋体" w:cs="宋体"/>
                <w:color w:val="auto"/>
                <w:sz w:val="24"/>
                <w:szCs w:val="24"/>
              </w:rPr>
            </w:pPr>
            <w:r>
              <w:rPr>
                <w:rFonts w:hint="eastAsia" w:hAnsi="宋体" w:cs="宋体"/>
                <w:color w:val="auto"/>
                <w:sz w:val="24"/>
                <w:szCs w:val="24"/>
              </w:rPr>
              <w:t>大写：                                小写：</w:t>
            </w:r>
          </w:p>
        </w:tc>
      </w:tr>
      <w:tr w14:paraId="5BCC68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BBD1FA6">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365E5DA4">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pacing w:val="-6"/>
                <w:sz w:val="24"/>
                <w:szCs w:val="24"/>
              </w:rPr>
              <w:t>保留小数点后两位。</w:t>
            </w:r>
          </w:p>
        </w:tc>
      </w:tr>
    </w:tbl>
    <w:p w14:paraId="5B8F269A">
      <w:pPr>
        <w:adjustRightInd w:val="0"/>
        <w:snapToGrid w:val="0"/>
        <w:spacing w:line="360" w:lineRule="auto"/>
        <w:outlineLvl w:val="1"/>
        <w:rPr>
          <w:rFonts w:hAnsi="宋体" w:cs="宋体"/>
          <w:color w:val="auto"/>
          <w:sz w:val="24"/>
          <w:szCs w:val="24"/>
        </w:rPr>
      </w:pPr>
    </w:p>
    <w:p w14:paraId="0079E643">
      <w:pPr>
        <w:adjustRightInd w:val="0"/>
        <w:snapToGrid w:val="0"/>
        <w:spacing w:line="360" w:lineRule="auto"/>
        <w:outlineLvl w:val="1"/>
        <w:rPr>
          <w:rFonts w:hAnsi="宋体" w:cs="宋体"/>
          <w:color w:val="auto"/>
          <w:sz w:val="24"/>
          <w:szCs w:val="24"/>
        </w:rPr>
      </w:pPr>
    </w:p>
    <w:p w14:paraId="5A91714D">
      <w:pPr>
        <w:adjustRightInd w:val="0"/>
        <w:snapToGrid w:val="0"/>
        <w:spacing w:line="360" w:lineRule="auto"/>
        <w:outlineLvl w:val="1"/>
        <w:rPr>
          <w:rFonts w:hAnsi="宋体" w:cs="宋体"/>
          <w:bCs/>
          <w:color w:val="auto"/>
          <w:sz w:val="24"/>
          <w:szCs w:val="24"/>
        </w:rPr>
      </w:pPr>
      <w:r>
        <w:rPr>
          <w:rFonts w:hint="eastAsia" w:hAnsi="宋体" w:cs="宋体"/>
          <w:color w:val="auto"/>
          <w:sz w:val="24"/>
          <w:szCs w:val="24"/>
        </w:rPr>
        <w:t>说明：</w:t>
      </w:r>
      <w:r>
        <w:rPr>
          <w:rFonts w:hint="eastAsia" w:hAnsi="宋体" w:cs="宋体"/>
          <w:bCs/>
          <w:color w:val="auto"/>
          <w:sz w:val="24"/>
          <w:szCs w:val="24"/>
          <w:lang w:eastAsia="zh-CN"/>
        </w:rPr>
        <w:t>1.</w:t>
      </w:r>
      <w:r>
        <w:rPr>
          <w:rFonts w:hint="eastAsia" w:hAnsi="宋体" w:cs="宋体"/>
          <w:color w:val="auto"/>
          <w:sz w:val="24"/>
          <w:szCs w:val="24"/>
        </w:rPr>
        <w:t>供应商提供的产品</w:t>
      </w:r>
      <w:r>
        <w:rPr>
          <w:rFonts w:hint="eastAsia" w:hAnsi="宋体" w:cs="宋体"/>
          <w:bCs/>
          <w:color w:val="auto"/>
          <w:sz w:val="24"/>
          <w:szCs w:val="24"/>
        </w:rPr>
        <w:t>属于《节能产品政府采购清单》中节能产品，《环境标志产品政府采购清单》中环境标志产品，应按招标文件要求</w:t>
      </w:r>
      <w:r>
        <w:rPr>
          <w:rFonts w:hint="eastAsia" w:hAnsi="宋体" w:cs="宋体"/>
          <w:color w:val="auto"/>
          <w:sz w:val="24"/>
          <w:szCs w:val="24"/>
        </w:rPr>
        <w:t>提供相关证明材料。</w:t>
      </w:r>
    </w:p>
    <w:p w14:paraId="61E6AB68">
      <w:pPr>
        <w:pStyle w:val="142"/>
        <w:spacing w:line="360" w:lineRule="auto"/>
        <w:ind w:left="420" w:leftChars="200" w:firstLine="240" w:firstLineChars="100"/>
        <w:outlineLvl w:val="1"/>
        <w:rPr>
          <w:rFonts w:hAnsi="宋体" w:cs="宋体"/>
          <w:color w:val="auto"/>
          <w:sz w:val="24"/>
        </w:rPr>
      </w:pPr>
      <w:r>
        <w:rPr>
          <w:rFonts w:hint="eastAsia" w:hAnsi="宋体" w:cs="宋体"/>
          <w:bCs/>
          <w:color w:val="auto"/>
          <w:sz w:val="24"/>
          <w:lang w:eastAsia="zh-CN"/>
        </w:rPr>
        <w:t>2.</w:t>
      </w:r>
      <w:r>
        <w:rPr>
          <w:rFonts w:hint="eastAsia" w:hAnsi="宋体" w:cs="宋体"/>
          <w:bCs/>
          <w:color w:val="auto"/>
          <w:sz w:val="24"/>
        </w:rPr>
        <w:t>未按上述要求提供、</w:t>
      </w:r>
      <w:r>
        <w:rPr>
          <w:rFonts w:hint="eastAsia" w:hAnsi="宋体" w:cs="宋体"/>
          <w:color w:val="auto"/>
          <w:sz w:val="24"/>
        </w:rPr>
        <w:t>填写</w:t>
      </w:r>
      <w:r>
        <w:rPr>
          <w:rFonts w:hint="eastAsia" w:hAnsi="宋体" w:cs="宋体"/>
          <w:bCs/>
          <w:color w:val="auto"/>
          <w:sz w:val="24"/>
        </w:rPr>
        <w:t>的，评标时不予以考虑。</w:t>
      </w:r>
    </w:p>
    <w:p w14:paraId="3C542CDD">
      <w:pPr>
        <w:pStyle w:val="28"/>
        <w:rPr>
          <w:rFonts w:ascii="Calibri Light" w:hAnsi="Calibri Light"/>
          <w:b/>
          <w:bCs/>
          <w:color w:val="auto"/>
          <w:sz w:val="24"/>
          <w:szCs w:val="24"/>
        </w:rPr>
      </w:pPr>
    </w:p>
    <w:p w14:paraId="414FB36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olor w:val="auto"/>
          <w:sz w:val="24"/>
          <w:szCs w:val="24"/>
          <w:lang w:eastAsia="zh-CN"/>
        </w:rPr>
      </w:pPr>
      <w:bookmarkStart w:id="126" w:name="_Toc10669"/>
      <w:r>
        <w:rPr>
          <w:rFonts w:hint="eastAsia" w:ascii="宋体" w:hAnsi="宋体"/>
          <w:color w:val="auto"/>
          <w:sz w:val="24"/>
          <w:szCs w:val="24"/>
          <w:lang w:val="en-US" w:eastAsia="zh-CN"/>
        </w:rPr>
        <w:t>投标人</w:t>
      </w:r>
      <w:r>
        <w:rPr>
          <w:rFonts w:hint="eastAsia" w:ascii="宋体" w:hAnsi="宋体"/>
          <w:color w:val="auto"/>
          <w:sz w:val="24"/>
          <w:szCs w:val="24"/>
        </w:rPr>
        <w:t>名称（公章）</w:t>
      </w:r>
      <w:r>
        <w:rPr>
          <w:rFonts w:hint="eastAsia" w:ascii="宋体" w:hAnsi="宋体"/>
          <w:color w:val="auto"/>
          <w:sz w:val="24"/>
          <w:szCs w:val="24"/>
          <w:lang w:eastAsia="zh-CN"/>
        </w:rPr>
        <w:t>：</w:t>
      </w:r>
      <w:bookmarkEnd w:id="126"/>
    </w:p>
    <w:p w14:paraId="33244AF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szCs w:val="24"/>
        </w:rPr>
      </w:pPr>
      <w:bookmarkStart w:id="127" w:name="_Toc6146"/>
      <w:r>
        <w:rPr>
          <w:rFonts w:hint="eastAsia" w:ascii="宋体" w:hAnsi="宋体"/>
          <w:color w:val="auto"/>
          <w:sz w:val="24"/>
          <w:szCs w:val="24"/>
          <w:lang w:val="en-US" w:eastAsia="zh-CN"/>
        </w:rPr>
        <w:t xml:space="preserve">日   期：   </w:t>
      </w:r>
      <w:r>
        <w:rPr>
          <w:rFonts w:hint="eastAsia" w:ascii="宋体" w:hAnsi="宋体"/>
          <w:color w:val="auto"/>
          <w:sz w:val="24"/>
          <w:szCs w:val="24"/>
        </w:rPr>
        <w:t xml:space="preserve">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日</w:t>
      </w:r>
      <w:bookmarkEnd w:id="127"/>
    </w:p>
    <w:p w14:paraId="3DB0E6A0">
      <w:pPr>
        <w:pStyle w:val="28"/>
        <w:keepNext w:val="0"/>
        <w:keepLines w:val="0"/>
        <w:pageBreakBefore w:val="0"/>
        <w:widowControl w:val="0"/>
        <w:kinsoku/>
        <w:wordWrap/>
        <w:overflowPunct/>
        <w:topLinePunct w:val="0"/>
        <w:autoSpaceDE/>
        <w:autoSpaceDN/>
        <w:bidi w:val="0"/>
        <w:adjustRightInd/>
        <w:textAlignment w:val="auto"/>
        <w:outlineLvl w:val="9"/>
        <w:rPr>
          <w:rFonts w:ascii="Calibri Light" w:hAnsi="Calibri Light"/>
          <w:b/>
          <w:bCs/>
          <w:color w:val="auto"/>
          <w:sz w:val="24"/>
          <w:szCs w:val="24"/>
        </w:rPr>
        <w:sectPr>
          <w:footerReference r:id="rId15"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4124A141">
      <w:pPr>
        <w:spacing w:line="360" w:lineRule="auto"/>
        <w:jc w:val="center"/>
        <w:outlineLvl w:val="1"/>
        <w:rPr>
          <w:rFonts w:hint="eastAsia" w:hAnsi="宋体" w:cs="宋体"/>
          <w:b/>
          <w:color w:val="auto"/>
          <w:sz w:val="28"/>
          <w:szCs w:val="28"/>
        </w:rPr>
      </w:pPr>
      <w:bookmarkStart w:id="128" w:name="OLE_LINK13"/>
      <w:bookmarkStart w:id="129" w:name="OLE_LINK14"/>
      <w:r>
        <w:rPr>
          <w:rFonts w:hint="eastAsia" w:hAnsi="宋体" w:cs="宋体"/>
          <w:b/>
          <w:color w:val="auto"/>
          <w:sz w:val="28"/>
          <w:szCs w:val="28"/>
        </w:rPr>
        <w:t>残疾人福利性单位声明函（如是）</w:t>
      </w:r>
    </w:p>
    <w:p w14:paraId="1ED637C3">
      <w:pPr>
        <w:spacing w:line="360" w:lineRule="auto"/>
        <w:jc w:val="center"/>
        <w:rPr>
          <w:rFonts w:ascii="宋体" w:hAnsi="宋体"/>
          <w:b/>
          <w:bCs/>
          <w:color w:val="auto"/>
          <w:sz w:val="24"/>
          <w:szCs w:val="28"/>
        </w:rPr>
      </w:pPr>
      <w:r>
        <w:rPr>
          <w:rFonts w:hint="eastAsia" w:ascii="宋体" w:hAnsi="宋体"/>
          <w:b/>
          <w:bCs/>
          <w:color w:val="auto"/>
          <w:sz w:val="24"/>
          <w:szCs w:val="28"/>
        </w:rPr>
        <w:t xml:space="preserve">  </w:t>
      </w:r>
    </w:p>
    <w:bookmarkEnd w:id="128"/>
    <w:bookmarkEnd w:id="129"/>
    <w:p w14:paraId="2D9929CF">
      <w:pPr>
        <w:spacing w:line="588" w:lineRule="exact"/>
        <w:rPr>
          <w:rFonts w:ascii="宋体" w:hAnsi="宋体"/>
          <w:b/>
          <w:color w:val="auto"/>
          <w:spacing w:val="6"/>
          <w:sz w:val="28"/>
          <w:szCs w:val="30"/>
        </w:rPr>
      </w:pPr>
    </w:p>
    <w:p w14:paraId="42F7981D">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w:t>
      </w:r>
      <w:r>
        <w:rPr>
          <w:rFonts w:hint="eastAsia" w:ascii="宋体" w:hAnsi="宋体"/>
          <w:color w:val="auto"/>
          <w:sz w:val="24"/>
          <w:szCs w:val="24"/>
          <w:lang w:eastAsia="zh-CN"/>
        </w:rPr>
        <w:t>〔2017〕141号</w:t>
      </w:r>
      <w:r>
        <w:rPr>
          <w:rFonts w:hint="eastAsia" w:ascii="宋体" w:hAnsi="宋体"/>
          <w:color w:val="auto"/>
          <w:sz w:val="24"/>
          <w:szCs w:val="24"/>
        </w:rPr>
        <w:t>）的规定，本单位为符合条件的残疾人福利性单位，且本单位参加</w:t>
      </w:r>
      <w:r>
        <w:rPr>
          <w:rFonts w:hint="eastAsia" w:ascii="宋体" w:hAnsi="宋体"/>
          <w:color w:val="auto"/>
          <w:sz w:val="24"/>
          <w:szCs w:val="24"/>
          <w:u w:val="single"/>
        </w:rPr>
        <w:t xml:space="preserve">             </w:t>
      </w:r>
      <w:r>
        <w:rPr>
          <w:rFonts w:hint="eastAsia" w:ascii="宋体" w:hAnsi="宋体"/>
          <w:color w:val="auto"/>
          <w:sz w:val="24"/>
          <w:szCs w:val="24"/>
        </w:rPr>
        <w:t>单位的</w:t>
      </w:r>
      <w:r>
        <w:rPr>
          <w:rFonts w:hint="eastAsia" w:ascii="宋体" w:hAnsi="宋体"/>
          <w:color w:val="auto"/>
          <w:sz w:val="24"/>
          <w:szCs w:val="24"/>
          <w:u w:val="single"/>
        </w:rPr>
        <w:t xml:space="preserve">             </w:t>
      </w:r>
      <w:r>
        <w:rPr>
          <w:rFonts w:hint="eastAsia" w:ascii="宋体" w:hAnsi="宋体"/>
          <w:color w:val="auto"/>
          <w:sz w:val="24"/>
          <w:szCs w:val="24"/>
        </w:rPr>
        <w:t>项目采购活动提供本单位制造的货物（由本单位承担工程/提供服务），或者提供其他残疾人福利性单位制造的货物（不包括使用非残疾人福利性单位注册商标的货物）。</w:t>
      </w:r>
    </w:p>
    <w:p w14:paraId="7DE55F60">
      <w:pPr>
        <w:spacing w:line="360" w:lineRule="auto"/>
        <w:rPr>
          <w:rFonts w:ascii="宋体" w:hAnsi="宋体"/>
          <w:color w:val="auto"/>
          <w:sz w:val="24"/>
          <w:szCs w:val="24"/>
        </w:rPr>
      </w:pPr>
      <w:r>
        <w:rPr>
          <w:rFonts w:hint="eastAsia" w:ascii="宋体" w:hAnsi="宋体"/>
          <w:color w:val="auto"/>
          <w:sz w:val="24"/>
          <w:szCs w:val="24"/>
        </w:rPr>
        <w:t xml:space="preserve">    本单位对上述声明的真实性负责。如有虚假，将依法承担相应责任。</w:t>
      </w:r>
    </w:p>
    <w:p w14:paraId="2A376ED3">
      <w:pPr>
        <w:spacing w:line="360" w:lineRule="auto"/>
        <w:rPr>
          <w:rFonts w:ascii="宋体" w:hAnsi="宋体"/>
          <w:color w:val="auto"/>
          <w:sz w:val="24"/>
          <w:szCs w:val="24"/>
        </w:rPr>
      </w:pPr>
    </w:p>
    <w:p w14:paraId="046087F1">
      <w:pPr>
        <w:spacing w:line="360" w:lineRule="auto"/>
        <w:rPr>
          <w:rFonts w:ascii="宋体" w:hAnsi="宋体"/>
          <w:color w:val="auto"/>
          <w:sz w:val="24"/>
          <w:szCs w:val="24"/>
        </w:rPr>
      </w:pPr>
    </w:p>
    <w:p w14:paraId="14131374">
      <w:pPr>
        <w:keepNext w:val="0"/>
        <w:keepLines w:val="0"/>
        <w:pageBreakBefore w:val="0"/>
        <w:widowControl w:val="0"/>
        <w:kinsoku/>
        <w:wordWrap/>
        <w:overflowPunct/>
        <w:topLinePunct w:val="0"/>
        <w:autoSpaceDE/>
        <w:autoSpaceDN/>
        <w:bidi w:val="0"/>
        <w:adjustRightInd/>
        <w:snapToGrid/>
        <w:spacing w:line="360" w:lineRule="auto"/>
        <w:ind w:firstLine="6120" w:firstLineChars="2550"/>
        <w:textAlignment w:val="auto"/>
        <w:outlineLvl w:val="9"/>
        <w:rPr>
          <w:rFonts w:hint="eastAsia" w:ascii="宋体" w:hAnsi="宋体" w:eastAsia="宋体"/>
          <w:color w:val="auto"/>
          <w:sz w:val="24"/>
          <w:szCs w:val="24"/>
          <w:lang w:eastAsia="zh-CN"/>
        </w:rPr>
      </w:pPr>
      <w:bookmarkStart w:id="130" w:name="_Toc15190"/>
      <w:bookmarkStart w:id="131" w:name="_Toc11532"/>
      <w:r>
        <w:rPr>
          <w:rFonts w:hint="eastAsia" w:ascii="宋体" w:hAnsi="宋体"/>
          <w:color w:val="auto"/>
          <w:sz w:val="24"/>
          <w:szCs w:val="24"/>
          <w:lang w:val="en-US" w:eastAsia="zh-CN"/>
        </w:rPr>
        <w:t>投标人</w:t>
      </w:r>
      <w:r>
        <w:rPr>
          <w:rFonts w:hint="eastAsia" w:ascii="宋体" w:hAnsi="宋体"/>
          <w:color w:val="auto"/>
          <w:sz w:val="24"/>
          <w:szCs w:val="24"/>
        </w:rPr>
        <w:t>名称（公章）</w:t>
      </w:r>
      <w:bookmarkEnd w:id="130"/>
      <w:r>
        <w:rPr>
          <w:rFonts w:hint="eastAsia" w:ascii="宋体" w:hAnsi="宋体"/>
          <w:color w:val="auto"/>
          <w:sz w:val="24"/>
          <w:szCs w:val="24"/>
          <w:lang w:eastAsia="zh-CN"/>
        </w:rPr>
        <w:t>：</w:t>
      </w:r>
      <w:bookmarkEnd w:id="131"/>
    </w:p>
    <w:p w14:paraId="3A9F355C">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outlineLvl w:val="9"/>
        <w:rPr>
          <w:rFonts w:ascii="宋体" w:hAnsi="宋体"/>
          <w:color w:val="auto"/>
          <w:sz w:val="24"/>
          <w:szCs w:val="24"/>
        </w:rPr>
      </w:pPr>
      <w:bookmarkStart w:id="132" w:name="_Toc4481"/>
      <w:bookmarkStart w:id="133" w:name="_Toc25473"/>
      <w:r>
        <w:rPr>
          <w:rFonts w:hint="eastAsia" w:ascii="宋体" w:hAnsi="宋体"/>
          <w:color w:val="auto"/>
          <w:sz w:val="24"/>
          <w:szCs w:val="24"/>
          <w:lang w:val="en-US" w:eastAsia="zh-CN"/>
        </w:rPr>
        <w:t>日   期：</w:t>
      </w:r>
      <w:r>
        <w:rPr>
          <w:rFonts w:hint="eastAsia" w:ascii="宋体" w:hAnsi="宋体"/>
          <w:color w:val="auto"/>
          <w:sz w:val="24"/>
          <w:szCs w:val="24"/>
        </w:rPr>
        <w:t>年  月  日</w:t>
      </w:r>
      <w:bookmarkEnd w:id="132"/>
      <w:bookmarkEnd w:id="133"/>
    </w:p>
    <w:p w14:paraId="37825945">
      <w:pPr>
        <w:spacing w:line="360" w:lineRule="auto"/>
        <w:ind w:firstLine="480" w:firstLineChars="200"/>
        <w:rPr>
          <w:rFonts w:ascii="宋体" w:hAnsi="宋体"/>
          <w:color w:val="auto"/>
          <w:sz w:val="24"/>
          <w:szCs w:val="24"/>
        </w:rPr>
      </w:pPr>
    </w:p>
    <w:p w14:paraId="1A0E8F84">
      <w:pPr>
        <w:spacing w:line="360" w:lineRule="auto"/>
        <w:ind w:firstLine="480" w:firstLineChars="200"/>
        <w:rPr>
          <w:rFonts w:ascii="宋体" w:hAnsi="宋体"/>
          <w:color w:val="auto"/>
          <w:sz w:val="24"/>
          <w:szCs w:val="24"/>
        </w:rPr>
      </w:pPr>
    </w:p>
    <w:p w14:paraId="2475B836">
      <w:pPr>
        <w:spacing w:line="360" w:lineRule="auto"/>
        <w:ind w:firstLine="480" w:firstLineChars="200"/>
        <w:rPr>
          <w:rFonts w:ascii="宋体" w:hAnsi="宋体"/>
          <w:color w:val="auto"/>
          <w:sz w:val="24"/>
          <w:szCs w:val="24"/>
        </w:rPr>
      </w:pPr>
    </w:p>
    <w:p w14:paraId="4EF890D7">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注：</w:t>
      </w:r>
      <w:r>
        <w:rPr>
          <w:rFonts w:hint="eastAsia" w:ascii="宋体" w:hAnsi="宋体"/>
          <w:color w:val="auto"/>
          <w:sz w:val="24"/>
          <w:szCs w:val="24"/>
          <w:lang w:eastAsia="zh-CN"/>
        </w:rPr>
        <w:t>1.</w:t>
      </w:r>
      <w:r>
        <w:rPr>
          <w:rFonts w:hint="eastAsia" w:ascii="宋体" w:hAnsi="宋体"/>
          <w:color w:val="auto"/>
          <w:sz w:val="24"/>
          <w:szCs w:val="24"/>
        </w:rPr>
        <w:t>非残疾人福利性单位不提供此声明函</w:t>
      </w:r>
      <w:r>
        <w:rPr>
          <w:rFonts w:hint="eastAsia" w:ascii="宋体" w:hAnsi="宋体"/>
          <w:color w:val="auto"/>
          <w:sz w:val="24"/>
          <w:szCs w:val="24"/>
          <w:lang w:eastAsia="zh-CN"/>
        </w:rPr>
        <w:t>。</w:t>
      </w:r>
    </w:p>
    <w:p w14:paraId="6F4BDDEE">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59953F">
      <w:pPr>
        <w:keepNext/>
        <w:keepLines/>
        <w:spacing w:line="415" w:lineRule="auto"/>
        <w:jc w:val="center"/>
        <w:outlineLvl w:val="1"/>
        <w:rPr>
          <w:rFonts w:ascii="Calibri Light" w:hAnsi="Calibri Light"/>
          <w:b/>
          <w:bCs/>
          <w:color w:val="auto"/>
          <w:sz w:val="32"/>
          <w:szCs w:val="32"/>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26FC0EAA">
      <w:pPr>
        <w:pStyle w:val="3"/>
        <w:ind w:firstLine="482" w:firstLineChars="150"/>
        <w:jc w:val="center"/>
        <w:rPr>
          <w:color w:val="auto"/>
        </w:rPr>
      </w:pPr>
      <w:r>
        <w:rPr>
          <w:rFonts w:hint="eastAsia"/>
          <w:color w:val="auto"/>
        </w:rPr>
        <w:t>四、技术商务偏离表</w:t>
      </w:r>
    </w:p>
    <w:p w14:paraId="39FCAE42">
      <w:pPr>
        <w:pStyle w:val="3"/>
        <w:spacing w:before="0" w:after="0"/>
        <w:ind w:firstLine="422" w:firstLineChars="150"/>
        <w:jc w:val="center"/>
        <w:rPr>
          <w:color w:val="auto"/>
          <w:sz w:val="28"/>
          <w:szCs w:val="28"/>
        </w:rPr>
      </w:pPr>
      <w:r>
        <w:rPr>
          <w:rFonts w:hint="eastAsia"/>
          <w:color w:val="auto"/>
          <w:sz w:val="28"/>
          <w:szCs w:val="28"/>
        </w:rPr>
        <w:t>技术偏离表</w:t>
      </w:r>
    </w:p>
    <w:tbl>
      <w:tblPr>
        <w:tblStyle w:val="41"/>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1E6E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7BFBDB7">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2050" w:type="dxa"/>
            <w:vAlign w:val="center"/>
          </w:tcPr>
          <w:p w14:paraId="714D5DF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招标文件技术要求</w:t>
            </w:r>
          </w:p>
        </w:tc>
        <w:tc>
          <w:tcPr>
            <w:tcW w:w="3934" w:type="dxa"/>
            <w:vAlign w:val="center"/>
          </w:tcPr>
          <w:p w14:paraId="330686D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rPr>
              <w:t>投标文件技术参数</w:t>
            </w:r>
            <w:r>
              <w:rPr>
                <w:rFonts w:hint="eastAsia" w:ascii="宋体" w:hAnsi="宋体" w:cs="宋体"/>
                <w:b/>
                <w:color w:val="auto"/>
                <w:szCs w:val="21"/>
                <w:lang w:val="en-US" w:eastAsia="zh-CN"/>
              </w:rPr>
              <w:t>应答</w:t>
            </w:r>
          </w:p>
        </w:tc>
        <w:tc>
          <w:tcPr>
            <w:tcW w:w="1583" w:type="dxa"/>
            <w:vAlign w:val="center"/>
          </w:tcPr>
          <w:p w14:paraId="119947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b/>
                <w:color w:val="auto"/>
                <w:szCs w:val="21"/>
                <w:lang w:val="en-US" w:eastAsia="zh-CN"/>
              </w:rPr>
              <w:t>响应/偏离</w:t>
            </w:r>
          </w:p>
        </w:tc>
        <w:tc>
          <w:tcPr>
            <w:tcW w:w="1369" w:type="dxa"/>
            <w:vAlign w:val="center"/>
          </w:tcPr>
          <w:p w14:paraId="11D73082">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4CE3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AE70D6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2050" w:type="dxa"/>
          </w:tcPr>
          <w:p w14:paraId="4A8DD82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0C81078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23C7CD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4F196F0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F59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A9C201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2050" w:type="dxa"/>
          </w:tcPr>
          <w:p w14:paraId="3AA1C85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42D5E27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6F3D2E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AB4B7C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AE5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3CEC954E">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2050" w:type="dxa"/>
          </w:tcPr>
          <w:p w14:paraId="3E1CDA8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CCBDD9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A9D29B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90A20E0">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668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FF134C4">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2050" w:type="dxa"/>
          </w:tcPr>
          <w:p w14:paraId="5BF2F9C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506071F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2A6AC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1F8FE37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18E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6E6705D">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2050" w:type="dxa"/>
          </w:tcPr>
          <w:p w14:paraId="549F93C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36A62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391106A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D85E113">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110A50B2">
      <w:pPr>
        <w:pStyle w:val="3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0" w:firstLine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注：1.如有漏报、瞒报招标文件所要求的性能指标等，将视为没有实质性响应招标文件。招标文件第四章技术参数必须逐条响应，如有缺漏将视为无效响应；</w:t>
      </w:r>
    </w:p>
    <w:p w14:paraId="7F1EAB5C">
      <w:pPr>
        <w:keepNext w:val="0"/>
        <w:keepLines w:val="0"/>
        <w:pageBreakBefore w:val="0"/>
        <w:widowControl/>
        <w:suppressLineNumbers w:val="0"/>
        <w:kinsoku/>
        <w:wordWrap/>
        <w:overflowPunct/>
        <w:topLinePunct w:val="0"/>
        <w:autoSpaceDE/>
        <w:autoSpaceDN/>
        <w:bidi w:val="0"/>
        <w:snapToGrid/>
        <w:spacing w:line="520" w:lineRule="exact"/>
        <w:ind w:firstLine="480" w:firstLineChars="200"/>
        <w:jc w:val="left"/>
        <w:textAlignment w:val="auto"/>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en-US" w:eastAsia="zh-CN" w:bidi="ar-SA"/>
        </w:rPr>
        <w:t>2.“投标文件响应条款”必须与投标文件中提供的证明材料的实质性响应情况相一致。若在评审环节发现该项与响应文件证明材料的实质性响应情况不一致，按无效响应处理。</w:t>
      </w:r>
    </w:p>
    <w:p w14:paraId="001D95F4">
      <w:pPr>
        <w:pStyle w:val="13"/>
        <w:rPr>
          <w:color w:val="auto"/>
        </w:rPr>
      </w:pPr>
    </w:p>
    <w:p w14:paraId="70824FEC">
      <w:pPr>
        <w:jc w:val="center"/>
        <w:rPr>
          <w:rFonts w:ascii="宋体" w:hAnsi="宋体"/>
          <w:b/>
          <w:color w:val="auto"/>
          <w:sz w:val="24"/>
          <w:szCs w:val="24"/>
        </w:rPr>
      </w:pPr>
    </w:p>
    <w:p w14:paraId="6A728989">
      <w:pPr>
        <w:jc w:val="center"/>
        <w:rPr>
          <w:rFonts w:ascii="宋体" w:hAnsi="宋体"/>
          <w:b/>
          <w:color w:val="auto"/>
          <w:sz w:val="24"/>
          <w:szCs w:val="24"/>
        </w:rPr>
      </w:pPr>
    </w:p>
    <w:p w14:paraId="7CAE495C">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2CAFEE">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1BBC31F">
      <w:pPr>
        <w:spacing w:line="360" w:lineRule="auto"/>
        <w:ind w:firstLine="240" w:firstLineChars="100"/>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42708AED">
      <w:pPr>
        <w:pStyle w:val="3"/>
        <w:jc w:val="cente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color w:val="auto"/>
        </w:rPr>
        <w:t xml:space="preserve"> </w:t>
      </w:r>
    </w:p>
    <w:p w14:paraId="3402E13C">
      <w:pPr>
        <w:pStyle w:val="3"/>
        <w:spacing w:before="0" w:after="0"/>
        <w:ind w:firstLine="361" w:firstLineChars="150"/>
        <w:jc w:val="center"/>
        <w:rPr>
          <w:rFonts w:hint="eastAsia"/>
          <w:color w:val="auto"/>
          <w:sz w:val="24"/>
          <w:szCs w:val="24"/>
        </w:rPr>
      </w:pPr>
      <w:bookmarkStart w:id="134" w:name="_Toc23258629"/>
      <w:bookmarkStart w:id="135" w:name="_Toc26541340"/>
    </w:p>
    <w:p w14:paraId="1E57FCEE">
      <w:pPr>
        <w:pStyle w:val="3"/>
        <w:spacing w:before="0" w:after="0"/>
        <w:ind w:firstLine="422" w:firstLineChars="150"/>
        <w:jc w:val="center"/>
        <w:rPr>
          <w:rFonts w:hint="eastAsia"/>
          <w:color w:val="auto"/>
          <w:sz w:val="28"/>
          <w:szCs w:val="28"/>
        </w:rPr>
      </w:pPr>
      <w:r>
        <w:rPr>
          <w:rFonts w:hint="eastAsia"/>
          <w:color w:val="auto"/>
          <w:sz w:val="28"/>
          <w:szCs w:val="28"/>
        </w:rPr>
        <w:t>商务偏离表</w:t>
      </w:r>
      <w:bookmarkEnd w:id="134"/>
      <w:bookmarkEnd w:id="135"/>
    </w:p>
    <w:tbl>
      <w:tblPr>
        <w:tblStyle w:val="41"/>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7D57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1BF341A">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序号</w:t>
            </w:r>
          </w:p>
        </w:tc>
        <w:tc>
          <w:tcPr>
            <w:tcW w:w="2835" w:type="dxa"/>
            <w:vAlign w:val="center"/>
          </w:tcPr>
          <w:p w14:paraId="1D86E99E">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招标文件商务要求</w:t>
            </w:r>
          </w:p>
        </w:tc>
        <w:tc>
          <w:tcPr>
            <w:tcW w:w="2552" w:type="dxa"/>
            <w:vAlign w:val="center"/>
          </w:tcPr>
          <w:p w14:paraId="5469DAA5">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投标文件商务应答</w:t>
            </w:r>
          </w:p>
        </w:tc>
        <w:tc>
          <w:tcPr>
            <w:tcW w:w="1516" w:type="dxa"/>
            <w:vAlign w:val="center"/>
          </w:tcPr>
          <w:p w14:paraId="77F19413">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lang w:val="en-US" w:eastAsia="zh-CN"/>
              </w:rPr>
              <w:t>响应/偏离</w:t>
            </w:r>
          </w:p>
        </w:tc>
        <w:tc>
          <w:tcPr>
            <w:tcW w:w="1516" w:type="dxa"/>
            <w:vAlign w:val="center"/>
          </w:tcPr>
          <w:p w14:paraId="524378A4">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695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5051C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1</w:t>
            </w:r>
          </w:p>
        </w:tc>
        <w:tc>
          <w:tcPr>
            <w:tcW w:w="2835" w:type="dxa"/>
            <w:vAlign w:val="center"/>
          </w:tcPr>
          <w:p w14:paraId="18DC21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203228B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25078854">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A4C23D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7517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DC631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2</w:t>
            </w:r>
          </w:p>
        </w:tc>
        <w:tc>
          <w:tcPr>
            <w:tcW w:w="2835" w:type="dxa"/>
            <w:vAlign w:val="center"/>
          </w:tcPr>
          <w:p w14:paraId="7D909F1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3BF0C54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D5D76B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E00F41F">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1000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973B96">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3</w:t>
            </w:r>
          </w:p>
        </w:tc>
        <w:tc>
          <w:tcPr>
            <w:tcW w:w="2835" w:type="dxa"/>
            <w:vAlign w:val="center"/>
          </w:tcPr>
          <w:p w14:paraId="6360D4B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43FCC02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0734C4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31B301E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3E4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5A923F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w:t>
            </w:r>
          </w:p>
        </w:tc>
        <w:tc>
          <w:tcPr>
            <w:tcW w:w="2835" w:type="dxa"/>
            <w:vAlign w:val="center"/>
          </w:tcPr>
          <w:p w14:paraId="4B30B6B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E0BF319">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4EBA79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9D2CFF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774670E4">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注：对招标文件中要求的商务条款响应并详细说明。</w:t>
      </w:r>
    </w:p>
    <w:p w14:paraId="65F6FDC8">
      <w:pPr>
        <w:rPr>
          <w:color w:val="auto"/>
          <w:sz w:val="24"/>
          <w:szCs w:val="24"/>
        </w:rPr>
      </w:pPr>
    </w:p>
    <w:p w14:paraId="0FC41237">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1C88E7B">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C5ADCA">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B6DB8F3">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0436D0D1">
      <w:pPr>
        <w:spacing w:line="360" w:lineRule="auto"/>
        <w:ind w:firstLine="420" w:firstLineChars="175"/>
        <w:rPr>
          <w:rFonts w:ascii="宋体" w:hAnsi="宋体"/>
          <w:bCs/>
          <w:color w:val="auto"/>
          <w:sz w:val="24"/>
          <w:szCs w:val="24"/>
        </w:rPr>
      </w:pPr>
    </w:p>
    <w:p w14:paraId="3CA017CA">
      <w:pPr>
        <w:widowControl/>
        <w:jc w:val="left"/>
        <w:rPr>
          <w:rFonts w:ascii="Calibri Light" w:hAnsi="Calibri Light"/>
          <w:b/>
          <w:bCs/>
          <w:color w:val="auto"/>
          <w:sz w:val="32"/>
          <w:szCs w:val="32"/>
        </w:rPr>
      </w:pPr>
    </w:p>
    <w:p w14:paraId="101E7FA6">
      <w:pPr>
        <w:widowControl/>
        <w:jc w:val="left"/>
        <w:rPr>
          <w:rFonts w:ascii="Calibri Light" w:hAnsi="Calibri Light"/>
          <w:b/>
          <w:bCs/>
          <w:color w:val="auto"/>
          <w:sz w:val="32"/>
          <w:szCs w:val="32"/>
        </w:rPr>
      </w:pPr>
    </w:p>
    <w:p w14:paraId="6ECC5A2D">
      <w:pP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17"/>
    <w:bookmarkEnd w:id="118"/>
    <w:p w14:paraId="42018741">
      <w:pPr>
        <w:pStyle w:val="3"/>
        <w:ind w:firstLine="482" w:firstLineChars="150"/>
        <w:jc w:val="center"/>
        <w:rPr>
          <w:rFonts w:ascii="Times New Roman" w:hAnsi="Times New Roman"/>
          <w:color w:val="auto"/>
          <w:szCs w:val="36"/>
        </w:rPr>
      </w:pPr>
      <w:bookmarkStart w:id="136" w:name="_Toc26541341"/>
      <w:bookmarkStart w:id="137" w:name="_Toc23258630"/>
      <w:bookmarkStart w:id="138" w:name="_Toc484890090"/>
      <w:bookmarkStart w:id="139" w:name="_Toc484198843"/>
      <w:bookmarkStart w:id="140" w:name="_Toc528240833"/>
      <w:r>
        <w:rPr>
          <w:rFonts w:hint="eastAsia" w:ascii="Times New Roman" w:hAnsi="Times New Roman"/>
          <w:color w:val="auto"/>
          <w:szCs w:val="36"/>
        </w:rPr>
        <w:t>五、投标方案</w:t>
      </w:r>
      <w:bookmarkEnd w:id="136"/>
      <w:bookmarkEnd w:id="137"/>
    </w:p>
    <w:p w14:paraId="3416B34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color w:val="auto"/>
        </w:rPr>
      </w:pPr>
      <w:r>
        <w:rPr>
          <w:rFonts w:hint="eastAsia" w:ascii="宋体" w:hAnsi="宋体" w:eastAsia="宋体" w:cs="宋体"/>
          <w:b/>
          <w:bCs w:val="0"/>
          <w:kern w:val="2"/>
          <w:sz w:val="24"/>
          <w:szCs w:val="22"/>
          <w:lang w:val="en-US" w:eastAsia="zh-CN" w:bidi="ar"/>
        </w:rPr>
        <w:t>供应商按照招标文件的要求编制投标方案说明书，投标方案由供应商自行编写，无具体格式，参照招标文件中的《综合评分明细表》各条款的要求及</w:t>
      </w:r>
      <w:r>
        <w:rPr>
          <w:rFonts w:hint="eastAsia" w:ascii="宋体" w:hAnsi="宋体" w:cs="宋体"/>
          <w:b/>
          <w:bCs w:val="0"/>
          <w:kern w:val="2"/>
          <w:sz w:val="24"/>
          <w:szCs w:val="22"/>
          <w:lang w:val="en-US" w:eastAsia="zh-CN" w:bidi="ar"/>
        </w:rPr>
        <w:t>招标文件第四章</w:t>
      </w:r>
      <w:r>
        <w:rPr>
          <w:rFonts w:hint="eastAsia" w:ascii="宋体" w:hAnsi="宋体" w:eastAsia="宋体" w:cs="宋体"/>
          <w:b/>
          <w:bCs w:val="0"/>
          <w:kern w:val="2"/>
          <w:sz w:val="24"/>
          <w:szCs w:val="22"/>
          <w:lang w:val="en-US" w:eastAsia="zh-CN" w:bidi="ar"/>
        </w:rPr>
        <w:t>《采购内容</w:t>
      </w:r>
      <w:r>
        <w:rPr>
          <w:rFonts w:hint="eastAsia" w:ascii="宋体" w:hAnsi="宋体" w:cs="宋体"/>
          <w:b/>
          <w:bCs w:val="0"/>
          <w:kern w:val="2"/>
          <w:sz w:val="24"/>
          <w:szCs w:val="22"/>
          <w:lang w:val="en-US" w:eastAsia="zh-CN" w:bidi="ar"/>
        </w:rPr>
        <w:t>及要求</w:t>
      </w:r>
      <w:r>
        <w:rPr>
          <w:rFonts w:hint="eastAsia" w:ascii="宋体" w:hAnsi="宋体" w:eastAsia="宋体" w:cs="宋体"/>
          <w:b/>
          <w:bCs w:val="0"/>
          <w:kern w:val="2"/>
          <w:sz w:val="24"/>
          <w:szCs w:val="22"/>
          <w:lang w:val="en-US" w:eastAsia="zh-CN" w:bidi="ar"/>
        </w:rPr>
        <w:t>》进行编制投标方案。</w:t>
      </w:r>
    </w:p>
    <w:p w14:paraId="795144BF">
      <w:pPr>
        <w:autoSpaceDE w:val="0"/>
        <w:autoSpaceDN w:val="0"/>
        <w:adjustRightInd w:val="0"/>
        <w:spacing w:line="360" w:lineRule="auto"/>
        <w:ind w:firstLine="480" w:firstLineChars="200"/>
        <w:rPr>
          <w:rFonts w:ascii="宋体"/>
          <w:color w:val="FF0000"/>
          <w:sz w:val="24"/>
          <w:szCs w:val="24"/>
        </w:rPr>
      </w:pPr>
    </w:p>
    <w:p w14:paraId="0681026F">
      <w:pPr>
        <w:rPr>
          <w:rFonts w:hint="default"/>
          <w:color w:val="auto"/>
          <w:lang w:val="en-US" w:eastAsia="zh-CN"/>
        </w:rPr>
      </w:pPr>
    </w:p>
    <w:p w14:paraId="6182478D">
      <w:pPr>
        <w:spacing w:line="360" w:lineRule="auto"/>
        <w:ind w:firstLine="480" w:firstLineChars="200"/>
        <w:rPr>
          <w:rFonts w:ascii="宋体" w:hAnsi="宋体"/>
          <w:color w:val="auto"/>
          <w:sz w:val="24"/>
          <w:szCs w:val="24"/>
        </w:rPr>
      </w:pPr>
    </w:p>
    <w:p w14:paraId="7C724A2F">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38"/>
    <w:bookmarkEnd w:id="139"/>
    <w:bookmarkEnd w:id="140"/>
    <w:p w14:paraId="12A3CFA8">
      <w:pPr>
        <w:autoSpaceDE w:val="0"/>
        <w:autoSpaceDN w:val="0"/>
        <w:adjustRightInd w:val="0"/>
        <w:spacing w:line="360" w:lineRule="exact"/>
        <w:jc w:val="center"/>
        <w:textAlignment w:val="baseline"/>
        <w:rPr>
          <w:rFonts w:hint="eastAsia" w:ascii="宋体" w:hAnsi="宋体" w:cs="宋体"/>
          <w:b/>
          <w:bCs/>
          <w:color w:val="auto"/>
          <w:kern w:val="20"/>
          <w:sz w:val="24"/>
          <w:szCs w:val="24"/>
          <w:lang w:val="en-US" w:eastAsia="zh-CN"/>
        </w:rPr>
      </w:pPr>
      <w:bookmarkStart w:id="141" w:name="_Toc2768"/>
      <w:bookmarkStart w:id="142" w:name="_Toc426457710"/>
      <w:bookmarkStart w:id="143" w:name="_Toc403077652"/>
      <w:bookmarkStart w:id="144" w:name="_Toc396304714"/>
      <w:bookmarkStart w:id="145" w:name="_Toc4115"/>
      <w:bookmarkStart w:id="146" w:name="_Toc14631"/>
      <w:bookmarkStart w:id="147" w:name="_Toc17592"/>
      <w:bookmarkStart w:id="148" w:name="_Toc214"/>
      <w:bookmarkStart w:id="149" w:name="_Toc528240693"/>
      <w:bookmarkStart w:id="150" w:name="_Toc519864403"/>
      <w:bookmarkStart w:id="151" w:name="_Toc528240837"/>
      <w:bookmarkStart w:id="152" w:name="_Toc23258632"/>
      <w:bookmarkStart w:id="153" w:name="_Toc484198846"/>
      <w:bookmarkStart w:id="154" w:name="_Toc26541343"/>
      <w:bookmarkStart w:id="155" w:name="_Toc484198847"/>
    </w:p>
    <w:p w14:paraId="2809FF7F">
      <w:pPr>
        <w:autoSpaceDE w:val="0"/>
        <w:autoSpaceDN w:val="0"/>
        <w:adjustRightInd w:val="0"/>
        <w:spacing w:line="36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lang w:val="en-US" w:eastAsia="zh-CN"/>
        </w:rPr>
        <w:t xml:space="preserve">   </w:t>
      </w:r>
      <w:r>
        <w:rPr>
          <w:rFonts w:hint="eastAsia" w:ascii="宋体" w:hAnsi="宋体" w:cs="宋体"/>
          <w:b/>
          <w:bCs/>
          <w:color w:val="auto"/>
          <w:kern w:val="20"/>
          <w:sz w:val="28"/>
          <w:szCs w:val="28"/>
          <w:lang w:val="en-US" w:eastAsia="zh-CN"/>
        </w:rPr>
        <w:t xml:space="preserve">  </w:t>
      </w:r>
      <w:r>
        <w:rPr>
          <w:rFonts w:hint="eastAsia" w:ascii="宋体" w:hAnsi="宋体" w:cs="宋体"/>
          <w:b/>
          <w:bCs/>
          <w:color w:val="auto"/>
          <w:kern w:val="20"/>
          <w:sz w:val="28"/>
          <w:szCs w:val="28"/>
        </w:rPr>
        <w:t>本项目拟投入人员汇总表</w:t>
      </w:r>
      <w:bookmarkEnd w:id="141"/>
      <w:bookmarkEnd w:id="142"/>
      <w:bookmarkEnd w:id="143"/>
      <w:bookmarkEnd w:id="144"/>
      <w:bookmarkEnd w:id="145"/>
      <w:bookmarkEnd w:id="146"/>
      <w:bookmarkEnd w:id="147"/>
      <w:bookmarkEnd w:id="148"/>
    </w:p>
    <w:p w14:paraId="65097F62">
      <w:pPr>
        <w:autoSpaceDE w:val="0"/>
        <w:autoSpaceDN w:val="0"/>
        <w:adjustRightInd w:val="0"/>
        <w:spacing w:line="360" w:lineRule="exact"/>
        <w:textAlignment w:val="baseline"/>
        <w:rPr>
          <w:rFonts w:ascii="宋体" w:hAnsi="宋体" w:cs="宋体"/>
          <w:b/>
          <w:bCs/>
          <w:color w:val="auto"/>
          <w:kern w:val="20"/>
          <w:sz w:val="24"/>
          <w:szCs w:val="24"/>
        </w:rPr>
      </w:pPr>
    </w:p>
    <w:tbl>
      <w:tblPr>
        <w:tblStyle w:val="41"/>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C01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43353F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26AA59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35CC1CE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22A567A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31FA07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3D84158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3280DD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76A0CCC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17C4D5C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0D10F75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3ED5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E6BF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BD7C0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B29EB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7B1F8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F263F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9401C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1369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DBFEE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705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16BF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B58E8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B9FA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591E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B6E6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88A2D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5470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65C99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AB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656F2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A8E989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E74F3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79FD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0946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DDA6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DC61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4E5C9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244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6011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A67C0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8BE94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922EA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7BE8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54274D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5FE88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0609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CF1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C0E3C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1123A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73D1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FCE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AB8AE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31599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16DAE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D8028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D70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D5F32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5B724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185A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E98E6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283051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2416A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0BF0B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13142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D1A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3E6EB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BB4C9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2F89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9F64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2F764C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727D7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49BF9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A5305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75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281EF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5D28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EE097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779AC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4BE47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CF88B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06680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9568C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34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0C5C1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3ECA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755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3B89D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63347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27975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8A3CE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0584B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09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A4D8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67362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CDF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5FED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94180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06875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FA2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F1591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9E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B037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94EBA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19542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F4CA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2F35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41E6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A33D47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92A7B3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F3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F9181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DDE20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ED1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E5C9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3D9CE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D1F5A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B68ED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E0D04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5CD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29211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0EDF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B1760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B8A7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3DE8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63C69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D16F5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899BD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5FD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A542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8CF12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A6B5B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3377F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BEF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E0C8C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E626E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C550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F83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2D2A8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795D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0CCCA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64A5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9FB1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E9BB5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3F324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76A45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9F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F63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A961E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9522B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238FA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DAA1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6CF0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4DDF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8856E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250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6B155F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B8CE2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76B78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57BF7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08D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3321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0DBFC6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DFC4D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77FEDF18">
      <w:pPr>
        <w:rPr>
          <w:color w:val="auto"/>
        </w:rPr>
      </w:pPr>
    </w:p>
    <w:p w14:paraId="6F2D618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156" w:name="_Hlt491572882"/>
      <w:bookmarkEnd w:id="156"/>
      <w:bookmarkStart w:id="157" w:name="_Hlt491573425"/>
      <w:bookmarkEnd w:id="157"/>
      <w:bookmarkStart w:id="158" w:name="_Hlt491765868"/>
      <w:bookmarkEnd w:id="158"/>
      <w:bookmarkStart w:id="159" w:name="_Hlt491766019"/>
      <w:bookmarkEnd w:id="159"/>
      <w:bookmarkStart w:id="160" w:name="_Hlt491765944"/>
      <w:bookmarkEnd w:id="160"/>
      <w:r>
        <w:rPr>
          <w:rFonts w:hint="eastAsia" w:ascii="宋体" w:hAnsi="宋体" w:eastAsia="宋体" w:cs="宋体"/>
          <w:bCs/>
          <w:color w:val="auto"/>
          <w:sz w:val="24"/>
          <w:szCs w:val="24"/>
        </w:rPr>
        <w:t>投标人名称（加盖公章）：</w:t>
      </w:r>
    </w:p>
    <w:p w14:paraId="3D231A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65ADEF6B">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5EB82270">
      <w:pPr>
        <w:jc w:val="center"/>
        <w:rPr>
          <w:rFonts w:hint="eastAsia" w:ascii="宋体" w:hAnsi="宋体" w:cs="宋体"/>
          <w:b/>
          <w:bCs/>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10300477">
      <w:pPr>
        <w:jc w:val="center"/>
        <w:rPr>
          <w:rFonts w:hint="eastAsia" w:ascii="宋体" w:hAnsi="宋体" w:cs="宋体"/>
          <w:b/>
          <w:bCs/>
          <w:color w:val="auto"/>
          <w:sz w:val="24"/>
          <w:szCs w:val="24"/>
        </w:rPr>
      </w:pPr>
    </w:p>
    <w:p w14:paraId="190ABB82">
      <w:pPr>
        <w:jc w:val="center"/>
        <w:rPr>
          <w:rFonts w:ascii="宋体" w:hAnsi="宋体" w:cs="宋体"/>
          <w:b/>
          <w:bCs/>
          <w:color w:val="auto"/>
          <w:sz w:val="28"/>
          <w:szCs w:val="28"/>
        </w:rPr>
      </w:pPr>
      <w:r>
        <w:rPr>
          <w:rFonts w:hint="eastAsia" w:ascii="宋体" w:hAnsi="宋体" w:cs="宋体"/>
          <w:b/>
          <w:bCs/>
          <w:color w:val="auto"/>
          <w:sz w:val="28"/>
          <w:szCs w:val="28"/>
        </w:rPr>
        <w:t>业绩情况一览表</w:t>
      </w:r>
    </w:p>
    <w:p w14:paraId="4A55270F">
      <w:pPr>
        <w:pStyle w:val="61"/>
        <w:rPr>
          <w:color w:val="auto"/>
        </w:rPr>
      </w:pPr>
    </w:p>
    <w:bookmarkEnd w:id="149"/>
    <w:bookmarkEnd w:id="150"/>
    <w:bookmarkEnd w:id="151"/>
    <w:bookmarkEnd w:id="152"/>
    <w:bookmarkEnd w:id="153"/>
    <w:bookmarkEnd w:id="154"/>
    <w:tbl>
      <w:tblPr>
        <w:tblStyle w:val="41"/>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40C4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B5A724A">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6ED9F7F7">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680785B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0BCC38A0">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3F27232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44C2521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00AD9351">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62627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5DE151">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18807C4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CD354C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5F8A4F9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755D82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032F04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271C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41BB9D4">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32B1C51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312F194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3DC0E01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AFC1B1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E9E1DA7">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E24C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3A94C96">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4BEF914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57AF23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431C84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E58CA1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FD75F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7EC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5A7D5E">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07BF0D2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A9947F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EAE255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CCE992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DAC80D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E4B6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2487B8F">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7CE8C96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72AA58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9E3DB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6B14DC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2786E5">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19F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2F348843">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18DEEE1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8C67D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38408B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EDBEF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D64F71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23AD9C02">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注：1.投标人应如实列出以上情况，如有隐瞒，一经查实</w:t>
      </w:r>
      <w:r>
        <w:rPr>
          <w:rFonts w:hint="eastAsia" w:ascii="宋体" w:hAnsi="宋体"/>
          <w:color w:val="auto"/>
          <w:sz w:val="24"/>
          <w:szCs w:val="24"/>
          <w:lang w:val="en-US" w:eastAsia="zh-CN"/>
        </w:rPr>
        <w:t>后果自负</w:t>
      </w:r>
      <w:r>
        <w:rPr>
          <w:rFonts w:hint="eastAsia" w:ascii="宋体" w:hAnsi="宋体"/>
          <w:color w:val="auto"/>
          <w:sz w:val="24"/>
          <w:szCs w:val="24"/>
        </w:rPr>
        <w:t>。</w:t>
      </w:r>
    </w:p>
    <w:p w14:paraId="22962CCA">
      <w:pPr>
        <w:tabs>
          <w:tab w:val="left" w:pos="8782"/>
        </w:tabs>
        <w:snapToGrid w:val="0"/>
        <w:spacing w:line="360" w:lineRule="auto"/>
        <w:ind w:firstLine="840" w:firstLineChars="350"/>
        <w:rPr>
          <w:rFonts w:ascii="宋体" w:hAnsi="宋体"/>
          <w:color w:val="auto"/>
          <w:sz w:val="24"/>
          <w:szCs w:val="24"/>
        </w:rPr>
      </w:pPr>
      <w:r>
        <w:rPr>
          <w:rFonts w:hint="eastAsia" w:ascii="宋体" w:hAnsi="宋体"/>
          <w:color w:val="auto"/>
          <w:sz w:val="24"/>
          <w:szCs w:val="24"/>
        </w:rPr>
        <w:t xml:space="preserve">2.投标人应提供双方签订的合同（合同复印件加盖公章附在投标文件中）。 </w:t>
      </w:r>
    </w:p>
    <w:p w14:paraId="1897E539">
      <w:pPr>
        <w:tabs>
          <w:tab w:val="left" w:pos="8782"/>
        </w:tabs>
        <w:snapToGrid w:val="0"/>
        <w:spacing w:line="360" w:lineRule="auto"/>
        <w:ind w:firstLine="840" w:firstLineChars="350"/>
        <w:rPr>
          <w:rFonts w:ascii="宋体" w:hAnsi="宋体"/>
          <w:color w:val="auto"/>
          <w:sz w:val="24"/>
          <w:szCs w:val="24"/>
        </w:rPr>
      </w:pPr>
    </w:p>
    <w:p w14:paraId="2A304458">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0A08A6B0">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7E368C1">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37C8DC32">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55"/>
    <w:p w14:paraId="33855F51">
      <w:pPr>
        <w:pStyle w:val="3"/>
        <w:jc w:val="center"/>
        <w:rPr>
          <w:color w:val="auto"/>
        </w:rPr>
      </w:pPr>
      <w:bookmarkStart w:id="161" w:name="_Toc26541345"/>
      <w:bookmarkStart w:id="162" w:name="_Toc23258634"/>
      <w:bookmarkStart w:id="163" w:name="_Toc1106"/>
      <w:bookmarkStart w:id="164" w:name="_Toc528240840"/>
      <w:r>
        <w:rPr>
          <w:rFonts w:hint="eastAsia"/>
          <w:color w:val="auto"/>
        </w:rPr>
        <w:t>六 、</w:t>
      </w:r>
      <w:r>
        <w:rPr>
          <w:rFonts w:hint="eastAsia"/>
          <w:color w:val="auto"/>
          <w:lang w:val="en-US" w:eastAsia="zh-CN"/>
        </w:rPr>
        <w:t>供应商</w:t>
      </w:r>
      <w:r>
        <w:rPr>
          <w:rFonts w:hint="eastAsia"/>
          <w:color w:val="auto"/>
        </w:rPr>
        <w:t>承诺书</w:t>
      </w:r>
      <w:bookmarkEnd w:id="161"/>
      <w:bookmarkEnd w:id="162"/>
      <w:bookmarkEnd w:id="163"/>
      <w:bookmarkEnd w:id="164"/>
    </w:p>
    <w:p w14:paraId="5952F4B8">
      <w:pPr>
        <w:widowControl/>
        <w:spacing w:line="480" w:lineRule="exact"/>
        <w:jc w:val="center"/>
        <w:rPr>
          <w:rFonts w:ascii="宋体" w:hAnsi="宋体" w:cs="仿宋"/>
          <w:bCs/>
          <w:color w:val="auto"/>
          <w:kern w:val="0"/>
          <w:sz w:val="28"/>
          <w:szCs w:val="32"/>
        </w:rPr>
      </w:pPr>
      <w:r>
        <w:rPr>
          <w:rFonts w:hint="eastAsia" w:ascii="宋体" w:hAnsi="宋体" w:cs="仿宋"/>
          <w:bCs/>
          <w:color w:val="auto"/>
          <w:kern w:val="0"/>
          <w:sz w:val="28"/>
          <w:szCs w:val="32"/>
        </w:rPr>
        <w:t>政府采购供应商拒绝政府采购领域商业贿赂承诺书</w:t>
      </w:r>
    </w:p>
    <w:p w14:paraId="0C642C21">
      <w:pPr>
        <w:widowControl/>
        <w:spacing w:line="240" w:lineRule="exact"/>
        <w:ind w:firstLine="420" w:firstLineChars="200"/>
        <w:jc w:val="left"/>
        <w:rPr>
          <w:rFonts w:ascii="宋体" w:hAnsi="宋体" w:cs="仿宋"/>
          <w:bCs/>
          <w:color w:val="auto"/>
          <w:kern w:val="0"/>
          <w:szCs w:val="21"/>
        </w:rPr>
      </w:pPr>
    </w:p>
    <w:p w14:paraId="0E77A40C">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4776E8E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1.</w:t>
      </w:r>
      <w:r>
        <w:rPr>
          <w:rFonts w:hint="eastAsia" w:ascii="宋体" w:hAnsi="宋体" w:cs="仿宋"/>
          <w:bCs/>
          <w:color w:val="auto"/>
          <w:kern w:val="0"/>
          <w:sz w:val="24"/>
          <w:szCs w:val="28"/>
        </w:rPr>
        <w:t xml:space="preserve">在参与政府采购活动中遵纪守法、诚信经营、公平竞标。 </w:t>
      </w:r>
    </w:p>
    <w:p w14:paraId="54704F5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5DBCF45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6EA3BA1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 xml:space="preserve">不采取“围标、陪标”等商业欺诈手段获得政府采购定单。 </w:t>
      </w:r>
    </w:p>
    <w:p w14:paraId="04CD71F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不采取不正当手段</w:t>
      </w:r>
      <w:r>
        <w:rPr>
          <w:rFonts w:hint="eastAsia" w:ascii="宋体" w:hAnsi="宋体" w:cs="仿宋"/>
          <w:bCs/>
          <w:color w:val="auto"/>
          <w:kern w:val="0"/>
          <w:sz w:val="24"/>
          <w:szCs w:val="28"/>
          <w:lang w:eastAsia="zh-CN"/>
        </w:rPr>
        <w:t>诋毁</w:t>
      </w:r>
      <w:r>
        <w:rPr>
          <w:rFonts w:hint="eastAsia" w:ascii="宋体" w:hAnsi="宋体" w:cs="仿宋"/>
          <w:bCs/>
          <w:color w:val="auto"/>
          <w:kern w:val="0"/>
          <w:sz w:val="24"/>
          <w:szCs w:val="28"/>
        </w:rPr>
        <w:t xml:space="preserve">、排挤其他供应商。 </w:t>
      </w:r>
    </w:p>
    <w:p w14:paraId="5FB7D50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6.不再提供</w:t>
      </w:r>
      <w:r>
        <w:rPr>
          <w:rFonts w:hint="eastAsia" w:ascii="宋体" w:hAnsi="宋体" w:cs="仿宋"/>
          <w:bCs/>
          <w:color w:val="auto"/>
          <w:kern w:val="0"/>
          <w:sz w:val="24"/>
          <w:szCs w:val="28"/>
        </w:rPr>
        <w:t xml:space="preserve">商品和服务时“偷梁换柱、以次充好”损害采购人的合法权益。 </w:t>
      </w:r>
    </w:p>
    <w:p w14:paraId="2A186C6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74A7D4E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7CCE2B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仿宋"/>
          <w:bCs/>
          <w:color w:val="auto"/>
          <w:kern w:val="0"/>
          <w:sz w:val="22"/>
          <w:szCs w:val="24"/>
        </w:rPr>
      </w:pPr>
      <w:r>
        <w:rPr>
          <w:rFonts w:hint="eastAsia" w:ascii="宋体" w:hAnsi="宋体" w:cs="仿宋"/>
          <w:bCs/>
          <w:color w:val="auto"/>
          <w:kern w:val="0"/>
          <w:sz w:val="24"/>
          <w:szCs w:val="28"/>
        </w:rPr>
        <w:t>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0A421E1C">
      <w:pPr>
        <w:widowControl/>
        <w:spacing w:line="440" w:lineRule="exact"/>
        <w:ind w:firstLine="960" w:firstLineChars="400"/>
        <w:rPr>
          <w:rFonts w:ascii="宋体" w:hAnsi="宋体" w:cs="仿宋"/>
          <w:bCs/>
          <w:color w:val="auto"/>
          <w:kern w:val="0"/>
          <w:sz w:val="24"/>
          <w:szCs w:val="28"/>
        </w:rPr>
      </w:pPr>
    </w:p>
    <w:p w14:paraId="632B9E7D">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526DAA7C">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74E90D7D">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29BCBD82">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   </w:t>
      </w:r>
    </w:p>
    <w:p w14:paraId="5D1124DD">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7DAD7EAE">
      <w:pPr>
        <w:widowControl/>
        <w:spacing w:line="340" w:lineRule="exact"/>
        <w:rPr>
          <w:rFonts w:ascii="宋体" w:hAnsi="宋体" w:cs="仿宋"/>
          <w:bCs/>
          <w:color w:val="auto"/>
          <w:kern w:val="0"/>
          <w:sz w:val="24"/>
          <w:szCs w:val="28"/>
        </w:rPr>
      </w:pPr>
    </w:p>
    <w:p w14:paraId="20E6D9B5">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03E6CD0C">
      <w:pPr>
        <w:widowControl/>
        <w:spacing w:line="640" w:lineRule="exact"/>
        <w:jc w:val="center"/>
        <w:rPr>
          <w:rFonts w:ascii="宋体" w:hAnsi="宋体" w:cs="仿宋"/>
          <w:bCs/>
          <w:color w:val="auto"/>
          <w:sz w:val="36"/>
          <w:szCs w:val="40"/>
        </w:rPr>
      </w:pPr>
    </w:p>
    <w:p w14:paraId="1D521127">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17FF188C">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75F54DB8">
      <w:pPr>
        <w:widowControl/>
        <w:shd w:val="clear" w:color="auto" w:fill="FFFFFF"/>
        <w:spacing w:before="100" w:beforeAutospacing="1" w:after="100" w:afterAutospacing="1" w:line="400" w:lineRule="exact"/>
        <w:jc w:val="center"/>
        <w:rPr>
          <w:rFonts w:ascii="宋体" w:hAnsi="宋体" w:cs="仿宋"/>
          <w:bCs/>
          <w:color w:val="auto"/>
          <w:kern w:val="0"/>
          <w:sz w:val="28"/>
          <w:szCs w:val="28"/>
        </w:rPr>
      </w:pPr>
      <w:r>
        <w:rPr>
          <w:rFonts w:hint="eastAsia" w:ascii="宋体" w:hAnsi="宋体" w:cs="仿宋"/>
          <w:bCs/>
          <w:color w:val="auto"/>
          <w:kern w:val="0"/>
          <w:sz w:val="28"/>
          <w:szCs w:val="28"/>
        </w:rPr>
        <w:t>承诺书Ⅱ</w:t>
      </w:r>
    </w:p>
    <w:p w14:paraId="53C88D72">
      <w:pPr>
        <w:widowControl/>
        <w:spacing w:line="440" w:lineRule="exact"/>
        <w:rPr>
          <w:rFonts w:ascii="宋体" w:hAnsi="宋体"/>
          <w:color w:val="auto"/>
          <w:sz w:val="24"/>
          <w:szCs w:val="28"/>
        </w:rPr>
      </w:pPr>
      <w:r>
        <w:rPr>
          <w:rFonts w:hint="eastAsia" w:ascii="宋体" w:hAnsi="宋体"/>
          <w:color w:val="auto"/>
          <w:sz w:val="24"/>
          <w:szCs w:val="28"/>
        </w:rPr>
        <w:t>致：安康尚昊招标代理有限公司</w:t>
      </w:r>
    </w:p>
    <w:p w14:paraId="1F6BA59B">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17D5F3C1">
      <w:pPr>
        <w:widowControl/>
        <w:spacing w:line="440" w:lineRule="exact"/>
        <w:ind w:firstLine="472" w:firstLineChars="197"/>
        <w:rPr>
          <w:rFonts w:ascii="宋体" w:hAnsi="宋体"/>
          <w:color w:val="auto"/>
          <w:sz w:val="24"/>
          <w:szCs w:val="28"/>
        </w:rPr>
      </w:pPr>
      <w:r>
        <w:rPr>
          <w:rFonts w:hint="eastAsia" w:ascii="宋体" w:hAnsi="宋体"/>
          <w:color w:val="auto"/>
          <w:sz w:val="24"/>
          <w:szCs w:val="28"/>
          <w:lang w:eastAsia="zh-CN"/>
        </w:rPr>
        <w:t>1.</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5791FB5C">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尊重参与政府采购活动各相关方的合法行为，接受政府采购活动依法形成的意见、结果。</w:t>
      </w:r>
    </w:p>
    <w:p w14:paraId="724EB75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1407D9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28D38C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25B8F078">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6.</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0E032B00">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7A00523">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55A88E91">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1CB39B8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w:t>
      </w:r>
      <w:r>
        <w:rPr>
          <w:rFonts w:hint="eastAsia" w:ascii="宋体" w:hAnsi="宋体" w:cs="仿宋"/>
          <w:bCs/>
          <w:color w:val="auto"/>
          <w:kern w:val="0"/>
          <w:sz w:val="24"/>
          <w:szCs w:val="28"/>
          <w:lang w:eastAsia="zh-CN"/>
        </w:rPr>
        <w:t>投标文件</w:t>
      </w:r>
      <w:r>
        <w:rPr>
          <w:rFonts w:hint="eastAsia" w:ascii="宋体" w:hAnsi="宋体" w:cs="仿宋"/>
          <w:bCs/>
          <w:color w:val="auto"/>
          <w:kern w:val="0"/>
          <w:sz w:val="24"/>
          <w:szCs w:val="28"/>
        </w:rPr>
        <w:t>的组成部分。</w:t>
      </w:r>
    </w:p>
    <w:p w14:paraId="16ED39B4">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59840F17">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43C16270">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5E049C6D">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09B74FA7">
      <w:pPr>
        <w:keepNext/>
        <w:keepLines/>
        <w:adjustRightInd w:val="0"/>
        <w:spacing w:line="416" w:lineRule="atLeast"/>
        <w:jc w:val="center"/>
        <w:textAlignment w:val="baseline"/>
        <w:outlineLvl w:val="1"/>
        <w:rPr>
          <w:rFonts w:ascii="宋体" w:hAnsi="宋体" w:cs="宋体"/>
          <w:b/>
          <w:bCs/>
          <w:color w:val="auto"/>
          <w:sz w:val="28"/>
          <w:szCs w:val="28"/>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65" w:name="_Toc536429396"/>
      <w:bookmarkStart w:id="166" w:name="_Toc25514"/>
      <w:bookmarkStart w:id="167" w:name="_Toc536202403"/>
      <w:bookmarkStart w:id="168" w:name="_Toc536202334"/>
      <w:bookmarkStart w:id="169" w:name="_Toc536429343"/>
    </w:p>
    <w:p w14:paraId="611A97C2">
      <w:pPr>
        <w:pStyle w:val="28"/>
        <w:rPr>
          <w:color w:val="auto"/>
        </w:rPr>
      </w:pPr>
    </w:p>
    <w:p w14:paraId="542273EE">
      <w:pPr>
        <w:pStyle w:val="28"/>
        <w:rPr>
          <w:color w:val="auto"/>
        </w:rPr>
      </w:pPr>
    </w:p>
    <w:p w14:paraId="74F006C4">
      <w:pPr>
        <w:pStyle w:val="28"/>
        <w:rPr>
          <w:color w:val="auto"/>
        </w:rPr>
      </w:pPr>
    </w:p>
    <w:p w14:paraId="4DF9B098">
      <w:pPr>
        <w:pStyle w:val="28"/>
        <w:rPr>
          <w:color w:val="auto"/>
        </w:rPr>
      </w:pPr>
    </w:p>
    <w:p w14:paraId="1CBB91BD">
      <w:pPr>
        <w:pStyle w:val="28"/>
        <w:rPr>
          <w:color w:val="auto"/>
        </w:rPr>
      </w:pPr>
    </w:p>
    <w:p w14:paraId="22683548">
      <w:pPr>
        <w:pStyle w:val="28"/>
        <w:rPr>
          <w:color w:val="auto"/>
        </w:rPr>
      </w:pPr>
    </w:p>
    <w:p w14:paraId="6B4AFA14">
      <w:pPr>
        <w:pStyle w:val="28"/>
        <w:rPr>
          <w:color w:val="auto"/>
        </w:rPr>
      </w:pPr>
    </w:p>
    <w:p w14:paraId="5D43D766">
      <w:pPr>
        <w:pStyle w:val="28"/>
        <w:rPr>
          <w:color w:val="auto"/>
        </w:rPr>
      </w:pPr>
    </w:p>
    <w:p w14:paraId="741F423D">
      <w:pPr>
        <w:pStyle w:val="28"/>
        <w:rPr>
          <w:color w:val="auto"/>
        </w:rPr>
      </w:pPr>
    </w:p>
    <w:p w14:paraId="39BC5E9B">
      <w:pPr>
        <w:pStyle w:val="28"/>
        <w:rPr>
          <w:color w:val="auto"/>
        </w:rPr>
      </w:pPr>
    </w:p>
    <w:p w14:paraId="38047989">
      <w:pPr>
        <w:pStyle w:val="28"/>
        <w:rPr>
          <w:color w:val="auto"/>
        </w:rPr>
      </w:pPr>
    </w:p>
    <w:p w14:paraId="3795806D">
      <w:pPr>
        <w:pStyle w:val="28"/>
        <w:rPr>
          <w:color w:val="auto"/>
        </w:rPr>
      </w:pPr>
    </w:p>
    <w:p w14:paraId="1E760598">
      <w:pPr>
        <w:pStyle w:val="28"/>
        <w:rPr>
          <w:color w:val="auto"/>
        </w:rPr>
      </w:pPr>
    </w:p>
    <w:p w14:paraId="68080009">
      <w:pPr>
        <w:pStyle w:val="28"/>
        <w:rPr>
          <w:color w:val="auto"/>
        </w:rPr>
      </w:pPr>
    </w:p>
    <w:p w14:paraId="47BDBBBD">
      <w:pPr>
        <w:pStyle w:val="28"/>
        <w:rPr>
          <w:color w:val="auto"/>
        </w:rPr>
      </w:pPr>
    </w:p>
    <w:p w14:paraId="0187A111">
      <w:pPr>
        <w:pStyle w:val="28"/>
        <w:rPr>
          <w:color w:val="auto"/>
        </w:rPr>
      </w:pPr>
    </w:p>
    <w:p w14:paraId="2712FCFD">
      <w:pPr>
        <w:pStyle w:val="28"/>
        <w:rPr>
          <w:color w:val="auto"/>
        </w:rPr>
      </w:pPr>
    </w:p>
    <w:p w14:paraId="0A68ECDB">
      <w:pPr>
        <w:pStyle w:val="28"/>
        <w:rPr>
          <w:color w:val="auto"/>
        </w:rPr>
      </w:pPr>
    </w:p>
    <w:p w14:paraId="71A69658">
      <w:pPr>
        <w:pStyle w:val="28"/>
        <w:rPr>
          <w:color w:val="auto"/>
        </w:rPr>
      </w:pPr>
    </w:p>
    <w:p w14:paraId="5B2E2820">
      <w:pPr>
        <w:pStyle w:val="28"/>
        <w:rPr>
          <w:color w:val="auto"/>
        </w:rPr>
      </w:pPr>
    </w:p>
    <w:p w14:paraId="6C41F620">
      <w:pPr>
        <w:pStyle w:val="28"/>
        <w:rPr>
          <w:color w:val="auto"/>
        </w:rPr>
      </w:pPr>
    </w:p>
    <w:p w14:paraId="20074918">
      <w:pPr>
        <w:pStyle w:val="28"/>
        <w:rPr>
          <w:color w:val="auto"/>
        </w:rPr>
      </w:pPr>
    </w:p>
    <w:p w14:paraId="23ED4556">
      <w:pPr>
        <w:pStyle w:val="28"/>
        <w:rPr>
          <w:color w:val="auto"/>
        </w:rPr>
      </w:pPr>
    </w:p>
    <w:p w14:paraId="5390BC5F">
      <w:pPr>
        <w:pStyle w:val="28"/>
        <w:rPr>
          <w:color w:val="auto"/>
        </w:rPr>
      </w:pPr>
    </w:p>
    <w:p w14:paraId="77226D56">
      <w:pPr>
        <w:pStyle w:val="28"/>
        <w:rPr>
          <w:color w:val="auto"/>
        </w:rPr>
      </w:pPr>
    </w:p>
    <w:p w14:paraId="4BCA1A40">
      <w:pPr>
        <w:pStyle w:val="28"/>
        <w:rPr>
          <w:color w:val="auto"/>
        </w:rPr>
      </w:pPr>
    </w:p>
    <w:p w14:paraId="79A584EF">
      <w:pPr>
        <w:pStyle w:val="28"/>
        <w:rPr>
          <w:color w:val="auto"/>
        </w:rPr>
      </w:pPr>
    </w:p>
    <w:p w14:paraId="3AF0906E">
      <w:pPr>
        <w:pStyle w:val="28"/>
        <w:rPr>
          <w:color w:val="auto"/>
        </w:rPr>
      </w:pPr>
    </w:p>
    <w:p w14:paraId="71562484">
      <w:pPr>
        <w:pStyle w:val="28"/>
        <w:rPr>
          <w:color w:val="auto"/>
        </w:rPr>
      </w:pPr>
    </w:p>
    <w:p w14:paraId="7A46511F">
      <w:pPr>
        <w:pStyle w:val="28"/>
        <w:rPr>
          <w:color w:val="auto"/>
        </w:rPr>
      </w:pPr>
    </w:p>
    <w:p w14:paraId="63D917EE">
      <w:pPr>
        <w:pStyle w:val="28"/>
        <w:rPr>
          <w:color w:val="auto"/>
        </w:rPr>
      </w:pPr>
    </w:p>
    <w:p w14:paraId="5AE6A872">
      <w:pPr>
        <w:pStyle w:val="28"/>
        <w:rPr>
          <w:color w:val="auto"/>
        </w:rPr>
      </w:pPr>
    </w:p>
    <w:p w14:paraId="47531572">
      <w:pPr>
        <w:pStyle w:val="28"/>
        <w:rPr>
          <w:color w:val="auto"/>
        </w:rPr>
      </w:pPr>
    </w:p>
    <w:p w14:paraId="3447B0D9">
      <w:pPr>
        <w:pStyle w:val="28"/>
        <w:rPr>
          <w:color w:val="auto"/>
        </w:rPr>
      </w:pPr>
    </w:p>
    <w:p w14:paraId="07F2C557">
      <w:pPr>
        <w:pStyle w:val="28"/>
        <w:rPr>
          <w:color w:val="auto"/>
        </w:rPr>
      </w:pPr>
    </w:p>
    <w:p w14:paraId="063CA053">
      <w:pPr>
        <w:pStyle w:val="28"/>
        <w:rPr>
          <w:color w:val="auto"/>
        </w:rPr>
      </w:pPr>
    </w:p>
    <w:p w14:paraId="68000557">
      <w:pPr>
        <w:pStyle w:val="28"/>
        <w:rPr>
          <w:color w:val="auto"/>
        </w:rPr>
      </w:pPr>
    </w:p>
    <w:p w14:paraId="39024381">
      <w:pPr>
        <w:pStyle w:val="28"/>
        <w:rPr>
          <w:color w:val="auto"/>
        </w:rPr>
      </w:pPr>
    </w:p>
    <w:p w14:paraId="304ADE7A">
      <w:pPr>
        <w:pStyle w:val="28"/>
        <w:rPr>
          <w:color w:val="auto"/>
        </w:rPr>
      </w:pPr>
    </w:p>
    <w:p w14:paraId="6C744D33">
      <w:pPr>
        <w:pStyle w:val="28"/>
        <w:rPr>
          <w:color w:val="auto"/>
        </w:rPr>
      </w:pPr>
    </w:p>
    <w:p w14:paraId="3EECB5B9">
      <w:pPr>
        <w:pStyle w:val="28"/>
        <w:rPr>
          <w:color w:val="auto"/>
        </w:rPr>
      </w:pPr>
    </w:p>
    <w:p w14:paraId="196F8226">
      <w:pPr>
        <w:pStyle w:val="28"/>
        <w:rPr>
          <w:color w:val="auto"/>
        </w:rPr>
      </w:pPr>
    </w:p>
    <w:p w14:paraId="48EDFD0C">
      <w:pPr>
        <w:pStyle w:val="28"/>
        <w:rPr>
          <w:color w:val="auto"/>
        </w:rPr>
      </w:pPr>
    </w:p>
    <w:p w14:paraId="5AB9035E">
      <w:pPr>
        <w:pStyle w:val="28"/>
        <w:rPr>
          <w:color w:val="auto"/>
        </w:rPr>
      </w:pPr>
    </w:p>
    <w:p w14:paraId="325F6F4D">
      <w:pPr>
        <w:spacing w:line="440" w:lineRule="exact"/>
        <w:rPr>
          <w:color w:val="auto"/>
          <w:sz w:val="32"/>
          <w:szCs w:val="32"/>
        </w:rPr>
      </w:pPr>
      <w:r>
        <w:rPr>
          <w:rFonts w:hint="eastAsia"/>
          <w:color w:val="auto"/>
          <w:sz w:val="32"/>
          <w:szCs w:val="32"/>
        </w:rPr>
        <w:t xml:space="preserve">安康尚昊招标代理有限公司 </w:t>
      </w:r>
      <w:r>
        <w:rPr>
          <w:rFonts w:ascii="宋体" w:hAnsi="宋体"/>
          <w:b/>
          <w:color w:val="auto"/>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color w:val="auto"/>
          <w:sz w:val="32"/>
          <w:szCs w:val="32"/>
        </w:rPr>
        <w:t xml:space="preserve"> </w:t>
      </w:r>
    </w:p>
    <w:p w14:paraId="23679C34">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4909BEB9">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354756512"/>
        </w:rPr>
        <w:t xml:space="preserve">地    </w:t>
      </w:r>
      <w:r>
        <w:rPr>
          <w:rFonts w:hint="eastAsia" w:hAnsi="宋体"/>
          <w:color w:val="auto"/>
          <w:spacing w:val="0"/>
          <w:kern w:val="0"/>
          <w:sz w:val="24"/>
          <w:szCs w:val="24"/>
          <w:fitText w:val="1050" w:id="354756512"/>
        </w:rPr>
        <w:t>址</w:t>
      </w:r>
      <w:r>
        <w:rPr>
          <w:rFonts w:hint="eastAsia" w:hAnsi="宋体"/>
          <w:color w:val="auto"/>
          <w:spacing w:val="-6"/>
          <w:sz w:val="24"/>
          <w:szCs w:val="24"/>
        </w:rPr>
        <w:t>：</w:t>
      </w:r>
      <w:r>
        <w:rPr>
          <w:rFonts w:hint="eastAsia" w:hAnsi="宋体"/>
          <w:color w:val="auto"/>
          <w:spacing w:val="-6"/>
          <w:sz w:val="24"/>
          <w:szCs w:val="24"/>
          <w:lang w:eastAsia="zh-CN"/>
        </w:rPr>
        <w:t>安康市高新区高新观澜8栋二单元801室</w:t>
      </w:r>
    </w:p>
    <w:p w14:paraId="3B99841F">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33C71822">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w:t>
      </w:r>
      <w:r>
        <w:rPr>
          <w:rFonts w:hint="eastAsia" w:hAnsi="宋体"/>
          <w:color w:val="auto"/>
          <w:sz w:val="24"/>
          <w:szCs w:val="24"/>
          <w:lang w:eastAsia="zh-CN"/>
        </w:rPr>
        <w:t>13991519725</w:t>
      </w:r>
    </w:p>
    <w:p w14:paraId="0062889A">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50F5B6C5">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1E085404">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2AE2108D">
      <w:pPr>
        <w:rPr>
          <w:rFonts w:hAnsi="宋体"/>
          <w:b/>
          <w:color w:val="auto"/>
          <w:sz w:val="32"/>
          <w:szCs w:val="32"/>
        </w:rPr>
      </w:pPr>
    </w:p>
    <w:bookmarkEnd w:id="165"/>
    <w:bookmarkEnd w:id="166"/>
    <w:bookmarkEnd w:id="167"/>
    <w:bookmarkEnd w:id="168"/>
    <w:bookmarkEnd w:id="169"/>
    <w:p w14:paraId="07EA4DA6">
      <w:pPr>
        <w:widowControl/>
        <w:jc w:val="left"/>
        <w:rPr>
          <w:rFonts w:ascii="宋体" w:hAnsi="宋体" w:cs="宋体"/>
          <w:b/>
          <w:color w:val="auto"/>
          <w:spacing w:val="6"/>
          <w:sz w:val="24"/>
          <w:szCs w:val="24"/>
        </w:rPr>
      </w:pPr>
    </w:p>
    <w:p w14:paraId="320D4F85">
      <w:pPr>
        <w:widowControl/>
        <w:jc w:val="left"/>
        <w:rPr>
          <w:rFonts w:ascii="宋体" w:hAnsi="宋体" w:cs="宋体"/>
          <w:b/>
          <w:color w:val="auto"/>
          <w:spacing w:val="6"/>
          <w:sz w:val="24"/>
          <w:szCs w:val="24"/>
        </w:rPr>
      </w:pPr>
    </w:p>
    <w:sectPr>
      <w:footerReference r:id="rId16"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decorative"/>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decorative"/>
    <w:pitch w:val="default"/>
    <w:sig w:usb0="00000283" w:usb1="288F0000" w:usb2="00000006" w:usb3="00000000" w:csb0="00040001" w:csb1="00000000"/>
  </w:font>
  <w:font w:name="TimesNewRomanPSMT">
    <w:altName w:val="Times New Roman"/>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F8C">
    <w:pPr>
      <w:pStyle w:val="28"/>
      <w:jc w:val="center"/>
    </w:pPr>
    <w:sdt>
      <w:sdtPr>
        <w:id w:val="-1667619469"/>
        <w:showingPlcHdr/>
      </w:sdtPr>
      <w:sdtContent>
        <w:r>
          <w:t xml:space="preserve">     </w:t>
        </w:r>
      </w:sdtContent>
    </w:sdt>
  </w:p>
  <w:p w14:paraId="4581D77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111A">
    <w:pPr>
      <w:pStyle w:val="28"/>
    </w:pPr>
  </w:p>
  <w:p w14:paraId="17C0146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BE04">
    <w:pPr>
      <w:pStyle w:val="28"/>
      <w:jc w:val="center"/>
    </w:pPr>
    <w:r>
      <w:rPr>
        <w:rFonts w:hint="eastAsia"/>
        <w:lang w:val="en-US" w:eastAsia="zh-CN"/>
      </w:rPr>
      <w:t xml:space="preserve"> </w:t>
    </w:r>
    <w:sdt>
      <w:sdtPr>
        <w:id w:val="-353192850"/>
      </w:sdtPr>
      <w:sdtContent>
        <w:r>
          <w:t xml:space="preserve">   </w:t>
        </w:r>
      </w:sdtContent>
    </w:sdt>
  </w:p>
  <w:p w14:paraId="1ABC6067">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652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C302">
    <w:pPr>
      <w:pStyle w:val="28"/>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6F1C">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C16F1C">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72</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6385">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E1EB3">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3E1EB3">
                    <w:pPr>
                      <w:pStyle w:val="2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D23F">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4FEA">
                          <w:pPr>
                            <w:pStyle w:val="28"/>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72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4D4FEA">
                    <w:pPr>
                      <w:pStyle w:val="28"/>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72</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0874">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F975">
                          <w:pPr>
                            <w:pStyle w:val="2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72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EF975">
                    <w:pPr>
                      <w:pStyle w:val="2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72</w:t>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6BC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33B7">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56AD">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4E09">
    <w:pPr>
      <w:pStyle w:val="29"/>
      <w:jc w:val="both"/>
    </w:pPr>
    <w:r>
      <w:rPr>
        <w:rFonts w:hint="eastAsia"/>
      </w:rPr>
      <w:t>项目名称：</w:t>
    </w:r>
    <w:r>
      <w:rPr>
        <w:rFonts w:hint="eastAsia"/>
        <w:lang w:eastAsia="zh-CN"/>
      </w:rPr>
      <w:t>安康市大气污染防治执法装备标准化项目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AKSH2025-ZGK-088</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4CEA">
    <w:pPr>
      <w:pStyle w:val="29"/>
      <w:jc w:val="both"/>
    </w:pPr>
    <w:r>
      <w:rPr>
        <w:rFonts w:hint="eastAsia"/>
      </w:rPr>
      <w:t>项目名称：</w:t>
    </w:r>
    <w:r>
      <w:rPr>
        <w:rFonts w:hint="eastAsia"/>
        <w:lang w:eastAsia="zh-CN"/>
      </w:rPr>
      <w:t>安康市大气污染防治执法装备标准化项目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AKSH2025-ZGK-088</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8A71">
    <w:pPr>
      <w:pStyle w:val="29"/>
      <w:jc w:val="left"/>
      <w:rPr>
        <w:rFonts w:hint="eastAsia" w:eastAsia="宋体"/>
        <w:lang w:eastAsia="zh-CN"/>
      </w:rPr>
    </w:pPr>
    <w:r>
      <w:rPr>
        <w:rFonts w:hint="eastAsia"/>
      </w:rPr>
      <w:t>项目名称：</w:t>
    </w:r>
    <w:r>
      <w:rPr>
        <w:rFonts w:hint="eastAsia"/>
        <w:lang w:eastAsia="zh-CN"/>
      </w:rPr>
      <w:t>安康市大气污染防治执法装备标准化项目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AKSH2025-ZGK-088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54"/>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B2FFFD71"/>
    <w:multiLevelType w:val="singleLevel"/>
    <w:tmpl w:val="B2FFFD71"/>
    <w:lvl w:ilvl="0" w:tentative="0">
      <w:start w:val="1"/>
      <w:numFmt w:val="decimal"/>
      <w:suff w:val="space"/>
      <w:lvlText w:val="%1."/>
      <w:lvlJc w:val="left"/>
    </w:lvl>
  </w:abstractNum>
  <w:abstractNum w:abstractNumId="2">
    <w:nsid w:val="BC438CF2"/>
    <w:multiLevelType w:val="singleLevel"/>
    <w:tmpl w:val="BC438CF2"/>
    <w:lvl w:ilvl="0" w:tentative="0">
      <w:start w:val="1"/>
      <w:numFmt w:val="decimal"/>
      <w:lvlText w:val="%1."/>
      <w:lvlJc w:val="left"/>
      <w:pPr>
        <w:tabs>
          <w:tab w:val="left" w:pos="312"/>
        </w:tabs>
      </w:pPr>
    </w:lvl>
  </w:abstractNum>
  <w:abstractNum w:abstractNumId="3">
    <w:nsid w:val="CBDF4BAE"/>
    <w:multiLevelType w:val="singleLevel"/>
    <w:tmpl w:val="CBDF4BAE"/>
    <w:lvl w:ilvl="0" w:tentative="0">
      <w:start w:val="1"/>
      <w:numFmt w:val="decimal"/>
      <w:lvlText w:val="%1"/>
      <w:lvlJc w:val="left"/>
      <w:pPr>
        <w:tabs>
          <w:tab w:val="left" w:pos="420"/>
        </w:tabs>
        <w:ind w:left="425" w:leftChars="0" w:hanging="425" w:firstLineChars="0"/>
      </w:pPr>
      <w:rPr>
        <w:rFonts w:hint="default"/>
      </w:rPr>
    </w:lvl>
  </w:abstractNum>
  <w:abstractNum w:abstractNumId="4">
    <w:nsid w:val="E64C7FC1"/>
    <w:multiLevelType w:val="singleLevel"/>
    <w:tmpl w:val="E64C7FC1"/>
    <w:lvl w:ilvl="0" w:tentative="0">
      <w:start w:val="1"/>
      <w:numFmt w:val="chineseCounting"/>
      <w:suff w:val="nothing"/>
      <w:lvlText w:val="%1、"/>
      <w:lvlJc w:val="left"/>
      <w:rPr>
        <w:rFonts w:hint="eastAsia"/>
      </w:rPr>
    </w:lvl>
  </w:abstractNum>
  <w:abstractNum w:abstractNumId="5">
    <w:nsid w:val="2910B4B6"/>
    <w:multiLevelType w:val="singleLevel"/>
    <w:tmpl w:val="2910B4B6"/>
    <w:lvl w:ilvl="0" w:tentative="0">
      <w:start w:val="4"/>
      <w:numFmt w:val="chineseCounting"/>
      <w:suff w:val="space"/>
      <w:lvlText w:val="第%1章"/>
      <w:lvlJc w:val="left"/>
      <w:rPr>
        <w:rFonts w:hint="eastAsia"/>
      </w:rPr>
    </w:lvl>
  </w:abstractNum>
  <w:abstractNum w:abstractNumId="6">
    <w:nsid w:val="6BBA9BF2"/>
    <w:multiLevelType w:val="singleLevel"/>
    <w:tmpl w:val="6BBA9BF2"/>
    <w:lvl w:ilvl="0" w:tentative="0">
      <w:start w:val="2"/>
      <w:numFmt w:val="chineseCounting"/>
      <w:suff w:val="nothing"/>
      <w:lvlText w:val="%1、"/>
      <w:lvlJc w:val="left"/>
      <w:rPr>
        <w:rFonts w:hint="eastAsia"/>
      </w:rPr>
    </w:lvl>
  </w:abstractNum>
  <w:abstractNum w:abstractNumId="7">
    <w:nsid w:val="73E8FBA8"/>
    <w:multiLevelType w:val="singleLevel"/>
    <w:tmpl w:val="73E8FBA8"/>
    <w:lvl w:ilvl="0" w:tentative="0">
      <w:start w:val="1"/>
      <w:numFmt w:val="decimal"/>
      <w:suff w:val="nothing"/>
      <w:lvlText w:val="（%1）"/>
      <w:lvlJc w:val="left"/>
    </w:lvl>
  </w:abstractNum>
  <w:abstractNum w:abstractNumId="8">
    <w:nsid w:val="776A65AA"/>
    <w:multiLevelType w:val="multilevel"/>
    <w:tmpl w:val="776A65AA"/>
    <w:lvl w:ilvl="0" w:tentative="0">
      <w:start w:val="1"/>
      <w:numFmt w:val="bullet"/>
      <w:pStyle w:val="11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0"/>
  </w:num>
  <w:num w:numId="3">
    <w:abstractNumId w:val="7"/>
  </w:num>
  <w:num w:numId="4">
    <w:abstractNumId w:val="3"/>
  </w:num>
  <w:num w:numId="5">
    <w:abstractNumId w:val="2"/>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hideSpellingErrors/>
  <w:documentProtection w:edit="forms" w:enforcement="1" w:cryptProviderType="rsaFull" w:cryptAlgorithmClass="hash" w:cryptAlgorithmType="typeAny" w:cryptAlgorithmSid="4" w:cryptSpinCount="0" w:hash="t6R3DKbtzjmOE8AGkViR98fdgoI=" w:salt="cX/APxdgSYY7AQtSsPP8jQ=="/>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44B"/>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078"/>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05A1C"/>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B18"/>
    <w:rsid w:val="00B40CAF"/>
    <w:rsid w:val="00B42102"/>
    <w:rsid w:val="00B42871"/>
    <w:rsid w:val="00B4296A"/>
    <w:rsid w:val="00B4479A"/>
    <w:rsid w:val="00B47B8D"/>
    <w:rsid w:val="00B502CE"/>
    <w:rsid w:val="00B5185B"/>
    <w:rsid w:val="00B52197"/>
    <w:rsid w:val="00B53269"/>
    <w:rsid w:val="00B538D8"/>
    <w:rsid w:val="00B53A04"/>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056A"/>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04CD"/>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17F69"/>
    <w:rsid w:val="013C3C36"/>
    <w:rsid w:val="01527EDF"/>
    <w:rsid w:val="0194674A"/>
    <w:rsid w:val="01964270"/>
    <w:rsid w:val="019E3FAB"/>
    <w:rsid w:val="01BB4817"/>
    <w:rsid w:val="01C4676A"/>
    <w:rsid w:val="01CA73E2"/>
    <w:rsid w:val="01CC026F"/>
    <w:rsid w:val="01E7508C"/>
    <w:rsid w:val="01F62E28"/>
    <w:rsid w:val="020016E9"/>
    <w:rsid w:val="021533E7"/>
    <w:rsid w:val="021B5783"/>
    <w:rsid w:val="02447828"/>
    <w:rsid w:val="026711A0"/>
    <w:rsid w:val="026D327B"/>
    <w:rsid w:val="02727A5F"/>
    <w:rsid w:val="029562D6"/>
    <w:rsid w:val="02B705C5"/>
    <w:rsid w:val="02C70E02"/>
    <w:rsid w:val="02D70B22"/>
    <w:rsid w:val="02DA3B5D"/>
    <w:rsid w:val="02DA4630"/>
    <w:rsid w:val="02FE3E7B"/>
    <w:rsid w:val="03010138"/>
    <w:rsid w:val="03044FC9"/>
    <w:rsid w:val="03086EB0"/>
    <w:rsid w:val="03500C6E"/>
    <w:rsid w:val="03817ACA"/>
    <w:rsid w:val="03884AFD"/>
    <w:rsid w:val="03887BE8"/>
    <w:rsid w:val="0392549E"/>
    <w:rsid w:val="03AD3BAD"/>
    <w:rsid w:val="03D72A11"/>
    <w:rsid w:val="03E94B2B"/>
    <w:rsid w:val="04111893"/>
    <w:rsid w:val="041E7CD6"/>
    <w:rsid w:val="04386613"/>
    <w:rsid w:val="0442138C"/>
    <w:rsid w:val="04461C11"/>
    <w:rsid w:val="04650547"/>
    <w:rsid w:val="047D553E"/>
    <w:rsid w:val="049802FF"/>
    <w:rsid w:val="04E039DF"/>
    <w:rsid w:val="04E62E18"/>
    <w:rsid w:val="04F810FA"/>
    <w:rsid w:val="05040900"/>
    <w:rsid w:val="050D65F7"/>
    <w:rsid w:val="051577B1"/>
    <w:rsid w:val="051756C8"/>
    <w:rsid w:val="052B676F"/>
    <w:rsid w:val="0530634F"/>
    <w:rsid w:val="05311296"/>
    <w:rsid w:val="05726DA2"/>
    <w:rsid w:val="05852631"/>
    <w:rsid w:val="05AA2098"/>
    <w:rsid w:val="05AD1B89"/>
    <w:rsid w:val="05C9596A"/>
    <w:rsid w:val="063B237E"/>
    <w:rsid w:val="0644188F"/>
    <w:rsid w:val="06547385"/>
    <w:rsid w:val="068B1073"/>
    <w:rsid w:val="06BA5D1F"/>
    <w:rsid w:val="06CA709C"/>
    <w:rsid w:val="06E31EE5"/>
    <w:rsid w:val="06E37055"/>
    <w:rsid w:val="070B4DB8"/>
    <w:rsid w:val="07133B0D"/>
    <w:rsid w:val="07195727"/>
    <w:rsid w:val="072440CC"/>
    <w:rsid w:val="07664B72"/>
    <w:rsid w:val="07726BE5"/>
    <w:rsid w:val="077F333A"/>
    <w:rsid w:val="078037FC"/>
    <w:rsid w:val="078A2687"/>
    <w:rsid w:val="07D009B9"/>
    <w:rsid w:val="07D71B1F"/>
    <w:rsid w:val="07FE2B6F"/>
    <w:rsid w:val="08137E2A"/>
    <w:rsid w:val="08380F53"/>
    <w:rsid w:val="083D65AA"/>
    <w:rsid w:val="0848051E"/>
    <w:rsid w:val="084B19DB"/>
    <w:rsid w:val="08AC25CB"/>
    <w:rsid w:val="08BC4407"/>
    <w:rsid w:val="08EC556F"/>
    <w:rsid w:val="09023BBB"/>
    <w:rsid w:val="098E0E75"/>
    <w:rsid w:val="098E70F8"/>
    <w:rsid w:val="09A07C31"/>
    <w:rsid w:val="09C274CE"/>
    <w:rsid w:val="0A24499B"/>
    <w:rsid w:val="0A314B36"/>
    <w:rsid w:val="0A660436"/>
    <w:rsid w:val="0A6C46DD"/>
    <w:rsid w:val="0A77078C"/>
    <w:rsid w:val="0A79028B"/>
    <w:rsid w:val="0A900EBB"/>
    <w:rsid w:val="0AB5428E"/>
    <w:rsid w:val="0AC84057"/>
    <w:rsid w:val="0B043FF8"/>
    <w:rsid w:val="0B2508ED"/>
    <w:rsid w:val="0B2E5519"/>
    <w:rsid w:val="0B301440"/>
    <w:rsid w:val="0B574A70"/>
    <w:rsid w:val="0B616545"/>
    <w:rsid w:val="0B7A0DC2"/>
    <w:rsid w:val="0BC10625"/>
    <w:rsid w:val="0BCB4B16"/>
    <w:rsid w:val="0BE0516D"/>
    <w:rsid w:val="0BF73C9B"/>
    <w:rsid w:val="0C021ADF"/>
    <w:rsid w:val="0C42226D"/>
    <w:rsid w:val="0C9D2956"/>
    <w:rsid w:val="0CC667D9"/>
    <w:rsid w:val="0D07725B"/>
    <w:rsid w:val="0D366907"/>
    <w:rsid w:val="0D4C1913"/>
    <w:rsid w:val="0D576FA9"/>
    <w:rsid w:val="0D67772E"/>
    <w:rsid w:val="0D7876C3"/>
    <w:rsid w:val="0D8D2129"/>
    <w:rsid w:val="0DD13CE0"/>
    <w:rsid w:val="0DD438C0"/>
    <w:rsid w:val="0E2F0704"/>
    <w:rsid w:val="0EB16BA4"/>
    <w:rsid w:val="0F0E2EB6"/>
    <w:rsid w:val="0F0F31C4"/>
    <w:rsid w:val="0F2033CB"/>
    <w:rsid w:val="0F2413E1"/>
    <w:rsid w:val="0F3A1831"/>
    <w:rsid w:val="0F5D461F"/>
    <w:rsid w:val="0F616053"/>
    <w:rsid w:val="0F7E0A58"/>
    <w:rsid w:val="0F8A67D7"/>
    <w:rsid w:val="0F8B4CE8"/>
    <w:rsid w:val="0F973E29"/>
    <w:rsid w:val="0F9A61F8"/>
    <w:rsid w:val="0FEE11A8"/>
    <w:rsid w:val="0FEE34C9"/>
    <w:rsid w:val="0FF3288D"/>
    <w:rsid w:val="101271B8"/>
    <w:rsid w:val="101D0862"/>
    <w:rsid w:val="1020063C"/>
    <w:rsid w:val="102F7D69"/>
    <w:rsid w:val="103F5AD3"/>
    <w:rsid w:val="10441B98"/>
    <w:rsid w:val="10464F13"/>
    <w:rsid w:val="10484987"/>
    <w:rsid w:val="10563548"/>
    <w:rsid w:val="1062712E"/>
    <w:rsid w:val="10947D4C"/>
    <w:rsid w:val="109A323E"/>
    <w:rsid w:val="10D47113"/>
    <w:rsid w:val="1115020A"/>
    <w:rsid w:val="111E1B8C"/>
    <w:rsid w:val="112A39C6"/>
    <w:rsid w:val="1148100C"/>
    <w:rsid w:val="118643DE"/>
    <w:rsid w:val="11C05CFF"/>
    <w:rsid w:val="11D5023C"/>
    <w:rsid w:val="11EB7CC0"/>
    <w:rsid w:val="12244414"/>
    <w:rsid w:val="122D2087"/>
    <w:rsid w:val="125C6E10"/>
    <w:rsid w:val="125F420A"/>
    <w:rsid w:val="1298640D"/>
    <w:rsid w:val="12C91342"/>
    <w:rsid w:val="12CB4E1B"/>
    <w:rsid w:val="132C2B3C"/>
    <w:rsid w:val="133F397A"/>
    <w:rsid w:val="13412662"/>
    <w:rsid w:val="13612DC7"/>
    <w:rsid w:val="136E2957"/>
    <w:rsid w:val="137B2057"/>
    <w:rsid w:val="13B159FB"/>
    <w:rsid w:val="13DD2D88"/>
    <w:rsid w:val="13FA41EA"/>
    <w:rsid w:val="1421285A"/>
    <w:rsid w:val="144F617D"/>
    <w:rsid w:val="145D4C37"/>
    <w:rsid w:val="148D505F"/>
    <w:rsid w:val="149005BB"/>
    <w:rsid w:val="14A34882"/>
    <w:rsid w:val="14A979BF"/>
    <w:rsid w:val="14B330E7"/>
    <w:rsid w:val="14E417AE"/>
    <w:rsid w:val="14F74BCE"/>
    <w:rsid w:val="15093368"/>
    <w:rsid w:val="151B6B0E"/>
    <w:rsid w:val="1521547E"/>
    <w:rsid w:val="15283C70"/>
    <w:rsid w:val="152A0F41"/>
    <w:rsid w:val="1531238C"/>
    <w:rsid w:val="153B2EB2"/>
    <w:rsid w:val="1557611D"/>
    <w:rsid w:val="156009C5"/>
    <w:rsid w:val="15853F88"/>
    <w:rsid w:val="158A79C8"/>
    <w:rsid w:val="159348F7"/>
    <w:rsid w:val="15A0706E"/>
    <w:rsid w:val="15BF7081"/>
    <w:rsid w:val="15C56B16"/>
    <w:rsid w:val="15D13671"/>
    <w:rsid w:val="15F05638"/>
    <w:rsid w:val="15FA2BC8"/>
    <w:rsid w:val="160B6B83"/>
    <w:rsid w:val="163C02E5"/>
    <w:rsid w:val="164E56C9"/>
    <w:rsid w:val="1650767C"/>
    <w:rsid w:val="166E0EC0"/>
    <w:rsid w:val="168D251B"/>
    <w:rsid w:val="16B32572"/>
    <w:rsid w:val="16B8739E"/>
    <w:rsid w:val="16C96424"/>
    <w:rsid w:val="16D01B7A"/>
    <w:rsid w:val="16D91CA3"/>
    <w:rsid w:val="16E137FE"/>
    <w:rsid w:val="17141A67"/>
    <w:rsid w:val="172B2E02"/>
    <w:rsid w:val="17B52555"/>
    <w:rsid w:val="17D830F9"/>
    <w:rsid w:val="17DB4F81"/>
    <w:rsid w:val="17DF2F33"/>
    <w:rsid w:val="180A3513"/>
    <w:rsid w:val="18187335"/>
    <w:rsid w:val="182B0D89"/>
    <w:rsid w:val="1866007F"/>
    <w:rsid w:val="18763BB0"/>
    <w:rsid w:val="187E62DA"/>
    <w:rsid w:val="18874485"/>
    <w:rsid w:val="189A5EB5"/>
    <w:rsid w:val="18ED2570"/>
    <w:rsid w:val="18FE2432"/>
    <w:rsid w:val="1909717A"/>
    <w:rsid w:val="190A6B14"/>
    <w:rsid w:val="194431F1"/>
    <w:rsid w:val="19501DA2"/>
    <w:rsid w:val="19762565"/>
    <w:rsid w:val="197A7CAD"/>
    <w:rsid w:val="19C44F9F"/>
    <w:rsid w:val="1A3E7A59"/>
    <w:rsid w:val="1A9101EA"/>
    <w:rsid w:val="1AB37429"/>
    <w:rsid w:val="1ADF238C"/>
    <w:rsid w:val="1AF56B46"/>
    <w:rsid w:val="1B171BDB"/>
    <w:rsid w:val="1B3D2A8F"/>
    <w:rsid w:val="1B4F7512"/>
    <w:rsid w:val="1BA57A16"/>
    <w:rsid w:val="1BB029F2"/>
    <w:rsid w:val="1BB67573"/>
    <w:rsid w:val="1BBB5228"/>
    <w:rsid w:val="1BCA303C"/>
    <w:rsid w:val="1C0F0A4F"/>
    <w:rsid w:val="1C820C62"/>
    <w:rsid w:val="1CE92105"/>
    <w:rsid w:val="1CF32807"/>
    <w:rsid w:val="1D1A01F7"/>
    <w:rsid w:val="1D1D3702"/>
    <w:rsid w:val="1D2574AF"/>
    <w:rsid w:val="1D3B2A09"/>
    <w:rsid w:val="1DA532A0"/>
    <w:rsid w:val="1DC65B7C"/>
    <w:rsid w:val="1DF60118"/>
    <w:rsid w:val="1E070385"/>
    <w:rsid w:val="1E1E7106"/>
    <w:rsid w:val="1E3A21A8"/>
    <w:rsid w:val="1E3F67EE"/>
    <w:rsid w:val="1EDB10BC"/>
    <w:rsid w:val="1EF2383B"/>
    <w:rsid w:val="1F04226A"/>
    <w:rsid w:val="1F316F2E"/>
    <w:rsid w:val="1F7E4A0C"/>
    <w:rsid w:val="1F9D32B1"/>
    <w:rsid w:val="1FA070BA"/>
    <w:rsid w:val="1FAE6DB2"/>
    <w:rsid w:val="1FC16504"/>
    <w:rsid w:val="1FC20CD8"/>
    <w:rsid w:val="20193657"/>
    <w:rsid w:val="206B373F"/>
    <w:rsid w:val="20734A0D"/>
    <w:rsid w:val="20783067"/>
    <w:rsid w:val="20CC5161"/>
    <w:rsid w:val="20F57957"/>
    <w:rsid w:val="212136FE"/>
    <w:rsid w:val="21341CA3"/>
    <w:rsid w:val="21563314"/>
    <w:rsid w:val="21792C6D"/>
    <w:rsid w:val="21C45494"/>
    <w:rsid w:val="21D32D74"/>
    <w:rsid w:val="21DC7F00"/>
    <w:rsid w:val="22512113"/>
    <w:rsid w:val="225278E7"/>
    <w:rsid w:val="22887A1B"/>
    <w:rsid w:val="22B16C5C"/>
    <w:rsid w:val="22C854A6"/>
    <w:rsid w:val="22CA3438"/>
    <w:rsid w:val="22DD2675"/>
    <w:rsid w:val="22E207D1"/>
    <w:rsid w:val="22F44DE1"/>
    <w:rsid w:val="237C5C07"/>
    <w:rsid w:val="23AB1F52"/>
    <w:rsid w:val="23B26890"/>
    <w:rsid w:val="24505925"/>
    <w:rsid w:val="24571CAC"/>
    <w:rsid w:val="24653902"/>
    <w:rsid w:val="246A6B74"/>
    <w:rsid w:val="247D26BC"/>
    <w:rsid w:val="248752B8"/>
    <w:rsid w:val="24966BE6"/>
    <w:rsid w:val="24BB6D29"/>
    <w:rsid w:val="24DF2635"/>
    <w:rsid w:val="24E011DB"/>
    <w:rsid w:val="25017F1F"/>
    <w:rsid w:val="2521146A"/>
    <w:rsid w:val="25564924"/>
    <w:rsid w:val="25942819"/>
    <w:rsid w:val="25A77F4A"/>
    <w:rsid w:val="25DF42D0"/>
    <w:rsid w:val="25F26AC1"/>
    <w:rsid w:val="260333D3"/>
    <w:rsid w:val="26061115"/>
    <w:rsid w:val="26103D41"/>
    <w:rsid w:val="261826FE"/>
    <w:rsid w:val="263D7FA9"/>
    <w:rsid w:val="26516D73"/>
    <w:rsid w:val="265F6558"/>
    <w:rsid w:val="266A3452"/>
    <w:rsid w:val="266B4134"/>
    <w:rsid w:val="26785D65"/>
    <w:rsid w:val="2689369D"/>
    <w:rsid w:val="26D1527F"/>
    <w:rsid w:val="26DB7EAB"/>
    <w:rsid w:val="27604BCE"/>
    <w:rsid w:val="276959E5"/>
    <w:rsid w:val="27A43722"/>
    <w:rsid w:val="27E55EA8"/>
    <w:rsid w:val="27E64D5A"/>
    <w:rsid w:val="27F830DB"/>
    <w:rsid w:val="281178FD"/>
    <w:rsid w:val="28167645"/>
    <w:rsid w:val="281E3F7A"/>
    <w:rsid w:val="28201707"/>
    <w:rsid w:val="28595C3D"/>
    <w:rsid w:val="287C62C3"/>
    <w:rsid w:val="289A1AC3"/>
    <w:rsid w:val="28C8445F"/>
    <w:rsid w:val="28FB0A17"/>
    <w:rsid w:val="28FD18FA"/>
    <w:rsid w:val="2903193C"/>
    <w:rsid w:val="2910333F"/>
    <w:rsid w:val="291D29FD"/>
    <w:rsid w:val="2932400A"/>
    <w:rsid w:val="296200D6"/>
    <w:rsid w:val="297C0B04"/>
    <w:rsid w:val="29826D04"/>
    <w:rsid w:val="2995456D"/>
    <w:rsid w:val="299F04AA"/>
    <w:rsid w:val="29AA1DB7"/>
    <w:rsid w:val="29C27DF5"/>
    <w:rsid w:val="29C335A2"/>
    <w:rsid w:val="29D84B76"/>
    <w:rsid w:val="29E96D83"/>
    <w:rsid w:val="29F85218"/>
    <w:rsid w:val="29F97523"/>
    <w:rsid w:val="2A063887"/>
    <w:rsid w:val="2A0C7216"/>
    <w:rsid w:val="2A8D0009"/>
    <w:rsid w:val="2A9E191C"/>
    <w:rsid w:val="2AA84549"/>
    <w:rsid w:val="2AAB5F9D"/>
    <w:rsid w:val="2AB566B1"/>
    <w:rsid w:val="2ACF0DDC"/>
    <w:rsid w:val="2AD4533E"/>
    <w:rsid w:val="2AE17A5A"/>
    <w:rsid w:val="2AE5579D"/>
    <w:rsid w:val="2AE719C9"/>
    <w:rsid w:val="2B1E68BB"/>
    <w:rsid w:val="2B230073"/>
    <w:rsid w:val="2B2E2B9F"/>
    <w:rsid w:val="2B54647E"/>
    <w:rsid w:val="2B724A52"/>
    <w:rsid w:val="2B8A3811"/>
    <w:rsid w:val="2C1B6F9C"/>
    <w:rsid w:val="2C4E2573"/>
    <w:rsid w:val="2C581F9E"/>
    <w:rsid w:val="2C622E1D"/>
    <w:rsid w:val="2C62781B"/>
    <w:rsid w:val="2C730B86"/>
    <w:rsid w:val="2C7C6F54"/>
    <w:rsid w:val="2CAD1CFA"/>
    <w:rsid w:val="2CB9783D"/>
    <w:rsid w:val="2CC62F30"/>
    <w:rsid w:val="2CDA29B3"/>
    <w:rsid w:val="2CF73565"/>
    <w:rsid w:val="2D0E1633"/>
    <w:rsid w:val="2D3F5F6E"/>
    <w:rsid w:val="2D4D491F"/>
    <w:rsid w:val="2D6E2ED1"/>
    <w:rsid w:val="2D7010AB"/>
    <w:rsid w:val="2D7A264B"/>
    <w:rsid w:val="2D84285B"/>
    <w:rsid w:val="2DAA2693"/>
    <w:rsid w:val="2DD37B2E"/>
    <w:rsid w:val="2E1819E5"/>
    <w:rsid w:val="2E183793"/>
    <w:rsid w:val="2E4614BE"/>
    <w:rsid w:val="2E60513A"/>
    <w:rsid w:val="2E696DC2"/>
    <w:rsid w:val="2E767F8B"/>
    <w:rsid w:val="2E9372BE"/>
    <w:rsid w:val="2EBC4A66"/>
    <w:rsid w:val="2EDE1034"/>
    <w:rsid w:val="2EE744FB"/>
    <w:rsid w:val="2F460CB8"/>
    <w:rsid w:val="2F5C3B54"/>
    <w:rsid w:val="2F601896"/>
    <w:rsid w:val="2F7E1D1C"/>
    <w:rsid w:val="2F990904"/>
    <w:rsid w:val="2FC736C3"/>
    <w:rsid w:val="2FCF07C9"/>
    <w:rsid w:val="2FDB2CCA"/>
    <w:rsid w:val="30016F41"/>
    <w:rsid w:val="30626E27"/>
    <w:rsid w:val="306C7DC6"/>
    <w:rsid w:val="307E3463"/>
    <w:rsid w:val="30912A84"/>
    <w:rsid w:val="309D08C8"/>
    <w:rsid w:val="309E3961"/>
    <w:rsid w:val="30B55C11"/>
    <w:rsid w:val="30CE7F71"/>
    <w:rsid w:val="30F35D66"/>
    <w:rsid w:val="30F524B2"/>
    <w:rsid w:val="3115138F"/>
    <w:rsid w:val="31201FAC"/>
    <w:rsid w:val="313D392C"/>
    <w:rsid w:val="317A2FB4"/>
    <w:rsid w:val="318268C7"/>
    <w:rsid w:val="31C41564"/>
    <w:rsid w:val="31EE5A75"/>
    <w:rsid w:val="31F47A7B"/>
    <w:rsid w:val="32270449"/>
    <w:rsid w:val="3231002A"/>
    <w:rsid w:val="326130F1"/>
    <w:rsid w:val="32BC7CE1"/>
    <w:rsid w:val="32D0150D"/>
    <w:rsid w:val="330D5C27"/>
    <w:rsid w:val="331806F9"/>
    <w:rsid w:val="33310C6E"/>
    <w:rsid w:val="335127C1"/>
    <w:rsid w:val="3354241D"/>
    <w:rsid w:val="335544A0"/>
    <w:rsid w:val="3364747B"/>
    <w:rsid w:val="337F6063"/>
    <w:rsid w:val="339F04B3"/>
    <w:rsid w:val="33A42E80"/>
    <w:rsid w:val="33B007C6"/>
    <w:rsid w:val="34056568"/>
    <w:rsid w:val="34140889"/>
    <w:rsid w:val="341434AF"/>
    <w:rsid w:val="34286128"/>
    <w:rsid w:val="343A0CCE"/>
    <w:rsid w:val="346561BD"/>
    <w:rsid w:val="348731F3"/>
    <w:rsid w:val="34B508A3"/>
    <w:rsid w:val="352C35C1"/>
    <w:rsid w:val="35303AB8"/>
    <w:rsid w:val="35621267"/>
    <w:rsid w:val="35690C6E"/>
    <w:rsid w:val="35AD5109"/>
    <w:rsid w:val="360D204B"/>
    <w:rsid w:val="361138EA"/>
    <w:rsid w:val="364A0BAA"/>
    <w:rsid w:val="36525CB0"/>
    <w:rsid w:val="369E54F7"/>
    <w:rsid w:val="36D30B9F"/>
    <w:rsid w:val="36E76FF6"/>
    <w:rsid w:val="371279DA"/>
    <w:rsid w:val="371E6647"/>
    <w:rsid w:val="373B63F3"/>
    <w:rsid w:val="37517D16"/>
    <w:rsid w:val="377203B8"/>
    <w:rsid w:val="378123A9"/>
    <w:rsid w:val="378253E3"/>
    <w:rsid w:val="379C5435"/>
    <w:rsid w:val="37CB1B45"/>
    <w:rsid w:val="37D937C6"/>
    <w:rsid w:val="37E55F42"/>
    <w:rsid w:val="37F76B0F"/>
    <w:rsid w:val="38064FA4"/>
    <w:rsid w:val="380F0F17"/>
    <w:rsid w:val="381A3346"/>
    <w:rsid w:val="3825542A"/>
    <w:rsid w:val="384004B6"/>
    <w:rsid w:val="385B5313"/>
    <w:rsid w:val="386D2BC2"/>
    <w:rsid w:val="389F6131"/>
    <w:rsid w:val="38BC68E1"/>
    <w:rsid w:val="38ED5568"/>
    <w:rsid w:val="38F3370B"/>
    <w:rsid w:val="391334D5"/>
    <w:rsid w:val="39165194"/>
    <w:rsid w:val="393954A2"/>
    <w:rsid w:val="393A6CCD"/>
    <w:rsid w:val="39461AFC"/>
    <w:rsid w:val="39761CB6"/>
    <w:rsid w:val="39B47B2D"/>
    <w:rsid w:val="3A3159AA"/>
    <w:rsid w:val="3A5F11C7"/>
    <w:rsid w:val="3A6F5083"/>
    <w:rsid w:val="3A992349"/>
    <w:rsid w:val="3A995C5C"/>
    <w:rsid w:val="3AA50AA5"/>
    <w:rsid w:val="3AAA7E69"/>
    <w:rsid w:val="3AAD56EA"/>
    <w:rsid w:val="3ADD023E"/>
    <w:rsid w:val="3B1B2B15"/>
    <w:rsid w:val="3B35400D"/>
    <w:rsid w:val="3B602C1D"/>
    <w:rsid w:val="3B765F9D"/>
    <w:rsid w:val="3B8035E7"/>
    <w:rsid w:val="3B8C6DE4"/>
    <w:rsid w:val="3B940DC0"/>
    <w:rsid w:val="3BC35686"/>
    <w:rsid w:val="3BC67797"/>
    <w:rsid w:val="3BD146E7"/>
    <w:rsid w:val="3BE64ED1"/>
    <w:rsid w:val="3BE904E8"/>
    <w:rsid w:val="3BF21AC7"/>
    <w:rsid w:val="3C26337F"/>
    <w:rsid w:val="3C761770"/>
    <w:rsid w:val="3CA8487C"/>
    <w:rsid w:val="3CA94D11"/>
    <w:rsid w:val="3CBA09ED"/>
    <w:rsid w:val="3CBF151C"/>
    <w:rsid w:val="3CC05722"/>
    <w:rsid w:val="3CCB3E6A"/>
    <w:rsid w:val="3CE21B3C"/>
    <w:rsid w:val="3CE2394A"/>
    <w:rsid w:val="3CF03B2D"/>
    <w:rsid w:val="3D0012AD"/>
    <w:rsid w:val="3D141263"/>
    <w:rsid w:val="3D2A6241"/>
    <w:rsid w:val="3D5B544A"/>
    <w:rsid w:val="3D78424E"/>
    <w:rsid w:val="3D903464"/>
    <w:rsid w:val="3D913562"/>
    <w:rsid w:val="3D934D3C"/>
    <w:rsid w:val="3D951CDE"/>
    <w:rsid w:val="3DA111C5"/>
    <w:rsid w:val="3DDB658B"/>
    <w:rsid w:val="3DF80EEB"/>
    <w:rsid w:val="3DFC598E"/>
    <w:rsid w:val="3E253A4B"/>
    <w:rsid w:val="3E4D7489"/>
    <w:rsid w:val="3E5C2D45"/>
    <w:rsid w:val="3E75078E"/>
    <w:rsid w:val="3E7F7EDF"/>
    <w:rsid w:val="3E813CFB"/>
    <w:rsid w:val="3E9A1FA2"/>
    <w:rsid w:val="3EAF1C78"/>
    <w:rsid w:val="3EB94B1E"/>
    <w:rsid w:val="3EE419D1"/>
    <w:rsid w:val="3EE922DA"/>
    <w:rsid w:val="3F042BB6"/>
    <w:rsid w:val="3F125FDD"/>
    <w:rsid w:val="3F473ED8"/>
    <w:rsid w:val="3F6902F3"/>
    <w:rsid w:val="3F7C4B4C"/>
    <w:rsid w:val="3F852231"/>
    <w:rsid w:val="3FBB0422"/>
    <w:rsid w:val="3FEF7E2D"/>
    <w:rsid w:val="40024869"/>
    <w:rsid w:val="402A3737"/>
    <w:rsid w:val="403B1563"/>
    <w:rsid w:val="405B0507"/>
    <w:rsid w:val="4061721C"/>
    <w:rsid w:val="408847A8"/>
    <w:rsid w:val="40A31D12"/>
    <w:rsid w:val="40B03CFF"/>
    <w:rsid w:val="40C36D2D"/>
    <w:rsid w:val="40D0325C"/>
    <w:rsid w:val="411A73CB"/>
    <w:rsid w:val="415A77DC"/>
    <w:rsid w:val="419C78CB"/>
    <w:rsid w:val="41A0777E"/>
    <w:rsid w:val="41F61BE6"/>
    <w:rsid w:val="42100EF9"/>
    <w:rsid w:val="42200A4B"/>
    <w:rsid w:val="42784E67"/>
    <w:rsid w:val="42867CEC"/>
    <w:rsid w:val="42890CAC"/>
    <w:rsid w:val="428B1E08"/>
    <w:rsid w:val="42B06238"/>
    <w:rsid w:val="42D27F5D"/>
    <w:rsid w:val="42F02AD9"/>
    <w:rsid w:val="430B1247"/>
    <w:rsid w:val="430B7208"/>
    <w:rsid w:val="433378A9"/>
    <w:rsid w:val="4338149A"/>
    <w:rsid w:val="43721740"/>
    <w:rsid w:val="43741A13"/>
    <w:rsid w:val="439A5004"/>
    <w:rsid w:val="43C065DE"/>
    <w:rsid w:val="43FA1FCE"/>
    <w:rsid w:val="43FB7987"/>
    <w:rsid w:val="44223EC9"/>
    <w:rsid w:val="442C34C0"/>
    <w:rsid w:val="443F0530"/>
    <w:rsid w:val="444419DA"/>
    <w:rsid w:val="44617141"/>
    <w:rsid w:val="448B0D0B"/>
    <w:rsid w:val="44B26298"/>
    <w:rsid w:val="44CF6CF6"/>
    <w:rsid w:val="44D96855"/>
    <w:rsid w:val="44F14AC6"/>
    <w:rsid w:val="450500D3"/>
    <w:rsid w:val="45090720"/>
    <w:rsid w:val="45321187"/>
    <w:rsid w:val="45350C77"/>
    <w:rsid w:val="455A248C"/>
    <w:rsid w:val="4569052D"/>
    <w:rsid w:val="45795008"/>
    <w:rsid w:val="4588320C"/>
    <w:rsid w:val="458F2584"/>
    <w:rsid w:val="45AE1DBE"/>
    <w:rsid w:val="45BD3146"/>
    <w:rsid w:val="45C07D97"/>
    <w:rsid w:val="45D27114"/>
    <w:rsid w:val="45F814B5"/>
    <w:rsid w:val="461245A8"/>
    <w:rsid w:val="4618037D"/>
    <w:rsid w:val="463A355F"/>
    <w:rsid w:val="46696E2A"/>
    <w:rsid w:val="467852BF"/>
    <w:rsid w:val="469A136D"/>
    <w:rsid w:val="4740010B"/>
    <w:rsid w:val="474E532D"/>
    <w:rsid w:val="47561410"/>
    <w:rsid w:val="47A53896"/>
    <w:rsid w:val="483E3C58"/>
    <w:rsid w:val="48757D08"/>
    <w:rsid w:val="48762939"/>
    <w:rsid w:val="48981C49"/>
    <w:rsid w:val="489B4111"/>
    <w:rsid w:val="48B337A5"/>
    <w:rsid w:val="48BB1493"/>
    <w:rsid w:val="48BF2D31"/>
    <w:rsid w:val="48D36756"/>
    <w:rsid w:val="49091B30"/>
    <w:rsid w:val="49155047"/>
    <w:rsid w:val="491D5CAA"/>
    <w:rsid w:val="4923076E"/>
    <w:rsid w:val="49300EA3"/>
    <w:rsid w:val="493259EA"/>
    <w:rsid w:val="493828F5"/>
    <w:rsid w:val="494616A5"/>
    <w:rsid w:val="49555444"/>
    <w:rsid w:val="49861236"/>
    <w:rsid w:val="49B93C25"/>
    <w:rsid w:val="4A1452FF"/>
    <w:rsid w:val="4A1B48DF"/>
    <w:rsid w:val="4A3B0ADD"/>
    <w:rsid w:val="4A3B288C"/>
    <w:rsid w:val="4A4200BE"/>
    <w:rsid w:val="4A4379F5"/>
    <w:rsid w:val="4A4E2333"/>
    <w:rsid w:val="4A5D5BA5"/>
    <w:rsid w:val="4AA666BF"/>
    <w:rsid w:val="4AAA358D"/>
    <w:rsid w:val="4AC35206"/>
    <w:rsid w:val="4B013AD5"/>
    <w:rsid w:val="4B08065D"/>
    <w:rsid w:val="4B0C6E2E"/>
    <w:rsid w:val="4B1674A3"/>
    <w:rsid w:val="4B2C1F12"/>
    <w:rsid w:val="4B823BEB"/>
    <w:rsid w:val="4B9304A5"/>
    <w:rsid w:val="4B940CA8"/>
    <w:rsid w:val="4B95051F"/>
    <w:rsid w:val="4B95619F"/>
    <w:rsid w:val="4B9C56B2"/>
    <w:rsid w:val="4B9D75BF"/>
    <w:rsid w:val="4BAE52DF"/>
    <w:rsid w:val="4BD765E4"/>
    <w:rsid w:val="4BE41E5E"/>
    <w:rsid w:val="4C057739"/>
    <w:rsid w:val="4C166112"/>
    <w:rsid w:val="4C26756B"/>
    <w:rsid w:val="4C2D6550"/>
    <w:rsid w:val="4C334CEA"/>
    <w:rsid w:val="4C3E2B07"/>
    <w:rsid w:val="4C3E48B5"/>
    <w:rsid w:val="4C5C1FC6"/>
    <w:rsid w:val="4C6A6C8B"/>
    <w:rsid w:val="4CB126E4"/>
    <w:rsid w:val="4CB15087"/>
    <w:rsid w:val="4CB77F5E"/>
    <w:rsid w:val="4CD945DE"/>
    <w:rsid w:val="4CE27936"/>
    <w:rsid w:val="4CE64065"/>
    <w:rsid w:val="4CEE62DB"/>
    <w:rsid w:val="4D027691"/>
    <w:rsid w:val="4D0C73A7"/>
    <w:rsid w:val="4D453A21"/>
    <w:rsid w:val="4D673998"/>
    <w:rsid w:val="4D706CF0"/>
    <w:rsid w:val="4D84279B"/>
    <w:rsid w:val="4DAC5384"/>
    <w:rsid w:val="4DE60E8C"/>
    <w:rsid w:val="4E5A580B"/>
    <w:rsid w:val="4E6F7990"/>
    <w:rsid w:val="4E7B4F3A"/>
    <w:rsid w:val="4E8011B5"/>
    <w:rsid w:val="4E8E1FCA"/>
    <w:rsid w:val="4E9E788D"/>
    <w:rsid w:val="4EB62E28"/>
    <w:rsid w:val="4EB75B07"/>
    <w:rsid w:val="4EDF2558"/>
    <w:rsid w:val="4EFD0A57"/>
    <w:rsid w:val="4F033DD3"/>
    <w:rsid w:val="4F4C553B"/>
    <w:rsid w:val="4F714FA1"/>
    <w:rsid w:val="4F7D73AB"/>
    <w:rsid w:val="4F991D31"/>
    <w:rsid w:val="4FFF1FDF"/>
    <w:rsid w:val="50113135"/>
    <w:rsid w:val="502618E8"/>
    <w:rsid w:val="50390136"/>
    <w:rsid w:val="504F2640"/>
    <w:rsid w:val="50820C41"/>
    <w:rsid w:val="50846D7F"/>
    <w:rsid w:val="50B10CAA"/>
    <w:rsid w:val="50B652BC"/>
    <w:rsid w:val="50D6330E"/>
    <w:rsid w:val="50F814D6"/>
    <w:rsid w:val="517D19DC"/>
    <w:rsid w:val="51D319A9"/>
    <w:rsid w:val="520771DE"/>
    <w:rsid w:val="520878FD"/>
    <w:rsid w:val="52304CF0"/>
    <w:rsid w:val="53047CF1"/>
    <w:rsid w:val="533127DC"/>
    <w:rsid w:val="536B449C"/>
    <w:rsid w:val="538A6632"/>
    <w:rsid w:val="53A17E1C"/>
    <w:rsid w:val="53B065EF"/>
    <w:rsid w:val="53C733E2"/>
    <w:rsid w:val="53DB0105"/>
    <w:rsid w:val="53EC109A"/>
    <w:rsid w:val="53EE096F"/>
    <w:rsid w:val="53F046E7"/>
    <w:rsid w:val="53FB1691"/>
    <w:rsid w:val="540900A8"/>
    <w:rsid w:val="5438608E"/>
    <w:rsid w:val="54412AF3"/>
    <w:rsid w:val="544755A6"/>
    <w:rsid w:val="54493DF7"/>
    <w:rsid w:val="545A290F"/>
    <w:rsid w:val="545B4FC9"/>
    <w:rsid w:val="54972DB4"/>
    <w:rsid w:val="54AD582C"/>
    <w:rsid w:val="54D32647"/>
    <w:rsid w:val="54E717BC"/>
    <w:rsid w:val="551122F9"/>
    <w:rsid w:val="55136110"/>
    <w:rsid w:val="551E7032"/>
    <w:rsid w:val="55322ADD"/>
    <w:rsid w:val="55A0038E"/>
    <w:rsid w:val="55BF3A37"/>
    <w:rsid w:val="55C23E61"/>
    <w:rsid w:val="55C8432B"/>
    <w:rsid w:val="55E83AFC"/>
    <w:rsid w:val="5611104A"/>
    <w:rsid w:val="561D5950"/>
    <w:rsid w:val="562D079A"/>
    <w:rsid w:val="56393328"/>
    <w:rsid w:val="565743B8"/>
    <w:rsid w:val="56582ADA"/>
    <w:rsid w:val="566B6453"/>
    <w:rsid w:val="567C4958"/>
    <w:rsid w:val="56837A94"/>
    <w:rsid w:val="56A67132"/>
    <w:rsid w:val="570D55B0"/>
    <w:rsid w:val="57390153"/>
    <w:rsid w:val="573A62F1"/>
    <w:rsid w:val="574F1047"/>
    <w:rsid w:val="575651A9"/>
    <w:rsid w:val="57644B05"/>
    <w:rsid w:val="57891442"/>
    <w:rsid w:val="57A5003F"/>
    <w:rsid w:val="57B40121"/>
    <w:rsid w:val="57B83007"/>
    <w:rsid w:val="57BF2954"/>
    <w:rsid w:val="57C830BF"/>
    <w:rsid w:val="57DC287B"/>
    <w:rsid w:val="58022C3B"/>
    <w:rsid w:val="58105801"/>
    <w:rsid w:val="58366D88"/>
    <w:rsid w:val="583A0626"/>
    <w:rsid w:val="585150F0"/>
    <w:rsid w:val="58AC6EEA"/>
    <w:rsid w:val="58B634E6"/>
    <w:rsid w:val="590F3445"/>
    <w:rsid w:val="59175C31"/>
    <w:rsid w:val="59486DC6"/>
    <w:rsid w:val="5968741C"/>
    <w:rsid w:val="59B63CDD"/>
    <w:rsid w:val="59C8549D"/>
    <w:rsid w:val="5A5B3709"/>
    <w:rsid w:val="5AAF4A42"/>
    <w:rsid w:val="5AB67D0C"/>
    <w:rsid w:val="5ABA4881"/>
    <w:rsid w:val="5AF4520D"/>
    <w:rsid w:val="5B163AF9"/>
    <w:rsid w:val="5B174C4F"/>
    <w:rsid w:val="5B4E6197"/>
    <w:rsid w:val="5B520425"/>
    <w:rsid w:val="5B7901FE"/>
    <w:rsid w:val="5B7E33BE"/>
    <w:rsid w:val="5B917759"/>
    <w:rsid w:val="5BCF1086"/>
    <w:rsid w:val="5BD6561E"/>
    <w:rsid w:val="5C2E04A2"/>
    <w:rsid w:val="5C4001D5"/>
    <w:rsid w:val="5C466933"/>
    <w:rsid w:val="5CA60DC1"/>
    <w:rsid w:val="5CB16383"/>
    <w:rsid w:val="5CE04CBD"/>
    <w:rsid w:val="5CF9164A"/>
    <w:rsid w:val="5D047455"/>
    <w:rsid w:val="5D0B6282"/>
    <w:rsid w:val="5D462510"/>
    <w:rsid w:val="5D4C2123"/>
    <w:rsid w:val="5D825F58"/>
    <w:rsid w:val="5D856B6C"/>
    <w:rsid w:val="5D8D1B29"/>
    <w:rsid w:val="5DBB3FB7"/>
    <w:rsid w:val="5DC8384A"/>
    <w:rsid w:val="5DCD3CEB"/>
    <w:rsid w:val="5E13627E"/>
    <w:rsid w:val="5E372767"/>
    <w:rsid w:val="5E652175"/>
    <w:rsid w:val="5E9C4698"/>
    <w:rsid w:val="5EA363A2"/>
    <w:rsid w:val="5EAA7B88"/>
    <w:rsid w:val="5EB76C7A"/>
    <w:rsid w:val="5EC84BC1"/>
    <w:rsid w:val="5EF37463"/>
    <w:rsid w:val="5F185003"/>
    <w:rsid w:val="5F1C0A86"/>
    <w:rsid w:val="5F7563E8"/>
    <w:rsid w:val="5F8246D4"/>
    <w:rsid w:val="5F8540A2"/>
    <w:rsid w:val="5F8A7959"/>
    <w:rsid w:val="5FBF2720"/>
    <w:rsid w:val="5FCD46E7"/>
    <w:rsid w:val="5FD01ED6"/>
    <w:rsid w:val="5FE22172"/>
    <w:rsid w:val="602F2A3B"/>
    <w:rsid w:val="605A363B"/>
    <w:rsid w:val="606721D5"/>
    <w:rsid w:val="60800A68"/>
    <w:rsid w:val="609C40FA"/>
    <w:rsid w:val="60CE6478"/>
    <w:rsid w:val="60EE6452"/>
    <w:rsid w:val="60F17CF0"/>
    <w:rsid w:val="6115578D"/>
    <w:rsid w:val="611C2FBF"/>
    <w:rsid w:val="61313D76"/>
    <w:rsid w:val="613B58B6"/>
    <w:rsid w:val="614C0521"/>
    <w:rsid w:val="61647314"/>
    <w:rsid w:val="61686204"/>
    <w:rsid w:val="61706E67"/>
    <w:rsid w:val="617F52FC"/>
    <w:rsid w:val="618D5C6B"/>
    <w:rsid w:val="61A16EA2"/>
    <w:rsid w:val="61CE6CA9"/>
    <w:rsid w:val="621231FB"/>
    <w:rsid w:val="6226233D"/>
    <w:rsid w:val="622B0404"/>
    <w:rsid w:val="622D6B06"/>
    <w:rsid w:val="62495F05"/>
    <w:rsid w:val="62B15989"/>
    <w:rsid w:val="62C456BC"/>
    <w:rsid w:val="62CC631F"/>
    <w:rsid w:val="62DB1547"/>
    <w:rsid w:val="63212B0F"/>
    <w:rsid w:val="63324F8A"/>
    <w:rsid w:val="634A2AAE"/>
    <w:rsid w:val="637A6B39"/>
    <w:rsid w:val="63EA773B"/>
    <w:rsid w:val="63F14D19"/>
    <w:rsid w:val="64125BFF"/>
    <w:rsid w:val="641A4622"/>
    <w:rsid w:val="641E34A8"/>
    <w:rsid w:val="642301C1"/>
    <w:rsid w:val="642511FC"/>
    <w:rsid w:val="64294C9F"/>
    <w:rsid w:val="64405216"/>
    <w:rsid w:val="648D683D"/>
    <w:rsid w:val="64951135"/>
    <w:rsid w:val="64A10AB1"/>
    <w:rsid w:val="64E237BB"/>
    <w:rsid w:val="64F97173"/>
    <w:rsid w:val="6507699E"/>
    <w:rsid w:val="650E70C3"/>
    <w:rsid w:val="65206DF6"/>
    <w:rsid w:val="6545060B"/>
    <w:rsid w:val="655831A7"/>
    <w:rsid w:val="657565AE"/>
    <w:rsid w:val="6582383A"/>
    <w:rsid w:val="65956E9C"/>
    <w:rsid w:val="659B647C"/>
    <w:rsid w:val="65BD2897"/>
    <w:rsid w:val="661878BE"/>
    <w:rsid w:val="6630527F"/>
    <w:rsid w:val="66397478"/>
    <w:rsid w:val="663A7A43"/>
    <w:rsid w:val="663F14FE"/>
    <w:rsid w:val="66703465"/>
    <w:rsid w:val="6690269C"/>
    <w:rsid w:val="66FD119D"/>
    <w:rsid w:val="6703252B"/>
    <w:rsid w:val="671D539B"/>
    <w:rsid w:val="6732791F"/>
    <w:rsid w:val="674A015A"/>
    <w:rsid w:val="677A6041"/>
    <w:rsid w:val="67C83F0D"/>
    <w:rsid w:val="67CF399E"/>
    <w:rsid w:val="67ED1C74"/>
    <w:rsid w:val="67F644E3"/>
    <w:rsid w:val="67FD1024"/>
    <w:rsid w:val="680E1188"/>
    <w:rsid w:val="68146D05"/>
    <w:rsid w:val="6818272C"/>
    <w:rsid w:val="681E30AC"/>
    <w:rsid w:val="68633D07"/>
    <w:rsid w:val="689D1517"/>
    <w:rsid w:val="68C54D13"/>
    <w:rsid w:val="68D32243"/>
    <w:rsid w:val="68E906B7"/>
    <w:rsid w:val="690F4A0D"/>
    <w:rsid w:val="69136CA4"/>
    <w:rsid w:val="6923265A"/>
    <w:rsid w:val="6970608E"/>
    <w:rsid w:val="69821E2D"/>
    <w:rsid w:val="69B574BD"/>
    <w:rsid w:val="69CB37D4"/>
    <w:rsid w:val="69CE6E20"/>
    <w:rsid w:val="69D739F6"/>
    <w:rsid w:val="69FA19C4"/>
    <w:rsid w:val="69FD1F97"/>
    <w:rsid w:val="6A0720EC"/>
    <w:rsid w:val="6A555CAB"/>
    <w:rsid w:val="6A8614A9"/>
    <w:rsid w:val="6A876FCF"/>
    <w:rsid w:val="6AAB1116"/>
    <w:rsid w:val="6AB235B6"/>
    <w:rsid w:val="6AC7694D"/>
    <w:rsid w:val="6AF552E1"/>
    <w:rsid w:val="6AFB3C45"/>
    <w:rsid w:val="6B040620"/>
    <w:rsid w:val="6B22204D"/>
    <w:rsid w:val="6B3A7BE8"/>
    <w:rsid w:val="6B4C512D"/>
    <w:rsid w:val="6B517D09"/>
    <w:rsid w:val="6B827EC3"/>
    <w:rsid w:val="6BA51E03"/>
    <w:rsid w:val="6BC56001"/>
    <w:rsid w:val="6BC77205"/>
    <w:rsid w:val="6BD60AB1"/>
    <w:rsid w:val="6C014D71"/>
    <w:rsid w:val="6C2E3BA6"/>
    <w:rsid w:val="6C3867D3"/>
    <w:rsid w:val="6C77469B"/>
    <w:rsid w:val="6C891725"/>
    <w:rsid w:val="6C9003BD"/>
    <w:rsid w:val="6CDF1345"/>
    <w:rsid w:val="6CF21078"/>
    <w:rsid w:val="6CFD2BBF"/>
    <w:rsid w:val="6D127A4E"/>
    <w:rsid w:val="6D1F626F"/>
    <w:rsid w:val="6D3E077A"/>
    <w:rsid w:val="6D5238C5"/>
    <w:rsid w:val="6D75106E"/>
    <w:rsid w:val="6DC07663"/>
    <w:rsid w:val="6DC94C72"/>
    <w:rsid w:val="6E0C5660"/>
    <w:rsid w:val="6E47015B"/>
    <w:rsid w:val="6E5F098F"/>
    <w:rsid w:val="6E7D2BC3"/>
    <w:rsid w:val="6E971ED7"/>
    <w:rsid w:val="6EF1792B"/>
    <w:rsid w:val="6EFF024D"/>
    <w:rsid w:val="6F047178"/>
    <w:rsid w:val="6F305E87"/>
    <w:rsid w:val="6F321C00"/>
    <w:rsid w:val="6F6404DD"/>
    <w:rsid w:val="6F6D49E6"/>
    <w:rsid w:val="6F885CC3"/>
    <w:rsid w:val="6F9A74FC"/>
    <w:rsid w:val="6FAD2FE7"/>
    <w:rsid w:val="6FC87AB9"/>
    <w:rsid w:val="700E441B"/>
    <w:rsid w:val="703E4E0C"/>
    <w:rsid w:val="70433998"/>
    <w:rsid w:val="70482D4D"/>
    <w:rsid w:val="704E0CBB"/>
    <w:rsid w:val="7059064D"/>
    <w:rsid w:val="70757BC0"/>
    <w:rsid w:val="70950081"/>
    <w:rsid w:val="70AD2460"/>
    <w:rsid w:val="70E64A50"/>
    <w:rsid w:val="711D7258"/>
    <w:rsid w:val="7132620B"/>
    <w:rsid w:val="71527710"/>
    <w:rsid w:val="716D5171"/>
    <w:rsid w:val="718129CA"/>
    <w:rsid w:val="71C97081"/>
    <w:rsid w:val="71ED719C"/>
    <w:rsid w:val="71F26D4F"/>
    <w:rsid w:val="721A230E"/>
    <w:rsid w:val="723D6697"/>
    <w:rsid w:val="72895FDA"/>
    <w:rsid w:val="728D7088"/>
    <w:rsid w:val="729A188F"/>
    <w:rsid w:val="730C5563"/>
    <w:rsid w:val="73201533"/>
    <w:rsid w:val="735D5E49"/>
    <w:rsid w:val="738C292E"/>
    <w:rsid w:val="73AF4081"/>
    <w:rsid w:val="7400011D"/>
    <w:rsid w:val="74250B17"/>
    <w:rsid w:val="742C1313"/>
    <w:rsid w:val="74325A6C"/>
    <w:rsid w:val="744426B4"/>
    <w:rsid w:val="74661384"/>
    <w:rsid w:val="74833D0A"/>
    <w:rsid w:val="7496678D"/>
    <w:rsid w:val="74A94712"/>
    <w:rsid w:val="74B4004C"/>
    <w:rsid w:val="7516167C"/>
    <w:rsid w:val="75321767"/>
    <w:rsid w:val="759058D2"/>
    <w:rsid w:val="75A03D67"/>
    <w:rsid w:val="75CD4430"/>
    <w:rsid w:val="75DC3A51"/>
    <w:rsid w:val="75EE5A09"/>
    <w:rsid w:val="763B5CFA"/>
    <w:rsid w:val="764261F7"/>
    <w:rsid w:val="767F6A10"/>
    <w:rsid w:val="768A686C"/>
    <w:rsid w:val="76B4114C"/>
    <w:rsid w:val="76B455F0"/>
    <w:rsid w:val="76C5189C"/>
    <w:rsid w:val="76CE5046"/>
    <w:rsid w:val="76EC4D8A"/>
    <w:rsid w:val="77132D1E"/>
    <w:rsid w:val="77163BB5"/>
    <w:rsid w:val="77366005"/>
    <w:rsid w:val="77381C0F"/>
    <w:rsid w:val="77381D7D"/>
    <w:rsid w:val="773F2B4A"/>
    <w:rsid w:val="774E4386"/>
    <w:rsid w:val="775D3592"/>
    <w:rsid w:val="776E773E"/>
    <w:rsid w:val="7791148D"/>
    <w:rsid w:val="77A16CD3"/>
    <w:rsid w:val="77AD62C7"/>
    <w:rsid w:val="77AF51B3"/>
    <w:rsid w:val="77B16ACC"/>
    <w:rsid w:val="77B50825"/>
    <w:rsid w:val="77BE05A4"/>
    <w:rsid w:val="77C47AB5"/>
    <w:rsid w:val="77CF673A"/>
    <w:rsid w:val="77D70E57"/>
    <w:rsid w:val="77E37F3B"/>
    <w:rsid w:val="77EB7DD8"/>
    <w:rsid w:val="781C344D"/>
    <w:rsid w:val="78227E54"/>
    <w:rsid w:val="786D480C"/>
    <w:rsid w:val="78D37FAF"/>
    <w:rsid w:val="79367E3E"/>
    <w:rsid w:val="79444A09"/>
    <w:rsid w:val="796139DC"/>
    <w:rsid w:val="798B35A0"/>
    <w:rsid w:val="79C03601"/>
    <w:rsid w:val="79E41DB5"/>
    <w:rsid w:val="79F22C17"/>
    <w:rsid w:val="79FE3AAC"/>
    <w:rsid w:val="7A212F9C"/>
    <w:rsid w:val="7A770E0E"/>
    <w:rsid w:val="7AA4616C"/>
    <w:rsid w:val="7AB66EF8"/>
    <w:rsid w:val="7AD176EE"/>
    <w:rsid w:val="7B07090C"/>
    <w:rsid w:val="7B1A63C8"/>
    <w:rsid w:val="7B38234C"/>
    <w:rsid w:val="7B461556"/>
    <w:rsid w:val="7B6700A0"/>
    <w:rsid w:val="7B6C4E4C"/>
    <w:rsid w:val="7B8815BD"/>
    <w:rsid w:val="7BE44088"/>
    <w:rsid w:val="7BED0AAE"/>
    <w:rsid w:val="7BF278E8"/>
    <w:rsid w:val="7C083704"/>
    <w:rsid w:val="7C1527E1"/>
    <w:rsid w:val="7C3C2310"/>
    <w:rsid w:val="7C4A65BB"/>
    <w:rsid w:val="7C4B74AD"/>
    <w:rsid w:val="7C5E388A"/>
    <w:rsid w:val="7C6001ED"/>
    <w:rsid w:val="7C613B24"/>
    <w:rsid w:val="7C773348"/>
    <w:rsid w:val="7CA16D3E"/>
    <w:rsid w:val="7CF2277F"/>
    <w:rsid w:val="7CF24B05"/>
    <w:rsid w:val="7D0D15B6"/>
    <w:rsid w:val="7D1D53FF"/>
    <w:rsid w:val="7D295F33"/>
    <w:rsid w:val="7D4A2AFB"/>
    <w:rsid w:val="7D754E64"/>
    <w:rsid w:val="7DA21761"/>
    <w:rsid w:val="7DAC0DCF"/>
    <w:rsid w:val="7DAF52FE"/>
    <w:rsid w:val="7DF01EA7"/>
    <w:rsid w:val="7E2117BD"/>
    <w:rsid w:val="7E2968C4"/>
    <w:rsid w:val="7E553580"/>
    <w:rsid w:val="7E5733FC"/>
    <w:rsid w:val="7E673B88"/>
    <w:rsid w:val="7E714941"/>
    <w:rsid w:val="7E906943"/>
    <w:rsid w:val="7EA27783"/>
    <w:rsid w:val="7EA6685A"/>
    <w:rsid w:val="7EA908A0"/>
    <w:rsid w:val="7ED90181"/>
    <w:rsid w:val="7EFE565A"/>
    <w:rsid w:val="7F0D5A78"/>
    <w:rsid w:val="7F385010"/>
    <w:rsid w:val="7F3D3714"/>
    <w:rsid w:val="7F4F5EB6"/>
    <w:rsid w:val="7F972DC2"/>
    <w:rsid w:val="7FA02BB5"/>
    <w:rsid w:val="7FB16B71"/>
    <w:rsid w:val="7FEB2D3C"/>
    <w:rsid w:val="7FF32CE5"/>
    <w:rsid w:val="7FF64583"/>
    <w:rsid w:val="7FF6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6"/>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6"/>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67"/>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68"/>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9"/>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0"/>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1"/>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2"/>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3"/>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3">
    <w:name w:val="Default Paragraph Font"/>
    <w:unhideWhenUsed/>
    <w:qFormat/>
    <w:uiPriority w:val="1"/>
  </w:style>
  <w:style w:type="table" w:default="1" w:styleId="4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next w:val="13"/>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unhideWhenUsed/>
    <w:qFormat/>
    <w:uiPriority w:val="0"/>
    <w:pPr>
      <w:ind w:left="630"/>
      <w:jc w:val="left"/>
    </w:pPr>
    <w:rPr>
      <w:rFonts w:asciiTheme="minorHAnsi" w:hAnsiTheme="minorHAnsi"/>
      <w:sz w:val="18"/>
      <w:szCs w:val="18"/>
    </w:rPr>
  </w:style>
  <w:style w:type="paragraph" w:styleId="14">
    <w:name w:val="Document Map"/>
    <w:basedOn w:val="1"/>
    <w:link w:val="74"/>
    <w:qFormat/>
    <w:uiPriority w:val="0"/>
    <w:rPr>
      <w:rFonts w:ascii="宋体"/>
      <w:sz w:val="18"/>
      <w:szCs w:val="18"/>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75"/>
    <w:qFormat/>
    <w:uiPriority w:val="99"/>
    <w:pPr>
      <w:jc w:val="left"/>
    </w:pPr>
  </w:style>
  <w:style w:type="paragraph" w:styleId="17">
    <w:name w:val="Body Text 3"/>
    <w:basedOn w:val="1"/>
    <w:unhideWhenUsed/>
    <w:qFormat/>
    <w:uiPriority w:val="99"/>
    <w:pPr>
      <w:spacing w:after="120"/>
    </w:pPr>
    <w:rPr>
      <w:sz w:val="16"/>
      <w:szCs w:val="16"/>
    </w:rPr>
  </w:style>
  <w:style w:type="paragraph" w:styleId="18">
    <w:name w:val="Body Text"/>
    <w:basedOn w:val="1"/>
    <w:link w:val="76"/>
    <w:qFormat/>
    <w:uiPriority w:val="1"/>
    <w:pPr>
      <w:autoSpaceDE w:val="0"/>
      <w:autoSpaceDN w:val="0"/>
      <w:jc w:val="left"/>
    </w:pPr>
    <w:rPr>
      <w:rFonts w:ascii="宋体" w:hAnsi="宋体" w:cs="宋体"/>
      <w:kern w:val="0"/>
      <w:sz w:val="18"/>
      <w:szCs w:val="18"/>
      <w:lang w:val="zh-CN" w:bidi="zh-CN"/>
    </w:rPr>
  </w:style>
  <w:style w:type="paragraph" w:styleId="19">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20">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1">
    <w:name w:val="toc 5"/>
    <w:basedOn w:val="1"/>
    <w:next w:val="1"/>
    <w:unhideWhenUsed/>
    <w:qFormat/>
    <w:uiPriority w:val="0"/>
    <w:pPr>
      <w:ind w:left="840"/>
      <w:jc w:val="left"/>
    </w:pPr>
    <w:rPr>
      <w:rFonts w:asciiTheme="minorHAnsi" w:hAnsiTheme="minorHAnsi"/>
      <w:sz w:val="18"/>
      <w:szCs w:val="18"/>
    </w:rPr>
  </w:style>
  <w:style w:type="paragraph" w:styleId="22">
    <w:name w:val="toc 3"/>
    <w:basedOn w:val="1"/>
    <w:next w:val="1"/>
    <w:qFormat/>
    <w:uiPriority w:val="39"/>
    <w:pPr>
      <w:ind w:left="420"/>
      <w:jc w:val="left"/>
    </w:pPr>
    <w:rPr>
      <w:rFonts w:asciiTheme="minorHAnsi" w:hAnsiTheme="minorHAnsi"/>
      <w:i/>
      <w:iCs/>
      <w:sz w:val="20"/>
      <w:szCs w:val="20"/>
    </w:rPr>
  </w:style>
  <w:style w:type="paragraph" w:styleId="23">
    <w:name w:val="Plain Text"/>
    <w:basedOn w:val="1"/>
    <w:link w:val="77"/>
    <w:qFormat/>
    <w:uiPriority w:val="0"/>
    <w:rPr>
      <w:rFonts w:ascii="宋体" w:hAnsi="Courier New" w:cs="Courier New" w:eastAsiaTheme="minorEastAsia"/>
      <w:szCs w:val="21"/>
    </w:rPr>
  </w:style>
  <w:style w:type="paragraph" w:styleId="24">
    <w:name w:val="toc 8"/>
    <w:basedOn w:val="1"/>
    <w:next w:val="1"/>
    <w:unhideWhenUsed/>
    <w:qFormat/>
    <w:uiPriority w:val="0"/>
    <w:pPr>
      <w:ind w:left="1470"/>
      <w:jc w:val="left"/>
    </w:pPr>
    <w:rPr>
      <w:rFonts w:asciiTheme="minorHAnsi" w:hAnsiTheme="minorHAnsi"/>
      <w:sz w:val="18"/>
      <w:szCs w:val="18"/>
    </w:rPr>
  </w:style>
  <w:style w:type="paragraph" w:styleId="25">
    <w:name w:val="Date"/>
    <w:basedOn w:val="1"/>
    <w:next w:val="1"/>
    <w:link w:val="78"/>
    <w:qFormat/>
    <w:uiPriority w:val="0"/>
    <w:pPr>
      <w:ind w:left="100" w:leftChars="2500"/>
    </w:pPr>
  </w:style>
  <w:style w:type="paragraph" w:styleId="26">
    <w:name w:val="Body Text Indent 2"/>
    <w:basedOn w:val="1"/>
    <w:qFormat/>
    <w:uiPriority w:val="0"/>
    <w:pPr>
      <w:ind w:firstLine="540" w:firstLineChars="257"/>
    </w:pPr>
    <w:rPr>
      <w:szCs w:val="24"/>
    </w:rPr>
  </w:style>
  <w:style w:type="paragraph" w:styleId="27">
    <w:name w:val="Balloon Text"/>
    <w:basedOn w:val="1"/>
    <w:link w:val="79"/>
    <w:qFormat/>
    <w:uiPriority w:val="99"/>
    <w:rPr>
      <w:sz w:val="18"/>
      <w:szCs w:val="18"/>
    </w:rPr>
  </w:style>
  <w:style w:type="paragraph" w:styleId="28">
    <w:name w:val="footer"/>
    <w:basedOn w:val="1"/>
    <w:link w:val="80"/>
    <w:qFormat/>
    <w:uiPriority w:val="99"/>
    <w:pPr>
      <w:tabs>
        <w:tab w:val="center" w:pos="4153"/>
        <w:tab w:val="right" w:pos="8306"/>
      </w:tabs>
      <w:snapToGrid w:val="0"/>
      <w:jc w:val="left"/>
    </w:pPr>
    <w:rPr>
      <w:sz w:val="18"/>
      <w:szCs w:val="18"/>
    </w:rPr>
  </w:style>
  <w:style w:type="paragraph" w:styleId="29">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Theme="minorHAnsi" w:hAnsiTheme="minorHAnsi"/>
      <w:b/>
      <w:bCs/>
      <w:caps/>
      <w:sz w:val="20"/>
      <w:szCs w:val="20"/>
    </w:rPr>
  </w:style>
  <w:style w:type="paragraph" w:styleId="31">
    <w:name w:val="toc 6"/>
    <w:basedOn w:val="1"/>
    <w:next w:val="1"/>
    <w:unhideWhenUsed/>
    <w:qFormat/>
    <w:uiPriority w:val="0"/>
    <w:pPr>
      <w:ind w:left="1050"/>
      <w:jc w:val="left"/>
    </w:pPr>
    <w:rPr>
      <w:rFonts w:asciiTheme="minorHAnsi" w:hAnsiTheme="minorHAnsi"/>
      <w:sz w:val="18"/>
      <w:szCs w:val="18"/>
    </w:rPr>
  </w:style>
  <w:style w:type="paragraph" w:styleId="32">
    <w:name w:val="toc 2"/>
    <w:basedOn w:val="1"/>
    <w:next w:val="1"/>
    <w:qFormat/>
    <w:uiPriority w:val="39"/>
    <w:pPr>
      <w:ind w:left="210"/>
      <w:jc w:val="left"/>
    </w:pPr>
    <w:rPr>
      <w:rFonts w:asciiTheme="minorHAnsi" w:hAnsiTheme="minorHAnsi"/>
      <w:smallCaps/>
      <w:sz w:val="20"/>
      <w:szCs w:val="20"/>
    </w:rPr>
  </w:style>
  <w:style w:type="paragraph" w:styleId="33">
    <w:name w:val="toc 9"/>
    <w:basedOn w:val="1"/>
    <w:next w:val="1"/>
    <w:unhideWhenUsed/>
    <w:qFormat/>
    <w:uiPriority w:val="0"/>
    <w:pPr>
      <w:ind w:left="1680"/>
      <w:jc w:val="left"/>
    </w:pPr>
    <w:rPr>
      <w:rFonts w:asciiTheme="minorHAnsi" w:hAnsiTheme="minorHAnsi"/>
      <w:sz w:val="18"/>
      <w:szCs w:val="18"/>
    </w:rPr>
  </w:style>
  <w:style w:type="paragraph" w:styleId="34">
    <w:name w:val="Body Text 2"/>
    <w:basedOn w:val="1"/>
    <w:qFormat/>
    <w:uiPriority w:val="0"/>
    <w:pPr>
      <w:jc w:val="center"/>
    </w:pPr>
    <w:rPr>
      <w:b/>
      <w:bCs/>
      <w:spacing w:val="-20"/>
      <w:w w:val="130"/>
      <w:sz w:val="48"/>
      <w:szCs w:val="48"/>
    </w:rPr>
  </w:style>
  <w:style w:type="paragraph" w:styleId="35">
    <w:name w:val="HTML Preformatted"/>
    <w:basedOn w:val="1"/>
    <w:link w:val="8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Title"/>
    <w:basedOn w:val="1"/>
    <w:next w:val="1"/>
    <w:link w:val="109"/>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8">
    <w:name w:val="annotation subject"/>
    <w:basedOn w:val="16"/>
    <w:next w:val="1"/>
    <w:link w:val="83"/>
    <w:qFormat/>
    <w:uiPriority w:val="99"/>
    <w:rPr>
      <w:b/>
      <w:bCs/>
    </w:rPr>
  </w:style>
  <w:style w:type="paragraph" w:styleId="39">
    <w:name w:val="Body Text First Indent"/>
    <w:basedOn w:val="18"/>
    <w:next w:val="40"/>
    <w:qFormat/>
    <w:uiPriority w:val="0"/>
    <w:pPr>
      <w:ind w:firstLine="420" w:firstLineChars="100"/>
    </w:pPr>
    <w:rPr>
      <w:sz w:val="34"/>
    </w:rPr>
  </w:style>
  <w:style w:type="paragraph" w:styleId="40">
    <w:name w:val="Body Text First Indent 2"/>
    <w:basedOn w:val="19"/>
    <w:qFormat/>
    <w:uiPriority w:val="99"/>
    <w:pPr>
      <w:tabs>
        <w:tab w:val="left" w:pos="4900"/>
      </w:tabs>
      <w:ind w:firstLine="420" w:firstLineChars="200"/>
    </w:pPr>
  </w:style>
  <w:style w:type="table" w:styleId="42">
    <w:name w:val="Table Grid"/>
    <w:basedOn w:val="4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0"/>
    <w:rPr>
      <w:b/>
      <w:bCs/>
    </w:rPr>
  </w:style>
  <w:style w:type="character" w:styleId="45">
    <w:name w:val="FollowedHyperlink"/>
    <w:basedOn w:val="43"/>
    <w:unhideWhenUsed/>
    <w:qFormat/>
    <w:uiPriority w:val="99"/>
    <w:rPr>
      <w:color w:val="800080" w:themeColor="followedHyperlink"/>
      <w:u w:val="single"/>
      <w14:textFill>
        <w14:solidFill>
          <w14:schemeClr w14:val="folHlink"/>
        </w14:solidFill>
      </w14:textFill>
    </w:rPr>
  </w:style>
  <w:style w:type="character" w:styleId="46">
    <w:name w:val="Emphasis"/>
    <w:basedOn w:val="43"/>
    <w:qFormat/>
    <w:uiPriority w:val="0"/>
    <w:rPr>
      <w:b/>
    </w:rPr>
  </w:style>
  <w:style w:type="character" w:styleId="47">
    <w:name w:val="HTML Definition"/>
    <w:basedOn w:val="43"/>
    <w:unhideWhenUsed/>
    <w:qFormat/>
    <w:uiPriority w:val="0"/>
  </w:style>
  <w:style w:type="character" w:styleId="48">
    <w:name w:val="HTML Typewriter"/>
    <w:basedOn w:val="43"/>
    <w:unhideWhenUsed/>
    <w:qFormat/>
    <w:uiPriority w:val="0"/>
    <w:rPr>
      <w:rFonts w:hint="default" w:ascii="monospace" w:hAnsi="monospace" w:eastAsia="monospace" w:cs="monospace"/>
      <w:sz w:val="20"/>
    </w:rPr>
  </w:style>
  <w:style w:type="character" w:styleId="49">
    <w:name w:val="HTML Acronym"/>
    <w:basedOn w:val="43"/>
    <w:unhideWhenUsed/>
    <w:qFormat/>
    <w:uiPriority w:val="0"/>
  </w:style>
  <w:style w:type="character" w:styleId="50">
    <w:name w:val="HTML Variable"/>
    <w:basedOn w:val="43"/>
    <w:unhideWhenUsed/>
    <w:qFormat/>
    <w:uiPriority w:val="0"/>
  </w:style>
  <w:style w:type="character" w:styleId="51">
    <w:name w:val="Hyperlink"/>
    <w:qFormat/>
    <w:uiPriority w:val="99"/>
    <w:rPr>
      <w:color w:val="0000FF"/>
      <w:u w:val="single"/>
    </w:rPr>
  </w:style>
  <w:style w:type="character" w:styleId="52">
    <w:name w:val="HTML Code"/>
    <w:basedOn w:val="43"/>
    <w:unhideWhenUsed/>
    <w:qFormat/>
    <w:uiPriority w:val="0"/>
    <w:rPr>
      <w:rFonts w:hint="default" w:ascii="monospace" w:hAnsi="monospace" w:eastAsia="monospace" w:cs="monospace"/>
      <w:sz w:val="20"/>
    </w:rPr>
  </w:style>
  <w:style w:type="character" w:styleId="53">
    <w:name w:val="annotation reference"/>
    <w:basedOn w:val="43"/>
    <w:qFormat/>
    <w:uiPriority w:val="0"/>
    <w:rPr>
      <w:sz w:val="21"/>
      <w:szCs w:val="21"/>
    </w:rPr>
  </w:style>
  <w:style w:type="character" w:styleId="54">
    <w:name w:val="HTML Cite"/>
    <w:basedOn w:val="43"/>
    <w:unhideWhenUsed/>
    <w:qFormat/>
    <w:uiPriority w:val="0"/>
  </w:style>
  <w:style w:type="character" w:styleId="55">
    <w:name w:val="HTML Keyboard"/>
    <w:basedOn w:val="43"/>
    <w:unhideWhenUsed/>
    <w:qFormat/>
    <w:uiPriority w:val="0"/>
    <w:rPr>
      <w:rFonts w:ascii="monospace" w:hAnsi="monospace" w:eastAsia="monospace" w:cs="monospace"/>
      <w:sz w:val="20"/>
    </w:rPr>
  </w:style>
  <w:style w:type="character" w:styleId="56">
    <w:name w:val="HTML Sample"/>
    <w:basedOn w:val="43"/>
    <w:unhideWhenUsed/>
    <w:qFormat/>
    <w:uiPriority w:val="0"/>
    <w:rPr>
      <w:rFonts w:hint="default" w:ascii="monospace" w:hAnsi="monospace" w:eastAsia="monospace" w:cs="monospace"/>
    </w:rPr>
  </w:style>
  <w:style w:type="paragraph" w:customStyle="1" w:styleId="57">
    <w:name w:val="一级条标题"/>
    <w:basedOn w:val="58"/>
    <w:next w:val="59"/>
    <w:qFormat/>
    <w:uiPriority w:val="0"/>
    <w:pPr>
      <w:spacing w:line="240" w:lineRule="auto"/>
      <w:ind w:left="420"/>
      <w:outlineLvl w:val="2"/>
    </w:pPr>
  </w:style>
  <w:style w:type="paragraph" w:customStyle="1" w:styleId="58">
    <w:name w:val="章标题"/>
    <w:next w:val="1"/>
    <w:qFormat/>
    <w:uiPriority w:val="0"/>
    <w:pPr>
      <w:spacing w:after="160" w:line="360" w:lineRule="auto"/>
      <w:jc w:val="both"/>
      <w:outlineLvl w:val="1"/>
    </w:pPr>
    <w:rPr>
      <w:rFonts w:ascii="黑体" w:hAnsi="Times New Roman" w:eastAsia="黑体" w:cs="Times New Roman"/>
      <w:sz w:val="21"/>
      <w:szCs w:val="22"/>
      <w:lang w:val="en-US" w:eastAsia="zh-CN" w:bidi="ar-SA"/>
    </w:rPr>
  </w:style>
  <w:style w:type="paragraph" w:customStyle="1" w:styleId="5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题 2 Char1"/>
    <w:basedOn w:val="1"/>
    <w:qFormat/>
    <w:uiPriority w:val="0"/>
  </w:style>
  <w:style w:type="paragraph" w:customStyle="1" w:styleId="61">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2">
    <w:name w:val="+正文"/>
    <w:basedOn w:val="1"/>
    <w:qFormat/>
    <w:uiPriority w:val="99"/>
    <w:pPr>
      <w:spacing w:line="360" w:lineRule="auto"/>
      <w:ind w:firstLine="200" w:firstLineChars="200"/>
    </w:pPr>
  </w:style>
  <w:style w:type="paragraph" w:customStyle="1" w:styleId="63">
    <w:name w:val="列出段落1"/>
    <w:basedOn w:val="1"/>
    <w:qFormat/>
    <w:uiPriority w:val="34"/>
    <w:pPr>
      <w:ind w:firstLine="420" w:firstLineChars="200"/>
    </w:pPr>
    <w:rPr>
      <w:rFonts w:ascii="Calibri" w:hAnsi="Calibri"/>
    </w:rPr>
  </w:style>
  <w:style w:type="paragraph" w:customStyle="1" w:styleId="64">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5">
    <w:name w:val="标题 1 字符"/>
    <w:basedOn w:val="43"/>
    <w:link w:val="2"/>
    <w:qFormat/>
    <w:uiPriority w:val="0"/>
    <w:rPr>
      <w:b/>
      <w:bCs/>
      <w:kern w:val="44"/>
      <w:sz w:val="44"/>
      <w:szCs w:val="44"/>
    </w:rPr>
  </w:style>
  <w:style w:type="character" w:customStyle="1" w:styleId="66">
    <w:name w:val="标题 2 字符"/>
    <w:basedOn w:val="43"/>
    <w:link w:val="3"/>
    <w:qFormat/>
    <w:uiPriority w:val="0"/>
    <w:rPr>
      <w:rFonts w:ascii="Calibri Light" w:hAnsi="Calibri Light" w:eastAsia="宋体" w:cs="Times New Roman"/>
      <w:b/>
      <w:bCs/>
      <w:kern w:val="2"/>
      <w:sz w:val="32"/>
      <w:szCs w:val="32"/>
    </w:rPr>
  </w:style>
  <w:style w:type="character" w:customStyle="1" w:styleId="67">
    <w:name w:val="标题 3 字符"/>
    <w:basedOn w:val="43"/>
    <w:link w:val="4"/>
    <w:qFormat/>
    <w:uiPriority w:val="9"/>
    <w:rPr>
      <w:b/>
      <w:bCs/>
      <w:kern w:val="2"/>
      <w:sz w:val="32"/>
      <w:szCs w:val="32"/>
    </w:rPr>
  </w:style>
  <w:style w:type="character" w:customStyle="1" w:styleId="68">
    <w:name w:val="标题 4 字符"/>
    <w:basedOn w:val="43"/>
    <w:link w:val="5"/>
    <w:qFormat/>
    <w:uiPriority w:val="9"/>
    <w:rPr>
      <w:rFonts w:asciiTheme="majorHAnsi" w:hAnsiTheme="majorHAnsi" w:eastAsiaTheme="majorEastAsia" w:cstheme="majorBidi"/>
      <w:b/>
      <w:bCs/>
      <w:kern w:val="2"/>
      <w:sz w:val="28"/>
      <w:szCs w:val="28"/>
    </w:rPr>
  </w:style>
  <w:style w:type="character" w:customStyle="1" w:styleId="69">
    <w:name w:val="标题 5 字符"/>
    <w:basedOn w:val="43"/>
    <w:link w:val="6"/>
    <w:semiHidden/>
    <w:qFormat/>
    <w:uiPriority w:val="9"/>
    <w:rPr>
      <w:rFonts w:eastAsia="楷体"/>
      <w:b/>
      <w:bCs/>
      <w:sz w:val="24"/>
      <w:szCs w:val="28"/>
    </w:rPr>
  </w:style>
  <w:style w:type="character" w:customStyle="1" w:styleId="70">
    <w:name w:val="标题 6 字符"/>
    <w:basedOn w:val="43"/>
    <w:link w:val="7"/>
    <w:qFormat/>
    <w:uiPriority w:val="0"/>
    <w:rPr>
      <w:rFonts w:ascii="Cambria" w:hAnsi="Cambria" w:eastAsia="楷体"/>
      <w:b/>
      <w:bCs/>
      <w:kern w:val="2"/>
      <w:sz w:val="24"/>
      <w:szCs w:val="24"/>
    </w:rPr>
  </w:style>
  <w:style w:type="character" w:customStyle="1" w:styleId="71">
    <w:name w:val="标题 7 字符"/>
    <w:basedOn w:val="43"/>
    <w:link w:val="8"/>
    <w:qFormat/>
    <w:uiPriority w:val="0"/>
    <w:rPr>
      <w:rFonts w:eastAsia="黑体"/>
      <w:b/>
      <w:bCs/>
      <w:kern w:val="2"/>
      <w:sz w:val="24"/>
      <w:szCs w:val="24"/>
    </w:rPr>
  </w:style>
  <w:style w:type="character" w:customStyle="1" w:styleId="72">
    <w:name w:val="标题 8 字符"/>
    <w:basedOn w:val="43"/>
    <w:link w:val="9"/>
    <w:qFormat/>
    <w:uiPriority w:val="0"/>
    <w:rPr>
      <w:rFonts w:ascii="Arial" w:hAnsi="Arial" w:eastAsia="黑体"/>
      <w:b/>
      <w:kern w:val="2"/>
      <w:sz w:val="24"/>
      <w:szCs w:val="24"/>
    </w:rPr>
  </w:style>
  <w:style w:type="character" w:customStyle="1" w:styleId="73">
    <w:name w:val="标题 9 字符"/>
    <w:basedOn w:val="43"/>
    <w:link w:val="10"/>
    <w:qFormat/>
    <w:uiPriority w:val="0"/>
    <w:rPr>
      <w:rFonts w:ascii="Arial" w:hAnsi="Arial" w:eastAsia="黑体"/>
      <w:b/>
      <w:kern w:val="2"/>
      <w:sz w:val="24"/>
      <w:szCs w:val="21"/>
    </w:rPr>
  </w:style>
  <w:style w:type="character" w:customStyle="1" w:styleId="74">
    <w:name w:val="文档结构图 字符"/>
    <w:basedOn w:val="43"/>
    <w:link w:val="14"/>
    <w:qFormat/>
    <w:uiPriority w:val="0"/>
    <w:rPr>
      <w:rFonts w:ascii="宋体"/>
      <w:kern w:val="2"/>
      <w:sz w:val="18"/>
      <w:szCs w:val="18"/>
    </w:rPr>
  </w:style>
  <w:style w:type="character" w:customStyle="1" w:styleId="75">
    <w:name w:val="批注文字 字符"/>
    <w:basedOn w:val="43"/>
    <w:link w:val="16"/>
    <w:qFormat/>
    <w:uiPriority w:val="99"/>
    <w:rPr>
      <w:kern w:val="2"/>
      <w:sz w:val="21"/>
      <w:szCs w:val="22"/>
    </w:rPr>
  </w:style>
  <w:style w:type="character" w:customStyle="1" w:styleId="76">
    <w:name w:val="正文文本 字符"/>
    <w:basedOn w:val="43"/>
    <w:link w:val="18"/>
    <w:qFormat/>
    <w:uiPriority w:val="1"/>
    <w:rPr>
      <w:rFonts w:ascii="宋体" w:hAnsi="宋体" w:cs="宋体"/>
      <w:sz w:val="18"/>
      <w:szCs w:val="18"/>
      <w:lang w:val="zh-CN" w:bidi="zh-CN"/>
    </w:rPr>
  </w:style>
  <w:style w:type="character" w:customStyle="1" w:styleId="77">
    <w:name w:val="纯文本 字符"/>
    <w:basedOn w:val="43"/>
    <w:link w:val="23"/>
    <w:qFormat/>
    <w:uiPriority w:val="0"/>
    <w:rPr>
      <w:rFonts w:ascii="宋体" w:hAnsi="Courier New" w:cs="Courier New" w:eastAsiaTheme="minorEastAsia"/>
      <w:kern w:val="2"/>
      <w:sz w:val="21"/>
      <w:szCs w:val="21"/>
    </w:rPr>
  </w:style>
  <w:style w:type="character" w:customStyle="1" w:styleId="78">
    <w:name w:val="日期 字符"/>
    <w:basedOn w:val="43"/>
    <w:link w:val="25"/>
    <w:qFormat/>
    <w:uiPriority w:val="0"/>
    <w:rPr>
      <w:kern w:val="2"/>
      <w:sz w:val="21"/>
      <w:szCs w:val="22"/>
    </w:rPr>
  </w:style>
  <w:style w:type="character" w:customStyle="1" w:styleId="79">
    <w:name w:val="批注框文本 字符"/>
    <w:basedOn w:val="43"/>
    <w:link w:val="27"/>
    <w:qFormat/>
    <w:uiPriority w:val="99"/>
    <w:rPr>
      <w:kern w:val="2"/>
      <w:sz w:val="18"/>
      <w:szCs w:val="18"/>
    </w:rPr>
  </w:style>
  <w:style w:type="character" w:customStyle="1" w:styleId="80">
    <w:name w:val="页脚 字符"/>
    <w:basedOn w:val="43"/>
    <w:link w:val="28"/>
    <w:qFormat/>
    <w:uiPriority w:val="99"/>
    <w:rPr>
      <w:kern w:val="2"/>
      <w:sz w:val="18"/>
      <w:szCs w:val="18"/>
    </w:rPr>
  </w:style>
  <w:style w:type="character" w:customStyle="1" w:styleId="81">
    <w:name w:val="页眉 字符"/>
    <w:basedOn w:val="43"/>
    <w:link w:val="29"/>
    <w:qFormat/>
    <w:uiPriority w:val="99"/>
    <w:rPr>
      <w:kern w:val="2"/>
      <w:sz w:val="18"/>
      <w:szCs w:val="18"/>
    </w:rPr>
  </w:style>
  <w:style w:type="character" w:customStyle="1" w:styleId="82">
    <w:name w:val="HTML 预设格式 字符"/>
    <w:basedOn w:val="43"/>
    <w:link w:val="35"/>
    <w:qFormat/>
    <w:uiPriority w:val="99"/>
    <w:rPr>
      <w:rFonts w:ascii="宋体" w:hAnsi="宋体" w:cs="宋体"/>
      <w:sz w:val="24"/>
      <w:szCs w:val="24"/>
    </w:rPr>
  </w:style>
  <w:style w:type="character" w:customStyle="1" w:styleId="83">
    <w:name w:val="批注主题 字符"/>
    <w:basedOn w:val="75"/>
    <w:link w:val="38"/>
    <w:qFormat/>
    <w:uiPriority w:val="99"/>
    <w:rPr>
      <w:b/>
      <w:bCs/>
      <w:kern w:val="2"/>
      <w:sz w:val="21"/>
      <w:szCs w:val="22"/>
    </w:rPr>
  </w:style>
  <w:style w:type="character" w:customStyle="1" w:styleId="84">
    <w:name w:val="high-light-bg4"/>
    <w:basedOn w:val="43"/>
    <w:qFormat/>
    <w:uiPriority w:val="0"/>
  </w:style>
  <w:style w:type="paragraph" w:customStyle="1" w:styleId="85">
    <w:name w:val="列出段落2"/>
    <w:basedOn w:val="1"/>
    <w:qFormat/>
    <w:uiPriority w:val="34"/>
    <w:pPr>
      <w:ind w:firstLine="420" w:firstLineChars="200"/>
    </w:pPr>
  </w:style>
  <w:style w:type="paragraph" w:customStyle="1" w:styleId="86">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List Paragraph"/>
    <w:basedOn w:val="1"/>
    <w:link w:val="88"/>
    <w:qFormat/>
    <w:uiPriority w:val="34"/>
    <w:pPr>
      <w:ind w:firstLine="420" w:firstLineChars="200"/>
    </w:pPr>
    <w:rPr>
      <w:rFonts w:ascii="Calibri" w:hAnsi="Calibri"/>
    </w:rPr>
  </w:style>
  <w:style w:type="character" w:customStyle="1" w:styleId="88">
    <w:name w:val="列表段落 字符"/>
    <w:basedOn w:val="43"/>
    <w:link w:val="87"/>
    <w:qFormat/>
    <w:uiPriority w:val="0"/>
    <w:rPr>
      <w:rFonts w:ascii="Calibri" w:hAnsi="Calibri"/>
      <w:kern w:val="2"/>
      <w:sz w:val="21"/>
      <w:szCs w:val="22"/>
    </w:rPr>
  </w:style>
  <w:style w:type="character" w:customStyle="1" w:styleId="89">
    <w:name w:val="Table Text Char1"/>
    <w:link w:val="90"/>
    <w:qFormat/>
    <w:locked/>
    <w:uiPriority w:val="0"/>
    <w:rPr>
      <w:rFonts w:ascii="Arial" w:hAnsi="Arial" w:cs="Arial"/>
    </w:rPr>
  </w:style>
  <w:style w:type="paragraph" w:customStyle="1" w:styleId="90">
    <w:name w:val="Table Text"/>
    <w:basedOn w:val="1"/>
    <w:link w:val="89"/>
    <w:qFormat/>
    <w:uiPriority w:val="0"/>
    <w:pPr>
      <w:widowControl/>
      <w:snapToGrid w:val="0"/>
      <w:spacing w:before="80" w:after="80"/>
      <w:jc w:val="left"/>
    </w:pPr>
    <w:rPr>
      <w:rFonts w:ascii="Arial" w:hAnsi="Arial"/>
      <w:kern w:val="0"/>
      <w:sz w:val="20"/>
      <w:szCs w:val="20"/>
    </w:rPr>
  </w:style>
  <w:style w:type="paragraph" w:customStyle="1" w:styleId="91">
    <w:name w:val="Char"/>
    <w:basedOn w:val="1"/>
    <w:qFormat/>
    <w:uiPriority w:val="0"/>
    <w:pPr>
      <w:adjustRightInd w:val="0"/>
      <w:spacing w:line="360" w:lineRule="auto"/>
    </w:pPr>
    <w:rPr>
      <w:rFonts w:ascii="Calibri" w:hAnsi="Calibri"/>
      <w:kern w:val="0"/>
      <w:sz w:val="24"/>
    </w:rPr>
  </w:style>
  <w:style w:type="character" w:customStyle="1" w:styleId="92">
    <w:name w:val="mh-gray2"/>
    <w:basedOn w:val="43"/>
    <w:qFormat/>
    <w:uiPriority w:val="0"/>
  </w:style>
  <w:style w:type="paragraph" w:customStyle="1" w:styleId="93">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94">
    <w:name w:val="font31"/>
    <w:basedOn w:val="43"/>
    <w:qFormat/>
    <w:uiPriority w:val="0"/>
    <w:rPr>
      <w:rFonts w:hint="eastAsia" w:ascii="宋体" w:hAnsi="宋体" w:eastAsia="宋体" w:cs="宋体"/>
      <w:b/>
      <w:color w:val="000000"/>
      <w:sz w:val="20"/>
      <w:szCs w:val="20"/>
      <w:u w:val="none"/>
    </w:rPr>
  </w:style>
  <w:style w:type="character" w:customStyle="1" w:styleId="95">
    <w:name w:val="font21"/>
    <w:basedOn w:val="43"/>
    <w:qFormat/>
    <w:uiPriority w:val="0"/>
    <w:rPr>
      <w:rFonts w:hint="eastAsia" w:ascii="宋体" w:hAnsi="宋体" w:eastAsia="宋体" w:cs="宋体"/>
      <w:color w:val="000000"/>
      <w:sz w:val="20"/>
      <w:szCs w:val="20"/>
      <w:u w:val="none"/>
    </w:rPr>
  </w:style>
  <w:style w:type="character" w:customStyle="1" w:styleId="96">
    <w:name w:val="font11"/>
    <w:basedOn w:val="43"/>
    <w:qFormat/>
    <w:uiPriority w:val="0"/>
    <w:rPr>
      <w:rFonts w:hint="eastAsia" w:ascii="宋体" w:hAnsi="宋体" w:eastAsia="宋体" w:cs="宋体"/>
      <w:color w:val="000000"/>
      <w:sz w:val="20"/>
      <w:szCs w:val="20"/>
      <w:u w:val="none"/>
    </w:rPr>
  </w:style>
  <w:style w:type="character" w:customStyle="1" w:styleId="97">
    <w:name w:val="font61"/>
    <w:basedOn w:val="43"/>
    <w:qFormat/>
    <w:uiPriority w:val="0"/>
    <w:rPr>
      <w:rFonts w:hint="default" w:ascii="Times New Roman" w:hAnsi="Times New Roman" w:cs="Times New Roman"/>
      <w:b/>
      <w:color w:val="000000"/>
      <w:sz w:val="20"/>
      <w:szCs w:val="20"/>
      <w:u w:val="none"/>
    </w:rPr>
  </w:style>
  <w:style w:type="character" w:customStyle="1" w:styleId="98">
    <w:name w:val="font41"/>
    <w:basedOn w:val="43"/>
    <w:qFormat/>
    <w:uiPriority w:val="0"/>
    <w:rPr>
      <w:rFonts w:hint="eastAsia" w:ascii="宋体" w:hAnsi="宋体" w:eastAsia="宋体" w:cs="宋体"/>
      <w:b/>
      <w:color w:val="000000"/>
      <w:sz w:val="20"/>
      <w:szCs w:val="20"/>
      <w:u w:val="none"/>
    </w:rPr>
  </w:style>
  <w:style w:type="character" w:customStyle="1" w:styleId="99">
    <w:name w:val="font01"/>
    <w:basedOn w:val="43"/>
    <w:qFormat/>
    <w:uiPriority w:val="0"/>
    <w:rPr>
      <w:rFonts w:hint="default" w:ascii="Times New Roman" w:hAnsi="Times New Roman" w:cs="Times New Roman"/>
      <w:b/>
      <w:color w:val="000000"/>
      <w:sz w:val="20"/>
      <w:szCs w:val="20"/>
      <w:u w:val="none"/>
    </w:rPr>
  </w:style>
  <w:style w:type="character" w:customStyle="1" w:styleId="100">
    <w:name w:val="font51"/>
    <w:basedOn w:val="43"/>
    <w:qFormat/>
    <w:uiPriority w:val="0"/>
    <w:rPr>
      <w:rFonts w:hint="default" w:ascii="Times New Roman" w:hAnsi="Times New Roman" w:cs="Times New Roman"/>
      <w:color w:val="000000"/>
      <w:sz w:val="20"/>
      <w:szCs w:val="20"/>
      <w:u w:val="none"/>
    </w:rPr>
  </w:style>
  <w:style w:type="character" w:customStyle="1" w:styleId="101">
    <w:name w:val="书籍标题1"/>
    <w:basedOn w:val="43"/>
    <w:qFormat/>
    <w:uiPriority w:val="0"/>
    <w:rPr>
      <w:rFonts w:ascii="Times New Roman" w:hAnsi="Times New Roman" w:eastAsia="宋体"/>
      <w:b/>
      <w:bCs/>
      <w:smallCaps/>
      <w:spacing w:val="5"/>
    </w:rPr>
  </w:style>
  <w:style w:type="character" w:customStyle="1" w:styleId="102">
    <w:name w:val="font71"/>
    <w:basedOn w:val="43"/>
    <w:qFormat/>
    <w:uiPriority w:val="0"/>
    <w:rPr>
      <w:rFonts w:hint="eastAsia" w:ascii="宋体" w:hAnsi="宋体" w:eastAsia="宋体" w:cs="宋体"/>
      <w:color w:val="000000"/>
      <w:sz w:val="18"/>
      <w:szCs w:val="18"/>
      <w:u w:val="none"/>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07">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08">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109">
    <w:name w:val="标题 字符"/>
    <w:link w:val="37"/>
    <w:qFormat/>
    <w:uiPriority w:val="0"/>
    <w:rPr>
      <w:rFonts w:ascii="Cambria" w:hAnsi="Cambria"/>
      <w:b/>
      <w:bCs/>
      <w:sz w:val="36"/>
      <w:szCs w:val="32"/>
    </w:rPr>
  </w:style>
  <w:style w:type="character" w:customStyle="1" w:styleId="110">
    <w:name w:val="标题 Char1"/>
    <w:basedOn w:val="43"/>
    <w:qFormat/>
    <w:uiPriority w:val="10"/>
    <w:rPr>
      <w:rFonts w:asciiTheme="majorHAnsi" w:hAnsiTheme="majorHAnsi" w:cstheme="majorBidi"/>
      <w:b/>
      <w:bCs/>
      <w:kern w:val="2"/>
      <w:sz w:val="32"/>
      <w:szCs w:val="32"/>
    </w:rPr>
  </w:style>
  <w:style w:type="paragraph" w:customStyle="1" w:styleId="111">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2">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3">
    <w:name w:val="列出段落 字符"/>
    <w:qFormat/>
    <w:locked/>
    <w:uiPriority w:val="34"/>
    <w:rPr>
      <w:kern w:val="2"/>
      <w:sz w:val="24"/>
      <w:szCs w:val="24"/>
    </w:rPr>
  </w:style>
  <w:style w:type="paragraph" w:customStyle="1" w:styleId="11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19">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0">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1">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2">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3">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4">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5">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6">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7">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8">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0">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2">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3">
    <w:name w:val="fontstyle01"/>
    <w:basedOn w:val="43"/>
    <w:qFormat/>
    <w:uiPriority w:val="0"/>
    <w:rPr>
      <w:rFonts w:hint="eastAsia" w:ascii="宋体" w:hAnsi="宋体" w:eastAsia="宋体"/>
      <w:color w:val="000000"/>
      <w:sz w:val="28"/>
      <w:szCs w:val="28"/>
    </w:rPr>
  </w:style>
  <w:style w:type="character" w:customStyle="1" w:styleId="134">
    <w:name w:val="fontstyle21"/>
    <w:basedOn w:val="43"/>
    <w:qFormat/>
    <w:uiPriority w:val="0"/>
    <w:rPr>
      <w:rFonts w:hint="default" w:ascii="TimesNewRomanPSMT" w:hAnsi="TimesNewRomanPSMT"/>
      <w:color w:val="000000"/>
      <w:sz w:val="28"/>
      <w:szCs w:val="28"/>
    </w:rPr>
  </w:style>
  <w:style w:type="table" w:customStyle="1" w:styleId="135">
    <w:name w:val="网格表 5 深色 - 着色 11"/>
    <w:basedOn w:val="41"/>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6">
    <w:name w:val="修订1"/>
    <w:hidden/>
    <w:semiHidden/>
    <w:qFormat/>
    <w:uiPriority w:val="99"/>
    <w:rPr>
      <w:rFonts w:ascii="Times New Roman" w:hAnsi="Times New Roman" w:eastAsia="楷体" w:cs="Times New Roman"/>
      <w:sz w:val="28"/>
      <w:lang w:val="en-US" w:eastAsia="zh-CN" w:bidi="ar-SA"/>
    </w:rPr>
  </w:style>
  <w:style w:type="paragraph" w:customStyle="1" w:styleId="137">
    <w:name w:val="列出段落"/>
    <w:basedOn w:val="1"/>
    <w:qFormat/>
    <w:uiPriority w:val="0"/>
    <w:pPr>
      <w:ind w:firstLine="420" w:firstLineChars="200"/>
    </w:pPr>
    <w:rPr>
      <w:szCs w:val="24"/>
    </w:rPr>
  </w:style>
  <w:style w:type="character" w:customStyle="1" w:styleId="138">
    <w:name w:val="mini-outputtext1"/>
    <w:basedOn w:val="43"/>
    <w:qFormat/>
    <w:uiPriority w:val="0"/>
  </w:style>
  <w:style w:type="paragraph" w:customStyle="1" w:styleId="139">
    <w:name w:val="List Paragraph_5bffc895-034f-4de1-b636-ffb285cb1a9a"/>
    <w:basedOn w:val="1"/>
    <w:qFormat/>
    <w:uiPriority w:val="34"/>
    <w:pPr>
      <w:ind w:firstLine="420" w:firstLineChars="200"/>
    </w:pPr>
  </w:style>
  <w:style w:type="paragraph" w:customStyle="1" w:styleId="140">
    <w:name w:val="正文格式"/>
    <w:basedOn w:val="1"/>
    <w:qFormat/>
    <w:uiPriority w:val="0"/>
    <w:pPr>
      <w:adjustRightInd w:val="0"/>
      <w:snapToGrid w:val="0"/>
      <w:spacing w:line="400" w:lineRule="atLeast"/>
      <w:ind w:firstLine="482"/>
      <w:textAlignment w:val="baseline"/>
    </w:pPr>
  </w:style>
  <w:style w:type="table" w:customStyle="1" w:styleId="141">
    <w:name w:val="TableGrid"/>
    <w:qFormat/>
    <w:uiPriority w:val="0"/>
    <w:rPr>
      <w:kern w:val="2"/>
      <w:sz w:val="21"/>
      <w:szCs w:val="22"/>
    </w:rPr>
    <w:tblPr>
      <w:tblCellMar>
        <w:top w:w="0" w:type="dxa"/>
        <w:left w:w="0" w:type="dxa"/>
        <w:bottom w:w="0" w:type="dxa"/>
        <w:right w:w="0" w:type="dxa"/>
      </w:tblCellMar>
    </w:tblPr>
  </w:style>
  <w:style w:type="paragraph" w:customStyle="1" w:styleId="142">
    <w:name w:val="Char1"/>
    <w:basedOn w:val="1"/>
    <w:qFormat/>
    <w:uiPriority w:val="0"/>
    <w:pPr>
      <w:tabs>
        <w:tab w:val="left" w:pos="360"/>
      </w:tabs>
      <w:ind w:left="360" w:hanging="360" w:hangingChars="200"/>
    </w:pPr>
    <w:rPr>
      <w:szCs w:val="24"/>
    </w:rPr>
  </w:style>
  <w:style w:type="paragraph" w:customStyle="1" w:styleId="143">
    <w:name w:val="HTML Preformatted"/>
    <w:basedOn w:val="1"/>
    <w:qFormat/>
    <w:uiPriority w:val="0"/>
    <w:rPr>
      <w:rFonts w:ascii="Courier New" w:hAnsi="Courier New"/>
      <w:sz w:val="20"/>
    </w:rPr>
  </w:style>
  <w:style w:type="paragraph" w:customStyle="1" w:styleId="144">
    <w:name w:val="正文 New"/>
    <w:qFormat/>
    <w:uiPriority w:val="99"/>
    <w:pPr>
      <w:widowControl w:val="0"/>
      <w:jc w:val="both"/>
    </w:pPr>
    <w:rPr>
      <w:rFonts w:ascii="Calibri" w:hAnsi="Calibri" w:eastAsia="宋体" w:cs="Times New Roman"/>
      <w:lang w:val="en-US" w:eastAsia="zh-CN" w:bidi="ar-SA"/>
    </w:rPr>
  </w:style>
  <w:style w:type="paragraph" w:customStyle="1" w:styleId="145">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46">
    <w:name w:val="NormalCharacter"/>
    <w:link w:val="1"/>
    <w:qFormat/>
    <w:uiPriority w:val="0"/>
    <w:rPr>
      <w:rFonts w:ascii="Times New Roman" w:hAnsi="Times New Roman" w:eastAsia="宋体" w:cs="Times New Roman"/>
      <w:kern w:val="2"/>
      <w:sz w:val="21"/>
      <w:szCs w:val="22"/>
      <w:lang w:val="en-US" w:eastAsia="zh-CN" w:bidi="ar-SA"/>
    </w:rPr>
  </w:style>
  <w:style w:type="paragraph" w:customStyle="1" w:styleId="147">
    <w:name w:val="_Style 9"/>
    <w:basedOn w:val="19"/>
    <w:next w:val="40"/>
    <w:unhideWhenUsed/>
    <w:qFormat/>
    <w:uiPriority w:val="99"/>
    <w:pPr>
      <w:spacing w:after="0"/>
      <w:ind w:left="0" w:leftChars="0" w:firstLine="420" w:firstLineChars="200"/>
    </w:pPr>
    <w:rPr>
      <w:rFonts w:ascii="Arial" w:hAnsi="Arial" w:eastAsia="仿宋_GB2312"/>
      <w:sz w:val="28"/>
      <w:szCs w:val="20"/>
    </w:rPr>
  </w:style>
  <w:style w:type="character" w:customStyle="1" w:styleId="148">
    <w:name w:val="font101"/>
    <w:basedOn w:val="43"/>
    <w:qFormat/>
    <w:uiPriority w:val="0"/>
    <w:rPr>
      <w:rFonts w:hint="eastAsia" w:ascii="宋体" w:hAnsi="宋体" w:eastAsia="宋体" w:cs="宋体"/>
      <w:color w:val="333333"/>
      <w:sz w:val="21"/>
      <w:szCs w:val="21"/>
      <w:u w:val="none"/>
    </w:rPr>
  </w:style>
  <w:style w:type="character" w:customStyle="1" w:styleId="149">
    <w:name w:val="font111"/>
    <w:basedOn w:val="43"/>
    <w:qFormat/>
    <w:uiPriority w:val="0"/>
    <w:rPr>
      <w:rFonts w:hint="eastAsia" w:ascii="宋体" w:hAnsi="宋体" w:eastAsia="宋体" w:cs="宋体"/>
      <w:color w:val="000000"/>
      <w:sz w:val="20"/>
      <w:szCs w:val="20"/>
      <w:u w:val="single"/>
    </w:rPr>
  </w:style>
  <w:style w:type="character" w:customStyle="1" w:styleId="150">
    <w:name w:val="layui-layer-tabnow"/>
    <w:basedOn w:val="43"/>
    <w:qFormat/>
    <w:uiPriority w:val="0"/>
    <w:rPr>
      <w:bdr w:val="single" w:color="CCCCCC" w:sz="6" w:space="0"/>
      <w:shd w:val="clear" w:fill="FFFFFF"/>
    </w:rPr>
  </w:style>
  <w:style w:type="character" w:customStyle="1" w:styleId="151">
    <w:name w:val="first-child"/>
    <w:basedOn w:val="43"/>
    <w:qFormat/>
    <w:uiPriority w:val="0"/>
  </w:style>
  <w:style w:type="paragraph" w:customStyle="1" w:styleId="152">
    <w:name w:val="首行缩进"/>
    <w:basedOn w:val="1"/>
    <w:qFormat/>
    <w:uiPriority w:val="0"/>
    <w:pPr>
      <w:spacing w:line="360" w:lineRule="auto"/>
      <w:ind w:firstLine="480" w:firstLineChars="200"/>
    </w:pPr>
    <w:rPr>
      <w:rFonts w:ascii="Calibri" w:hAnsi="Calibri" w:cs="Times New Roman"/>
      <w:sz w:val="24"/>
      <w:lang w:val="zh-CN"/>
    </w:rPr>
  </w:style>
  <w:style w:type="paragraph" w:customStyle="1" w:styleId="153">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54">
    <w:name w:val="Heading2"/>
    <w:basedOn w:val="1"/>
    <w:next w:val="1"/>
    <w:qFormat/>
    <w:uiPriority w:val="0"/>
    <w:pPr>
      <w:keepNext/>
      <w:keepLines/>
      <w:numPr>
        <w:ilvl w:val="1"/>
        <w:numId w:val="2"/>
      </w:numPr>
      <w:spacing w:before="20" w:after="20" w:line="360" w:lineRule="auto"/>
      <w:jc w:val="left"/>
    </w:pPr>
    <w:rPr>
      <w:rFonts w:eastAsia="微软雅黑" w:cs="微软雅黑"/>
      <w:b/>
      <w:bCs/>
      <w:sz w:val="30"/>
      <w:szCs w:val="30"/>
    </w:rPr>
  </w:style>
  <w:style w:type="paragraph" w:customStyle="1" w:styleId="155">
    <w:name w:val="null3"/>
    <w:hidden/>
    <w:qFormat/>
    <w:uiPriority w:val="0"/>
    <w:rPr>
      <w:rFonts w:hint="eastAsia" w:asciiTheme="minorHAnsi" w:hAnsiTheme="minorHAnsi" w:eastAsiaTheme="minorEastAsia" w:cstheme="minorBidi"/>
      <w:lang w:val="en-US" w:eastAsia="zh-Hans"/>
    </w:rPr>
  </w:style>
  <w:style w:type="table" w:customStyle="1" w:styleId="156">
    <w:name w:val="网格型2"/>
    <w:basedOn w:val="41"/>
    <w:qFormat/>
    <w:uiPriority w:val="39"/>
    <w:rPr>
      <w:rFonts w:ascii="宋体" w:hAnsi="宋体" w:cs="Times New Roman (正文 CS 字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7">
    <w:name w:val="方案正文"/>
    <w:basedOn w:val="1"/>
    <w:qFormat/>
    <w:uiPriority w:val="99"/>
    <w:pPr>
      <w:spacing w:before="120"/>
      <w:ind w:firstLine="425" w:firstLineChars="177"/>
    </w:pPr>
    <w:rPr>
      <w:rFonts w:ascii="华文细黑" w:hAnsi="华文细黑" w:eastAsia="华文细黑"/>
    </w:rPr>
  </w:style>
  <w:style w:type="paragraph" w:customStyle="1" w:styleId="158">
    <w:name w:val="列表段落1"/>
    <w:basedOn w:val="1"/>
    <w:qFormat/>
    <w:uiPriority w:val="34"/>
    <w:pPr>
      <w:ind w:firstLine="420" w:firstLineChars="200"/>
    </w:pPr>
    <w:rPr>
      <w:rFonts w:ascii="Calibri" w:hAnsi="Calibri"/>
    </w:rPr>
  </w:style>
  <w:style w:type="paragraph" w:customStyle="1" w:styleId="159">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228</Words>
  <Characters>253</Characters>
  <Lines>349</Lines>
  <Paragraphs>98</Paragraphs>
  <TotalTime>35</TotalTime>
  <ScaleCrop>false</ScaleCrop>
  <LinksUpToDate>false</LinksUpToDate>
  <CharactersWithSpaces>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2025-10-16T07:36:00Z</cp:lastPrinted>
  <dcterms:modified xsi:type="dcterms:W3CDTF">2025-12-03T08:56:41Z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304AC8D4BEF2483885C9F67A8CD5F0B5_13</vt:lpwstr>
  </property>
  <property fmtid="{D5CDD505-2E9C-101B-9397-08002B2CF9AE}" pid="4" name="commondata">
    <vt:lpwstr>eyJoZGlkIjoiMDNmNjJmMTM4NGNmYWYwY2E1ZWU4NzlhMzFkMzM0ODgifQ==</vt:lpwstr>
  </property>
  <property fmtid="{D5CDD505-2E9C-101B-9397-08002B2CF9AE}" pid="5" name="KSOTemplateDocerSaveRecord">
    <vt:lpwstr>eyJoZGlkIjoiMDg1OGE3YTllNWRkNjgwY2M5ZDEwMmY0ODQzZDFhY2IiLCJ1c2VySWQiOiIzNzU3MTM1MjkifQ==</vt:lpwstr>
  </property>
</Properties>
</file>