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E04D" w14:textId="77777777" w:rsidR="00CF2701" w:rsidRPr="00CF2701" w:rsidRDefault="00CF2701" w:rsidP="00CF2701">
      <w:pPr>
        <w:pStyle w:val="2"/>
        <w:spacing w:after="120" w:line="360" w:lineRule="auto"/>
        <w:jc w:val="center"/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</w:pPr>
      <w:r w:rsidRPr="00CF2701"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技术参数要求</w:t>
      </w:r>
    </w:p>
    <w:p w14:paraId="0C18D0ED" w14:textId="77777777" w:rsidR="00CF2701" w:rsidRPr="00CF2701" w:rsidRDefault="00CF2701" w:rsidP="00CF2701">
      <w:pPr>
        <w:ind w:firstLineChars="177" w:firstLine="426"/>
        <w:rPr>
          <w:rFonts w:ascii="宋体" w:eastAsia="宋体" w:hAnsi="宋体" w:hint="eastAsia"/>
          <w:b/>
          <w:bCs/>
          <w:color w:val="000000" w:themeColor="text1"/>
        </w:rPr>
      </w:pPr>
      <w:r w:rsidRPr="00CF2701">
        <w:rPr>
          <w:rFonts w:ascii="宋体" w:eastAsia="宋体" w:hAnsi="宋体" w:hint="eastAsia"/>
          <w:b/>
          <w:bCs/>
          <w:color w:val="000000" w:themeColor="text1"/>
        </w:rPr>
        <w:t>（一）</w:t>
      </w:r>
      <w:bookmarkStart w:id="0" w:name="_Hlk215581324"/>
      <w:r w:rsidRPr="00CF2701">
        <w:rPr>
          <w:rFonts w:ascii="宋体" w:eastAsia="宋体" w:hAnsi="宋体" w:hint="eastAsia"/>
          <w:b/>
          <w:bCs/>
          <w:color w:val="000000" w:themeColor="text1"/>
        </w:rPr>
        <w:t>冰冻切片机</w:t>
      </w:r>
      <w:bookmarkEnd w:id="0"/>
      <w:r w:rsidRPr="00CF2701">
        <w:rPr>
          <w:rFonts w:ascii="宋体" w:eastAsia="宋体" w:hAnsi="宋体" w:hint="eastAsia"/>
          <w:b/>
          <w:bCs/>
          <w:color w:val="000000" w:themeColor="text1"/>
        </w:rPr>
        <w:t>技术参数及要求：</w:t>
      </w:r>
    </w:p>
    <w:p w14:paraId="2F13DD9B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1.用途：用于术中快速病理诊断。</w:t>
      </w:r>
    </w:p>
    <w:p w14:paraId="28293E0E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2.主要功能及技术要求：</w:t>
      </w:r>
    </w:p>
    <w:p w14:paraId="513E6225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2.1、中文彩色触摸屏；</w:t>
      </w:r>
    </w:p>
    <w:p w14:paraId="61481515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2.2、制冷位点≥20个，其中快速制冷位点≥2个；</w:t>
      </w:r>
    </w:p>
    <w:p w14:paraId="255DB932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2.3、速冷点最低温度≤-55℃；</w:t>
      </w:r>
    </w:p>
    <w:p w14:paraId="17968297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2.4、具有紫外线消毒功能，消毒时间≥1-300分钟可调；</w:t>
      </w:r>
    </w:p>
    <w:p w14:paraId="041CA304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2.5、切片垂直行程≥60mm，</w:t>
      </w:r>
    </w:p>
    <w:p w14:paraId="59A680DB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2.6、水平进样行程≥25mm；</w:t>
      </w:r>
    </w:p>
    <w:p w14:paraId="63AA386F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2.7、具有样本头回缩功能，回缩行程≥20μmm；</w:t>
      </w:r>
    </w:p>
    <w:p w14:paraId="1443E33A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2.8、冷冻箱体温度5℃到-35℃可调；</w:t>
      </w:r>
    </w:p>
    <w:p w14:paraId="0B70E6F0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2.9、可以定时自动除霜，也可以手动除霜；</w:t>
      </w:r>
    </w:p>
    <w:p w14:paraId="055847E1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2.10、切片厚度范围1-500μm，修片厚度范围5-500μm；</w:t>
      </w:r>
    </w:p>
    <w:p w14:paraId="26CA292E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2.11、样本头定位：x轴、y轴通用8°可调；z轴360°可调；</w:t>
      </w:r>
    </w:p>
    <w:p w14:paraId="349A8428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2.12、具有切片计数功能；</w:t>
      </w:r>
    </w:p>
    <w:p w14:paraId="26CCC015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2.13、箱体照明亮度、角度可调节；</w:t>
      </w:r>
    </w:p>
    <w:p w14:paraId="17F1BF65" w14:textId="298A9ADD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2.14、具备步进马达进样系统；</w:t>
      </w:r>
    </w:p>
    <w:p w14:paraId="30485065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2.15、刀架可兼容宽刀片和窄刀片使用。</w:t>
      </w:r>
    </w:p>
    <w:p w14:paraId="61411033" w14:textId="77777777" w:rsidR="00CF2701" w:rsidRPr="00CF2701" w:rsidRDefault="00CF2701" w:rsidP="00CF2701">
      <w:pPr>
        <w:ind w:firstLineChars="177" w:firstLine="426"/>
        <w:rPr>
          <w:rFonts w:ascii="宋体" w:eastAsia="宋体" w:hAnsi="宋体" w:hint="eastAsia"/>
          <w:b/>
          <w:bCs/>
          <w:color w:val="000000" w:themeColor="text1"/>
        </w:rPr>
      </w:pPr>
      <w:r w:rsidRPr="00CF2701">
        <w:rPr>
          <w:rFonts w:ascii="宋体" w:eastAsia="宋体" w:hAnsi="宋体" w:hint="eastAsia"/>
          <w:b/>
          <w:bCs/>
          <w:color w:val="000000" w:themeColor="text1"/>
        </w:rPr>
        <w:t>（二）手术无影灯技术参数及要求</w:t>
      </w:r>
    </w:p>
    <w:p w14:paraId="181768BE" w14:textId="4563D90A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1.</w:t>
      </w:r>
      <w:r w:rsidRPr="00CF2701">
        <w:rPr>
          <w:rFonts w:ascii="宋体" w:eastAsia="宋体" w:hAnsi="宋体" w:hint="eastAsia"/>
          <w:color w:val="000000" w:themeColor="text1"/>
        </w:rPr>
        <w:tab/>
        <w:t>▲光源数量：母灯灯珠≥70个，子灯灯珠≥40个；</w:t>
      </w:r>
    </w:p>
    <w:p w14:paraId="551A104C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2.</w:t>
      </w:r>
      <w:r w:rsidRPr="00CF2701">
        <w:rPr>
          <w:rFonts w:ascii="宋体" w:eastAsia="宋体" w:hAnsi="宋体" w:hint="eastAsia"/>
          <w:color w:val="000000" w:themeColor="text1"/>
        </w:rPr>
        <w:tab/>
        <w:t>通过电磁兼容性测试，符合YY 9706.102-2021要求；</w:t>
      </w:r>
    </w:p>
    <w:p w14:paraId="63F01431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3.</w:t>
      </w:r>
      <w:r w:rsidRPr="00CF2701">
        <w:rPr>
          <w:rFonts w:ascii="宋体" w:eastAsia="宋体" w:hAnsi="宋体" w:hint="eastAsia"/>
          <w:color w:val="000000" w:themeColor="text1"/>
        </w:rPr>
        <w:tab/>
        <w:t>具备LED冷光技术，每组LED光源具有单独透镜聚光，灯头流线型设计，符合DIN1946-4层流标准；</w:t>
      </w:r>
    </w:p>
    <w:p w14:paraId="0C437AD0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4.</w:t>
      </w:r>
      <w:r w:rsidRPr="00CF2701">
        <w:rPr>
          <w:rFonts w:ascii="宋体" w:eastAsia="宋体" w:hAnsi="宋体" w:hint="eastAsia"/>
          <w:color w:val="000000" w:themeColor="text1"/>
        </w:rPr>
        <w:tab/>
        <w:t>具有电容屏控制面板，尺寸≥5英寸，可对照度，色温，光斑进行调节。</w:t>
      </w:r>
    </w:p>
    <w:p w14:paraId="13CB3D54" w14:textId="13CA9656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5.</w:t>
      </w:r>
      <w:r w:rsidRPr="00CF2701">
        <w:rPr>
          <w:rFonts w:ascii="宋体" w:eastAsia="宋体" w:hAnsi="宋体" w:hint="eastAsia"/>
          <w:color w:val="000000" w:themeColor="text1"/>
        </w:rPr>
        <w:tab/>
        <w:t>中心照度Ec：母灯40000</w:t>
      </w:r>
      <w:bookmarkStart w:id="1" w:name="OLE_LINK10"/>
      <w:r w:rsidRPr="00CF2701">
        <w:rPr>
          <w:rFonts w:ascii="宋体" w:eastAsia="宋体" w:hAnsi="宋体" w:hint="eastAsia"/>
          <w:color w:val="000000" w:themeColor="text1"/>
        </w:rPr>
        <w:t>Lux</w:t>
      </w:r>
      <w:bookmarkEnd w:id="1"/>
      <w:r w:rsidRPr="00CF2701">
        <w:rPr>
          <w:rFonts w:ascii="宋体" w:eastAsia="宋体" w:hAnsi="宋体" w:hint="eastAsia"/>
          <w:color w:val="000000" w:themeColor="text1"/>
        </w:rPr>
        <w:t xml:space="preserve"> 到160000Lux之间十级可调，子灯40000Lux到160000Lux之间十级可调；</w:t>
      </w:r>
    </w:p>
    <w:p w14:paraId="76FC8918" w14:textId="2D3EB4C2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6.</w:t>
      </w:r>
      <w:r w:rsidRPr="00CF2701">
        <w:rPr>
          <w:rFonts w:ascii="宋体" w:eastAsia="宋体" w:hAnsi="宋体" w:hint="eastAsia"/>
          <w:color w:val="000000" w:themeColor="text1"/>
        </w:rPr>
        <w:tab/>
        <w:t>▲子母灯光柱深度实测值≥1300mm；（提供专业机构出具的检测报告）</w:t>
      </w:r>
    </w:p>
    <w:p w14:paraId="512445CB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7.</w:t>
      </w:r>
      <w:r w:rsidRPr="00CF2701">
        <w:rPr>
          <w:rFonts w:ascii="宋体" w:eastAsia="宋体" w:hAnsi="宋体" w:hint="eastAsia"/>
          <w:color w:val="000000" w:themeColor="text1"/>
        </w:rPr>
        <w:tab/>
        <w:t>光斑直径：具备可调节功能，母灯及子灯均满足最小光斑直径d10≤</w:t>
      </w:r>
      <w:r w:rsidRPr="00CF2701">
        <w:rPr>
          <w:rFonts w:ascii="宋体" w:eastAsia="宋体" w:hAnsi="宋体" w:hint="eastAsia"/>
          <w:color w:val="000000" w:themeColor="text1"/>
        </w:rPr>
        <w:lastRenderedPageBreak/>
        <w:t>140mm，最大光斑直径≥d10为300mm；</w:t>
      </w:r>
    </w:p>
    <w:p w14:paraId="7796621F" w14:textId="59A950EA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8.</w:t>
      </w:r>
      <w:r w:rsidRPr="00CF2701">
        <w:rPr>
          <w:rFonts w:ascii="宋体" w:eastAsia="宋体" w:hAnsi="宋体" w:hint="eastAsia"/>
          <w:color w:val="000000" w:themeColor="text1"/>
        </w:rPr>
        <w:tab/>
      </w:r>
      <w:bookmarkStart w:id="2" w:name="OLE_LINK13"/>
      <w:r w:rsidRPr="00CF2701">
        <w:rPr>
          <w:rFonts w:ascii="宋体" w:eastAsia="宋体" w:hAnsi="宋体" w:hint="eastAsia"/>
          <w:color w:val="000000" w:themeColor="text1"/>
        </w:rPr>
        <w:t>腔镜照明模式：照度≤550Lux</w:t>
      </w:r>
      <w:bookmarkEnd w:id="2"/>
      <w:r w:rsidRPr="00CF2701">
        <w:rPr>
          <w:rFonts w:ascii="宋体" w:eastAsia="宋体" w:hAnsi="宋体" w:hint="eastAsia"/>
          <w:color w:val="000000" w:themeColor="text1"/>
        </w:rPr>
        <w:t>，可切换三种以上颜色。光斑均匀性：最大光斑环境下d50/d10实测值≥50%。最小光斑环境下d50/d10实测值≥50%。（提供专业机构出具的检测报告）；</w:t>
      </w:r>
    </w:p>
    <w:p w14:paraId="5F3F363F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9.</w:t>
      </w:r>
      <w:r w:rsidRPr="00CF2701">
        <w:rPr>
          <w:rFonts w:ascii="宋体" w:eastAsia="宋体" w:hAnsi="宋体" w:hint="eastAsia"/>
          <w:color w:val="000000" w:themeColor="text1"/>
        </w:rPr>
        <w:tab/>
        <w:t>母灯深腔照明率100%，子灯深腔照明率100%；</w:t>
      </w:r>
    </w:p>
    <w:p w14:paraId="1710F9D0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10.</w:t>
      </w:r>
      <w:r w:rsidRPr="00CF2701">
        <w:rPr>
          <w:rFonts w:ascii="宋体" w:eastAsia="宋体" w:hAnsi="宋体" w:hint="eastAsia"/>
          <w:color w:val="000000" w:themeColor="text1"/>
        </w:rPr>
        <w:tab/>
        <w:t>移动便捷性：子母灯Z垂直方向移动的作用力≤40N，X、Y水平方向移动的作用力≤25N；</w:t>
      </w:r>
    </w:p>
    <w:p w14:paraId="014C5BC3" w14:textId="5CE37432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11.</w:t>
      </w:r>
      <w:r w:rsidRPr="00CF2701">
        <w:rPr>
          <w:rFonts w:ascii="宋体" w:eastAsia="宋体" w:hAnsi="宋体" w:hint="eastAsia"/>
          <w:color w:val="000000" w:themeColor="text1"/>
        </w:rPr>
        <w:tab/>
        <w:t>▲母灯配置阴影管理系统，单遮挡深腔无影率实测值≥100%，双遮挡深腔无影率实测值≥95%；</w:t>
      </w:r>
    </w:p>
    <w:p w14:paraId="6968E7FB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12.</w:t>
      </w:r>
      <w:r w:rsidRPr="00CF2701">
        <w:rPr>
          <w:rFonts w:ascii="宋体" w:eastAsia="宋体" w:hAnsi="宋体" w:hint="eastAsia"/>
          <w:color w:val="000000" w:themeColor="text1"/>
        </w:rPr>
        <w:tab/>
        <w:t>子母灯显色指数实测值Ra≥97，子母灯显色指数实测值R9≥93；（提供专业机构出具的检测报告）；</w:t>
      </w:r>
    </w:p>
    <w:p w14:paraId="78988576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13.</w:t>
      </w:r>
      <w:r w:rsidRPr="00CF2701">
        <w:rPr>
          <w:rFonts w:ascii="宋体" w:eastAsia="宋体" w:hAnsi="宋体" w:hint="eastAsia"/>
          <w:color w:val="000000" w:themeColor="text1"/>
        </w:rPr>
        <w:tab/>
        <w:t>具有自定义临床模式：可保存≥3个以上不同的照明参数，一键切换；</w:t>
      </w:r>
    </w:p>
    <w:p w14:paraId="0E450026" w14:textId="77777777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14.</w:t>
      </w:r>
      <w:r w:rsidRPr="00CF2701">
        <w:rPr>
          <w:rFonts w:ascii="宋体" w:eastAsia="宋体" w:hAnsi="宋体" w:hint="eastAsia"/>
          <w:color w:val="000000" w:themeColor="text1"/>
        </w:rPr>
        <w:tab/>
        <w:t>具备照度稳定技术，照度固定时，调节光斑大小，照度变化值≤±20000lux；</w:t>
      </w:r>
    </w:p>
    <w:p w14:paraId="08236416" w14:textId="5F812F9A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15.</w:t>
      </w:r>
      <w:r w:rsidRPr="00CF2701">
        <w:rPr>
          <w:rFonts w:ascii="宋体" w:eastAsia="宋体" w:hAnsi="宋体" w:hint="eastAsia"/>
          <w:color w:val="000000" w:themeColor="text1"/>
        </w:rPr>
        <w:tab/>
        <w:t>辐照度/中心照度实测值≤3.5mW/(㎡·lux)；</w:t>
      </w:r>
    </w:p>
    <w:p w14:paraId="50C34EE6" w14:textId="7A0C0161" w:rsidR="00CF2701" w:rsidRPr="00CF2701" w:rsidRDefault="00CF2701" w:rsidP="00CF2701">
      <w:pPr>
        <w:ind w:firstLineChars="177" w:firstLine="425"/>
        <w:rPr>
          <w:rFonts w:ascii="宋体" w:eastAsia="宋体" w:hAnsi="宋体" w:hint="eastAsia"/>
          <w:color w:val="000000" w:themeColor="text1"/>
        </w:rPr>
      </w:pPr>
      <w:r w:rsidRPr="00CF2701">
        <w:rPr>
          <w:rFonts w:ascii="宋体" w:eastAsia="宋体" w:hAnsi="宋体" w:hint="eastAsia"/>
          <w:color w:val="000000" w:themeColor="text1"/>
        </w:rPr>
        <w:t>16.</w:t>
      </w:r>
      <w:r w:rsidRPr="00CF2701">
        <w:rPr>
          <w:rFonts w:ascii="宋体" w:eastAsia="宋体" w:hAnsi="宋体" w:hint="eastAsia"/>
          <w:color w:val="000000" w:themeColor="text1"/>
        </w:rPr>
        <w:tab/>
        <w:t>▲灯珠寿命≥60000小时。</w:t>
      </w:r>
    </w:p>
    <w:p w14:paraId="2EE6CC29" w14:textId="77777777" w:rsidR="00CF2701" w:rsidRPr="00CF2701" w:rsidRDefault="00CF2701">
      <w:pPr>
        <w:ind w:firstLine="480"/>
        <w:rPr>
          <w:rFonts w:hint="eastAsia"/>
          <w:color w:val="000000" w:themeColor="text1"/>
        </w:rPr>
      </w:pPr>
    </w:p>
    <w:sectPr w:rsidR="00CF2701" w:rsidRPr="00CF2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01"/>
    <w:rsid w:val="002C7161"/>
    <w:rsid w:val="0076304E"/>
    <w:rsid w:val="00CF2701"/>
    <w:rsid w:val="00D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DCD08"/>
  <w15:chartTrackingRefBased/>
  <w15:docId w15:val="{E0E85F26-76B0-40EE-98AF-236A4B3C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701"/>
    <w:pPr>
      <w:widowControl w:val="0"/>
      <w:spacing w:after="0" w:line="360" w:lineRule="auto"/>
      <w:ind w:firstLineChars="200" w:firstLine="200"/>
      <w:jc w:val="both"/>
    </w:pPr>
    <w:rPr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2701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1"/>
    <w:unhideWhenUsed/>
    <w:qFormat/>
    <w:rsid w:val="00CF2701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701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701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701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701"/>
    <w:pPr>
      <w:keepNext/>
      <w:keepLines/>
      <w:spacing w:before="40" w:line="278" w:lineRule="auto"/>
      <w:ind w:firstLineChars="0" w:firstLine="0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701"/>
    <w:pPr>
      <w:keepNext/>
      <w:keepLines/>
      <w:spacing w:before="40" w:line="278" w:lineRule="auto"/>
      <w:ind w:firstLineChars="0" w:firstLine="0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701"/>
    <w:pPr>
      <w:keepNext/>
      <w:keepLines/>
      <w:spacing w:line="278" w:lineRule="auto"/>
      <w:ind w:firstLineChars="0" w:firstLine="0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701"/>
    <w:pPr>
      <w:keepNext/>
      <w:keepLines/>
      <w:spacing w:line="278" w:lineRule="auto"/>
      <w:ind w:firstLineChars="0" w:firstLine="0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qFormat/>
    <w:rsid w:val="00CF2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701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F2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701"/>
    <w:pPr>
      <w:numPr>
        <w:ilvl w:val="1"/>
      </w:numPr>
      <w:spacing w:after="160" w:line="278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F2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701"/>
    <w:pPr>
      <w:spacing w:before="160" w:after="160" w:line="278" w:lineRule="auto"/>
      <w:ind w:firstLineChars="0" w:firstLine="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F2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701"/>
    <w:pPr>
      <w:spacing w:after="160" w:line="278" w:lineRule="auto"/>
      <w:ind w:left="720" w:firstLineChars="0" w:firstLine="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F2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F2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625</Characters>
  <Application>Microsoft Office Word</Application>
  <DocSecurity>0</DocSecurity>
  <Lines>27</Lines>
  <Paragraphs>37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嘉信瑞诚</dc:creator>
  <cp:keywords/>
  <dc:description/>
  <cp:lastModifiedBy>嘉信瑞诚</cp:lastModifiedBy>
  <cp:revision>2</cp:revision>
  <dcterms:created xsi:type="dcterms:W3CDTF">2025-12-03T08:50:00Z</dcterms:created>
  <dcterms:modified xsi:type="dcterms:W3CDTF">2025-12-03T09:17:00Z</dcterms:modified>
</cp:coreProperties>
</file>