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D997">
      <w:pPr>
        <w:pStyle w:val="14"/>
        <w:jc w:val="center"/>
        <w:rPr>
          <w:rFonts w:hint="eastAsia"/>
          <w:b/>
          <w:bCs/>
          <w:sz w:val="36"/>
          <w:szCs w:val="36"/>
          <w:highlight w:val="none"/>
          <w:lang w:val="en-US" w:eastAsia="zh-CN"/>
        </w:rPr>
      </w:pPr>
      <w:r>
        <w:rPr>
          <w:rFonts w:hint="eastAsia"/>
          <w:b/>
          <w:bCs/>
          <w:sz w:val="36"/>
          <w:szCs w:val="36"/>
          <w:highlight w:val="none"/>
          <w:lang w:val="en-US" w:eastAsia="zh-CN"/>
        </w:rPr>
        <w:t>采购需求</w:t>
      </w:r>
    </w:p>
    <w:tbl>
      <w:tblPr>
        <w:tblStyle w:val="10"/>
        <w:tblpPr w:leftFromText="180" w:rightFromText="180" w:vertAnchor="text" w:horzAnchor="page" w:tblpXSpec="center" w:tblpY="603"/>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95"/>
        <w:gridCol w:w="7"/>
        <w:gridCol w:w="1552"/>
        <w:gridCol w:w="7111"/>
      </w:tblGrid>
      <w:tr w14:paraId="1D8D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shd w:val="clear" w:color="auto" w:fill="FFFFFF"/>
            <w:vAlign w:val="center"/>
          </w:tcPr>
          <w:p w14:paraId="1E244470">
            <w:pPr>
              <w:pStyle w:val="19"/>
              <w:spacing w:line="240" w:lineRule="auto"/>
              <w:ind w:firstLine="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1552" w:type="dxa"/>
            <w:shd w:val="clear" w:color="auto" w:fill="FFFFFF"/>
            <w:vAlign w:val="center"/>
          </w:tcPr>
          <w:p w14:paraId="0544792E">
            <w:pPr>
              <w:pStyle w:val="19"/>
              <w:spacing w:line="240" w:lineRule="auto"/>
              <w:ind w:firstLine="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关键事项</w:t>
            </w:r>
          </w:p>
        </w:tc>
        <w:tc>
          <w:tcPr>
            <w:tcW w:w="7111" w:type="dxa"/>
            <w:shd w:val="clear" w:color="auto" w:fill="FFFFFF"/>
            <w:vAlign w:val="center"/>
          </w:tcPr>
          <w:p w14:paraId="27CDEEB5">
            <w:pPr>
              <w:pStyle w:val="19"/>
              <w:spacing w:line="240" w:lineRule="auto"/>
              <w:ind w:firstLine="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说明和要求</w:t>
            </w:r>
          </w:p>
        </w:tc>
      </w:tr>
      <w:tr w14:paraId="587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shd w:val="clear" w:color="auto" w:fill="FFFFFF"/>
            <w:vAlign w:val="center"/>
          </w:tcPr>
          <w:p w14:paraId="1B05DADD">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2" w:type="dxa"/>
            <w:shd w:val="clear" w:color="auto" w:fill="FFFFFF"/>
            <w:vAlign w:val="center"/>
          </w:tcPr>
          <w:p w14:paraId="264FAD60">
            <w:pPr>
              <w:pStyle w:val="19"/>
              <w:spacing w:line="240" w:lineRule="auto"/>
              <w:ind w:firstLine="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釆购预算</w:t>
            </w:r>
          </w:p>
        </w:tc>
        <w:tc>
          <w:tcPr>
            <w:tcW w:w="7111" w:type="dxa"/>
            <w:shd w:val="clear" w:color="auto" w:fill="FFFFFF"/>
            <w:vAlign w:val="center"/>
          </w:tcPr>
          <w:p w14:paraId="0C38C846">
            <w:pPr>
              <w:pStyle w:val="19"/>
              <w:tabs>
                <w:tab w:val="left" w:leader="underscore" w:pos="2038"/>
              </w:tabs>
              <w:spacing w:line="313" w:lineRule="exact"/>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w:t>
            </w:r>
            <w:r>
              <w:rPr>
                <w:rFonts w:hint="eastAsia" w:ascii="仿宋" w:hAnsi="仿宋" w:eastAsia="仿宋" w:cs="仿宋"/>
                <w:b/>
                <w:color w:val="auto"/>
                <w:sz w:val="24"/>
                <w:szCs w:val="24"/>
                <w:highlight w:val="none"/>
                <w:u w:val="single"/>
                <w:lang w:val="en-US" w:eastAsia="zh-CN"/>
              </w:rPr>
              <w:t>300000.00</w:t>
            </w:r>
            <w:r>
              <w:rPr>
                <w:rFonts w:hint="eastAsia" w:ascii="仿宋" w:hAnsi="仿宋" w:eastAsia="仿宋" w:cs="仿宋"/>
                <w:b/>
                <w:color w:val="auto"/>
                <w:sz w:val="24"/>
                <w:szCs w:val="24"/>
                <w:highlight w:val="none"/>
              </w:rPr>
              <w:t>元</w:t>
            </w:r>
          </w:p>
          <w:p w14:paraId="2106A418">
            <w:pPr>
              <w:pStyle w:val="19"/>
              <w:spacing w:line="313"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仅指与本次釆购标的直接相关的费用，前期勘察费、设计费等已发生的费用，以及监理费、接口费等为未来预留费用，不应当包含在本项目采购预算内，甲方须向财政部门经费业务</w:t>
            </w:r>
            <w:r>
              <w:rPr>
                <w:rFonts w:hint="eastAsia" w:ascii="仿宋" w:hAnsi="仿宋" w:eastAsia="仿宋" w:cs="仿宋"/>
                <w:color w:val="auto"/>
                <w:sz w:val="24"/>
                <w:szCs w:val="24"/>
                <w:highlight w:val="none"/>
                <w:lang w:eastAsia="zh-CN"/>
              </w:rPr>
              <w:t>科</w:t>
            </w:r>
            <w:r>
              <w:rPr>
                <w:rFonts w:hint="eastAsia" w:ascii="仿宋" w:hAnsi="仿宋" w:eastAsia="仿宋" w:cs="仿宋"/>
                <w:color w:val="auto"/>
                <w:sz w:val="24"/>
                <w:szCs w:val="24"/>
                <w:highlight w:val="none"/>
              </w:rPr>
              <w:t>室申请办理经费剥离手续。</w:t>
            </w:r>
          </w:p>
        </w:tc>
      </w:tr>
      <w:tr w14:paraId="0D4D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shd w:val="clear" w:color="auto" w:fill="FFFFFF"/>
            <w:vAlign w:val="center"/>
          </w:tcPr>
          <w:p w14:paraId="2B5A90D1">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2" w:type="dxa"/>
            <w:shd w:val="clear" w:color="auto" w:fill="FFFFFF"/>
            <w:vAlign w:val="center"/>
          </w:tcPr>
          <w:p w14:paraId="535C9C7F">
            <w:pPr>
              <w:pStyle w:val="19"/>
              <w:spacing w:line="240" w:lineRule="auto"/>
              <w:ind w:firstLine="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7111" w:type="dxa"/>
            <w:shd w:val="clear" w:color="auto" w:fill="FFFFFF"/>
            <w:vAlign w:val="bottom"/>
          </w:tcPr>
          <w:p w14:paraId="2C78B842">
            <w:pPr>
              <w:pStyle w:val="19"/>
              <w:tabs>
                <w:tab w:val="left" w:leader="underscore" w:pos="2038"/>
              </w:tabs>
              <w:spacing w:line="313" w:lineRule="exact"/>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w:t>
            </w:r>
            <w:r>
              <w:rPr>
                <w:rFonts w:hint="eastAsia" w:ascii="仿宋" w:hAnsi="仿宋" w:eastAsia="仿宋" w:cs="仿宋"/>
                <w:b/>
                <w:color w:val="auto"/>
                <w:sz w:val="24"/>
                <w:szCs w:val="24"/>
                <w:highlight w:val="none"/>
                <w:u w:val="single"/>
                <w:lang w:val="en-US" w:eastAsia="zh-CN"/>
              </w:rPr>
              <w:t>300000.00</w:t>
            </w:r>
            <w:r>
              <w:rPr>
                <w:rFonts w:hint="eastAsia" w:ascii="仿宋" w:hAnsi="仿宋" w:eastAsia="仿宋" w:cs="仿宋"/>
                <w:b/>
                <w:color w:val="auto"/>
                <w:sz w:val="24"/>
                <w:szCs w:val="24"/>
                <w:highlight w:val="none"/>
              </w:rPr>
              <w:t>元</w:t>
            </w:r>
          </w:p>
          <w:p w14:paraId="32429B28">
            <w:pPr>
              <w:pStyle w:val="19"/>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供应商投标报价高于最高限价的则其投标文件将按无效投标文件处理。</w:t>
            </w:r>
          </w:p>
        </w:tc>
      </w:tr>
      <w:tr w14:paraId="362A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restart"/>
            <w:shd w:val="clear" w:color="auto" w:fill="FFFFFF"/>
            <w:vAlign w:val="center"/>
          </w:tcPr>
          <w:p w14:paraId="5E556B0E">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2" w:type="dxa"/>
            <w:vMerge w:val="restart"/>
            <w:shd w:val="clear" w:color="auto" w:fill="FFFFFF"/>
            <w:vAlign w:val="center"/>
          </w:tcPr>
          <w:p w14:paraId="713499B1">
            <w:pPr>
              <w:pStyle w:val="19"/>
              <w:spacing w:line="240" w:lineRule="auto"/>
              <w:ind w:firstLine="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项目性质</w:t>
            </w:r>
          </w:p>
        </w:tc>
        <w:tc>
          <w:tcPr>
            <w:tcW w:w="7111" w:type="dxa"/>
            <w:shd w:val="clear" w:color="auto" w:fill="FFFFFF"/>
            <w:vAlign w:val="center"/>
          </w:tcPr>
          <w:p w14:paraId="237BE671">
            <w:pPr>
              <w:pStyle w:val="19"/>
              <w:spacing w:line="284" w:lineRule="exact"/>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val="zh-CN" w:eastAsia="zh-CN" w:bidi="zh-CN"/>
              </w:rPr>
              <w:t>专</w:t>
            </w:r>
            <w:r>
              <w:rPr>
                <w:rFonts w:hint="eastAsia" w:ascii="仿宋" w:hAnsi="仿宋" w:eastAsia="仿宋" w:cs="仿宋"/>
                <w:b/>
                <w:color w:val="auto"/>
                <w:sz w:val="24"/>
                <w:szCs w:val="24"/>
                <w:highlight w:val="none"/>
              </w:rPr>
              <w:t>门面向中小企业采购</w:t>
            </w:r>
          </w:p>
          <w:p w14:paraId="43693F8E">
            <w:pPr>
              <w:pStyle w:val="19"/>
              <w:spacing w:line="284" w:lineRule="exact"/>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仅允许中小企业或小型、微型企业参与投标。</w:t>
            </w:r>
          </w:p>
        </w:tc>
      </w:tr>
      <w:tr w14:paraId="79C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continue"/>
            <w:shd w:val="clear" w:color="auto" w:fill="FFFFFF"/>
            <w:vAlign w:val="center"/>
          </w:tcPr>
          <w:p w14:paraId="7A43D76A">
            <w:pPr>
              <w:pStyle w:val="19"/>
              <w:spacing w:line="240" w:lineRule="auto"/>
              <w:ind w:firstLine="260"/>
              <w:rPr>
                <w:rFonts w:hint="eastAsia" w:ascii="仿宋" w:hAnsi="仿宋" w:eastAsia="仿宋" w:cs="仿宋"/>
                <w:color w:val="auto"/>
                <w:sz w:val="24"/>
                <w:szCs w:val="24"/>
                <w:highlight w:val="none"/>
              </w:rPr>
            </w:pPr>
          </w:p>
        </w:tc>
        <w:tc>
          <w:tcPr>
            <w:tcW w:w="1552" w:type="dxa"/>
            <w:vMerge w:val="continue"/>
            <w:shd w:val="clear" w:color="auto" w:fill="FFFFFF"/>
            <w:vAlign w:val="center"/>
          </w:tcPr>
          <w:p w14:paraId="7E91F4C9">
            <w:pPr>
              <w:rPr>
                <w:rFonts w:hint="eastAsia" w:ascii="仿宋" w:hAnsi="仿宋" w:eastAsia="仿宋" w:cs="仿宋"/>
                <w:color w:val="auto"/>
                <w:sz w:val="28"/>
                <w:szCs w:val="36"/>
                <w:highlight w:val="none"/>
              </w:rPr>
            </w:pPr>
          </w:p>
        </w:tc>
        <w:tc>
          <w:tcPr>
            <w:tcW w:w="7111" w:type="dxa"/>
            <w:shd w:val="clear" w:color="auto" w:fill="FFFFFF"/>
          </w:tcPr>
          <w:p w14:paraId="31AEB686">
            <w:pPr>
              <w:pStyle w:val="19"/>
              <w:spacing w:line="313" w:lineRule="exact"/>
              <w:ind w:firstLine="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val="zh-CN" w:eastAsia="zh-CN" w:bidi="zh-CN"/>
              </w:rPr>
              <w:t>非专</w:t>
            </w:r>
            <w:r>
              <w:rPr>
                <w:rFonts w:hint="eastAsia" w:ascii="仿宋" w:hAnsi="仿宋" w:eastAsia="仿宋" w:cs="仿宋"/>
                <w:b/>
                <w:color w:val="auto"/>
                <w:sz w:val="24"/>
                <w:szCs w:val="24"/>
                <w:highlight w:val="none"/>
              </w:rPr>
              <w:t>门面向中小企业釆购</w:t>
            </w:r>
          </w:p>
          <w:p w14:paraId="13E7D544">
            <w:pPr>
              <w:pStyle w:val="19"/>
              <w:spacing w:line="313"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对符合《政府釆购促进中小企业发展管理办法》（财库〔</w:t>
            </w:r>
            <w:r>
              <w:rPr>
                <w:rFonts w:hint="eastAsia" w:ascii="仿宋" w:hAnsi="仿宋" w:eastAsia="仿宋" w:cs="仿宋"/>
                <w:color w:val="auto"/>
                <w:sz w:val="24"/>
                <w:szCs w:val="24"/>
                <w:highlight w:val="none"/>
                <w:lang w:eastAsia="zh-CN"/>
              </w:rPr>
              <w:t>2020</w:t>
            </w:r>
            <w:r>
              <w:rPr>
                <w:rFonts w:hint="eastAsia" w:ascii="仿宋" w:hAnsi="仿宋" w:eastAsia="仿宋" w:cs="仿宋"/>
                <w:color w:val="auto"/>
                <w:sz w:val="24"/>
                <w:szCs w:val="24"/>
                <w:highlight w:val="none"/>
              </w:rPr>
              <w:t>〕46号）规定的小微企业（监狱企业视同小型、微型企业）的</w:t>
            </w:r>
            <w:r>
              <w:rPr>
                <w:rFonts w:hint="eastAsia" w:ascii="仿宋" w:hAnsi="仿宋" w:eastAsia="仿宋" w:cs="仿宋"/>
                <w:b/>
                <w:color w:val="auto"/>
                <w:sz w:val="24"/>
                <w:szCs w:val="24"/>
                <w:highlight w:val="none"/>
              </w:rPr>
              <w:t>报价给予</w:t>
            </w:r>
            <w:r>
              <w:rPr>
                <w:rFonts w:hint="eastAsia" w:ascii="仿宋" w:hAnsi="仿宋" w:eastAsia="仿宋" w:cs="仿宋"/>
                <w:b/>
                <w:color w:val="auto"/>
                <w:sz w:val="24"/>
                <w:szCs w:val="24"/>
                <w:highlight w:val="none"/>
                <w:u w:val="single"/>
                <w:lang w:val="en-US" w:eastAsia="zh-CN"/>
              </w:rPr>
              <w:t>10</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rPr>
              <w:t>的扣除，用扣除后的价格参加评审。</w:t>
            </w:r>
          </w:p>
        </w:tc>
      </w:tr>
      <w:tr w14:paraId="4C24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4" w:hRule="atLeast"/>
          <w:jc w:val="center"/>
        </w:trPr>
        <w:tc>
          <w:tcPr>
            <w:tcW w:w="702" w:type="dxa"/>
            <w:gridSpan w:val="2"/>
            <w:shd w:val="clear" w:color="auto" w:fill="FFFFFF"/>
            <w:vAlign w:val="center"/>
          </w:tcPr>
          <w:p w14:paraId="3489E3DF">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52" w:type="dxa"/>
            <w:shd w:val="clear" w:color="auto" w:fill="FFFFFF"/>
            <w:vAlign w:val="center"/>
          </w:tcPr>
          <w:p w14:paraId="6381A134">
            <w:pPr>
              <w:pStyle w:val="19"/>
              <w:spacing w:line="317"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对供应商的</w:t>
            </w:r>
          </w:p>
          <w:p w14:paraId="78E572C7">
            <w:pPr>
              <w:pStyle w:val="19"/>
              <w:spacing w:line="317"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资格要求</w:t>
            </w:r>
          </w:p>
        </w:tc>
        <w:tc>
          <w:tcPr>
            <w:tcW w:w="7111" w:type="dxa"/>
            <w:shd w:val="clear" w:color="auto" w:fill="FFFFFF"/>
            <w:vAlign w:val="center"/>
          </w:tcPr>
          <w:p w14:paraId="2435151E">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1、有效的主体资格证明：具有独立承担民事责任能力的法人、其他组织或自然人，并出具合法有效的相关证明材料。供应商需在项目电子化交易系统中按要求上传相应证明文件并进行电子签章。</w:t>
            </w:r>
          </w:p>
          <w:p w14:paraId="59A238C8">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2、财务状况报告：提供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0434D4F7">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3、税收缴纳证明：提供2025年1月至今已缴纳的1个月的纳税证明或完税证明，依法免税的单位应提供相关证明材料。供应商需在项目电子化交易系统中按要求上传相应证明文件并进行电子签章。</w:t>
            </w:r>
          </w:p>
          <w:p w14:paraId="7A099384">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4、社会保障资金缴纳证明：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07474016">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5、履行合同所必需的设备和专业技术能力：提供具有履行合同所必需的设备和专业技术能力的承诺。供应商需在项目电子化交易系统中按要求上传相应证明文件并进行电子签章。</w:t>
            </w:r>
          </w:p>
          <w:p w14:paraId="730B892D">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6、前三年无重大违法记录声明：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420CE5AB">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7、信用查询：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供应商需在项目电子化交易系统中按要求上传相应证明文件并进行电子签章。</w:t>
            </w:r>
          </w:p>
          <w:p w14:paraId="15B02834">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8、授权书被授权人身份证：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14:paraId="0DAEF8CB">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9、其他要求：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02F41D13">
            <w:pPr>
              <w:pStyle w:val="14"/>
              <w:spacing w:line="240" w:lineRule="auto"/>
              <w:ind w:firstLine="480" w:firstLineChars="200"/>
              <w:rPr>
                <w:rFonts w:hint="eastAsia" w:ascii="仿宋" w:hAnsi="仿宋" w:eastAsia="仿宋" w:cs="仿宋"/>
                <w:color w:val="auto"/>
                <w:kern w:val="0"/>
                <w:sz w:val="24"/>
                <w:szCs w:val="24"/>
                <w:highlight w:val="none"/>
                <w:lang w:val="zh-TW" w:eastAsia="zh-TW" w:bidi="zh-TW"/>
              </w:rPr>
            </w:pPr>
            <w:r>
              <w:rPr>
                <w:rFonts w:hint="eastAsia" w:ascii="仿宋" w:hAnsi="仿宋" w:eastAsia="仿宋" w:cs="仿宋"/>
                <w:color w:val="auto"/>
                <w:kern w:val="0"/>
                <w:sz w:val="24"/>
                <w:szCs w:val="24"/>
                <w:highlight w:val="none"/>
                <w:lang w:val="zh-TW" w:eastAsia="zh-TW" w:bidi="zh-TW"/>
              </w:rPr>
              <w:t>10、非联合体投标：本合同包不接受联合体投标，提供非联合体投标声明。供应商需在项目电子化交易系统中按要求上传相应证明文件并进行电子签章。</w:t>
            </w:r>
          </w:p>
        </w:tc>
      </w:tr>
      <w:tr w14:paraId="451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restart"/>
            <w:shd w:val="clear" w:color="auto" w:fill="FFFFFF"/>
            <w:vAlign w:val="center"/>
          </w:tcPr>
          <w:p w14:paraId="7F432707">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52" w:type="dxa"/>
            <w:vMerge w:val="restart"/>
            <w:shd w:val="clear" w:color="auto" w:fill="FFFFFF"/>
            <w:vAlign w:val="center"/>
          </w:tcPr>
          <w:p w14:paraId="239FBD54">
            <w:pPr>
              <w:pStyle w:val="19"/>
              <w:spacing w:line="306" w:lineRule="exact"/>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是否接受</w:t>
            </w:r>
          </w:p>
          <w:p w14:paraId="20A9D191">
            <w:pPr>
              <w:pStyle w:val="19"/>
              <w:spacing w:line="306"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7111" w:type="dxa"/>
            <w:shd w:val="clear" w:color="auto" w:fill="FFFFFF"/>
          </w:tcPr>
          <w:p w14:paraId="67842422">
            <w:pPr>
              <w:pStyle w:val="19"/>
              <w:spacing w:line="308"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接受</w:t>
            </w:r>
          </w:p>
          <w:p w14:paraId="484FA749">
            <w:pPr>
              <w:pStyle w:val="19"/>
              <w:spacing w:line="308"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对于联合体协议或者分包意向协议约定小微企业的合同份额占到合同总金额30%以上的，对联合体或者大中型企业的</w:t>
            </w:r>
            <w:r>
              <w:rPr>
                <w:rFonts w:hint="eastAsia" w:ascii="仿宋" w:hAnsi="仿宋" w:eastAsia="仿宋" w:cs="仿宋"/>
                <w:b/>
                <w:color w:val="auto"/>
                <w:sz w:val="24"/>
                <w:szCs w:val="24"/>
                <w:highlight w:val="none"/>
              </w:rPr>
              <w:t>报价给予％（2%-3%）的扣除，用扣除后的报价参加评审。</w:t>
            </w:r>
          </w:p>
        </w:tc>
      </w:tr>
      <w:tr w14:paraId="6D80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continue"/>
            <w:shd w:val="clear" w:color="auto" w:fill="FFFFFF"/>
            <w:vAlign w:val="center"/>
          </w:tcPr>
          <w:p w14:paraId="1E9B7AF4">
            <w:pPr>
              <w:rPr>
                <w:rFonts w:hint="eastAsia" w:ascii="仿宋" w:hAnsi="仿宋" w:eastAsia="仿宋" w:cs="仿宋"/>
                <w:color w:val="auto"/>
                <w:sz w:val="28"/>
                <w:szCs w:val="36"/>
                <w:highlight w:val="none"/>
              </w:rPr>
            </w:pPr>
          </w:p>
        </w:tc>
        <w:tc>
          <w:tcPr>
            <w:tcW w:w="1552" w:type="dxa"/>
            <w:vMerge w:val="continue"/>
            <w:shd w:val="clear" w:color="auto" w:fill="FFFFFF"/>
            <w:vAlign w:val="center"/>
          </w:tcPr>
          <w:p w14:paraId="5E72D9B4">
            <w:pPr>
              <w:rPr>
                <w:rFonts w:hint="eastAsia" w:ascii="仿宋" w:hAnsi="仿宋" w:eastAsia="仿宋" w:cs="仿宋"/>
                <w:color w:val="auto"/>
                <w:sz w:val="28"/>
                <w:szCs w:val="36"/>
                <w:highlight w:val="none"/>
              </w:rPr>
            </w:pPr>
          </w:p>
        </w:tc>
        <w:tc>
          <w:tcPr>
            <w:tcW w:w="7111" w:type="dxa"/>
            <w:shd w:val="clear" w:color="auto" w:fill="FFFFFF"/>
          </w:tcPr>
          <w:p w14:paraId="6E9C3AE1">
            <w:pPr>
              <w:pStyle w:val="19"/>
              <w:spacing w:before="80"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不接受</w:t>
            </w:r>
          </w:p>
        </w:tc>
      </w:tr>
      <w:tr w14:paraId="0DB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restart"/>
            <w:shd w:val="clear" w:color="auto" w:fill="FFFFFF"/>
            <w:vAlign w:val="center"/>
          </w:tcPr>
          <w:p w14:paraId="5DE188E5">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52" w:type="dxa"/>
            <w:vMerge w:val="restart"/>
            <w:shd w:val="clear" w:color="auto" w:fill="FFFFFF"/>
            <w:vAlign w:val="center"/>
          </w:tcPr>
          <w:p w14:paraId="24B4B626">
            <w:pPr>
              <w:pStyle w:val="19"/>
              <w:spacing w:line="240"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7111" w:type="dxa"/>
            <w:shd w:val="clear" w:color="auto" w:fill="FFFFFF"/>
            <w:vAlign w:val="center"/>
          </w:tcPr>
          <w:p w14:paraId="1338662A">
            <w:pPr>
              <w:pStyle w:val="19"/>
              <w:spacing w:line="299" w:lineRule="exact"/>
              <w:ind w:firstLine="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收取，</w:t>
            </w:r>
            <w:r>
              <w:rPr>
                <w:rFonts w:hint="eastAsia" w:ascii="仿宋" w:hAnsi="仿宋" w:eastAsia="仿宋" w:cs="仿宋"/>
                <w:b/>
                <w:color w:val="auto"/>
                <w:sz w:val="24"/>
                <w:szCs w:val="24"/>
                <w:highlight w:val="none"/>
              </w:rPr>
              <w:t>占政府釆购合同金额的</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w:t>
            </w:r>
          </w:p>
          <w:p w14:paraId="655CBA40">
            <w:pPr>
              <w:pStyle w:val="19"/>
              <w:spacing w:line="299" w:lineRule="exact"/>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履约保证金的数额不得超过政府采购合同金额的10%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对于单价合同，其数额不得超过采购预算的10%</w:t>
            </w:r>
          </w:p>
          <w:p w14:paraId="002391C9">
            <w:pPr>
              <w:pStyle w:val="19"/>
              <w:spacing w:line="299" w:lineRule="exact"/>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不收取</w:t>
            </w:r>
          </w:p>
        </w:tc>
      </w:tr>
      <w:tr w14:paraId="7909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vMerge w:val="continue"/>
            <w:shd w:val="clear" w:color="auto" w:fill="FFFFFF"/>
            <w:vAlign w:val="center"/>
          </w:tcPr>
          <w:p w14:paraId="5C8B36C2">
            <w:pPr>
              <w:rPr>
                <w:rFonts w:hint="eastAsia" w:ascii="仿宋" w:hAnsi="仿宋" w:eastAsia="仿宋" w:cs="仿宋"/>
                <w:color w:val="auto"/>
                <w:sz w:val="28"/>
                <w:szCs w:val="36"/>
                <w:highlight w:val="none"/>
              </w:rPr>
            </w:pPr>
          </w:p>
        </w:tc>
        <w:tc>
          <w:tcPr>
            <w:tcW w:w="1552" w:type="dxa"/>
            <w:vMerge w:val="continue"/>
            <w:shd w:val="clear" w:color="auto" w:fill="FFFFFF"/>
            <w:vAlign w:val="center"/>
          </w:tcPr>
          <w:p w14:paraId="0D5F92E3">
            <w:pPr>
              <w:rPr>
                <w:rFonts w:hint="eastAsia" w:ascii="仿宋" w:hAnsi="仿宋" w:eastAsia="仿宋" w:cs="仿宋"/>
                <w:color w:val="auto"/>
                <w:sz w:val="28"/>
                <w:szCs w:val="36"/>
                <w:highlight w:val="none"/>
              </w:rPr>
            </w:pPr>
          </w:p>
        </w:tc>
        <w:tc>
          <w:tcPr>
            <w:tcW w:w="7111" w:type="dxa"/>
            <w:shd w:val="clear" w:color="auto" w:fill="FFFFFF"/>
          </w:tcPr>
          <w:p w14:paraId="38C84E32">
            <w:pPr>
              <w:pStyle w:val="19"/>
              <w:spacing w:before="80" w:after="60"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由釆购单位自行收退</w:t>
            </w:r>
          </w:p>
          <w:p w14:paraId="70028D01">
            <w:pPr>
              <w:pStyle w:val="19"/>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由代理机构负责收退</w:t>
            </w:r>
          </w:p>
        </w:tc>
      </w:tr>
      <w:tr w14:paraId="31C7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shd w:val="clear" w:color="auto" w:fill="FFFFFF"/>
            <w:vAlign w:val="center"/>
          </w:tcPr>
          <w:p w14:paraId="11838AF3">
            <w:pPr>
              <w:pStyle w:val="19"/>
              <w:spacing w:line="240" w:lineRule="auto"/>
              <w:ind w:firstLine="360" w:firstLine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p>
        </w:tc>
        <w:tc>
          <w:tcPr>
            <w:tcW w:w="1552" w:type="dxa"/>
            <w:shd w:val="clear" w:color="auto" w:fill="FFFFFF"/>
            <w:vAlign w:val="center"/>
          </w:tcPr>
          <w:p w14:paraId="48C415AF">
            <w:pPr>
              <w:pStyle w:val="19"/>
              <w:spacing w:line="240" w:lineRule="auto"/>
              <w:ind w:firstLine="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集中答疑</w:t>
            </w:r>
          </w:p>
        </w:tc>
        <w:tc>
          <w:tcPr>
            <w:tcW w:w="7111" w:type="dxa"/>
            <w:shd w:val="clear" w:color="auto" w:fill="FFFFFF"/>
            <w:vAlign w:val="bottom"/>
          </w:tcPr>
          <w:p w14:paraId="78A11E71">
            <w:pPr>
              <w:pStyle w:val="19"/>
              <w:tabs>
                <w:tab w:val="left" w:leader="underscore" w:pos="5155"/>
              </w:tabs>
              <w:spacing w:after="60"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组织，答疑地点为：</w:t>
            </w:r>
            <w:r>
              <w:rPr>
                <w:rFonts w:hint="eastAsia" w:ascii="仿宋" w:hAnsi="仿宋" w:eastAsia="仿宋" w:cs="仿宋"/>
                <w:b/>
                <w:color w:val="auto"/>
                <w:sz w:val="24"/>
                <w:szCs w:val="24"/>
                <w:highlight w:val="none"/>
              </w:rPr>
              <w:tab/>
            </w:r>
          </w:p>
          <w:p w14:paraId="41CB1822">
            <w:pPr>
              <w:pStyle w:val="19"/>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不组织</w:t>
            </w:r>
          </w:p>
        </w:tc>
      </w:tr>
      <w:tr w14:paraId="6AC0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702" w:type="dxa"/>
            <w:gridSpan w:val="2"/>
            <w:shd w:val="clear" w:color="auto" w:fill="FFFFFF"/>
            <w:vAlign w:val="center"/>
          </w:tcPr>
          <w:p w14:paraId="10E10896">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552" w:type="dxa"/>
            <w:shd w:val="clear" w:color="auto" w:fill="FFFFFF"/>
            <w:vAlign w:val="center"/>
          </w:tcPr>
          <w:p w14:paraId="34AEF6E4">
            <w:pPr>
              <w:pStyle w:val="19"/>
              <w:spacing w:line="240"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价格分比重</w:t>
            </w:r>
          </w:p>
        </w:tc>
        <w:tc>
          <w:tcPr>
            <w:tcW w:w="7111" w:type="dxa"/>
            <w:shd w:val="clear" w:color="auto" w:fill="FFFFFF"/>
          </w:tcPr>
          <w:p w14:paraId="76E58102">
            <w:pPr>
              <w:pStyle w:val="19"/>
              <w:spacing w:line="305" w:lineRule="exact"/>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占总分值的</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u w:val="single"/>
                <w:lang w:val="en-US" w:eastAsia="zh-CN"/>
              </w:rPr>
              <w:t>0</w:t>
            </w:r>
            <w:r>
              <w:rPr>
                <w:rFonts w:hint="eastAsia" w:ascii="仿宋" w:hAnsi="仿宋" w:eastAsia="仿宋" w:cs="仿宋"/>
                <w:b/>
                <w:color w:val="auto"/>
                <w:sz w:val="24"/>
                <w:szCs w:val="24"/>
                <w:highlight w:val="none"/>
              </w:rPr>
              <w:t>%</w:t>
            </w:r>
          </w:p>
          <w:p w14:paraId="345C81BD">
            <w:pPr>
              <w:pStyle w:val="19"/>
              <w:spacing w:line="305"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根据《政府采购货物和服务招标投标管理办法》（财政部87号令）的规定，综合评分法服务项目的价格分值占总分值的比重不得低于10%。执行国家统一定价标准和采用固定价格釆购的项目，其价格不列为评审因素。</w:t>
            </w:r>
          </w:p>
          <w:p w14:paraId="190F9545">
            <w:pPr>
              <w:pStyle w:val="19"/>
              <w:spacing w:line="305" w:lineRule="exact"/>
              <w:ind w:firstLine="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［磋商］根据《政府釆购竞争性磋商釆购方式管理暂行办法》（财库〔</w:t>
            </w:r>
            <w:r>
              <w:rPr>
                <w:rFonts w:hint="eastAsia" w:ascii="仿宋" w:hAnsi="仿宋" w:eastAsia="仿宋" w:cs="仿宋"/>
                <w:color w:val="auto"/>
                <w:sz w:val="24"/>
                <w:szCs w:val="24"/>
                <w:highlight w:val="none"/>
                <w:lang w:eastAsia="zh-CN"/>
              </w:rPr>
              <w:t>2014</w:t>
            </w:r>
            <w:r>
              <w:rPr>
                <w:rFonts w:hint="eastAsia" w:ascii="仿宋" w:hAnsi="仿宋" w:eastAsia="仿宋" w:cs="仿宋"/>
                <w:color w:val="auto"/>
                <w:sz w:val="24"/>
                <w:szCs w:val="24"/>
                <w:highlight w:val="none"/>
              </w:rPr>
              <w:t>〕214号）的规定，服务项目的价格分值占总分值的比重（即权值）为10%-30%。</w:t>
            </w:r>
          </w:p>
          <w:p w14:paraId="4F8E65E2">
            <w:pPr>
              <w:pStyle w:val="19"/>
              <w:spacing w:line="305" w:lineRule="exact"/>
              <w:ind w:firstLine="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［其他采购方式］无须设置。</w:t>
            </w:r>
          </w:p>
        </w:tc>
      </w:tr>
      <w:tr w14:paraId="0684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695" w:type="dxa"/>
            <w:shd w:val="clear" w:color="auto" w:fill="FFFFFF"/>
            <w:vAlign w:val="center"/>
          </w:tcPr>
          <w:p w14:paraId="451759A9">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559" w:type="dxa"/>
            <w:gridSpan w:val="2"/>
            <w:shd w:val="clear" w:color="auto" w:fill="FFFFFF"/>
            <w:vAlign w:val="center"/>
          </w:tcPr>
          <w:p w14:paraId="5CAEC11E">
            <w:pPr>
              <w:pStyle w:val="19"/>
              <w:spacing w:line="240" w:lineRule="auto"/>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合同类型</w:t>
            </w:r>
          </w:p>
        </w:tc>
        <w:tc>
          <w:tcPr>
            <w:tcW w:w="7111" w:type="dxa"/>
            <w:shd w:val="clear" w:color="auto" w:fill="FFFFFF"/>
            <w:vAlign w:val="center"/>
          </w:tcPr>
          <w:p w14:paraId="154C5A4D">
            <w:pPr>
              <w:pStyle w:val="19"/>
              <w:spacing w:line="305" w:lineRule="exact"/>
              <w:ind w:firstLine="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固定总价</w:t>
            </w:r>
          </w:p>
          <w:p w14:paraId="112AA9CC">
            <w:pPr>
              <w:pStyle w:val="19"/>
              <w:spacing w:line="305" w:lineRule="exact"/>
              <w:ind w:firstLine="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固定单价（适用于釆购数量不定的情形）</w:t>
            </w:r>
          </w:p>
          <w:p w14:paraId="6565E129">
            <w:pPr>
              <w:pStyle w:val="19"/>
              <w:spacing w:line="305" w:lineRule="exact"/>
              <w:ind w:firstLine="0"/>
              <w:jc w:val="both"/>
              <w:rPr>
                <w:rFonts w:hint="eastAsia" w:ascii="仿宋" w:hAnsi="仿宋" w:eastAsia="仿宋" w:cs="仿宋"/>
                <w:color w:val="auto"/>
                <w:sz w:val="36"/>
                <w:szCs w:val="36"/>
                <w:highlight w:val="none"/>
                <w:u w:val="singl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rPr>
              <w:t>其他：</w:t>
            </w:r>
          </w:p>
        </w:tc>
      </w:tr>
    </w:tbl>
    <w:p w14:paraId="47DCA894">
      <w:pPr>
        <w:rPr>
          <w:rFonts w:hint="eastAsia"/>
          <w:b/>
          <w:bCs/>
          <w:sz w:val="36"/>
          <w:szCs w:val="44"/>
          <w:highlight w:val="none"/>
          <w:lang w:eastAsia="zh-CN"/>
        </w:rPr>
      </w:pPr>
      <w:r>
        <w:rPr>
          <w:rFonts w:hint="eastAsia"/>
          <w:b/>
          <w:bCs/>
          <w:sz w:val="36"/>
          <w:szCs w:val="44"/>
          <w:highlight w:val="none"/>
          <w:lang w:eastAsia="zh-CN"/>
        </w:rPr>
        <w:br w:type="page"/>
      </w:r>
    </w:p>
    <w:p w14:paraId="04DBBF90">
      <w:pPr>
        <w:jc w:val="center"/>
        <w:rPr>
          <w:rFonts w:hint="default"/>
          <w:b/>
          <w:bCs/>
          <w:sz w:val="36"/>
          <w:szCs w:val="44"/>
          <w:highlight w:val="none"/>
          <w:lang w:val="en-US" w:eastAsia="zh-CN"/>
        </w:rPr>
      </w:pPr>
      <w:r>
        <w:rPr>
          <w:rFonts w:hint="eastAsia"/>
          <w:b/>
          <w:bCs/>
          <w:sz w:val="36"/>
          <w:szCs w:val="44"/>
          <w:highlight w:val="none"/>
          <w:lang w:eastAsia="zh-CN"/>
        </w:rPr>
        <w:t>采购</w:t>
      </w:r>
      <w:r>
        <w:rPr>
          <w:rFonts w:hint="eastAsia"/>
          <w:b/>
          <w:bCs/>
          <w:sz w:val="36"/>
          <w:szCs w:val="44"/>
          <w:highlight w:val="none"/>
          <w:lang w:val="en-US" w:eastAsia="zh-CN"/>
        </w:rPr>
        <w:t>内容与要求</w:t>
      </w:r>
    </w:p>
    <w:p w14:paraId="123A4F4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一、项目概况</w:t>
      </w:r>
    </w:p>
    <w:p w14:paraId="0A34FD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进一步拓宽西安女性创新创业与就业渠道，孵化并扶持一批优质女性创新企业，更精准有效服务和支持广大女性创新创业者，西安市妇联计划打造“西安巾帼创客空间”创新创业平台，旨在为女性创业者搭建更优质的学习交流、与创新创业载体，提供更加完善的服务保障。</w:t>
      </w:r>
    </w:p>
    <w:p w14:paraId="042E13B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二、服务范围</w:t>
      </w:r>
    </w:p>
    <w:p w14:paraId="65364D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（一）为入驻企业提供法律咨询、路演培训、企业商业模式及组织架构培训。定期资方对接、销路渠道对接、帮助企业优惠政策申报、银行贷款对接、组织企业走访调研等。    </w:t>
      </w:r>
    </w:p>
    <w:p w14:paraId="096988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（二）举行企业与创投机构的投融资交流会，优秀企业家，商业大咖分享会和培训会，为企业提供切实的对接。</w:t>
      </w:r>
    </w:p>
    <w:p w14:paraId="43B2C0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（三）举办女性招聘会、提供实习或就业岗位、开展职业技能培训及就业指导，搭建供需桥梁，助力女性稳定就业。</w:t>
      </w:r>
    </w:p>
    <w:p w14:paraId="7C9B30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（四）媒体矩阵宣传专项服务，孵化中心会为入驻企业进行宣传，增加企业知名度，扩大企业影响力，提高女性创业者积极的示范带动作用。</w:t>
      </w:r>
    </w:p>
    <w:p w14:paraId="724FDEB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三、服务要求（如对人员配置、专业设备、服务标准等）</w:t>
      </w:r>
    </w:p>
    <w:p w14:paraId="266759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1.团队配置：配备专业专职的策划、宣传服务和执行团队，团队需熟悉女性创新创业领域服务逻辑，能够独立完成创客空间运营全流程的策划、落地执行及宣传推广工作。</w:t>
      </w:r>
    </w:p>
    <w:p w14:paraId="5A0AB9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资源渠道：具备院校（可对接女大学生就业/实习资源）、科技企业（女性科创团队/初创企业）、国内主流投资机构（创投机构、银行、融资渠道）的资源对接渠道，可满足投融资交流、政策申报、岗位对接等资源匹配需求。</w:t>
      </w:r>
    </w:p>
    <w:p w14:paraId="4B7106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3.服务经验：拥有丰富的科技类创新创业项目服务经验，且熟悉女性创新创业领域特点，能够针对性解决女性创业者在工商注册、财税、商业模式搭建等方面的痛点问题。</w:t>
      </w:r>
    </w:p>
    <w:p w14:paraId="3BC1F6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方案提交：提交针对西安女性巾帼创客空间的详细策划服务方案、板块设置（涵盖起步服务、成长服务、就业服务等核心板块）及组织实施方案，方案需明确各类活动（培训、沙龙、招聘会等）的执行流程、时间节点、人员分工及资源对接计划。</w:t>
      </w:r>
    </w:p>
    <w:p w14:paraId="7012D2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落地与效果：确保服务内容有效落地，达成既定绩效目标（1、建立一支创业专家团队，为更多西安优秀女性创新创业团队、初创企业、女大学生进行创业就业指导；举办各类创业培训、创业沙龙、商业大咖交流会以及企业互访、文化交流活动、招聘活动；提供投融资接洽机会，以及更多商业服务不少以20次,其中不少于2次大型活动、含物料、场地租赁、邀请商业大咖。2、开展调研，结合调研结果，赋能科技类优秀企业创始人及合伙人成长。协助并优化女大学生科创团队参与市场的竞争力，争取落地入驻优秀团队或初创企业8家。3.孵化1个女性初创团队项目，从团队到合法企业的全流程培育，使其从团队形态合规化注册为法人企业。4、解决女大学生就业10-15名。）</w:t>
      </w:r>
    </w:p>
    <w:p w14:paraId="5F622B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6、项目完成资料的整理归档</w:t>
      </w:r>
    </w:p>
    <w:p w14:paraId="1DACD11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四、商务要求（如服务期限、款项结算等）</w:t>
      </w:r>
    </w:p>
    <w:p w14:paraId="1DA10E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（一）服务时间</w:t>
      </w:r>
    </w:p>
    <w:p w14:paraId="046769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自合同签订之日起，共10个月。</w:t>
      </w:r>
    </w:p>
    <w:p w14:paraId="6E8C97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（二）服务标准</w:t>
      </w:r>
    </w:p>
    <w:p w14:paraId="637346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合格</w:t>
      </w:r>
    </w:p>
    <w:p w14:paraId="3F5747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（三）款项结算</w:t>
      </w:r>
    </w:p>
    <w:p w14:paraId="3EE685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乙双方签订合同之日起5个工作日内，乙方须向甲方缴纳合同金额5%的履约保证金（以银行转账方式支付至甲方指定账户）。甲方在收到履约保证金之日起15个工作日内，向乙方支付合同全部金额。自合同生效之日起，乙方应完成每季对应的工作内容（具体以甲乙双方确定的《项目进度计划表》为准），并于该季结束后3个工作日内提交书面工作完成情况汇报（含成果文件、进度证明材料等）。甲方应在收到汇报后5个工作日内完成验收，验收合格的出具验收确认函；验收不合格的，甲方应书面通知乙方整改要求，乙方须在收到整改通知后3个工作日内提交整改方案并实施整改，整改后重新提交验收，直至合格。若乙方未按约定的每季工作进度节点完成对应工作，甲方有权按合同金额每日千分之一的标准要求乙方承担违约金，违约金累计最高不超过本合同总金额的20%；同时，甲方有权直接从乙方缴纳的履约保证金中扣除该等违约金，扣除后保证金不足约定金额的，乙方应在甲方通知送达后3个工作日内补足；违约金超出履约保证金金额的，不足部分乙方应在甲方通知指定的期限内一次性支付。若累计两次未达标，甲方有权解除合同，乙方应退还已收全部款项并承担合同金额20%的违约金，履约保证金不予退还。</w:t>
      </w:r>
    </w:p>
    <w:p w14:paraId="7AA08D3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五、其他</w:t>
      </w:r>
    </w:p>
    <w:p w14:paraId="7289AE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（一）成果交付要求</w:t>
      </w:r>
    </w:p>
    <w:p w14:paraId="6E07C6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建立一支创业专家团队，为更多西安优秀女性创新创业团队、初创企业、女大学生进行创业就业指导；举办各类创业培训、创业沙龙、商业大咖交流会以及企业互访、文化交流活动、招聘活动；提供投融资接洽机会，以及更多商业服务不少以20次（其中不少于2次大型活动、含物料、场地租赁、邀请商业大咖）。</w:t>
      </w:r>
    </w:p>
    <w:p w14:paraId="36FA45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2、开展调研，结合调研结果，赋能科技类优秀企业创始人及合伙人成长。协助并优化女大学生科创团队参与市场的竞争力，争取落地入驻优秀团队或初创企业8家，</w:t>
      </w:r>
    </w:p>
    <w:p w14:paraId="2ED298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3.孵化1个女性初创团队项目，从团队到合法企业的全流程培育，使其从团队形态合规化注册为法人企业。</w:t>
      </w:r>
    </w:p>
    <w:p w14:paraId="557B08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4、解决女大学生就业10-15名。</w:t>
      </w:r>
    </w:p>
    <w:p w14:paraId="072A7F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5.项目资料的整理归档</w:t>
      </w:r>
    </w:p>
    <w:p w14:paraId="7F56CA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以上资料提供纸质版3份；电子版2份（WORD格式），刻录成DVD。</w:t>
      </w:r>
    </w:p>
    <w:p w14:paraId="4AE5CC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（二）违约责任</w:t>
      </w:r>
    </w:p>
    <w:p w14:paraId="764988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1．本合同履行期间，如因乙方单方面原因导致项目延期完工或者未履行相应义务的，除本合同另有约定外，甲方有权单方终止本合同。此种情形下，乙方应当向甲方返还甲方已支付的合同款项；</w:t>
      </w:r>
    </w:p>
    <w:p w14:paraId="7832C4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2．本合同履行期间，如因甲方单方面原因导致项目未能如期推进，乙方不承担任何违约责任；如项目因甲方单方面原因延迟，乙方有权单方终止本合同，且不予退还已收到的该合同款项；</w:t>
      </w:r>
    </w:p>
    <w:p w14:paraId="4ADB67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3．若因违约方违反本合同而使非违约方发生任何费用或开支或额外责任，或遭受损失（利润亏损或其他间接损失除外），违约方应就该费用、开支、责任或损失（包括已付、应付的利息）给予非违约方补偿。</w:t>
      </w:r>
    </w:p>
    <w:p w14:paraId="698708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ighlight w:val="none"/>
          <w:lang w:val="en-US" w:eastAsia="zh-CN"/>
        </w:rPr>
      </w:pPr>
      <w:r>
        <w:rPr>
          <w:rFonts w:hint="eastAsia" w:ascii="仿宋" w:hAnsi="仿宋" w:eastAsia="仿宋" w:cs="仿宋"/>
          <w:sz w:val="28"/>
          <w:szCs w:val="28"/>
          <w:highlight w:val="none"/>
          <w:lang w:val="en-US" w:eastAsia="zh-CN"/>
        </w:rPr>
        <w:t>4．若甲乙任何一方未能严格履行各自的保密义务，应及时、足额赔偿给对方造成的全部损失（包括但不限于直接经济损失、律师费、诉讼费等）。</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315" w:firstLine="0"/>
      </w:pPr>
      <w:rPr>
        <w:rFonts w:hint="eastAsia" w:ascii="仿宋_GB2312" w:hAnsi="Times New Roman" w:eastAsia="仿宋_GB2312"/>
        <w:b/>
        <w:i w:val="0"/>
        <w:sz w:val="32"/>
        <w:szCs w:val="32"/>
      </w:rPr>
    </w:lvl>
    <w:lvl w:ilvl="1" w:tentative="0">
      <w:start w:val="1"/>
      <w:numFmt w:val="decimal"/>
      <w:pStyle w:val="20"/>
      <w:suff w:val="nothing"/>
      <w:lvlText w:val="%1.%2　"/>
      <w:lvlJc w:val="left"/>
      <w:pPr>
        <w:ind w:left="105" w:firstLine="0"/>
      </w:pPr>
      <w:rPr>
        <w:rFonts w:hint="eastAsia" w:ascii="仿宋_GB2312" w:hAnsi="Times New Roman" w:eastAsia="仿宋_GB2312" w:cs="Times New Roman"/>
        <w:b w:val="0"/>
        <w:bCs w:val="0"/>
        <w:i w:val="0"/>
        <w:iCs w:val="0"/>
        <w:caps w:val="0"/>
        <w:strike w:val="0"/>
        <w:dstrike w:val="0"/>
        <w:vanish w:val="0"/>
        <w:spacing w:val="0"/>
        <w:kern w:val="0"/>
        <w:position w:val="0"/>
        <w:sz w:val="32"/>
        <w:szCs w:val="32"/>
        <w:u w:val="none"/>
        <w:vertAlign w:val="baseline"/>
      </w:rPr>
    </w:lvl>
    <w:lvl w:ilvl="2" w:tentative="0">
      <w:start w:val="1"/>
      <w:numFmt w:val="decimal"/>
      <w:suff w:val="nothing"/>
      <w:lvlText w:val="%1.%2.%3　"/>
      <w:lvlJc w:val="left"/>
      <w:pPr>
        <w:ind w:left="1155" w:firstLine="0"/>
      </w:pPr>
      <w:rPr>
        <w:rFonts w:hint="eastAsia" w:ascii="仿宋_GB2312" w:hAnsi="Times New Roman" w:eastAsia="仿宋_GB2312"/>
        <w:b w:val="0"/>
        <w:i w:val="0"/>
        <w:sz w:val="32"/>
        <w:szCs w:val="32"/>
      </w:rPr>
    </w:lvl>
    <w:lvl w:ilvl="3" w:tentative="0">
      <w:start w:val="1"/>
      <w:numFmt w:val="decimal"/>
      <w:suff w:val="nothing"/>
      <w:lvlText w:val="%1.%2.%3.%4　"/>
      <w:lvlJc w:val="left"/>
      <w:pPr>
        <w:ind w:left="0" w:firstLine="0"/>
      </w:pPr>
      <w:rPr>
        <w:rFonts w:hint="eastAsia" w:ascii="仿宋_GB2312" w:hAnsi="Times New Roman" w:eastAsia="仿宋_GB2312"/>
        <w:b w:val="0"/>
        <w:i w:val="0"/>
        <w:sz w:val="32"/>
        <w:szCs w:val="32"/>
      </w:rPr>
    </w:lvl>
    <w:lvl w:ilvl="4" w:tentative="0">
      <w:start w:val="1"/>
      <w:numFmt w:val="decimal"/>
      <w:suff w:val="nothing"/>
      <w:lvlText w:val="%1.%2.%3.%4.%5　"/>
      <w:lvlJc w:val="left"/>
      <w:pPr>
        <w:ind w:left="0" w:firstLine="0"/>
      </w:pPr>
      <w:rPr>
        <w:rFonts w:hint="eastAsia" w:ascii="仿宋_GB2312" w:hAnsi="Times New Roman" w:eastAsia="仿宋_GB2312"/>
        <w:b w:val="0"/>
        <w:i w:val="0"/>
        <w:sz w:val="32"/>
        <w:szCs w:val="32"/>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zkyMTZkMThmYjE4M2VkYWQxMTA0MDZkYjc0ZTMifQ=="/>
  </w:docVars>
  <w:rsids>
    <w:rsidRoot w:val="23EB6B7B"/>
    <w:rsid w:val="049F5B8E"/>
    <w:rsid w:val="05485541"/>
    <w:rsid w:val="0632747E"/>
    <w:rsid w:val="073065CD"/>
    <w:rsid w:val="075A5AAE"/>
    <w:rsid w:val="0B381EF4"/>
    <w:rsid w:val="0E87451C"/>
    <w:rsid w:val="10ED552F"/>
    <w:rsid w:val="119917C8"/>
    <w:rsid w:val="11AD0F94"/>
    <w:rsid w:val="1450282F"/>
    <w:rsid w:val="155E5558"/>
    <w:rsid w:val="167C182F"/>
    <w:rsid w:val="18CB084B"/>
    <w:rsid w:val="1BE063BC"/>
    <w:rsid w:val="20EF641A"/>
    <w:rsid w:val="21BA41E2"/>
    <w:rsid w:val="221A3EEA"/>
    <w:rsid w:val="23EB6B7B"/>
    <w:rsid w:val="26DB476B"/>
    <w:rsid w:val="2956295F"/>
    <w:rsid w:val="2D671480"/>
    <w:rsid w:val="2F2C5F9C"/>
    <w:rsid w:val="2F4F5FBD"/>
    <w:rsid w:val="309717F7"/>
    <w:rsid w:val="34E409BE"/>
    <w:rsid w:val="355F133F"/>
    <w:rsid w:val="35C36919"/>
    <w:rsid w:val="361C68CB"/>
    <w:rsid w:val="38DB1D64"/>
    <w:rsid w:val="3AF61300"/>
    <w:rsid w:val="3B367348"/>
    <w:rsid w:val="3C636521"/>
    <w:rsid w:val="3FBD063E"/>
    <w:rsid w:val="437D25BE"/>
    <w:rsid w:val="45EA7478"/>
    <w:rsid w:val="478D2814"/>
    <w:rsid w:val="48617FEA"/>
    <w:rsid w:val="4A525E27"/>
    <w:rsid w:val="4BD50E28"/>
    <w:rsid w:val="4EB030C7"/>
    <w:rsid w:val="577F38DC"/>
    <w:rsid w:val="5A820063"/>
    <w:rsid w:val="5D533CF5"/>
    <w:rsid w:val="63A94A7B"/>
    <w:rsid w:val="68C301C4"/>
    <w:rsid w:val="6B6E2ADA"/>
    <w:rsid w:val="6DCC703A"/>
    <w:rsid w:val="70EE5BA5"/>
    <w:rsid w:val="7ACA6599"/>
    <w:rsid w:val="7E7C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semiHidden/>
    <w:unhideWhenUsed/>
    <w:qFormat/>
    <w:uiPriority w:val="0"/>
    <w:pPr>
      <w:keepNext/>
      <w:keepLines/>
      <w:spacing w:before="200" w:after="0"/>
      <w:jc w:val="center"/>
      <w:outlineLvl w:val="1"/>
    </w:pPr>
    <w:rPr>
      <w:rFonts w:asciiTheme="majorAscii" w:hAnsiTheme="majorAscii" w:eastAsiaTheme="majorEastAsia" w:cstheme="majorBidi"/>
      <w:b/>
      <w:bCs/>
      <w:sz w:val="30"/>
      <w:szCs w:val="26"/>
    </w:rPr>
  </w:style>
  <w:style w:type="paragraph" w:styleId="3">
    <w:name w:val="heading 3"/>
    <w:basedOn w:val="1"/>
    <w:next w:val="1"/>
    <w:link w:val="16"/>
    <w:semiHidden/>
    <w:unhideWhenUsed/>
    <w:qFormat/>
    <w:uiPriority w:val="0"/>
    <w:pPr>
      <w:keepNext/>
      <w:keepLines/>
      <w:widowControl w:val="0"/>
      <w:spacing w:before="260" w:after="260" w:line="415" w:lineRule="auto"/>
      <w:ind w:left="0" w:right="0" w:firstLine="137" w:firstLineChars="49"/>
      <w:jc w:val="left"/>
      <w:outlineLvl w:val="2"/>
    </w:pPr>
    <w:rPr>
      <w:rFonts w:ascii="黑体" w:hAnsi="黑体" w:eastAsia="宋体" w:cs="Times New Roman"/>
      <w:sz w:val="28"/>
      <w:szCs w:val="28"/>
    </w:rPr>
  </w:style>
  <w:style w:type="paragraph" w:styleId="4">
    <w:name w:val="heading 4"/>
    <w:basedOn w:val="1"/>
    <w:next w:val="1"/>
    <w:semiHidden/>
    <w:unhideWhenUsed/>
    <w:qFormat/>
    <w:uiPriority w:val="0"/>
    <w:pPr>
      <w:keepNext/>
      <w:keepLines/>
      <w:spacing w:before="40" w:beforeLines="0" w:after="40" w:afterLines="0" w:line="360"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1"/>
    </w:rPr>
  </w:style>
  <w:style w:type="paragraph" w:styleId="6">
    <w:name w:val="Body Text"/>
    <w:basedOn w:val="1"/>
    <w:semiHidden/>
    <w:unhideWhenUsed/>
    <w:qFormat/>
    <w:uiPriority w:val="99"/>
    <w:pPr>
      <w:spacing w:after="120"/>
    </w:pPr>
  </w:style>
  <w:style w:type="paragraph" w:styleId="7">
    <w:name w:val="toc 4"/>
    <w:basedOn w:val="1"/>
    <w:next w:val="1"/>
    <w:unhideWhenUsed/>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0"/>
    <w:pPr>
      <w:widowControl/>
      <w:spacing w:before="120" w:after="120" w:line="0" w:lineRule="atLeast"/>
      <w:ind w:firstLine="420"/>
      <w:jc w:val="both"/>
    </w:pPr>
    <w:rPr>
      <w:rFonts w:ascii="Times New Roman" w:hAnsi="Times New Roman"/>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6">
    <w:name w:val="标题 3 Char"/>
    <w:link w:val="3"/>
    <w:qFormat/>
    <w:uiPriority w:val="0"/>
    <w:rPr>
      <w:rFonts w:ascii="Calibri" w:hAnsi="Calibri" w:eastAsia="宋体" w:cs="Times New Roman"/>
      <w:b/>
      <w:bCs/>
      <w:sz w:val="28"/>
      <w:szCs w:val="32"/>
    </w:rPr>
  </w:style>
  <w:style w:type="character" w:customStyle="1" w:styleId="17">
    <w:name w:val="标题 2 Char"/>
    <w:basedOn w:val="12"/>
    <w:link w:val="2"/>
    <w:qFormat/>
    <w:uiPriority w:val="0"/>
    <w:rPr>
      <w:rFonts w:ascii="Arial" w:hAnsi="Arial" w:eastAsia="宋体" w:cs="Times New Roman"/>
      <w:b/>
      <w:kern w:val="0"/>
      <w:sz w:val="28"/>
      <w:szCs w:val="20"/>
      <w:lang w:eastAsia="en-US"/>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Other|1"/>
    <w:basedOn w:val="1"/>
    <w:qFormat/>
    <w:uiPriority w:val="0"/>
    <w:pPr>
      <w:spacing w:line="434" w:lineRule="auto"/>
      <w:ind w:firstLine="400"/>
      <w:jc w:val="left"/>
    </w:pPr>
    <w:rPr>
      <w:rFonts w:ascii="宋体" w:hAnsi="宋体" w:eastAsia="宋体" w:cs="宋体"/>
      <w:kern w:val="0"/>
      <w:sz w:val="28"/>
      <w:szCs w:val="28"/>
      <w:lang w:val="zh-TW" w:eastAsia="zh-TW" w:bidi="zh-TW"/>
    </w:rPr>
  </w:style>
  <w:style w:type="paragraph" w:customStyle="1" w:styleId="20">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2269</Words>
  <Characters>2367</Characters>
  <Lines>0</Lines>
  <Paragraphs>0</Paragraphs>
  <TotalTime>59</TotalTime>
  <ScaleCrop>false</ScaleCrop>
  <LinksUpToDate>false</LinksUpToDate>
  <CharactersWithSpaces>2372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2024-07-31T11:03:00Z</dcterms:created>
  <dc:creator>杜某某</dc:creator>
  <cp:lastModifiedBy>Dreamer</cp:lastModifiedBy>
  <dcterms:modified xsi:type="dcterms:W3CDTF">2025-12-03T08:50:21Z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5074725C53684702B7B9F25973985562_13</vt:lpwstr>
  </property>
  <property fmtid="{D5CDD505-2E9C-101B-9397-08002B2CF9AE}" pid="4" name="KSOTemplateDocerSaveRecord">
    <vt:lpwstr>eyJoZGlkIjoiODI5NDY3OTM1YWYyYzg1NDE3ZTEyY2I1MWNiZDUyZjIiLCJ1c2VySWQiOiI5Nzg4MjgwMDkifQ==</vt:lpwstr>
  </property>
</Properties>
</file>