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AAF81">
      <w:pPr>
        <w:pStyle w:val="3"/>
        <w:pageBreakBefore w:val="0"/>
        <w:kinsoku/>
        <w:wordWrap/>
        <w:overflowPunct/>
        <w:topLinePunct w:val="0"/>
        <w:bidi w:val="0"/>
        <w:adjustRightInd/>
        <w:snapToGrid w:val="0"/>
        <w:spacing w:line="360" w:lineRule="auto"/>
        <w:textAlignment w:val="auto"/>
        <w:rPr>
          <w:b w:val="0"/>
          <w:bCs w:val="0"/>
          <w:sz w:val="36"/>
          <w:szCs w:val="36"/>
          <w:highlight w:val="none"/>
        </w:rPr>
      </w:pPr>
      <w:r>
        <w:rPr>
          <w:rFonts w:hint="eastAsia"/>
          <w:b w:val="0"/>
          <w:bCs w:val="0"/>
          <w:sz w:val="36"/>
          <w:szCs w:val="36"/>
          <w:highlight w:val="none"/>
        </w:rPr>
        <w:t>招标内容及要求</w:t>
      </w:r>
    </w:p>
    <w:p w14:paraId="0545D7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一、项目概况</w:t>
      </w:r>
    </w:p>
    <w:p w14:paraId="0CB7FF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为贯彻落实《中共中央 国务院关于建立国土空间规划体系并监督实施的若干意见》、《中共陕西省委 陕西省人民政府关于加快建立并监督实施陕西省国土空间规划体系的实施意见》等文件精神，依据《陕西省乡镇级国土空间规划编制技术要点（试行）》、《陕西省乡镇级国土空间规划审查要点（试行）》及西安市相关要求，现组织开展鄠邑区自管区内甘亭街道、五竹街道、玉蝉街道、余下街道、渭丰街道、涝店街道、甘河街道、祖庵街道、蒋村街道、石井街道等10个街道的国土空间规划编制工作。</w:t>
      </w:r>
    </w:p>
    <w:p w14:paraId="6AFBBD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本项目规划基期年为2020年，规划年限为2021-2035年。规划成果需按程序完成公示、征求意见和专家评审等，并报经西安市自然资源和规划局审查后，由西安市人民政府审批。规划批准后，须完成成果备案并纳入国土空间规划“一张图”实施监督系统。</w:t>
      </w:r>
    </w:p>
    <w:p w14:paraId="53A58E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 xml:space="preserve">二、服务内容 </w:t>
      </w:r>
    </w:p>
    <w:p w14:paraId="0A9FA1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（一）工作区域</w:t>
      </w:r>
    </w:p>
    <w:p w14:paraId="04909F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西安市鄠邑区自管区范围内的甘亭街道、五竹街道、玉蝉街道、余下街道、渭丰街道、涝店街道、甘河街道、祖庵街道、蒋村街道、石井街道，共计10个街道的行政管辖区域。</w:t>
      </w:r>
    </w:p>
    <w:p w14:paraId="5F0403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（二）工作内容</w:t>
      </w:r>
    </w:p>
    <w:p w14:paraId="2BCA7D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服务商需完成但不限于以下工作：</w:t>
      </w:r>
    </w:p>
    <w:p w14:paraId="7DB046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1、现状问题研究评估：</w:t>
      </w:r>
      <w:r>
        <w:rPr>
          <w:rFonts w:hint="eastAsia" w:ascii="仿宋" w:hAnsi="仿宋" w:eastAsia="仿宋" w:cs="仿宋"/>
          <w:kern w:val="0"/>
          <w:sz w:val="24"/>
          <w:szCs w:val="24"/>
          <w:highlight w:val="none"/>
          <w:lang w:val="en-US" w:eastAsia="zh-CN"/>
        </w:rPr>
        <w:t>基于自然地理本底特征，充分依据资源环境承载能力和国土空间开发适宜性评价成果，精准、深入分析和总结各街道国土空间开发保护现状、特征及存在问题。</w:t>
      </w:r>
    </w:p>
    <w:p w14:paraId="4584DD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2、规划目标与定位确定：</w:t>
      </w:r>
      <w:r>
        <w:rPr>
          <w:rFonts w:hint="eastAsia" w:ascii="仿宋" w:hAnsi="仿宋" w:eastAsia="仿宋" w:cs="仿宋"/>
          <w:kern w:val="0"/>
          <w:sz w:val="24"/>
          <w:szCs w:val="24"/>
          <w:highlight w:val="none"/>
          <w:lang w:val="en-US" w:eastAsia="zh-CN"/>
        </w:rPr>
        <w:t>落实上位规划要求，结合地方实际，合理确定各街道规划定位和规划目标。同时将耕地保有量、永久基本农田保护面积、生态保护红线面积等主要约束性指标分解下达至村级。</w:t>
      </w:r>
    </w:p>
    <w:p w14:paraId="308CF7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3、重要控制线落实：</w:t>
      </w:r>
      <w:r>
        <w:rPr>
          <w:rFonts w:hint="eastAsia" w:ascii="仿宋" w:hAnsi="仿宋" w:eastAsia="仿宋" w:cs="仿宋"/>
          <w:kern w:val="0"/>
          <w:sz w:val="24"/>
          <w:szCs w:val="24"/>
          <w:highlight w:val="none"/>
          <w:lang w:val="en-US" w:eastAsia="zh-CN"/>
        </w:rPr>
        <w:t>严格落实上位规划确定的耕地和永久基本农田保护红线、生态保护红线和城镇开发边界，并科学划定村庄建设边界，落实历史文化保护线、洪涝风险控制线等重要控制线。</w:t>
      </w:r>
    </w:p>
    <w:p w14:paraId="1B42C2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4、国土空间布局优化：</w:t>
      </w:r>
      <w:r>
        <w:rPr>
          <w:rFonts w:hint="eastAsia" w:ascii="仿宋" w:hAnsi="仿宋" w:eastAsia="仿宋" w:cs="仿宋"/>
          <w:kern w:val="0"/>
          <w:sz w:val="24"/>
          <w:szCs w:val="24"/>
          <w:highlight w:val="none"/>
          <w:lang w:val="en-US" w:eastAsia="zh-CN"/>
        </w:rPr>
        <w:t>落实上位规划确定的规划分区，并细化至二级规划分区，明确各分区管控要求。优化耕地、林地、草地布局，推动耕地林地集中连片，并合理确定各类建设用地规模和布局。</w:t>
      </w:r>
    </w:p>
    <w:p w14:paraId="20CCE2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5、自然资源保护与利用：</w:t>
      </w:r>
      <w:r>
        <w:rPr>
          <w:rFonts w:hint="eastAsia" w:ascii="仿宋" w:hAnsi="仿宋" w:eastAsia="仿宋" w:cs="仿宋"/>
          <w:kern w:val="0"/>
          <w:sz w:val="24"/>
          <w:szCs w:val="24"/>
          <w:highlight w:val="none"/>
          <w:lang w:val="en-US" w:eastAsia="zh-CN"/>
        </w:rPr>
        <w:t>落实上位规划要求，提出切实可行的耕地和永久基本农田保护措施。严格控制新增建设用地规模，积极盘活存量建设用地。落实水源保护和水源涵养、河湖安全等保护范围，明确保护措施及管控要求。</w:t>
      </w:r>
    </w:p>
    <w:p w14:paraId="5A1E02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6、历史文化与景观风貌塑造：</w:t>
      </w:r>
      <w:r>
        <w:rPr>
          <w:rFonts w:hint="eastAsia" w:ascii="仿宋" w:hAnsi="仿宋" w:eastAsia="仿宋" w:cs="仿宋"/>
          <w:kern w:val="0"/>
          <w:sz w:val="24"/>
          <w:szCs w:val="24"/>
          <w:highlight w:val="none"/>
          <w:lang w:val="en-US" w:eastAsia="zh-CN"/>
        </w:rPr>
        <w:t>落实上位规划确定的历史文化保护控制线并细化管控要求。明确各类历史文化资源的保护范围或保护名录。结合自然人文特色，对山水格局、空间形态、绿廊绿道等提出合理的引导及管控要求。</w:t>
      </w:r>
    </w:p>
    <w:p w14:paraId="6AA7715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7、国土综合整治与生态修复安排：</w:t>
      </w:r>
      <w:r>
        <w:rPr>
          <w:rFonts w:hint="eastAsia" w:ascii="仿宋" w:hAnsi="仿宋" w:eastAsia="仿宋" w:cs="仿宋"/>
          <w:kern w:val="0"/>
          <w:sz w:val="24"/>
          <w:szCs w:val="24"/>
          <w:highlight w:val="none"/>
          <w:lang w:val="en-US" w:eastAsia="zh-CN"/>
        </w:rPr>
        <w:t>落实上位规划确定的国土综合整治与生态修复目标、任务及重点区域，并结合实际，确定综合整治和生态修复项目的规模、布局、时序和建设内容等。</w:t>
      </w:r>
    </w:p>
    <w:p w14:paraId="1EE0DD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8、国土空间支撑保障体系规划：</w:t>
      </w:r>
      <w:r>
        <w:rPr>
          <w:rFonts w:hint="eastAsia" w:ascii="仿宋" w:hAnsi="仿宋" w:eastAsia="仿宋" w:cs="仿宋"/>
          <w:kern w:val="0"/>
          <w:sz w:val="24"/>
          <w:szCs w:val="24"/>
          <w:highlight w:val="none"/>
          <w:lang w:val="en-US" w:eastAsia="zh-CN"/>
        </w:rPr>
        <w:t>合理安排综合交通、基础设施、公共服务设施及综合防灾减灾等设施的用地规模与布局，优化“平急两用”设施的用地配置与空间结构，切实增强国土空间韧性。</w:t>
      </w:r>
    </w:p>
    <w:p w14:paraId="354E7F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9、镇区规划：</w:t>
      </w:r>
      <w:r>
        <w:rPr>
          <w:rFonts w:hint="eastAsia" w:ascii="仿宋" w:hAnsi="仿宋" w:eastAsia="仿宋" w:cs="仿宋"/>
          <w:kern w:val="0"/>
          <w:sz w:val="24"/>
          <w:szCs w:val="24"/>
          <w:highlight w:val="none"/>
          <w:lang w:val="en-US" w:eastAsia="zh-CN"/>
        </w:rPr>
        <w:t>细化落实上位规划下达的城镇开发边界规模，详细规划详细规划居住、道路交通、绿地系统、公共服务与市政基础设施布局，划定黄线、蓝线、绿线、紫线等控制线并管控要求等。</w:t>
      </w:r>
    </w:p>
    <w:p w14:paraId="49BCD0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10、乡村地区“通则式”规划管理规定：</w:t>
      </w:r>
      <w:r>
        <w:rPr>
          <w:rFonts w:hint="eastAsia" w:ascii="仿宋" w:hAnsi="仿宋" w:eastAsia="仿宋" w:cs="仿宋"/>
          <w:kern w:val="0"/>
          <w:sz w:val="24"/>
          <w:szCs w:val="24"/>
          <w:highlight w:val="none"/>
          <w:lang w:val="en-US" w:eastAsia="zh-CN"/>
        </w:rPr>
        <w:t>落实上位规划的镇村体系布局和村庄分类，科学研判村庄定位和目标。制定“通则式”村庄规划管理规定，明确各类控制线、村民建房、产业布局、设施配套、风貌引导等管控要求。</w:t>
      </w:r>
    </w:p>
    <w:p w14:paraId="23102A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11、规划实施保障：</w:t>
      </w:r>
      <w:r>
        <w:rPr>
          <w:rFonts w:hint="eastAsia" w:ascii="仿宋" w:hAnsi="仿宋" w:eastAsia="仿宋" w:cs="仿宋"/>
          <w:kern w:val="0"/>
          <w:sz w:val="24"/>
          <w:szCs w:val="24"/>
          <w:highlight w:val="none"/>
          <w:lang w:val="en-US" w:eastAsia="zh-CN"/>
        </w:rPr>
        <w:t>落实上位规划的目标任务和近期项目，明确项目规模和时序安排。落实详细规划编制单元，细化传导内容。</w:t>
      </w:r>
    </w:p>
    <w:p w14:paraId="1D052F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b/>
          <w:bCs/>
          <w:kern w:val="0"/>
          <w:sz w:val="24"/>
          <w:szCs w:val="24"/>
          <w:highlight w:val="none"/>
          <w:lang w:val="en-US" w:eastAsia="zh-CN"/>
        </w:rPr>
        <w:t>12、参与规划报批：</w:t>
      </w:r>
      <w:r>
        <w:rPr>
          <w:rFonts w:hint="eastAsia" w:ascii="仿宋" w:hAnsi="仿宋" w:eastAsia="仿宋" w:cs="仿宋"/>
          <w:kern w:val="0"/>
          <w:sz w:val="24"/>
          <w:szCs w:val="24"/>
          <w:highlight w:val="none"/>
          <w:lang w:val="en-US" w:eastAsia="zh-CN"/>
        </w:rPr>
        <w:t>根据征求意见、专家评审和西安市自然资源和规划局审查期间反馈意见修改完善规划成果，直至最终获得西安市人民政府批复。</w:t>
      </w:r>
    </w:p>
    <w:p w14:paraId="1808F4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三、技术要求</w:t>
      </w:r>
    </w:p>
    <w:p w14:paraId="397A2F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（一）规范标准</w:t>
      </w:r>
    </w:p>
    <w:p w14:paraId="79EC68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规划编制全过程须严格遵守国家及陕西省现行有效的法律法规、技术标准和规范，特别是：</w:t>
      </w:r>
    </w:p>
    <w:p w14:paraId="3F33FB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1、《陕西省乡镇级国土空间规划编制技术要点（试行）》（陕自然资规发〔2023〕18号）；</w:t>
      </w:r>
    </w:p>
    <w:p w14:paraId="169145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2、《乡镇级国土空间规划数据库规范（试行）》（自然资办函〔2023〕1003号）；</w:t>
      </w:r>
    </w:p>
    <w:p w14:paraId="331B77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3、《陕西省乡镇级国土空间规划审查要点（试行）》（陕自然资规发〔2025〕737号）；</w:t>
      </w:r>
    </w:p>
    <w:p w14:paraId="12AA09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4、《陕西省乡镇级国土空间规划成果汇交要求（试行）》（陕自然资规发〔2025〕737号）。</w:t>
      </w:r>
    </w:p>
    <w:p w14:paraId="224970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（二）数据要求</w:t>
      </w:r>
    </w:p>
    <w:p w14:paraId="2F19A2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应统一采用2000国家大地坐标系和1985国家高程基准作为空间定位基础，形成坐标一致、边界吻合、上下贯通的工作底图。</w:t>
      </w:r>
    </w:p>
    <w:p w14:paraId="1B47F6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（三）成果衔接</w:t>
      </w:r>
    </w:p>
    <w:p w14:paraId="505C37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衔接落实《西安市鄠邑区国土空间总体规划（2021—2035年）》，并确保10个街道的规划成果在技术标准、基础数据、管控深度上协调一致。</w:t>
      </w:r>
    </w:p>
    <w:p w14:paraId="7D48F2ED">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sectPr>
          <w:headerReference r:id="rId3" w:type="default"/>
          <w:headerReference r:id="rId4" w:type="even"/>
          <w:pgSz w:w="11906" w:h="16838"/>
          <w:pgMar w:top="1417" w:right="1417" w:bottom="1417" w:left="1701" w:header="851" w:footer="992" w:gutter="0"/>
          <w:pgBorders>
            <w:top w:val="none" w:sz="0" w:space="0"/>
            <w:left w:val="none" w:sz="0" w:space="0"/>
            <w:bottom w:val="none" w:sz="0" w:space="0"/>
            <w:right w:val="none" w:sz="0" w:space="0"/>
          </w:pgBorders>
          <w:cols w:space="425" w:num="1"/>
          <w:docGrid w:type="linesAndChars" w:linePitch="420" w:charSpace="0"/>
        </w:sectPr>
      </w:pPr>
    </w:p>
    <w:p w14:paraId="3AF854A8">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五、商务要求</w:t>
      </w:r>
    </w:p>
    <w:p w14:paraId="58640D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1.服务期：自合同签订之日起180日。</w:t>
      </w:r>
    </w:p>
    <w:p w14:paraId="521EA1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2.服务地点：采购人指定地点。</w:t>
      </w:r>
    </w:p>
    <w:p w14:paraId="633A81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rPr>
      </w:pPr>
      <w:r>
        <w:rPr>
          <w:rFonts w:hint="eastAsia" w:ascii="仿宋" w:hAnsi="仿宋" w:eastAsia="仿宋" w:cs="仿宋"/>
          <w:kern w:val="0"/>
          <w:sz w:val="24"/>
          <w:szCs w:val="24"/>
          <w:highlight w:val="none"/>
          <w:lang w:val="en-US" w:eastAsia="zh-CN"/>
        </w:rPr>
        <w:t>3.付款方式：合同签订后，达到付款条件起30日内，支付合同总金额的50%作为项目启动预付款；规划初步成果经甲方审核并通过专家评审后，达到付款条件起30日内，支付合同总金额的30%；提交最终成果（报批稿）并取得西安市人民批复文件后，达到付款条件起30日内，</w:t>
      </w:r>
      <w:bookmarkStart w:id="0" w:name="_GoBack"/>
      <w:bookmarkEnd w:id="0"/>
      <w:r>
        <w:rPr>
          <w:rFonts w:hint="eastAsia" w:ascii="仿宋" w:hAnsi="仿宋" w:eastAsia="仿宋" w:cs="仿宋"/>
          <w:kern w:val="0"/>
          <w:sz w:val="24"/>
          <w:szCs w:val="24"/>
          <w:highlight w:val="none"/>
          <w:lang w:val="en-US" w:eastAsia="zh-CN"/>
        </w:rPr>
        <w:t>支付合同总金额的20%。</w:t>
      </w:r>
    </w:p>
    <w:sectPr>
      <w:headerReference r:id="rId5"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ED4">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F038D">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CAF038D">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91D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1D1E">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340B">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pStyle w:val="6"/>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ZTVkOGVjMTBjMGYwODY1N2Q5MjNjYjljMjBjOWMifQ=="/>
  </w:docVars>
  <w:rsids>
    <w:rsidRoot w:val="3E2E4EA8"/>
    <w:rsid w:val="00215AD3"/>
    <w:rsid w:val="006B3DB8"/>
    <w:rsid w:val="00A80993"/>
    <w:rsid w:val="013D1605"/>
    <w:rsid w:val="01691A08"/>
    <w:rsid w:val="01922B6B"/>
    <w:rsid w:val="02511314"/>
    <w:rsid w:val="027F2F56"/>
    <w:rsid w:val="03936CB9"/>
    <w:rsid w:val="039D18E6"/>
    <w:rsid w:val="03D1789B"/>
    <w:rsid w:val="047F723D"/>
    <w:rsid w:val="04D56F62"/>
    <w:rsid w:val="0550686D"/>
    <w:rsid w:val="05527178"/>
    <w:rsid w:val="06607A10"/>
    <w:rsid w:val="06950CBD"/>
    <w:rsid w:val="07EC67E9"/>
    <w:rsid w:val="09997A8F"/>
    <w:rsid w:val="09A339CE"/>
    <w:rsid w:val="0A575142"/>
    <w:rsid w:val="0BB530DF"/>
    <w:rsid w:val="0D777923"/>
    <w:rsid w:val="0DA0444A"/>
    <w:rsid w:val="0E5D2041"/>
    <w:rsid w:val="0E8110E0"/>
    <w:rsid w:val="0E8538EB"/>
    <w:rsid w:val="0EC35F8F"/>
    <w:rsid w:val="0F2F6775"/>
    <w:rsid w:val="0FA20284"/>
    <w:rsid w:val="0FDF0F1F"/>
    <w:rsid w:val="10923E54"/>
    <w:rsid w:val="109E4EEF"/>
    <w:rsid w:val="11611F43"/>
    <w:rsid w:val="11F879B4"/>
    <w:rsid w:val="12832ECF"/>
    <w:rsid w:val="12A52565"/>
    <w:rsid w:val="12B64F53"/>
    <w:rsid w:val="13185A75"/>
    <w:rsid w:val="13767F01"/>
    <w:rsid w:val="1427639E"/>
    <w:rsid w:val="152E4A94"/>
    <w:rsid w:val="15783F61"/>
    <w:rsid w:val="158D1F17"/>
    <w:rsid w:val="15997D37"/>
    <w:rsid w:val="15DA0777"/>
    <w:rsid w:val="17960CDA"/>
    <w:rsid w:val="1AA110CD"/>
    <w:rsid w:val="1B0B13D3"/>
    <w:rsid w:val="1C113344"/>
    <w:rsid w:val="1C6C2C12"/>
    <w:rsid w:val="1C99656B"/>
    <w:rsid w:val="1D952DC8"/>
    <w:rsid w:val="1E6F2058"/>
    <w:rsid w:val="1ED65FDF"/>
    <w:rsid w:val="1F2A5B39"/>
    <w:rsid w:val="1F8654CC"/>
    <w:rsid w:val="1FF42436"/>
    <w:rsid w:val="1FFB37C4"/>
    <w:rsid w:val="20A023A3"/>
    <w:rsid w:val="220E654C"/>
    <w:rsid w:val="2351005F"/>
    <w:rsid w:val="235A4175"/>
    <w:rsid w:val="23DD1433"/>
    <w:rsid w:val="24747FE9"/>
    <w:rsid w:val="24AE0ACA"/>
    <w:rsid w:val="26252980"/>
    <w:rsid w:val="26297618"/>
    <w:rsid w:val="26DE6764"/>
    <w:rsid w:val="26E86A6C"/>
    <w:rsid w:val="27082C6B"/>
    <w:rsid w:val="27DF1D68"/>
    <w:rsid w:val="294F2DD3"/>
    <w:rsid w:val="29E83790"/>
    <w:rsid w:val="2A1E1108"/>
    <w:rsid w:val="2A74238E"/>
    <w:rsid w:val="2A9137CD"/>
    <w:rsid w:val="2AB729DE"/>
    <w:rsid w:val="2B626DED"/>
    <w:rsid w:val="2C700304"/>
    <w:rsid w:val="2C9E4972"/>
    <w:rsid w:val="2CA0253A"/>
    <w:rsid w:val="2E304F81"/>
    <w:rsid w:val="2E894691"/>
    <w:rsid w:val="2EE84F4C"/>
    <w:rsid w:val="2EF127E9"/>
    <w:rsid w:val="2F1C5505"/>
    <w:rsid w:val="2FA554FB"/>
    <w:rsid w:val="30226B4B"/>
    <w:rsid w:val="30467C9D"/>
    <w:rsid w:val="30C01A61"/>
    <w:rsid w:val="30C7367C"/>
    <w:rsid w:val="319856D8"/>
    <w:rsid w:val="31D52EFF"/>
    <w:rsid w:val="320C5BD2"/>
    <w:rsid w:val="32900861"/>
    <w:rsid w:val="32980F88"/>
    <w:rsid w:val="33062F0A"/>
    <w:rsid w:val="331B0BDA"/>
    <w:rsid w:val="33ED255F"/>
    <w:rsid w:val="34DF7412"/>
    <w:rsid w:val="3681330D"/>
    <w:rsid w:val="37AE0736"/>
    <w:rsid w:val="37B26A07"/>
    <w:rsid w:val="37BA1D5F"/>
    <w:rsid w:val="39094D4C"/>
    <w:rsid w:val="391159AF"/>
    <w:rsid w:val="39CC70E1"/>
    <w:rsid w:val="3BB0325D"/>
    <w:rsid w:val="3D9F17DB"/>
    <w:rsid w:val="3E2E4EA8"/>
    <w:rsid w:val="3E5156E4"/>
    <w:rsid w:val="3E6B5354"/>
    <w:rsid w:val="3EB53F72"/>
    <w:rsid w:val="3F2F6FF1"/>
    <w:rsid w:val="3FDE436A"/>
    <w:rsid w:val="3FEB2F2F"/>
    <w:rsid w:val="40CE4A65"/>
    <w:rsid w:val="410D564A"/>
    <w:rsid w:val="42982C9D"/>
    <w:rsid w:val="438020AF"/>
    <w:rsid w:val="43EA3894"/>
    <w:rsid w:val="43F403A7"/>
    <w:rsid w:val="441A0216"/>
    <w:rsid w:val="448B4867"/>
    <w:rsid w:val="450425EC"/>
    <w:rsid w:val="454C6BCB"/>
    <w:rsid w:val="459047FE"/>
    <w:rsid w:val="4638473F"/>
    <w:rsid w:val="46517D32"/>
    <w:rsid w:val="470D3C59"/>
    <w:rsid w:val="47D81FAD"/>
    <w:rsid w:val="48052B82"/>
    <w:rsid w:val="480A3F3F"/>
    <w:rsid w:val="483E40B6"/>
    <w:rsid w:val="48912119"/>
    <w:rsid w:val="48D013E2"/>
    <w:rsid w:val="495F2991"/>
    <w:rsid w:val="49C56BCC"/>
    <w:rsid w:val="49DE18DD"/>
    <w:rsid w:val="4AE50A49"/>
    <w:rsid w:val="4B6E49D9"/>
    <w:rsid w:val="4B8B38F2"/>
    <w:rsid w:val="4D430005"/>
    <w:rsid w:val="4D6F420E"/>
    <w:rsid w:val="4D77007F"/>
    <w:rsid w:val="4DAE7818"/>
    <w:rsid w:val="4DC327F4"/>
    <w:rsid w:val="4E094A4F"/>
    <w:rsid w:val="4F8B1BBF"/>
    <w:rsid w:val="4FBD1F95"/>
    <w:rsid w:val="4FD35314"/>
    <w:rsid w:val="50115E26"/>
    <w:rsid w:val="50854860"/>
    <w:rsid w:val="515C2244"/>
    <w:rsid w:val="52263EA0"/>
    <w:rsid w:val="52264F16"/>
    <w:rsid w:val="523429E2"/>
    <w:rsid w:val="524F039B"/>
    <w:rsid w:val="528D20F2"/>
    <w:rsid w:val="54B9117B"/>
    <w:rsid w:val="54F963FC"/>
    <w:rsid w:val="55254864"/>
    <w:rsid w:val="570E068D"/>
    <w:rsid w:val="571050A0"/>
    <w:rsid w:val="57904449"/>
    <w:rsid w:val="581A7F84"/>
    <w:rsid w:val="58AA282E"/>
    <w:rsid w:val="58F13FBC"/>
    <w:rsid w:val="58F55680"/>
    <w:rsid w:val="596F4300"/>
    <w:rsid w:val="59AD4E28"/>
    <w:rsid w:val="5A67147B"/>
    <w:rsid w:val="5A673905"/>
    <w:rsid w:val="5A7871E4"/>
    <w:rsid w:val="5AE04809"/>
    <w:rsid w:val="5C862692"/>
    <w:rsid w:val="5CBF28B3"/>
    <w:rsid w:val="5CC07F21"/>
    <w:rsid w:val="5D041203"/>
    <w:rsid w:val="5DBE7604"/>
    <w:rsid w:val="5EFF02A4"/>
    <w:rsid w:val="602816AC"/>
    <w:rsid w:val="608F20FD"/>
    <w:rsid w:val="60F70D77"/>
    <w:rsid w:val="615D0EE2"/>
    <w:rsid w:val="61851F3F"/>
    <w:rsid w:val="63337CAB"/>
    <w:rsid w:val="63AB062A"/>
    <w:rsid w:val="63CF3EF5"/>
    <w:rsid w:val="63F626B7"/>
    <w:rsid w:val="640306F3"/>
    <w:rsid w:val="64F658D5"/>
    <w:rsid w:val="652E1262"/>
    <w:rsid w:val="65D54C8C"/>
    <w:rsid w:val="6686712D"/>
    <w:rsid w:val="675B4115"/>
    <w:rsid w:val="67AC671F"/>
    <w:rsid w:val="68313786"/>
    <w:rsid w:val="688232DD"/>
    <w:rsid w:val="689B4665"/>
    <w:rsid w:val="69DD52B6"/>
    <w:rsid w:val="6A9260A0"/>
    <w:rsid w:val="6B0E7C39"/>
    <w:rsid w:val="6B13771A"/>
    <w:rsid w:val="6B5C045C"/>
    <w:rsid w:val="6B9B1C33"/>
    <w:rsid w:val="6C553829"/>
    <w:rsid w:val="6C6E5E8A"/>
    <w:rsid w:val="6CBD64D2"/>
    <w:rsid w:val="6E72228A"/>
    <w:rsid w:val="6ECC2E76"/>
    <w:rsid w:val="6EE803D8"/>
    <w:rsid w:val="6F2968A7"/>
    <w:rsid w:val="6F6872BA"/>
    <w:rsid w:val="6F9772B8"/>
    <w:rsid w:val="6FC54822"/>
    <w:rsid w:val="70464398"/>
    <w:rsid w:val="705067E1"/>
    <w:rsid w:val="73025A6F"/>
    <w:rsid w:val="739509AF"/>
    <w:rsid w:val="73C7661F"/>
    <w:rsid w:val="745A1994"/>
    <w:rsid w:val="75EB604B"/>
    <w:rsid w:val="763444AF"/>
    <w:rsid w:val="76C324D4"/>
    <w:rsid w:val="777A05E8"/>
    <w:rsid w:val="778F59E7"/>
    <w:rsid w:val="78686692"/>
    <w:rsid w:val="78C064CE"/>
    <w:rsid w:val="78D4703E"/>
    <w:rsid w:val="79081A29"/>
    <w:rsid w:val="7A1C7FEC"/>
    <w:rsid w:val="7A477914"/>
    <w:rsid w:val="7BCB1774"/>
    <w:rsid w:val="7CDA3A4F"/>
    <w:rsid w:val="7E327526"/>
    <w:rsid w:val="7E3922FD"/>
    <w:rsid w:val="7EA146AC"/>
    <w:rsid w:val="7ED43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6"/>
    <w:basedOn w:val="1"/>
    <w:next w:val="1"/>
    <w:semiHidden/>
    <w:unhideWhenUsed/>
    <w:qFormat/>
    <w:uiPriority w:val="9"/>
    <w:pPr>
      <w:numPr>
        <w:ilvl w:val="5"/>
        <w:numId w:val="1"/>
      </w:numPr>
      <w:spacing w:before="240" w:after="60"/>
      <w:outlineLvl w:val="5"/>
    </w:pPr>
    <w:rPr>
      <w:rFonts w:cstheme="majorBidi"/>
      <w:b/>
      <w:bCs/>
      <w:sz w:val="22"/>
      <w:szCs w:val="2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Calibri" w:hAnsi="Calibri" w:eastAsia="宋体"/>
      <w:szCs w:val="24"/>
    </w:rPr>
  </w:style>
  <w:style w:type="paragraph" w:styleId="8">
    <w:name w:val="Document Map"/>
    <w:basedOn w:val="1"/>
    <w:unhideWhenUsed/>
    <w:qFormat/>
    <w:uiPriority w:val="99"/>
    <w:rPr>
      <w:rFonts w:ascii="Microsoft YaHei UI" w:eastAsia="Microsoft YaHei UI"/>
      <w:sz w:val="18"/>
      <w:szCs w:val="18"/>
    </w:rPr>
  </w:style>
  <w:style w:type="paragraph" w:styleId="9">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10">
    <w:name w:val="Body Text Indent"/>
    <w:basedOn w:val="1"/>
    <w:next w:val="11"/>
    <w:qFormat/>
    <w:uiPriority w:val="0"/>
    <w:pPr>
      <w:widowControl w:val="0"/>
      <w:ind w:firstLine="552"/>
      <w:jc w:val="both"/>
    </w:pPr>
    <w:rPr>
      <w:rFonts w:ascii="宋体" w:hAnsi="Times New Roman" w:eastAsia="宋体" w:cs="Times New Roman"/>
      <w:kern w:val="2"/>
      <w:sz w:val="28"/>
      <w:lang w:val="en-US" w:eastAsia="zh-CN" w:bidi="ar-SA"/>
    </w:rPr>
  </w:style>
  <w:style w:type="paragraph" w:styleId="11">
    <w:name w:val="Body Text First Indent 2"/>
    <w:basedOn w:val="10"/>
    <w:unhideWhenUsed/>
    <w:qFormat/>
    <w:uiPriority w:val="0"/>
    <w:pPr>
      <w:widowControl/>
      <w:spacing w:after="0" w:line="360" w:lineRule="auto"/>
      <w:ind w:firstLine="200" w:firstLineChars="200"/>
      <w:jc w:val="both"/>
    </w:pPr>
    <w:rPr>
      <w:rFonts w:ascii="宋体" w:hAnsi="Times New Roman" w:eastAsia="宋体" w:cs="Times New Roman"/>
      <w:kern w:val="2"/>
      <w:sz w:val="24"/>
      <w:lang w:val="en-US" w:eastAsia="zh-CN" w:bidi="ar-SA"/>
    </w:rPr>
  </w:style>
  <w:style w:type="paragraph" w:styleId="12">
    <w:name w:val="Plain Text"/>
    <w:basedOn w:val="1"/>
    <w:next w:val="1"/>
    <w:qFormat/>
    <w:uiPriority w:val="0"/>
    <w:pPr>
      <w:widowControl w:val="0"/>
      <w:jc w:val="both"/>
    </w:pPr>
    <w:rPr>
      <w:rFonts w:ascii="宋体" w:hAnsi="Courier New" w:eastAsia="宋体" w:cs="Times New Roman"/>
      <w:kern w:val="0"/>
      <w:sz w:val="20"/>
      <w:lang w:val="en-US" w:eastAsia="zh-CN" w:bidi="ar-SA"/>
    </w:rPr>
  </w:style>
  <w:style w:type="paragraph" w:styleId="13">
    <w:name w:val="footer"/>
    <w:basedOn w:val="1"/>
    <w:unhideWhenUsed/>
    <w:qFormat/>
    <w:uiPriority w:val="99"/>
    <w:pPr>
      <w:tabs>
        <w:tab w:val="center" w:pos="4153"/>
        <w:tab w:val="right" w:pos="8306"/>
      </w:tabs>
      <w:snapToGrid w:val="0"/>
      <w:spacing w:line="240" w:lineRule="atLeast"/>
    </w:pPr>
    <w:rPr>
      <w:sz w:val="18"/>
      <w:szCs w:val="18"/>
    </w:rPr>
  </w:style>
  <w:style w:type="paragraph" w:styleId="14">
    <w:name w:val="header"/>
    <w:basedOn w:val="1"/>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5">
    <w:name w:val="Body Text 2"/>
    <w:basedOn w:val="1"/>
    <w:qFormat/>
    <w:uiPriority w:val="0"/>
    <w:rPr>
      <w:rFonts w:ascii="楷体_GB2312" w:hAnsi="Copperplate Gothic Bold" w:eastAsia="楷体_GB2312"/>
      <w:sz w:val="28"/>
    </w:rPr>
  </w:style>
  <w:style w:type="paragraph" w:styleId="16">
    <w:name w:val="Normal (Web)"/>
    <w:basedOn w:val="1"/>
    <w:unhideWhenUsed/>
    <w:qFormat/>
    <w:uiPriority w:val="99"/>
    <w:pPr>
      <w:widowControl w:val="0"/>
      <w:autoSpaceDE w:val="0"/>
      <w:autoSpaceDN w:val="0"/>
      <w:spacing w:before="100" w:beforeAutospacing="1" w:after="100" w:afterAutospacing="1"/>
      <w:ind w:left="0" w:right="0"/>
      <w:jc w:val="left"/>
    </w:pPr>
    <w:rPr>
      <w:rFonts w:ascii="仿宋" w:hAnsi="仿宋" w:eastAsia="仿宋" w:cs="仿宋"/>
      <w:kern w:val="0"/>
      <w:sz w:val="24"/>
      <w:szCs w:val="22"/>
      <w:lang w:val="en-US" w:eastAsia="zh-CN" w:bidi="ar"/>
    </w:rPr>
  </w:style>
  <w:style w:type="paragraph" w:styleId="17">
    <w:name w:val="Body Text First Indent"/>
    <w:qFormat/>
    <w:uiPriority w:val="0"/>
    <w:pPr>
      <w:widowControl w:val="0"/>
      <w:spacing w:after="120"/>
      <w:ind w:firstLine="420" w:firstLineChars="100"/>
      <w:jc w:val="both"/>
    </w:pPr>
    <w:rPr>
      <w:rFonts w:ascii="Times New Roman" w:hAnsi="Times New Roman" w:eastAsia="宋体" w:cs="Times New Roman"/>
      <w:kern w:val="2"/>
      <w:sz w:val="21"/>
      <w:lang w:val="en-US" w:eastAsia="zh-CN" w:bidi="ar-SA"/>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unhideWhenUsed/>
    <w:qFormat/>
    <w:uiPriority w:val="99"/>
    <w:rPr>
      <w:color w:val="0026E5" w:themeColor="hyperlink"/>
      <w:u w:val="single"/>
      <w14:textFill>
        <w14:solidFill>
          <w14:schemeClr w14:val="hlink"/>
        </w14:solidFill>
      </w14:textFill>
    </w:rPr>
  </w:style>
  <w:style w:type="character" w:styleId="29">
    <w:name w:val="HTML Code"/>
    <w:basedOn w:val="20"/>
    <w:qFormat/>
    <w:uiPriority w:val="0"/>
    <w:rPr>
      <w:rFonts w:hint="default"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paragraph" w:customStyle="1" w:styleId="33">
    <w:name w:val="样式2"/>
    <w:basedOn w:val="34"/>
    <w:qFormat/>
    <w:uiPriority w:val="0"/>
    <w:pPr>
      <w:spacing w:line="560" w:lineRule="exact"/>
      <w:ind w:firstLine="643" w:firstLineChars="200"/>
      <w:jc w:val="both"/>
    </w:pPr>
    <w:rPr>
      <w:rFonts w:ascii="仿宋_GB2312" w:hAnsi="仿宋" w:eastAsia="仿宋_GB2312"/>
      <w:b/>
      <w:bCs/>
      <w:szCs w:val="32"/>
    </w:rPr>
  </w:style>
  <w:style w:type="paragraph" w:customStyle="1" w:styleId="34">
    <w:name w:val="@标题"/>
    <w:basedOn w:val="1"/>
    <w:next w:val="35"/>
    <w:qFormat/>
    <w:uiPriority w:val="0"/>
    <w:pPr>
      <w:keepNext/>
      <w:spacing w:before="50" w:beforeLines="50" w:after="50" w:afterLines="50"/>
      <w:jc w:val="center"/>
      <w:outlineLvl w:val="1"/>
    </w:pPr>
    <w:rPr>
      <w:rFonts w:ascii="Calibri" w:hAnsi="Calibri" w:eastAsia="黑体"/>
      <w:kern w:val="32"/>
      <w:sz w:val="32"/>
    </w:rPr>
  </w:style>
  <w:style w:type="paragraph" w:customStyle="1" w:styleId="35">
    <w:name w:val="@正文"/>
    <w:basedOn w:val="36"/>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36">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37">
    <w:name w:val="样式1"/>
    <w:basedOn w:val="5"/>
    <w:qFormat/>
    <w:uiPriority w:val="0"/>
    <w:pPr>
      <w:jc w:val="left"/>
    </w:pPr>
    <w:rPr>
      <w:rFonts w:eastAsia="楷体"/>
      <w:sz w:val="32"/>
    </w:rPr>
  </w:style>
  <w:style w:type="paragraph" w:styleId="38">
    <w:name w:val="List Paragraph"/>
    <w:basedOn w:val="1"/>
    <w:qFormat/>
    <w:uiPriority w:val="0"/>
    <w:pPr>
      <w:ind w:left="720"/>
      <w:contextualSpacing/>
    </w:pPr>
  </w:style>
  <w:style w:type="paragraph" w:customStyle="1" w:styleId="39">
    <w:name w:val="Default"/>
    <w:next w:val="4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0">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1">
    <w:name w:val="样式3"/>
    <w:basedOn w:val="1"/>
    <w:qFormat/>
    <w:uiPriority w:val="0"/>
    <w:pPr>
      <w:spacing w:line="560" w:lineRule="exact"/>
      <w:jc w:val="center"/>
    </w:pPr>
    <w:rPr>
      <w:rFonts w:ascii="方正小标宋_GBK" w:hAnsi="仿宋" w:eastAsia="方正小标宋_GBK"/>
      <w:sz w:val="36"/>
      <w:szCs w:val="36"/>
    </w:rPr>
  </w:style>
  <w:style w:type="paragraph" w:customStyle="1" w:styleId="42">
    <w:name w:val="列出段落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customStyle="1" w:styleId="43">
    <w:name w:val="网格型1"/>
    <w:basedOn w:val="18"/>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table" w:customStyle="1" w:styleId="4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2206</Words>
  <Characters>2246</Characters>
  <Lines>0</Lines>
  <Paragraphs>0</Paragraphs>
  <TotalTime>0</TotalTime>
  <ScaleCrop>false</ScaleCrop>
  <LinksUpToDate>false</LinksUpToDate>
  <CharactersWithSpaces>2247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2023-08-29T06:44:00Z</dcterms:created>
  <dc:creator>Dreamer</dc:creator>
  <cp:lastModifiedBy>Y</cp:lastModifiedBy>
  <cp:lastPrinted>2023-10-13T06:30:00Z</cp:lastPrinted>
  <dcterms:modified xsi:type="dcterms:W3CDTF">2025-12-05T02:24:33Z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77BE5B46AF4C4CC8A0410BADF3210FFD_11</vt:lpwstr>
  </property>
  <property fmtid="{D5CDD505-2E9C-101B-9397-08002B2CF9AE}" pid="4" name="KSOTemplateDocerSaveRecord">
    <vt:lpwstr>eyJoZGlkIjoiN2EzZTVkOGVjMTBjMGYwODY1N2Q5MjNjYjljMjBjOWMiLCJ1c2VySWQiOiIxMDMyOTA1OTI4In0=</vt:lpwstr>
  </property>
</Properties>
</file>