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68"/>
      <w:bookmarkStart w:id="1" w:name="_Toc21955"/>
      <w:bookmarkStart w:id="2" w:name="_Toc519156735"/>
      <w:bookmarkStart w:id="3" w:name="_Toc49590839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沥青混凝土路面梯度自愈合材料研究、缆索桥梁结构安全评估系统开发</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ZYXCG-20250125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- 40 -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- 56 -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- 58 -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- 62 -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- 64 -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- 68 -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- 70 -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- 83 -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495908399"/>
      <w:bookmarkStart w:id="6" w:name="_Toc26933"/>
      <w:bookmarkStart w:id="7" w:name="_Toc519156736"/>
      <w:bookmarkStart w:id="8" w:name="_Toc8474"/>
      <w:bookmarkStart w:id="9" w:name="_Toc28842"/>
      <w:bookmarkStart w:id="10" w:name="_Toc2990"/>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沥青混凝土路面梯度自愈合材料研究、缆索桥梁结构安全评估系统开发</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w:t>
      </w:r>
      <w:r>
        <w:rPr>
          <w:rFonts w:hint="eastAsia" w:ascii="仿宋" w:hAnsi="仿宋" w:eastAsia="仿宋" w:cs="仿宋"/>
          <w:color w:val="auto"/>
          <w:highlight w:val="none"/>
        </w:rPr>
        <w:t> </w:t>
      </w:r>
      <w:r>
        <w:rPr>
          <w:rFonts w:hint="eastAsia" w:ascii="仿宋" w:hAnsi="仿宋" w:eastAsia="仿宋" w:cs="仿宋"/>
          <w:highlight w:val="none"/>
        </w:rPr>
        <w:t>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 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w:t>
      </w:r>
      <w:r>
        <w:rPr>
          <w:rFonts w:hint="eastAsia" w:ascii="仿宋" w:hAnsi="仿宋" w:eastAsia="仿宋" w:cs="仿宋"/>
          <w:color w:val="auto"/>
          <w:highlight w:val="none"/>
        </w:rPr>
        <w:t>分</w:t>
      </w:r>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47E3EAC6">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ZYXCG-20250125</w:t>
      </w:r>
    </w:p>
    <w:p w14:paraId="113AF24A">
      <w:pPr>
        <w:pStyle w:val="28"/>
        <w:wordWrap w:val="0"/>
        <w:spacing w:beforeAutospacing="0" w:afterAutospacing="0" w:line="360" w:lineRule="auto"/>
        <w:ind w:left="1680" w:leftChars="200" w:hanging="1200" w:hangingChars="50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沥青混凝土路面梯度自愈合材料研究、缆索桥梁结构安全评估系统开发</w:t>
      </w:r>
    </w:p>
    <w:p w14:paraId="722F6883">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54565FD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3143F0B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5381CBA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面向双碳目标的沥青混凝土路面梯度自愈合材料研发与应用</w:t>
      </w:r>
      <w:r>
        <w:rPr>
          <w:rFonts w:hint="eastAsia" w:ascii="仿宋" w:hAnsi="仿宋" w:eastAsia="仿宋" w:cs="仿宋"/>
          <w:highlight w:val="none"/>
        </w:rPr>
        <w:t>):</w:t>
      </w:r>
    </w:p>
    <w:p w14:paraId="6B416956">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4969C00F">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316D6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32ABED">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AFEF05">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8BCDFD">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BD48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7AB50">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E4CEE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5750C8">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11169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0A6FD9">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8CD92A">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291674">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面向双碳目标的沥青混凝土路面梯度自愈合材料研发与应用</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E21B9">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68D878">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面向双碳目标的沥青混凝土路面梯度自愈合材料研发与应用，</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075C13">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380897">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3525B874">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5270519B">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7CA65825">
      <w:pPr>
        <w:pStyle w:val="28"/>
        <w:wordWrap w:val="0"/>
        <w:spacing w:beforeAutospacing="0" w:afterAutospacing="0" w:line="360" w:lineRule="auto"/>
        <w:ind w:firstLine="630"/>
        <w:jc w:val="both"/>
        <w:rPr>
          <w:rFonts w:hint="eastAsia" w:ascii="仿宋" w:hAnsi="仿宋" w:eastAsia="仿宋" w:cs="仿宋"/>
          <w:highlight w:val="none"/>
        </w:rPr>
      </w:pPr>
    </w:p>
    <w:p w14:paraId="45473A65">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缆索桥梁结构安全智能评估与预警系统开发</w:t>
      </w:r>
      <w:r>
        <w:rPr>
          <w:rFonts w:hint="eastAsia" w:ascii="仿宋" w:hAnsi="仿宋" w:eastAsia="仿宋" w:cs="仿宋"/>
          <w:highlight w:val="none"/>
        </w:rPr>
        <w:t>):</w:t>
      </w:r>
    </w:p>
    <w:p w14:paraId="3D0493E8">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488A5B75">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161FB5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62ABF1">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16CD7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7397A5">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D4883D">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007BF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E2FC30">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F2BF4">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7A319D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9516E2">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69DBDF">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1FC767">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缆索桥梁结构安全智能评估与预警系统开发</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CE38A0">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6C9103">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缆索桥梁结构安全智能评估与预警系统开发，</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6D45A0">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B55716">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2A0A8172">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31566CFB">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39651132">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62DD7883">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1015DD0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1EBB57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面向双碳目标的沥青混凝土路面梯度自愈合材料研发与应用</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31F2FE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缆索桥梁结构安全智能评估与预警系统开发</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12082272">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3674FA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面向双碳目标的沥青混凝土路面梯度自愈合材料研发与应用</w:t>
      </w:r>
      <w:r>
        <w:rPr>
          <w:rFonts w:hint="eastAsia" w:ascii="仿宋" w:hAnsi="仿宋" w:eastAsia="仿宋" w:cs="仿宋"/>
          <w:highlight w:val="none"/>
        </w:rPr>
        <w:t>)</w:t>
      </w:r>
      <w:r>
        <w:rPr>
          <w:rFonts w:hint="eastAsia" w:ascii="仿宋" w:hAnsi="仿宋" w:eastAsia="仿宋" w:cs="仿宋"/>
          <w:color w:val="auto"/>
          <w:highlight w:val="none"/>
        </w:rPr>
        <w:t>特定资格要求如下:</w:t>
      </w:r>
    </w:p>
    <w:p w14:paraId="4D0FAC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027514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D9E1C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71A25C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70E39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10EE8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D6460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0A08AB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4E745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093337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06C956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缆索桥梁结构安全智能评估与预警系统开发</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6929A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02DCCF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D1E6F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4497F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7A7FFC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0F67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61B35C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D259B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059E9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44404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74BE50F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18 </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25 </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w:t>
      </w:r>
      <w:r>
        <w:rPr>
          <w:rFonts w:hint="eastAsia" w:ascii="仿宋" w:hAnsi="仿宋" w:eastAsia="仿宋" w:cs="仿宋"/>
          <w:highlight w:val="none"/>
          <w:lang w:val="en-US" w:eastAsia="zh-CN"/>
        </w:rPr>
        <w:t>3</w:t>
      </w:r>
      <w:r>
        <w:rPr>
          <w:rFonts w:hint="eastAsia" w:ascii="仿宋" w:hAnsi="仿宋" w:eastAsia="仿宋" w:cs="仿宋"/>
          <w:highlight w:val="none"/>
        </w:rPr>
        <w:t>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bookmarkStart w:id="123" w:name="_GoBack"/>
      <w:bookmarkEnd w:id="123"/>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 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 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4A8D3C1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w:t>
      </w:r>
      <w:r>
        <w:rPr>
          <w:rFonts w:hint="eastAsia" w:ascii="仿宋" w:hAnsi="仿宋" w:eastAsia="仿宋" w:cs="仿宋"/>
          <w:color w:val="auto"/>
          <w:kern w:val="0"/>
          <w:sz w:val="24"/>
          <w:highlight w:val="none"/>
          <w:lang w:val="en-US" w:eastAsia="zh-CN"/>
        </w:rPr>
        <w:t>/包（公对公转账）</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auto"/>
          <w:highlight w:val="none"/>
          <w:shd w:val="clear" w:color="auto" w:fill="FFFFFF"/>
          <w:lang w:val="en-US" w:eastAsia="zh-CN"/>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10509DB1">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0B0D868B">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4FEDEB69">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7D431449">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105222E2">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6E82EF7D">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3EF19ACD">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04B79468">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3D18B50E">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350372DC">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732C2B14">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49FDC3AE">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17742A7B">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67B220B">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AAE81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050BCB6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42A511C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49E715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192D10F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55125C5A">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10ED35BC">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58034AC2">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3D6B89EF">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4946092C">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262C0071">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0AA62566">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07FA19D0">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160DD954">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 </w:t>
            </w:r>
            <w:r>
              <w:rPr>
                <w:rFonts w:hint="eastAsia" w:ascii="仿宋" w:hAnsi="仿宋" w:eastAsia="仿宋" w:cs="仿宋"/>
                <w:highlight w:val="none"/>
              </w:rPr>
              <w:t>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 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4A9E3422">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F9401DD">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 </w:t>
            </w:r>
            <w:r>
              <w:rPr>
                <w:rFonts w:hint="eastAsia" w:ascii="仿宋" w:hAnsi="仿宋" w:eastAsia="仿宋" w:cs="仿宋"/>
                <w:highlight w:val="none"/>
              </w:rPr>
              <w:t>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 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46F03F0F">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045"/>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3716"/>
      <w:bookmarkStart w:id="16" w:name="_Toc10488"/>
      <w:bookmarkStart w:id="17" w:name="_Toc23167"/>
      <w:bookmarkStart w:id="18" w:name="_Toc519156746"/>
      <w:bookmarkStart w:id="19" w:name="_Toc29597"/>
      <w:bookmarkStart w:id="20" w:name="_Toc26143"/>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7253"/>
      <w:bookmarkStart w:id="22" w:name="_Toc13421"/>
      <w:bookmarkStart w:id="23" w:name="_Toc12298"/>
      <w:bookmarkStart w:id="24" w:name="_Toc24454"/>
      <w:bookmarkStart w:id="25" w:name="_Toc519156738"/>
      <w:bookmarkStart w:id="26" w:name="_Toc25586"/>
      <w:bookmarkStart w:id="27" w:name="_Toc12414"/>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4528"/>
      <w:bookmarkStart w:id="29" w:name="_Toc2740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5030"/>
      <w:bookmarkStart w:id="32" w:name="_Toc17134"/>
      <w:bookmarkStart w:id="33" w:name="_Toc2653"/>
      <w:bookmarkStart w:id="34" w:name="_Toc1077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168"/>
      <w:bookmarkStart w:id="36" w:name="_Toc16846"/>
      <w:bookmarkStart w:id="37" w:name="_Toc18132"/>
      <w:bookmarkStart w:id="38" w:name="_Toc28014"/>
      <w:bookmarkStart w:id="39" w:name="_Toc8808"/>
      <w:bookmarkStart w:id="40" w:name="_Toc22803"/>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1063"/>
      <w:bookmarkStart w:id="44" w:name="_Toc2515"/>
      <w:bookmarkStart w:id="45" w:name="_Toc31661"/>
      <w:bookmarkStart w:id="46" w:name="_Toc1672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519156742"/>
      <w:bookmarkStart w:id="48" w:name="_Toc29321"/>
      <w:bookmarkStart w:id="49" w:name="_Toc32447"/>
      <w:bookmarkStart w:id="50" w:name="_Toc18356"/>
      <w:bookmarkStart w:id="51" w:name="_Toc1285"/>
      <w:bookmarkStart w:id="52" w:name="_Toc4585"/>
      <w:bookmarkStart w:id="53" w:name="_Toc14489"/>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3700"/>
      <w:bookmarkStart w:id="55" w:name="_Toc15015"/>
      <w:bookmarkStart w:id="56" w:name="_Toc12452"/>
      <w:bookmarkStart w:id="57" w:name="_Toc6759"/>
      <w:bookmarkStart w:id="58" w:name="_Toc21838"/>
      <w:bookmarkStart w:id="59" w:name="_Toc1954"/>
      <w:bookmarkStart w:id="60" w:name="_Toc519156743"/>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519156744"/>
      <w:bookmarkStart w:id="63"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6927"/>
      <w:bookmarkStart w:id="65" w:name="_Toc21776"/>
      <w:bookmarkStart w:id="66" w:name="_Toc729"/>
      <w:bookmarkStart w:id="67" w:name="_Toc12773"/>
      <w:bookmarkStart w:id="68" w:name="_Toc14277"/>
      <w:bookmarkStart w:id="69" w:name="_Toc519156745"/>
      <w:bookmarkStart w:id="70" w:name="_Toc30935"/>
      <w:bookmarkStart w:id="71" w:name="_Toc5011"/>
      <w:bookmarkStart w:id="72" w:name="_Toc23716"/>
      <w:bookmarkStart w:id="73" w:name="_Toc23884"/>
      <w:bookmarkStart w:id="74" w:name="_Toc23647"/>
      <w:bookmarkStart w:id="75" w:name="_Toc11936"/>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8282"/>
      <w:bookmarkStart w:id="77" w:name="_Toc5878"/>
      <w:bookmarkStart w:id="78" w:name="_Toc32429"/>
      <w:bookmarkStart w:id="79" w:name="_Toc10336"/>
      <w:bookmarkStart w:id="80" w:name="_Toc10165"/>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4966B2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69B8BF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2182A25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57FD712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65E5AE7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F8500A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1892606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16214"/>
      <w:bookmarkStart w:id="85" w:name="_Toc18268"/>
      <w:bookmarkStart w:id="86"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000BCBAD">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一、研究内容</w:t>
      </w:r>
    </w:p>
    <w:p w14:paraId="04D23F2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（1）建立缆索桥梁响应数据集并训练结构性能预测模型</w:t>
      </w:r>
    </w:p>
    <w:p w14:paraId="4B2B113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构建缆索体系桥梁的参数化有限元模型，分析其在不同荷载工况下的力学行为，生成多样化、系统化的结构响应数据集。开发一系列通用化的深度学习算法，建立缆索桥梁代理模型训练框架，并基于该框架训练高效的人工智能代理模型。该模型能快速预测缆索桥梁在不同工况下的结构响应。</w:t>
      </w:r>
    </w:p>
    <w:p w14:paraId="08AD649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（2）基于智能预测模型的缆索桥梁性能的异常检测</w:t>
      </w:r>
    </w:p>
    <w:p w14:paraId="3A9BC92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利用轻量化预测模型的快速反应特点，提出基于快速响应的结构安全评估关键指标。利用该指标构建桥梁结构性能的异常监测流程，进行基于代理模型的桥梁异常检测案例验证研究。与传统监测技术进行对比分析，验证新指标、新流程的准确性和鲁棒性。</w:t>
      </w:r>
    </w:p>
    <w:p w14:paraId="4F1B69B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（3）基于简易感知系统的结构智能监测与预警系统开发</w:t>
      </w:r>
    </w:p>
    <w:p w14:paraId="4B29B90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构建缆索桥梁的简易感知系统，获取桥梁的实时测试数据。利用生成式模型的数据增强和推理能力，基于稀疏测量数据，实现整体结构性能的精准预测和安全评估。结合设计规范，对潜在的桥梁结构损伤进行等级分类和风险预测，开发缆索桥梁灾害预警系统。</w:t>
      </w:r>
    </w:p>
    <w:p w14:paraId="0E8968C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的研究内容和任务涵盖：桥梁结构响应的深度分析、智能监测与灾害预警系统开发。结合先进的生成式AI技术和深度学习算法，建立一个高效、低成本、实时的缆索桥梁安全监测平台，为桥梁安全运营提供有力保障。该项目能够提升缆索结构的安全监测能力，可大幅降低因结构损伤引发的安全事故风险。</w:t>
      </w:r>
    </w:p>
    <w:p w14:paraId="0DBD5BAB">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3BC3B67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（1）编制《缆索桥梁结构安全智能评估与预警系统开发》研究报告；</w:t>
      </w:r>
    </w:p>
    <w:p w14:paraId="719FD5F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（2）完成缆索桥梁安全智能评估与灾害预警系统开发；</w:t>
      </w:r>
    </w:p>
    <w:p w14:paraId="0CA86D2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（3）发表至少2 篇高水平学术论文；</w:t>
      </w:r>
    </w:p>
    <w:p w14:paraId="1F43FB02">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（4）申请软件著作权1项。</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741375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5DE356A9">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7C02503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744B3B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EB8D72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6B710F4E">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12FD23FC">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5807D8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42DE64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158C753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BDE76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FDFF1A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411A3DDC">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7D7E31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3772DAE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57FEB29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4442EAB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0E51EA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061E2C5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7B583B6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01453CC0">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218710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E09147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3B487BB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74E3E0E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6E6512C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26C980A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6C8F53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F2D4C3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3EEE2FC">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76EE17F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E320C6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7BA9F1C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134ABF0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27E6604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1C2D741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1D04615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C377E8B">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64ABD3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72A5E90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5043473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7BA1E1F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4312BB5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078754BF">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395AECDF">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3A39A388">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FEE561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49F807D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06DFAB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732ABF80">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2DF5ADD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2318670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25996_WPSOffice_Level1"/>
      <w:bookmarkStart w:id="96" w:name="_Toc10930_WPSOffice_Level1"/>
      <w:bookmarkStart w:id="97" w:name="_Toc5592_WPSOffice_Level1"/>
      <w:bookmarkStart w:id="98" w:name="_Toc19196"/>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2" w:name="_Toc18383"/>
      <w:bookmarkStart w:id="103" w:name="_Toc16163"/>
      <w:bookmarkStart w:id="104" w:name="_Toc26642"/>
      <w:r>
        <w:rPr>
          <w:rStyle w:val="98"/>
          <w:rFonts w:hint="eastAsia" w:ascii="仿宋" w:hAnsi="仿宋" w:eastAsia="仿宋" w:cs="仿宋"/>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3D0F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shd w:val="clear" w:color="auto" w:fill="auto"/>
            <w:vAlign w:val="center"/>
          </w:tcPr>
          <w:p w14:paraId="160DD40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3A4DB662">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14982289">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3ABD5965">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color w:val="auto"/>
          <w:highlight w:val="none"/>
        </w:rPr>
        <w:t xml:space="preserve">  </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05" w:name="_Toc26231"/>
      <w:r>
        <w:rPr>
          <w:rStyle w:val="98"/>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06"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0" w:name="_Toc24121"/>
      <w:bookmarkStart w:id="111" w:name="_Toc12541"/>
      <w:bookmarkStart w:id="112" w:name="_Toc17889"/>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4" w:name="_Toc26460"/>
      <w:r>
        <w:rPr>
          <w:rStyle w:val="98"/>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1" w:name="_Toc10175"/>
      <w:bookmarkStart w:id="122" w:name="_Toc8796"/>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沥青混凝土路面梯度自愈合材料研究、缆索桥梁结构安全评估系统开发</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0F3843"/>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723952"/>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E221F5"/>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215F7D"/>
    <w:rsid w:val="202C1D27"/>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7D37283"/>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3709A"/>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4F620A"/>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DE5717"/>
    <w:rsid w:val="4BE72CF3"/>
    <w:rsid w:val="4BEC377B"/>
    <w:rsid w:val="4BFF47E7"/>
    <w:rsid w:val="4C2B3187"/>
    <w:rsid w:val="4CA9286D"/>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CC0067"/>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0481A"/>
    <w:rsid w:val="589876D9"/>
    <w:rsid w:val="58B67DDB"/>
    <w:rsid w:val="58DF00D7"/>
    <w:rsid w:val="58E41529"/>
    <w:rsid w:val="59161131"/>
    <w:rsid w:val="59B13FFB"/>
    <w:rsid w:val="5A1A42FD"/>
    <w:rsid w:val="5A3D6563"/>
    <w:rsid w:val="5A5D57C3"/>
    <w:rsid w:val="5A617614"/>
    <w:rsid w:val="5A623787"/>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457E03"/>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846DE1"/>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6781</Words>
  <Characters>7311</Characters>
  <Lines>297</Lines>
  <Paragraphs>83</Paragraphs>
  <TotalTime>1</TotalTime>
  <ScaleCrop>false</ScaleCrop>
  <LinksUpToDate>false</LinksUpToDate>
  <CharactersWithSpaces>7483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2025-11-19T09:17:30Z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