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AB17E">
      <w:pPr>
        <w:pStyle w:val="2"/>
        <w:numPr>
          <w:ilvl w:val="0"/>
          <w:numId w:val="0"/>
        </w:numPr>
        <w:ind w:left="425"/>
        <w:jc w:val="center"/>
      </w:pPr>
      <w:r>
        <w:rPr>
          <w:rFonts w:hint="eastAsia"/>
        </w:rPr>
        <w:t>采购内容及要求</w:t>
      </w:r>
    </w:p>
    <w:p w14:paraId="391AD71F">
      <w:pPr>
        <w:pStyle w:val="3"/>
        <w:jc w:val="center"/>
        <w:rPr>
          <w:rFonts w:cs="宋体"/>
          <w:sz w:val="22"/>
          <w:szCs w:val="22"/>
        </w:rPr>
      </w:pPr>
      <w:bookmarkStart w:id="0" w:name="_Toc104556795"/>
      <w:bookmarkStart w:id="1" w:name="_Toc16201"/>
      <w:bookmarkStart w:id="2" w:name="_Toc12791"/>
      <w:bookmarkStart w:id="3" w:name="_Toc13951"/>
      <w:bookmarkStart w:id="4" w:name="_Toc3670"/>
      <w:bookmarkStart w:id="5" w:name="_Toc2114"/>
      <w:bookmarkStart w:id="6" w:name="_Toc16248"/>
      <w:bookmarkStart w:id="7" w:name="_Toc11863"/>
      <w:bookmarkStart w:id="8" w:name="_Toc17191"/>
      <w:bookmarkStart w:id="9" w:name="_Toc29541"/>
      <w:bookmarkStart w:id="10" w:name="_Toc113612388"/>
      <w:r>
        <w:rPr>
          <w:rFonts w:hint="eastAsia" w:cs="宋体"/>
          <w:szCs w:val="24"/>
        </w:rPr>
        <w:t>一、</w:t>
      </w:r>
      <w:bookmarkEnd w:id="0"/>
      <w:bookmarkStart w:id="11" w:name="_Toc104556798"/>
      <w:r>
        <w:rPr>
          <w:rFonts w:hint="eastAsia" w:cs="宋体"/>
          <w:szCs w:val="24"/>
        </w:rPr>
        <w:t>服务</w:t>
      </w:r>
      <w:bookmarkEnd w:id="11"/>
      <w:r>
        <w:rPr>
          <w:rFonts w:hint="eastAsia" w:cs="宋体"/>
          <w:szCs w:val="24"/>
        </w:rPr>
        <w:t>内容</w:t>
      </w:r>
      <w:bookmarkEnd w:id="1"/>
      <w:bookmarkEnd w:id="2"/>
      <w:bookmarkEnd w:id="3"/>
      <w:bookmarkEnd w:id="4"/>
      <w:bookmarkEnd w:id="5"/>
      <w:bookmarkEnd w:id="6"/>
      <w:bookmarkEnd w:id="7"/>
      <w:bookmarkEnd w:id="8"/>
    </w:p>
    <w:p w14:paraId="7088F03E">
      <w:pPr>
        <w:jc w:val="center"/>
        <w:rPr>
          <w:rFonts w:ascii="宋体" w:hAnsi="宋体" w:cs="宋体"/>
        </w:rPr>
      </w:pPr>
      <w:r>
        <w:rPr>
          <w:rFonts w:hint="eastAsia" w:ascii="宋体" w:hAnsi="宋体" w:cs="宋体"/>
          <w:b/>
          <w:bCs/>
        </w:rPr>
        <w:t>未央校区电梯维保项目清单</w:t>
      </w:r>
    </w:p>
    <w:tbl>
      <w:tblPr>
        <w:tblStyle w:val="14"/>
        <w:tblW w:w="8938" w:type="dxa"/>
        <w:tblInd w:w="0" w:type="dxa"/>
        <w:tblLayout w:type="fixed"/>
        <w:tblCellMar>
          <w:top w:w="0" w:type="dxa"/>
          <w:left w:w="0" w:type="dxa"/>
          <w:bottom w:w="0" w:type="dxa"/>
          <w:right w:w="0" w:type="dxa"/>
        </w:tblCellMar>
      </w:tblPr>
      <w:tblGrid>
        <w:gridCol w:w="780"/>
        <w:gridCol w:w="1990"/>
        <w:gridCol w:w="1383"/>
        <w:gridCol w:w="2010"/>
        <w:gridCol w:w="1725"/>
        <w:gridCol w:w="1050"/>
      </w:tblGrid>
      <w:tr w14:paraId="37FF4877">
        <w:tblPrEx>
          <w:tblCellMar>
            <w:top w:w="0" w:type="dxa"/>
            <w:left w:w="0" w:type="dxa"/>
            <w:bottom w:w="0" w:type="dxa"/>
            <w:right w:w="0" w:type="dxa"/>
          </w:tblCellMar>
        </w:tblPrEx>
        <w:trPr>
          <w:trHeight w:val="567"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0E049">
            <w:pPr>
              <w:pStyle w:val="18"/>
              <w:jc w:val="center"/>
              <w:rPr>
                <w:rFonts w:ascii="宋体" w:hAnsi="宋体" w:cs="宋体"/>
                <w:sz w:val="24"/>
              </w:rPr>
            </w:pPr>
            <w:r>
              <w:rPr>
                <w:rFonts w:hint="eastAsia" w:ascii="宋体" w:hAnsi="宋体" w:cs="宋体"/>
                <w:sz w:val="24"/>
              </w:rPr>
              <w:t>序号</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15683">
            <w:pPr>
              <w:pStyle w:val="18"/>
              <w:jc w:val="center"/>
              <w:rPr>
                <w:rFonts w:ascii="宋体" w:hAnsi="宋体" w:cs="宋体"/>
                <w:sz w:val="24"/>
              </w:rPr>
            </w:pPr>
            <w:r>
              <w:rPr>
                <w:rFonts w:hint="eastAsia" w:ascii="宋体" w:hAnsi="宋体" w:cs="宋体"/>
                <w:sz w:val="24"/>
              </w:rPr>
              <w:t>设备品种</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FFD3F">
            <w:pPr>
              <w:pStyle w:val="18"/>
              <w:jc w:val="center"/>
              <w:rPr>
                <w:rFonts w:ascii="宋体" w:hAnsi="宋体" w:cs="宋体"/>
                <w:sz w:val="24"/>
              </w:rPr>
            </w:pPr>
            <w:r>
              <w:rPr>
                <w:rFonts w:hint="eastAsia" w:ascii="宋体" w:hAnsi="宋体" w:cs="宋体"/>
                <w:sz w:val="24"/>
              </w:rPr>
              <w:t>品牌</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C8DD3">
            <w:pPr>
              <w:pStyle w:val="18"/>
              <w:jc w:val="center"/>
              <w:rPr>
                <w:rFonts w:ascii="宋体" w:hAnsi="宋体" w:cs="宋体"/>
                <w:sz w:val="24"/>
              </w:rPr>
            </w:pPr>
            <w:r>
              <w:rPr>
                <w:rFonts w:hint="eastAsia" w:ascii="宋体" w:hAnsi="宋体" w:cs="宋体"/>
                <w:sz w:val="24"/>
              </w:rPr>
              <w:t>型号</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2A182">
            <w:pPr>
              <w:pStyle w:val="18"/>
              <w:jc w:val="center"/>
              <w:rPr>
                <w:rFonts w:ascii="宋体" w:hAnsi="宋体" w:cs="宋体"/>
                <w:sz w:val="24"/>
              </w:rPr>
            </w:pPr>
            <w:r>
              <w:rPr>
                <w:rFonts w:hint="eastAsia" w:ascii="宋体" w:hAnsi="宋体" w:cs="宋体"/>
                <w:sz w:val="24"/>
              </w:rPr>
              <w:t>层站数</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61D88">
            <w:pPr>
              <w:pStyle w:val="18"/>
              <w:jc w:val="center"/>
              <w:rPr>
                <w:rFonts w:ascii="宋体" w:hAnsi="宋体" w:cs="宋体"/>
                <w:sz w:val="24"/>
              </w:rPr>
            </w:pPr>
            <w:r>
              <w:rPr>
                <w:rFonts w:hint="eastAsia" w:ascii="宋体" w:hAnsi="宋体" w:cs="宋体"/>
                <w:sz w:val="24"/>
              </w:rPr>
              <w:t>数量(台)</w:t>
            </w:r>
          </w:p>
        </w:tc>
      </w:tr>
      <w:tr w14:paraId="02FE6BA9">
        <w:tblPrEx>
          <w:tblCellMar>
            <w:top w:w="0" w:type="dxa"/>
            <w:left w:w="0" w:type="dxa"/>
            <w:bottom w:w="0" w:type="dxa"/>
            <w:right w:w="0" w:type="dxa"/>
          </w:tblCellMar>
        </w:tblPrEx>
        <w:trPr>
          <w:trHeight w:val="567"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A44AC">
            <w:pPr>
              <w:pStyle w:val="18"/>
              <w:jc w:val="center"/>
              <w:rPr>
                <w:rFonts w:ascii="宋体" w:hAnsi="宋体" w:cs="宋体"/>
                <w:sz w:val="24"/>
              </w:rPr>
            </w:pPr>
            <w:r>
              <w:rPr>
                <w:rFonts w:hint="eastAsia" w:ascii="宋体" w:hAnsi="宋体" w:cs="宋体"/>
                <w:sz w:val="24"/>
              </w:rPr>
              <w:t>1</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D6CB9">
            <w:pPr>
              <w:jc w:val="center"/>
              <w:rPr>
                <w:rFonts w:ascii="宋体" w:hAnsi="宋体" w:cs="宋体"/>
              </w:rPr>
            </w:pPr>
            <w:r>
              <w:rPr>
                <w:rFonts w:hint="eastAsia" w:ascii="宋体" w:hAnsi="宋体" w:cs="宋体"/>
              </w:rPr>
              <w:t>曳引驱动乘客电梯</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031DF">
            <w:pPr>
              <w:jc w:val="center"/>
              <w:rPr>
                <w:rFonts w:ascii="宋体" w:hAnsi="宋体" w:cs="宋体"/>
              </w:rPr>
            </w:pPr>
            <w:r>
              <w:rPr>
                <w:rFonts w:hint="eastAsia" w:ascii="宋体" w:hAnsi="宋体" w:cs="宋体"/>
              </w:rPr>
              <w:t>日立</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A59DA">
            <w:pPr>
              <w:jc w:val="center"/>
              <w:rPr>
                <w:rFonts w:ascii="宋体" w:hAnsi="宋体" w:cs="宋体"/>
              </w:rPr>
            </w:pPr>
            <w:r>
              <w:rPr>
                <w:rFonts w:hint="eastAsia" w:ascii="宋体" w:hAnsi="宋体" w:cs="宋体"/>
              </w:rPr>
              <w:t>MCA-B1600-2S60</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4C3FA">
            <w:pPr>
              <w:pStyle w:val="18"/>
              <w:jc w:val="center"/>
              <w:rPr>
                <w:rFonts w:ascii="宋体" w:hAnsi="宋体" w:cs="宋体"/>
                <w:sz w:val="24"/>
              </w:rPr>
            </w:pPr>
            <w:r>
              <w:rPr>
                <w:rFonts w:hint="eastAsia" w:ascii="宋体" w:hAnsi="宋体" w:cs="宋体"/>
                <w:sz w:val="24"/>
              </w:rPr>
              <w:t>4层4站4门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54A98">
            <w:pPr>
              <w:pStyle w:val="18"/>
              <w:jc w:val="center"/>
              <w:rPr>
                <w:rFonts w:ascii="宋体" w:hAnsi="宋体" w:cs="宋体"/>
                <w:sz w:val="24"/>
              </w:rPr>
            </w:pPr>
            <w:r>
              <w:rPr>
                <w:rFonts w:hint="eastAsia" w:ascii="宋体" w:hAnsi="宋体" w:cs="宋体"/>
                <w:sz w:val="24"/>
              </w:rPr>
              <w:t>1</w:t>
            </w:r>
          </w:p>
        </w:tc>
      </w:tr>
      <w:tr w14:paraId="4FB6EB47">
        <w:tblPrEx>
          <w:tblCellMar>
            <w:top w:w="0" w:type="dxa"/>
            <w:left w:w="0" w:type="dxa"/>
            <w:bottom w:w="0" w:type="dxa"/>
            <w:right w:w="0" w:type="dxa"/>
          </w:tblCellMar>
        </w:tblPrEx>
        <w:trPr>
          <w:trHeight w:val="567"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6126D">
            <w:pPr>
              <w:pStyle w:val="18"/>
              <w:jc w:val="center"/>
              <w:rPr>
                <w:rFonts w:ascii="宋体" w:hAnsi="宋体" w:cs="宋体"/>
                <w:sz w:val="24"/>
              </w:rPr>
            </w:pPr>
            <w:r>
              <w:rPr>
                <w:rFonts w:hint="eastAsia" w:ascii="宋体" w:hAnsi="宋体" w:cs="宋体"/>
                <w:sz w:val="24"/>
              </w:rPr>
              <w:t>2</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1DE0A">
            <w:pPr>
              <w:pStyle w:val="18"/>
              <w:jc w:val="center"/>
              <w:rPr>
                <w:rFonts w:ascii="宋体" w:hAnsi="宋体" w:cs="宋体"/>
                <w:sz w:val="24"/>
              </w:rPr>
            </w:pPr>
            <w:r>
              <w:rPr>
                <w:rFonts w:hint="eastAsia" w:ascii="宋体" w:hAnsi="宋体" w:cs="宋体"/>
                <w:sz w:val="24"/>
              </w:rPr>
              <w:t>曳引驱动乘客电梯</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8C1E8">
            <w:pPr>
              <w:pStyle w:val="18"/>
              <w:jc w:val="center"/>
              <w:rPr>
                <w:rFonts w:ascii="宋体" w:hAnsi="宋体" w:cs="宋体"/>
                <w:sz w:val="24"/>
              </w:rPr>
            </w:pPr>
            <w:r>
              <w:rPr>
                <w:rFonts w:hint="eastAsia" w:ascii="宋体" w:hAnsi="宋体" w:cs="宋体"/>
                <w:sz w:val="24"/>
              </w:rPr>
              <w:t>蒂森克虏伯</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4D6FC">
            <w:pPr>
              <w:pStyle w:val="18"/>
              <w:jc w:val="center"/>
              <w:rPr>
                <w:rFonts w:ascii="宋体" w:hAnsi="宋体" w:cs="宋体"/>
                <w:sz w:val="24"/>
              </w:rPr>
            </w:pPr>
            <w:r>
              <w:rPr>
                <w:rFonts w:hint="eastAsia" w:ascii="宋体" w:hAnsi="宋体" w:cs="宋体"/>
                <w:sz w:val="24"/>
              </w:rPr>
              <w:t>RF1</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79650">
            <w:pPr>
              <w:pStyle w:val="18"/>
              <w:jc w:val="center"/>
              <w:rPr>
                <w:rFonts w:ascii="宋体" w:hAnsi="宋体" w:cs="宋体"/>
                <w:sz w:val="24"/>
              </w:rPr>
            </w:pPr>
            <w:r>
              <w:rPr>
                <w:rFonts w:hint="eastAsia" w:ascii="宋体" w:hAnsi="宋体" w:cs="宋体"/>
                <w:sz w:val="24"/>
              </w:rPr>
              <w:t>19层19站19门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87850">
            <w:pPr>
              <w:pStyle w:val="18"/>
              <w:jc w:val="center"/>
              <w:rPr>
                <w:rFonts w:ascii="宋体" w:hAnsi="宋体" w:cs="宋体"/>
                <w:sz w:val="24"/>
              </w:rPr>
            </w:pPr>
            <w:r>
              <w:rPr>
                <w:rFonts w:hint="eastAsia" w:ascii="宋体" w:hAnsi="宋体" w:cs="宋体"/>
                <w:sz w:val="24"/>
              </w:rPr>
              <w:t>21</w:t>
            </w:r>
          </w:p>
        </w:tc>
      </w:tr>
      <w:tr w14:paraId="69A13791">
        <w:tblPrEx>
          <w:tblCellMar>
            <w:top w:w="0" w:type="dxa"/>
            <w:left w:w="0" w:type="dxa"/>
            <w:bottom w:w="0" w:type="dxa"/>
            <w:right w:w="0" w:type="dxa"/>
          </w:tblCellMar>
        </w:tblPrEx>
        <w:trPr>
          <w:trHeight w:val="567"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34ECD">
            <w:pPr>
              <w:pStyle w:val="18"/>
              <w:jc w:val="center"/>
              <w:rPr>
                <w:rFonts w:ascii="宋体" w:hAnsi="宋体" w:cs="宋体"/>
                <w:sz w:val="24"/>
              </w:rPr>
            </w:pPr>
            <w:r>
              <w:rPr>
                <w:rFonts w:hint="eastAsia" w:ascii="宋体" w:hAnsi="宋体" w:cs="宋体"/>
                <w:sz w:val="24"/>
              </w:rPr>
              <w:t>3</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276E3">
            <w:pPr>
              <w:pStyle w:val="18"/>
              <w:jc w:val="center"/>
              <w:rPr>
                <w:rFonts w:ascii="宋体" w:hAnsi="宋体" w:cs="宋体"/>
                <w:sz w:val="24"/>
              </w:rPr>
            </w:pPr>
            <w:r>
              <w:rPr>
                <w:rFonts w:hint="eastAsia" w:ascii="宋体" w:hAnsi="宋体" w:cs="宋体"/>
                <w:sz w:val="24"/>
              </w:rPr>
              <w:t>曳引驱动乘客电梯</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CE83F">
            <w:pPr>
              <w:pStyle w:val="18"/>
              <w:jc w:val="center"/>
              <w:rPr>
                <w:rFonts w:ascii="宋体" w:hAnsi="宋体" w:cs="宋体"/>
                <w:sz w:val="24"/>
              </w:rPr>
            </w:pPr>
            <w:r>
              <w:rPr>
                <w:rFonts w:hint="eastAsia" w:ascii="宋体" w:hAnsi="宋体" w:cs="宋体"/>
                <w:sz w:val="24"/>
              </w:rPr>
              <w:t>通力</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0894F">
            <w:pPr>
              <w:pStyle w:val="18"/>
              <w:jc w:val="center"/>
              <w:rPr>
                <w:rFonts w:ascii="宋体" w:hAnsi="宋体" w:cs="宋体"/>
                <w:sz w:val="24"/>
              </w:rPr>
            </w:pPr>
            <w:r>
              <w:rPr>
                <w:rFonts w:hint="eastAsia" w:ascii="宋体" w:hAnsi="宋体" w:cs="宋体"/>
                <w:sz w:val="24"/>
              </w:rPr>
              <w:t>KONE Monospace</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D0E0E">
            <w:pPr>
              <w:pStyle w:val="18"/>
              <w:jc w:val="center"/>
              <w:rPr>
                <w:rFonts w:ascii="宋体" w:hAnsi="宋体" w:cs="宋体"/>
                <w:sz w:val="24"/>
              </w:rPr>
            </w:pPr>
            <w:r>
              <w:rPr>
                <w:rFonts w:hint="eastAsia" w:ascii="宋体" w:hAnsi="宋体" w:cs="宋体"/>
                <w:sz w:val="24"/>
              </w:rPr>
              <w:t>6层6站6门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C21D3">
            <w:pPr>
              <w:pStyle w:val="18"/>
              <w:jc w:val="center"/>
              <w:rPr>
                <w:rFonts w:ascii="宋体" w:hAnsi="宋体" w:cs="宋体"/>
                <w:sz w:val="24"/>
              </w:rPr>
            </w:pPr>
            <w:r>
              <w:rPr>
                <w:rFonts w:hint="eastAsia" w:ascii="宋体" w:hAnsi="宋体" w:cs="宋体"/>
                <w:sz w:val="24"/>
              </w:rPr>
              <w:t>2</w:t>
            </w:r>
          </w:p>
        </w:tc>
      </w:tr>
      <w:tr w14:paraId="2CC22978">
        <w:tblPrEx>
          <w:tblCellMar>
            <w:top w:w="0" w:type="dxa"/>
            <w:left w:w="0" w:type="dxa"/>
            <w:bottom w:w="0" w:type="dxa"/>
            <w:right w:w="0" w:type="dxa"/>
          </w:tblCellMar>
        </w:tblPrEx>
        <w:trPr>
          <w:trHeight w:val="567" w:hRule="atLeast"/>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3B959">
            <w:pPr>
              <w:pStyle w:val="18"/>
              <w:jc w:val="center"/>
              <w:rPr>
                <w:rFonts w:ascii="宋体" w:hAnsi="宋体" w:cs="宋体"/>
                <w:sz w:val="24"/>
              </w:rPr>
            </w:pPr>
            <w:r>
              <w:rPr>
                <w:rFonts w:hint="eastAsia" w:ascii="宋体" w:hAnsi="宋体" w:cs="宋体"/>
                <w:sz w:val="24"/>
              </w:rPr>
              <w:t>4</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2C30C">
            <w:pPr>
              <w:pStyle w:val="18"/>
              <w:jc w:val="center"/>
              <w:rPr>
                <w:rFonts w:ascii="宋体" w:hAnsi="宋体" w:cs="宋体"/>
                <w:sz w:val="24"/>
              </w:rPr>
            </w:pPr>
            <w:r>
              <w:rPr>
                <w:rFonts w:hint="eastAsia" w:ascii="宋体" w:hAnsi="宋体" w:cs="宋体"/>
                <w:sz w:val="24"/>
              </w:rPr>
              <w:t>曳引驱动乘客电梯</w:t>
            </w:r>
          </w:p>
        </w:tc>
        <w:tc>
          <w:tcPr>
            <w:tcW w:w="1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A8088">
            <w:pPr>
              <w:pStyle w:val="18"/>
              <w:jc w:val="center"/>
              <w:rPr>
                <w:rFonts w:ascii="宋体" w:hAnsi="宋体" w:cs="宋体"/>
                <w:sz w:val="24"/>
              </w:rPr>
            </w:pPr>
            <w:r>
              <w:rPr>
                <w:rFonts w:hint="eastAsia" w:ascii="宋体" w:hAnsi="宋体" w:cs="宋体"/>
                <w:sz w:val="24"/>
              </w:rPr>
              <w:t>广州日立</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EF849">
            <w:pPr>
              <w:pStyle w:val="18"/>
              <w:jc w:val="center"/>
              <w:rPr>
                <w:rFonts w:ascii="宋体" w:hAnsi="宋体" w:cs="宋体"/>
                <w:kern w:val="0"/>
                <w:sz w:val="24"/>
                <w:lang w:bidi="ar"/>
              </w:rPr>
            </w:pPr>
            <w:r>
              <w:rPr>
                <w:rFonts w:hint="eastAsia" w:ascii="宋体" w:hAnsi="宋体" w:cs="宋体"/>
                <w:sz w:val="24"/>
              </w:rPr>
              <w:t>NPH-B1600-2S60</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D11A9">
            <w:pPr>
              <w:pStyle w:val="18"/>
              <w:jc w:val="center"/>
              <w:rPr>
                <w:rFonts w:ascii="宋体" w:hAnsi="宋体" w:cs="宋体"/>
                <w:sz w:val="24"/>
              </w:rPr>
            </w:pPr>
            <w:r>
              <w:rPr>
                <w:rFonts w:hint="eastAsia" w:ascii="宋体" w:hAnsi="宋体" w:cs="宋体"/>
                <w:sz w:val="24"/>
              </w:rPr>
              <w:t>5层5站5门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51F60">
            <w:pPr>
              <w:pStyle w:val="18"/>
              <w:jc w:val="center"/>
              <w:rPr>
                <w:rFonts w:ascii="宋体" w:hAnsi="宋体" w:cs="宋体"/>
                <w:sz w:val="24"/>
              </w:rPr>
            </w:pPr>
            <w:r>
              <w:rPr>
                <w:rFonts w:hint="eastAsia" w:ascii="宋体" w:hAnsi="宋体" w:cs="宋体"/>
                <w:sz w:val="24"/>
              </w:rPr>
              <w:t>1</w:t>
            </w:r>
          </w:p>
        </w:tc>
      </w:tr>
    </w:tbl>
    <w:p w14:paraId="6ABA4F4A">
      <w:pPr>
        <w:pStyle w:val="3"/>
        <w:numPr>
          <w:ilvl w:val="0"/>
          <w:numId w:val="2"/>
        </w:numPr>
        <w:jc w:val="center"/>
        <w:rPr>
          <w:rFonts w:cs="宋体"/>
          <w:szCs w:val="24"/>
        </w:rPr>
      </w:pPr>
      <w:bookmarkStart w:id="12" w:name="_Toc7537"/>
      <w:bookmarkStart w:id="13" w:name="_Toc11090"/>
      <w:bookmarkStart w:id="14" w:name="_Toc6071"/>
      <w:bookmarkStart w:id="15" w:name="_Toc17445"/>
      <w:bookmarkStart w:id="16" w:name="_Toc13161"/>
      <w:bookmarkStart w:id="17" w:name="_Toc18012"/>
      <w:bookmarkStart w:id="18" w:name="_Toc30411"/>
      <w:bookmarkStart w:id="19" w:name="_Toc275"/>
      <w:r>
        <w:rPr>
          <w:rFonts w:hint="eastAsia" w:cs="宋体"/>
          <w:szCs w:val="24"/>
        </w:rPr>
        <w:t>服务要求</w:t>
      </w:r>
      <w:bookmarkEnd w:id="12"/>
      <w:bookmarkEnd w:id="13"/>
      <w:bookmarkEnd w:id="14"/>
      <w:bookmarkEnd w:id="15"/>
      <w:bookmarkEnd w:id="16"/>
      <w:bookmarkEnd w:id="17"/>
      <w:bookmarkEnd w:id="18"/>
      <w:bookmarkEnd w:id="19"/>
    </w:p>
    <w:p w14:paraId="3E74BEB3">
      <w:pPr>
        <w:pStyle w:val="3"/>
        <w:jc w:val="left"/>
      </w:pPr>
      <w:bookmarkStart w:id="20" w:name="_Toc4582"/>
      <w:bookmarkStart w:id="21" w:name="_Toc17707"/>
      <w:bookmarkStart w:id="22" w:name="_Toc15491"/>
      <w:bookmarkStart w:id="23" w:name="_Toc23443"/>
      <w:bookmarkStart w:id="24" w:name="_Toc16366"/>
      <w:bookmarkStart w:id="25" w:name="_Toc7695"/>
      <w:bookmarkStart w:id="26" w:name="_Toc13822"/>
      <w:bookmarkStart w:id="27" w:name="_Toc4804"/>
      <w:r>
        <w:rPr>
          <w:rFonts w:hint="eastAsia"/>
        </w:rPr>
        <w:t>（一）电梯维护保养内容</w:t>
      </w:r>
      <w:bookmarkEnd w:id="20"/>
      <w:bookmarkEnd w:id="21"/>
      <w:bookmarkEnd w:id="22"/>
      <w:bookmarkEnd w:id="23"/>
      <w:bookmarkEnd w:id="24"/>
      <w:bookmarkEnd w:id="25"/>
      <w:bookmarkEnd w:id="26"/>
      <w:bookmarkEnd w:id="27"/>
    </w:p>
    <w:p w14:paraId="3C525B27">
      <w:pPr>
        <w:pStyle w:val="11"/>
        <w:spacing w:line="360" w:lineRule="auto"/>
        <w:ind w:firstLine="480" w:firstLineChars="200"/>
        <w:rPr>
          <w:rFonts w:cs="宋体"/>
        </w:rPr>
      </w:pPr>
      <w:r>
        <w:rPr>
          <w:rFonts w:hint="eastAsia" w:cs="宋体"/>
        </w:rPr>
        <w:t>1、按国家标准系统检查设备，调整润滑各部件，并根据设备使用状态，对电梯以下部分进行巡检：</w:t>
      </w:r>
    </w:p>
    <w:p w14:paraId="09961BBA">
      <w:pPr>
        <w:pStyle w:val="11"/>
        <w:spacing w:line="360" w:lineRule="auto"/>
        <w:ind w:firstLine="480" w:firstLineChars="200"/>
        <w:rPr>
          <w:rFonts w:cs="宋体"/>
        </w:rPr>
      </w:pPr>
      <w:r>
        <w:rPr>
          <w:rFonts w:hint="eastAsia" w:cs="宋体"/>
        </w:rPr>
        <w:t>(1)机械部份：曳引机、蜗杆、蜗轮、曳引轮轴承、制动线圈、制动接触器、电动和电机轴承、油封、刹车皮、轴承等；</w:t>
      </w:r>
    </w:p>
    <w:p w14:paraId="40DD8026">
      <w:pPr>
        <w:pStyle w:val="11"/>
        <w:spacing w:line="360" w:lineRule="auto"/>
        <w:ind w:firstLine="480" w:firstLineChars="200"/>
        <w:rPr>
          <w:rFonts w:cs="宋体"/>
        </w:rPr>
      </w:pPr>
      <w:r>
        <w:rPr>
          <w:rFonts w:hint="eastAsia" w:cs="宋体"/>
        </w:rPr>
        <w:t>(2)电气部分：控制柜、选层器和调速设备、平层设备、所有的继电器、传感器、电阻、电容、功率放大器、电控器、变压器、接触器、编码器等；</w:t>
      </w:r>
    </w:p>
    <w:p w14:paraId="0118C51F">
      <w:pPr>
        <w:pStyle w:val="11"/>
        <w:spacing w:line="360" w:lineRule="auto"/>
        <w:ind w:firstLine="480" w:firstLineChars="200"/>
        <w:rPr>
          <w:rFonts w:cs="宋体"/>
        </w:rPr>
      </w:pPr>
      <w:r>
        <w:rPr>
          <w:rFonts w:hint="eastAsia" w:cs="宋体"/>
        </w:rPr>
        <w:t>(3)井道部分：随行电缆、导向轮或复绕轮、钢丝绳、轿厢和对重导轨及缓冲器、上下限位开关、井道内开关、涨紧轮装配、补偿链装配、轿厢和对重导靴等；</w:t>
      </w:r>
    </w:p>
    <w:p w14:paraId="19E60F8D">
      <w:pPr>
        <w:pStyle w:val="11"/>
        <w:spacing w:line="360" w:lineRule="auto"/>
        <w:ind w:firstLine="480" w:firstLineChars="200"/>
        <w:rPr>
          <w:rFonts w:cs="宋体"/>
        </w:rPr>
      </w:pPr>
      <w:r>
        <w:rPr>
          <w:rFonts w:hint="eastAsia" w:cs="宋体"/>
        </w:rPr>
        <w:t>(4)厅、轿门设备：轿厢和厅门机械锁、按钮、外召唤显示器、轿厢内方向指示器、门锁、门吊板、门导靴和强迫关门装置。自动开门机、轿厢门吊板、轿厢门触点称重设备，触板开关、光电、光幕、轿厢框架、风扇和照明设备、应急照明及对讲机等进行常规维修和保养。</w:t>
      </w:r>
    </w:p>
    <w:p w14:paraId="5E82A153">
      <w:pPr>
        <w:pStyle w:val="3"/>
        <w:jc w:val="left"/>
      </w:pPr>
      <w:bookmarkStart w:id="28" w:name="_Toc12311"/>
      <w:bookmarkStart w:id="29" w:name="_Toc28270"/>
      <w:bookmarkStart w:id="30" w:name="_Toc1527"/>
      <w:bookmarkStart w:id="31" w:name="_Toc15148"/>
      <w:bookmarkStart w:id="32" w:name="_Toc18755"/>
      <w:bookmarkStart w:id="33" w:name="_Toc2270"/>
      <w:bookmarkStart w:id="34" w:name="_Toc23359"/>
      <w:bookmarkStart w:id="35" w:name="_Toc19271"/>
      <w:r>
        <w:rPr>
          <w:rFonts w:hint="eastAsia"/>
        </w:rPr>
        <w:t>（二）人员要求</w:t>
      </w:r>
      <w:bookmarkEnd w:id="28"/>
      <w:bookmarkEnd w:id="29"/>
      <w:bookmarkEnd w:id="30"/>
      <w:bookmarkEnd w:id="31"/>
      <w:bookmarkEnd w:id="32"/>
      <w:bookmarkEnd w:id="33"/>
      <w:bookmarkEnd w:id="34"/>
      <w:bookmarkEnd w:id="35"/>
    </w:p>
    <w:p w14:paraId="291FA268">
      <w:pPr>
        <w:pStyle w:val="11"/>
        <w:spacing w:line="360" w:lineRule="auto"/>
        <w:ind w:firstLine="480" w:firstLineChars="200"/>
        <w:rPr>
          <w:rFonts w:cs="宋体"/>
        </w:rPr>
      </w:pPr>
      <w:r>
        <w:rPr>
          <w:rFonts w:hint="eastAsia" w:cs="宋体"/>
        </w:rPr>
        <w:t>1、乙方每天派驻1-2名有专业技术的保养人员，按国家及行业相关标准的规范，对设备进行调整、检查、润滑、清洁保养等工作，以保证设备正常运行。</w:t>
      </w:r>
    </w:p>
    <w:p w14:paraId="2D54B2C0">
      <w:pPr>
        <w:pStyle w:val="11"/>
        <w:spacing w:line="360" w:lineRule="auto"/>
        <w:ind w:firstLine="480" w:firstLineChars="200"/>
        <w:rPr>
          <w:rFonts w:cs="宋体"/>
        </w:rPr>
      </w:pPr>
      <w:r>
        <w:rPr>
          <w:rFonts w:hint="eastAsia" w:cs="宋体"/>
        </w:rPr>
        <w:t>2、乙方维保人员在维保电梯期间周期性检查所有安全装置，并作安全测试。</w:t>
      </w:r>
    </w:p>
    <w:p w14:paraId="0B871C36">
      <w:pPr>
        <w:pStyle w:val="11"/>
        <w:spacing w:line="360" w:lineRule="auto"/>
        <w:ind w:firstLine="480" w:firstLineChars="200"/>
        <w:rPr>
          <w:rFonts w:cs="宋体"/>
        </w:rPr>
      </w:pPr>
      <w:r>
        <w:rPr>
          <w:rFonts w:hint="eastAsia" w:cs="宋体"/>
        </w:rPr>
        <w:t>3、提供驻点人员的姓名、通讯号码并提供他们有效的特种设备作业人员资格证复印件。</w:t>
      </w:r>
    </w:p>
    <w:p w14:paraId="4AE15D4F">
      <w:pPr>
        <w:pStyle w:val="3"/>
        <w:jc w:val="left"/>
        <w:rPr>
          <w:rFonts w:cs="宋体"/>
          <w:szCs w:val="24"/>
        </w:rPr>
      </w:pPr>
      <w:bookmarkStart w:id="36" w:name="_Toc3835"/>
      <w:bookmarkStart w:id="37" w:name="_Toc20348"/>
      <w:bookmarkStart w:id="38" w:name="_Toc3713"/>
      <w:bookmarkStart w:id="39" w:name="_Toc31078"/>
      <w:bookmarkStart w:id="40" w:name="_Toc10438"/>
      <w:bookmarkStart w:id="41" w:name="_Toc16169"/>
      <w:bookmarkStart w:id="42" w:name="_Toc8612"/>
      <w:bookmarkStart w:id="43" w:name="_Toc10538"/>
      <w:r>
        <w:rPr>
          <w:rFonts w:hint="eastAsia" w:cs="宋体"/>
          <w:szCs w:val="24"/>
        </w:rPr>
        <w:t>（三）质量要求</w:t>
      </w:r>
      <w:bookmarkEnd w:id="36"/>
      <w:bookmarkEnd w:id="37"/>
      <w:bookmarkEnd w:id="38"/>
      <w:bookmarkEnd w:id="39"/>
      <w:bookmarkEnd w:id="40"/>
      <w:bookmarkEnd w:id="41"/>
      <w:bookmarkEnd w:id="42"/>
      <w:bookmarkEnd w:id="43"/>
    </w:p>
    <w:p w14:paraId="002404F2">
      <w:pPr>
        <w:widowControl/>
        <w:spacing w:line="560" w:lineRule="exact"/>
        <w:ind w:firstLine="480" w:firstLineChars="200"/>
        <w:rPr>
          <w:rFonts w:ascii="宋体" w:hAnsi="宋体" w:cs="宋体"/>
        </w:rPr>
      </w:pPr>
      <w:r>
        <w:rPr>
          <w:rFonts w:hint="eastAsia" w:ascii="宋体" w:hAnsi="宋体" w:cs="宋体"/>
        </w:rPr>
        <w:t>必须根据《特种设备安全监察条例》、《电梯使用管理与维护保养规则》及相关法律法规，进行电梯的日常管理工作。做好服务期间电梯维修、急修、紧急救援及采购人人员安全培训等工作，同时积极应对各安全机构的检查，确保电梯各类指标符合相关要求，确保服务区域内所有电梯顺利通过年检等。</w:t>
      </w:r>
    </w:p>
    <w:p w14:paraId="794FF549">
      <w:pPr>
        <w:widowControl/>
        <w:spacing w:line="560" w:lineRule="exact"/>
        <w:ind w:firstLine="480" w:firstLineChars="200"/>
        <w:rPr>
          <w:rFonts w:ascii="宋体" w:hAnsi="宋体" w:cs="宋体"/>
        </w:rPr>
      </w:pPr>
      <w:r>
        <w:rPr>
          <w:rFonts w:hint="eastAsia" w:ascii="宋体" w:hAnsi="宋体" w:cs="宋体"/>
        </w:rPr>
        <w:t>1.保证电梯安全运行。</w:t>
      </w:r>
    </w:p>
    <w:p w14:paraId="26E08C94">
      <w:pPr>
        <w:widowControl/>
        <w:spacing w:line="560" w:lineRule="exact"/>
        <w:ind w:firstLine="480" w:firstLineChars="200"/>
        <w:rPr>
          <w:rFonts w:ascii="宋体" w:hAnsi="宋体" w:cs="宋体"/>
        </w:rPr>
      </w:pPr>
      <w:r>
        <w:rPr>
          <w:rFonts w:hint="eastAsia" w:ascii="宋体" w:hAnsi="宋体" w:cs="宋体"/>
        </w:rPr>
        <w:t>2.在保证电梯安全运行的前提下按照相关规范要求对电梯进行维护保养。</w:t>
      </w:r>
    </w:p>
    <w:p w14:paraId="2549465B">
      <w:pPr>
        <w:widowControl/>
        <w:spacing w:line="560" w:lineRule="exact"/>
        <w:ind w:firstLine="480" w:firstLineChars="200"/>
        <w:rPr>
          <w:rFonts w:ascii="宋体" w:hAnsi="宋体" w:cs="宋体"/>
        </w:rPr>
      </w:pPr>
      <w:r>
        <w:rPr>
          <w:rFonts w:hint="eastAsia" w:ascii="宋体" w:hAnsi="宋体" w:cs="宋体"/>
        </w:rPr>
        <w:t>3.在保证电梯安全运行的前提下优化电梯维护保养及维修成本。</w:t>
      </w:r>
    </w:p>
    <w:p w14:paraId="78F0DF19">
      <w:pPr>
        <w:widowControl/>
        <w:spacing w:line="560" w:lineRule="exact"/>
        <w:ind w:firstLine="480" w:firstLineChars="200"/>
        <w:rPr>
          <w:rFonts w:ascii="宋体" w:hAnsi="宋体" w:cs="宋体"/>
        </w:rPr>
      </w:pPr>
      <w:r>
        <w:rPr>
          <w:rFonts w:hint="eastAsia" w:ascii="宋体" w:hAnsi="宋体" w:cs="宋体"/>
        </w:rPr>
        <w:t>4.为本项目提供的电梯设备及零配件必须符合国家质量标准要求。</w:t>
      </w:r>
    </w:p>
    <w:p w14:paraId="2790C31D">
      <w:pPr>
        <w:widowControl/>
        <w:spacing w:line="560" w:lineRule="exact"/>
        <w:ind w:firstLine="480" w:firstLineChars="200"/>
        <w:rPr>
          <w:rFonts w:ascii="宋体" w:hAnsi="宋体" w:cs="宋体"/>
        </w:rPr>
      </w:pPr>
      <w:r>
        <w:rPr>
          <w:rFonts w:hint="eastAsia" w:ascii="宋体" w:hAnsi="宋体" w:cs="宋体"/>
        </w:rPr>
        <w:t>5.须提供24小时的应急响应服务，且能在接到故障或事故报警后30分钟内到达现场，并能提供正常连续的服务直至故障或事故排除。对电梯困人事故要求在到达现场后20分钟内把乘客从轿厢中救出、对非电子板原因的常见故障要求在60分钟内排除，对电子板原因的故障应在普遍认可的合理时间内解决。</w:t>
      </w:r>
    </w:p>
    <w:p w14:paraId="3A88252C">
      <w:pPr>
        <w:pStyle w:val="3"/>
        <w:jc w:val="center"/>
        <w:rPr>
          <w:rFonts w:cs="宋体"/>
          <w:szCs w:val="24"/>
        </w:rPr>
      </w:pPr>
      <w:bookmarkStart w:id="44" w:name="_Toc148531126"/>
      <w:bookmarkStart w:id="45" w:name="_Toc4622"/>
      <w:bookmarkStart w:id="46" w:name="_Toc24799"/>
      <w:bookmarkStart w:id="47" w:name="_Toc31642"/>
      <w:bookmarkStart w:id="48" w:name="_Toc16164"/>
      <w:bookmarkStart w:id="49" w:name="_Toc4819"/>
      <w:bookmarkStart w:id="50" w:name="_Toc26153"/>
      <w:bookmarkStart w:id="51" w:name="_Toc18602"/>
      <w:r>
        <w:rPr>
          <w:rFonts w:hint="eastAsia" w:cs="宋体"/>
          <w:szCs w:val="24"/>
        </w:rPr>
        <w:t>三、维保方式及费用说明</w:t>
      </w:r>
      <w:bookmarkEnd w:id="44"/>
      <w:bookmarkEnd w:id="45"/>
      <w:bookmarkEnd w:id="46"/>
      <w:bookmarkEnd w:id="47"/>
      <w:bookmarkEnd w:id="48"/>
      <w:bookmarkEnd w:id="49"/>
      <w:bookmarkEnd w:id="50"/>
      <w:bookmarkEnd w:id="51"/>
    </w:p>
    <w:p w14:paraId="1EF197D2">
      <w:pPr>
        <w:ind w:firstLine="480" w:firstLineChars="200"/>
        <w:rPr>
          <w:rFonts w:ascii="宋体" w:hAnsi="宋体" w:cs="宋体"/>
        </w:rPr>
      </w:pPr>
      <w:r>
        <w:rPr>
          <w:rFonts w:hint="eastAsia" w:ascii="宋体" w:hAnsi="宋体" w:cs="宋体"/>
        </w:rPr>
        <w:t>维保方式：半包，单次/单项/单点位零配件价格在500元以内由维保单位承担，零配件价格在500元以上由甲方承担。维保服务期内，维保单位应配合使用单位进行定期检查工作。</w:t>
      </w:r>
    </w:p>
    <w:p w14:paraId="6F99B8E0">
      <w:pPr>
        <w:pStyle w:val="10"/>
      </w:pPr>
      <w:r>
        <w:rPr>
          <w:rFonts w:hint="eastAsia" w:hAnsi="宋体" w:cs="宋体"/>
          <w:szCs w:val="24"/>
        </w:rPr>
        <w:t>检测费：电梯定期检验费、限速器校验费、电梯保险费、125%额定载重试验等相关费用由维保单位承担。</w:t>
      </w:r>
      <w:bookmarkStart w:id="59" w:name="_GoBack"/>
      <w:bookmarkEnd w:id="59"/>
    </w:p>
    <w:p w14:paraId="35399911">
      <w:pPr>
        <w:pStyle w:val="3"/>
        <w:jc w:val="center"/>
      </w:pPr>
      <w:bookmarkStart w:id="52" w:name="_Toc31764"/>
      <w:bookmarkStart w:id="53" w:name="_Toc5573"/>
      <w:bookmarkStart w:id="54" w:name="_Toc644"/>
      <w:bookmarkStart w:id="55" w:name="_Toc9990"/>
      <w:bookmarkStart w:id="56" w:name="_Toc25637"/>
      <w:bookmarkStart w:id="57" w:name="_Toc25324"/>
      <w:bookmarkStart w:id="58" w:name="_Toc4193"/>
      <w:r>
        <w:rPr>
          <w:rFonts w:hint="eastAsia"/>
        </w:rPr>
        <w:t>四、商务要求</w:t>
      </w:r>
      <w:bookmarkEnd w:id="9"/>
      <w:bookmarkEnd w:id="10"/>
      <w:bookmarkEnd w:id="52"/>
      <w:bookmarkEnd w:id="53"/>
      <w:bookmarkEnd w:id="54"/>
      <w:bookmarkEnd w:id="55"/>
      <w:bookmarkEnd w:id="56"/>
      <w:bookmarkEnd w:id="57"/>
      <w:bookmarkEnd w:id="58"/>
    </w:p>
    <w:p w14:paraId="323B8AA7">
      <w:pPr>
        <w:pStyle w:val="12"/>
        <w:jc w:val="left"/>
        <w:rPr>
          <w:rFonts w:hAnsi="宋体" w:cs="宋体"/>
          <w:sz w:val="24"/>
          <w:szCs w:val="24"/>
        </w:rPr>
      </w:pPr>
      <w:r>
        <w:rPr>
          <w:rFonts w:hint="eastAsia" w:hAnsi="宋体" w:cs="宋体"/>
          <w:sz w:val="24"/>
          <w:szCs w:val="24"/>
        </w:rPr>
        <w:t>1.服务期：两年。合同一年一签，服务满一年，经验收考核无重大质量及安全问题可续签一年。</w:t>
      </w:r>
    </w:p>
    <w:p w14:paraId="01E4F8A6">
      <w:pPr>
        <w:pStyle w:val="12"/>
        <w:jc w:val="left"/>
        <w:rPr>
          <w:rFonts w:hAnsi="宋体" w:cs="宋体"/>
          <w:sz w:val="24"/>
          <w:szCs w:val="24"/>
        </w:rPr>
      </w:pPr>
      <w:r>
        <w:rPr>
          <w:rFonts w:hint="eastAsia" w:hAnsi="宋体" w:cs="宋体"/>
          <w:sz w:val="24"/>
          <w:szCs w:val="24"/>
        </w:rPr>
        <w:t>2.服务地点：采购人指定地点；</w:t>
      </w:r>
    </w:p>
    <w:p w14:paraId="4B0B4DC7">
      <w:pPr>
        <w:pStyle w:val="12"/>
        <w:jc w:val="left"/>
        <w:rPr>
          <w:rFonts w:hAnsi="宋体" w:cs="宋体"/>
          <w:sz w:val="24"/>
          <w:szCs w:val="24"/>
        </w:rPr>
      </w:pPr>
      <w:r>
        <w:rPr>
          <w:rFonts w:hint="eastAsia" w:hAnsi="宋体" w:cs="宋体"/>
          <w:sz w:val="24"/>
          <w:szCs w:val="24"/>
        </w:rPr>
        <w:t>3.服务质量要求：质量达到现行合格标准，符合国家、行业、地方规定以及采购文件规定标准要求；</w:t>
      </w:r>
    </w:p>
    <w:p w14:paraId="5F62FE9D">
      <w:pPr>
        <w:pStyle w:val="13"/>
        <w:rPr>
          <w:rFonts w:hAnsi="宋体" w:cs="宋体"/>
          <w:sz w:val="24"/>
          <w:szCs w:val="24"/>
        </w:rPr>
      </w:pPr>
      <w:r>
        <w:rPr>
          <w:rFonts w:hint="eastAsia" w:hAnsi="宋体" w:cs="宋体"/>
          <w:sz w:val="24"/>
          <w:szCs w:val="24"/>
        </w:rPr>
        <w:t>4.付款方式：服务期满半年后无异议，甲方向乙方支付合同总额的50%，剩余款项在服务期满验收合格后十五个工作日内付清。</w:t>
      </w:r>
    </w:p>
    <w:p w14:paraId="0E46977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FC5E03"/>
    <w:multiLevelType w:val="singleLevel"/>
    <w:tmpl w:val="52FC5E03"/>
    <w:lvl w:ilvl="0" w:tentative="0">
      <w:start w:val="2"/>
      <w:numFmt w:val="chineseCounting"/>
      <w:suff w:val="nothing"/>
      <w:lvlText w:val="%1、"/>
      <w:lvlJc w:val="left"/>
      <w:rPr>
        <w:rFonts w:hint="eastAsia"/>
      </w:rPr>
    </w:lvl>
  </w:abstractNum>
  <w:abstractNum w:abstractNumId="1">
    <w:nsid w:val="55D462AD"/>
    <w:multiLevelType w:val="multilevel"/>
    <w:tmpl w:val="55D462AD"/>
    <w:lvl w:ilvl="0" w:tentative="0">
      <w:start w:val="1"/>
      <w:numFmt w:val="decimal"/>
      <w:pStyle w:val="2"/>
      <w:lvlText w:val="%1."/>
      <w:lvlJc w:val="left"/>
      <w:pPr>
        <w:tabs>
          <w:tab w:val="left" w:pos="425"/>
        </w:tabs>
        <w:ind w:left="425" w:hanging="425"/>
      </w:pPr>
      <w:rPr>
        <w:rFonts w:hint="eastAsia" w:eastAsia="宋体"/>
        <w:b/>
        <w:i w:val="0"/>
        <w:sz w:val="24"/>
        <w:szCs w:val="24"/>
      </w:rPr>
    </w:lvl>
    <w:lvl w:ilvl="1" w:tentative="0">
      <w:start w:val="1"/>
      <w:numFmt w:val="decimal"/>
      <w:lvlText w:val="%1.%2."/>
      <w:lvlJc w:val="left"/>
      <w:pPr>
        <w:tabs>
          <w:tab w:val="left" w:pos="567"/>
        </w:tabs>
        <w:ind w:left="567" w:hanging="567"/>
      </w:pPr>
      <w:rPr>
        <w:rFonts w:hint="eastAsia" w:ascii="宋体" w:hAnsi="宋体" w:eastAsia="宋体"/>
        <w:b/>
        <w:i w:val="0"/>
        <w:color w:val="auto"/>
        <w:sz w:val="24"/>
        <w:szCs w:val="24"/>
        <w:u w:val="none"/>
      </w:rPr>
    </w:lvl>
    <w:lvl w:ilvl="2" w:tentative="0">
      <w:start w:val="1"/>
      <w:numFmt w:val="decimal"/>
      <w:lvlText w:val="%1.%2.%3."/>
      <w:lvlJc w:val="left"/>
      <w:pPr>
        <w:tabs>
          <w:tab w:val="left" w:pos="709"/>
        </w:tabs>
        <w:ind w:left="709" w:hanging="709"/>
      </w:pPr>
      <w:rPr>
        <w:rFonts w:hint="eastAsia" w:ascii="宋体" w:hAnsi="宋体" w:eastAsia="宋体"/>
        <w:caps w:val="0"/>
        <w:strike w:val="0"/>
        <w:dstrike w:val="0"/>
        <w:shadow w:val="0"/>
        <w:emboss w:val="0"/>
        <w:imprint w:val="0"/>
        <w:vanish w:val="0"/>
        <w:vertAlign w:val="baseline"/>
      </w:rPr>
    </w:lvl>
    <w:lvl w:ilvl="3" w:tentative="0">
      <w:start w:val="1"/>
      <w:numFmt w:val="decimal"/>
      <w:lvlText w:val="%1.%2.%3.%4."/>
      <w:lvlJc w:val="left"/>
      <w:pPr>
        <w:tabs>
          <w:tab w:val="left" w:pos="851"/>
        </w:tabs>
        <w:ind w:left="851" w:hanging="851"/>
      </w:pPr>
      <w:rPr>
        <w:rFonts w:hint="eastAsia" w:ascii="宋体" w:hAnsi="宋体" w:eastAsia="宋体"/>
        <w:b/>
        <w:sz w:val="24"/>
        <w:szCs w:val="24"/>
      </w:rPr>
    </w:lvl>
    <w:lvl w:ilvl="4" w:tentative="0">
      <w:start w:val="1"/>
      <w:numFmt w:val="decimal"/>
      <w:pStyle w:val="5"/>
      <w:lvlText w:val="%1.%2.%3.%4.%5."/>
      <w:lvlJc w:val="left"/>
      <w:pPr>
        <w:tabs>
          <w:tab w:val="left" w:pos="992"/>
        </w:tabs>
        <w:ind w:left="992" w:hanging="992"/>
      </w:pPr>
      <w:rPr>
        <w:rFonts w:hint="eastAsia"/>
        <w:b/>
        <w:i w:val="0"/>
        <w:sz w:val="24"/>
        <w:szCs w:val="24"/>
      </w:rPr>
    </w:lvl>
    <w:lvl w:ilvl="5" w:tentative="0">
      <w:start w:val="1"/>
      <w:numFmt w:val="decimal"/>
      <w:pStyle w:val="6"/>
      <w:lvlText w:val="%1.%2.%3.%4.%5.%6."/>
      <w:lvlJc w:val="left"/>
      <w:pPr>
        <w:tabs>
          <w:tab w:val="left" w:pos="1134"/>
        </w:tabs>
        <w:ind w:left="1134" w:hanging="1134"/>
      </w:pPr>
      <w:rPr>
        <w:rFonts w:hint="eastAsia" w:ascii="宋体" w:hAnsi="宋体" w:eastAsia="宋体"/>
      </w:rPr>
    </w:lvl>
    <w:lvl w:ilvl="6" w:tentative="0">
      <w:start w:val="1"/>
      <w:numFmt w:val="decimal"/>
      <w:pStyle w:val="7"/>
      <w:lvlText w:val="%1.%2.%3.%4.%5.%6.%7."/>
      <w:lvlJc w:val="left"/>
      <w:pPr>
        <w:tabs>
          <w:tab w:val="left" w:pos="1276"/>
        </w:tabs>
        <w:ind w:left="1276" w:hanging="1276"/>
      </w:pPr>
      <w:rPr>
        <w:rFonts w:hint="eastAsia" w:ascii="宋体" w:hAnsi="宋体" w:eastAsia="宋体"/>
      </w:rPr>
    </w:lvl>
    <w:lvl w:ilvl="7" w:tentative="0">
      <w:start w:val="1"/>
      <w:numFmt w:val="decimal"/>
      <w:pStyle w:val="8"/>
      <w:lvlText w:val="%1.%2.%3.%4.%5.%6.%7.%8."/>
      <w:lvlJc w:val="left"/>
      <w:pPr>
        <w:tabs>
          <w:tab w:val="left" w:pos="1418"/>
        </w:tabs>
        <w:ind w:left="1418" w:hanging="1418"/>
      </w:pPr>
      <w:rPr>
        <w:rFonts w:hint="eastAsia"/>
      </w:rPr>
    </w:lvl>
    <w:lvl w:ilvl="8" w:tentative="0">
      <w:start w:val="1"/>
      <w:numFmt w:val="decimal"/>
      <w:pStyle w:val="9"/>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255CA"/>
    <w:rsid w:val="47A00955"/>
    <w:rsid w:val="60CF045C"/>
    <w:rsid w:val="67C14DF2"/>
    <w:rsid w:val="7CDE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3">
    <w:name w:val="heading 2"/>
    <w:basedOn w:val="1"/>
    <w:next w:val="1"/>
    <w:link w:val="16"/>
    <w:semiHidden/>
    <w:unhideWhenUsed/>
    <w:qFormat/>
    <w:uiPriority w:val="0"/>
    <w:pPr>
      <w:keepNext/>
      <w:keepLines/>
      <w:spacing w:before="260" w:after="260" w:line="360" w:lineRule="auto"/>
      <w:outlineLvl w:val="1"/>
    </w:pPr>
    <w:rPr>
      <w:rFonts w:ascii="宋体" w:hAnsi="宋体" w:eastAsia="宋体"/>
      <w:b/>
      <w:bCs/>
      <w:sz w:val="24"/>
      <w:szCs w:val="18"/>
    </w:rPr>
  </w:style>
  <w:style w:type="paragraph" w:styleId="4">
    <w:name w:val="heading 3"/>
    <w:basedOn w:val="1"/>
    <w:next w:val="1"/>
    <w:link w:val="17"/>
    <w:semiHidden/>
    <w:unhideWhenUsed/>
    <w:qFormat/>
    <w:uiPriority w:val="0"/>
    <w:pPr>
      <w:keepNext/>
      <w:keepLines/>
      <w:spacing w:before="260" w:after="260" w:line="360" w:lineRule="auto"/>
      <w:ind w:left="0" w:firstLine="0"/>
      <w:outlineLvl w:val="2"/>
    </w:pPr>
    <w:rPr>
      <w:rFonts w:ascii="Times New Roman" w:hAnsi="Times New Roman" w:eastAsia="宋体"/>
      <w:b/>
      <w:bCs/>
      <w:sz w:val="24"/>
      <w:szCs w:val="32"/>
    </w:rPr>
  </w:style>
  <w:style w:type="paragraph" w:styleId="5">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2" w:hanging="992"/>
      <w:outlineLvl w:val="4"/>
    </w:pPr>
    <w:rPr>
      <w:b/>
      <w:sz w:val="28"/>
    </w:rPr>
  </w:style>
  <w:style w:type="paragraph" w:styleId="6">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6" w:hanging="1276"/>
      <w:outlineLvl w:val="6"/>
    </w:pPr>
    <w:rPr>
      <w:b/>
      <w:sz w:val="24"/>
    </w:rPr>
  </w:style>
  <w:style w:type="paragraph" w:styleId="8">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9" w:hanging="1559"/>
      <w:outlineLvl w:val="8"/>
    </w:pPr>
    <w:rPr>
      <w:rFonts w:ascii="Arial" w:hAnsi="Arial" w:eastAsia="黑体"/>
      <w:sz w:val="21"/>
    </w:rPr>
  </w:style>
  <w:style w:type="character" w:default="1" w:styleId="15">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0">
    <w:name w:val="Normal Indent"/>
    <w:basedOn w:val="1"/>
    <w:qFormat/>
    <w:uiPriority w:val="0"/>
    <w:pPr>
      <w:autoSpaceDE w:val="0"/>
      <w:autoSpaceDN w:val="0"/>
      <w:adjustRightInd w:val="0"/>
      <w:ind w:firstLine="420"/>
      <w:jc w:val="left"/>
    </w:pPr>
    <w:rPr>
      <w:rFonts w:ascii="宋体"/>
      <w:kern w:val="0"/>
      <w:szCs w:val="20"/>
    </w:rPr>
  </w:style>
  <w:style w:type="paragraph" w:styleId="11">
    <w:name w:val="Body Text"/>
    <w:basedOn w:val="1"/>
    <w:qFormat/>
    <w:uiPriority w:val="0"/>
    <w:pPr>
      <w:tabs>
        <w:tab w:val="left" w:pos="567"/>
      </w:tabs>
      <w:spacing w:before="120" w:line="22" w:lineRule="atLeast"/>
    </w:pPr>
    <w:rPr>
      <w:rFonts w:ascii="宋体" w:hAnsi="宋体"/>
    </w:rPr>
  </w:style>
  <w:style w:type="paragraph" w:styleId="12">
    <w:name w:val="Plain Text"/>
    <w:basedOn w:val="1"/>
    <w:qFormat/>
    <w:uiPriority w:val="99"/>
    <w:rPr>
      <w:rFonts w:ascii="宋体" w:hAnsi="Courier New"/>
      <w:sz w:val="21"/>
      <w:szCs w:val="20"/>
    </w:rPr>
  </w:style>
  <w:style w:type="paragraph" w:styleId="13">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16">
    <w:name w:val="标题 2 Char"/>
    <w:link w:val="3"/>
    <w:qFormat/>
    <w:uiPriority w:val="0"/>
    <w:rPr>
      <w:rFonts w:ascii="宋体" w:hAnsi="宋体" w:eastAsia="宋体"/>
      <w:b/>
      <w:bCs/>
      <w:kern w:val="2"/>
      <w:sz w:val="24"/>
      <w:szCs w:val="18"/>
    </w:rPr>
  </w:style>
  <w:style w:type="character" w:customStyle="1" w:styleId="17">
    <w:name w:val="标题 3 Char"/>
    <w:link w:val="4"/>
    <w:uiPriority w:val="0"/>
    <w:rPr>
      <w:rFonts w:ascii="Times New Roman" w:hAnsi="Times New Roman" w:eastAsia="宋体"/>
      <w:b/>
      <w:bCs/>
      <w:kern w:val="2"/>
      <w:sz w:val="24"/>
      <w:szCs w:val="32"/>
    </w:rPr>
  </w:style>
  <w:style w:type="paragraph" w:customStyle="1" w:styleId="1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2022-09-07T05:52:00Z</dcterms:created>
  <dc:creator>Administrator</dc:creator>
  <cp:lastModifiedBy>起点</cp:lastModifiedBy>
  <dcterms:modified xsi:type="dcterms:W3CDTF">2025-12-05T08:12:13Z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466DA3339AB84D6DADD071CF891D7CBE</vt:lpwstr>
  </property>
  <property fmtid="{D5CDD505-2E9C-101B-9397-08002B2CF9AE}" pid="4" name="KSOTemplateDocerSaveRecord">
    <vt:lpwstr>eyJoZGlkIjoiNzQ2Y2ZmOTBkMTUyODBhYTJmYzM2MWM5NGIxYjkxMDYiLCJ1c2VySWQiOiI2Mjk5OTE3MzAifQ==</vt:lpwstr>
  </property>
</Properties>
</file>