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06B">
      <w:pPr>
        <w:rPr>
          <w:rFonts w:hint="eastAsia" w:ascii="宋体"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：SXZCZB2025-ZCGK-1043</w:t>
      </w:r>
    </w:p>
    <w:p w14:paraId="10231E9D">
      <w:pPr>
        <w:rPr>
          <w:rFonts w:hint="eastAsia" w:ascii="宋体" w:hAnsi="宋体" w:eastAsia="宋体" w:cs="宋体"/>
          <w:b/>
          <w:color w:val="auto"/>
          <w:sz w:val="36"/>
          <w:highlight w:val="none"/>
        </w:rPr>
      </w:pPr>
    </w:p>
    <w:p w14:paraId="4B220CF7">
      <w:pPr>
        <w:jc w:val="center"/>
        <w:rPr>
          <w:rFonts w:hint="eastAsia" w:ascii="宋体" w:hAnsi="宋体" w:eastAsia="宋体" w:cs="宋体"/>
          <w:b/>
          <w:color w:val="auto"/>
          <w:sz w:val="52"/>
          <w:szCs w:val="52"/>
          <w:highlight w:val="none"/>
        </w:rPr>
      </w:pPr>
    </w:p>
    <w:p w14:paraId="6BFF8B53">
      <w:pPr>
        <w:jc w:val="center"/>
        <w:rPr>
          <w:rFonts w:hint="eastAsia" w:ascii="宋体" w:hAnsi="宋体" w:eastAsia="宋体" w:cs="宋体"/>
          <w:b/>
          <w:color w:val="auto"/>
          <w:sz w:val="72"/>
          <w:szCs w:val="72"/>
          <w:highlight w:val="none"/>
          <w:lang w:eastAsia="zh-CN"/>
        </w:rPr>
      </w:pPr>
    </w:p>
    <w:p w14:paraId="5C294BB1">
      <w:pPr>
        <w:jc w:val="center"/>
        <w:rPr>
          <w:rFonts w:hint="eastAsia" w:ascii="宋体" w:hAnsi="宋体" w:eastAsia="宋体" w:cs="宋体"/>
          <w:b/>
          <w:color w:val="auto"/>
          <w:sz w:val="56"/>
          <w:szCs w:val="56"/>
          <w:highlight w:val="none"/>
          <w:lang w:eastAsia="zh-CN"/>
        </w:rPr>
      </w:pPr>
      <w:r>
        <w:rPr>
          <w:rFonts w:hint="eastAsia" w:hAnsi="宋体" w:cs="宋体"/>
          <w:b/>
          <w:color w:val="auto"/>
          <w:sz w:val="72"/>
          <w:szCs w:val="72"/>
          <w:highlight w:val="none"/>
          <w:lang w:eastAsia="zh-CN"/>
        </w:rPr>
        <w:t>超声肝硬化检测仪等一批设备的采购项目</w:t>
      </w:r>
    </w:p>
    <w:p w14:paraId="2D35AC63">
      <w:pPr>
        <w:pStyle w:val="11"/>
        <w:jc w:val="center"/>
        <w:rPr>
          <w:rFonts w:hint="eastAsia" w:ascii="宋体" w:hAnsi="宋体" w:eastAsia="宋体" w:cs="宋体"/>
          <w:b/>
          <w:color w:val="auto"/>
          <w:sz w:val="48"/>
          <w:szCs w:val="48"/>
          <w:highlight w:val="none"/>
          <w:lang w:val="en-US" w:eastAsia="zh-CN" w:bidi="ar-SA"/>
        </w:rPr>
      </w:pPr>
    </w:p>
    <w:p w14:paraId="03F305DD">
      <w:pPr>
        <w:spacing w:line="780" w:lineRule="auto"/>
        <w:jc w:val="center"/>
        <w:rPr>
          <w:rFonts w:hint="eastAsia" w:ascii="宋体" w:hAnsi="宋体" w:eastAsia="宋体" w:cs="宋体"/>
          <w:b/>
          <w:color w:val="auto"/>
          <w:sz w:val="88"/>
          <w:szCs w:val="88"/>
          <w:highlight w:val="none"/>
        </w:rPr>
      </w:pPr>
    </w:p>
    <w:p w14:paraId="1B144434">
      <w:pPr>
        <w:pStyle w:val="14"/>
        <w:rPr>
          <w:rFonts w:hint="eastAsia" w:ascii="宋体" w:hAnsi="宋体" w:eastAsia="宋体" w:cs="宋体"/>
          <w:color w:val="auto"/>
          <w:highlight w:val="none"/>
        </w:rPr>
      </w:pPr>
    </w:p>
    <w:p w14:paraId="38E0B56A">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AFF50A">
      <w:pPr>
        <w:rPr>
          <w:rFonts w:hint="eastAsia" w:ascii="宋体" w:hAnsi="宋体" w:eastAsia="宋体" w:cs="宋体"/>
          <w:color w:val="auto"/>
          <w:highlight w:val="none"/>
        </w:rPr>
      </w:pPr>
      <w:bookmarkStart w:id="0" w:name="_Toc363463325"/>
    </w:p>
    <w:p w14:paraId="5BEA981C">
      <w:pPr>
        <w:rPr>
          <w:rFonts w:hint="eastAsia" w:ascii="宋体" w:hAnsi="宋体" w:eastAsia="宋体" w:cs="宋体"/>
          <w:color w:val="auto"/>
          <w:highlight w:val="none"/>
        </w:rPr>
      </w:pPr>
    </w:p>
    <w:bookmarkEnd w:id="0"/>
    <w:p w14:paraId="41D2A2D3">
      <w:pPr>
        <w:rPr>
          <w:rFonts w:hint="eastAsia" w:ascii="宋体" w:hAnsi="宋体" w:eastAsia="宋体" w:cs="宋体"/>
          <w:color w:val="auto"/>
          <w:sz w:val="18"/>
          <w:szCs w:val="18"/>
          <w:highlight w:val="none"/>
        </w:rPr>
      </w:pPr>
    </w:p>
    <w:p w14:paraId="2DBB35FC">
      <w:pPr>
        <w:rPr>
          <w:rFonts w:hint="eastAsia" w:ascii="宋体" w:hAnsi="宋体" w:eastAsia="宋体" w:cs="宋体"/>
          <w:color w:val="auto"/>
          <w:sz w:val="18"/>
          <w:szCs w:val="18"/>
          <w:highlight w:val="none"/>
        </w:rPr>
      </w:pPr>
    </w:p>
    <w:p w14:paraId="4C632A87">
      <w:pPr>
        <w:rPr>
          <w:rFonts w:hint="eastAsia" w:ascii="宋体" w:hAnsi="宋体" w:eastAsia="宋体" w:cs="宋体"/>
          <w:color w:val="auto"/>
          <w:sz w:val="18"/>
          <w:szCs w:val="18"/>
          <w:highlight w:val="none"/>
        </w:rPr>
      </w:pPr>
    </w:p>
    <w:p w14:paraId="6A388C2B">
      <w:pPr>
        <w:rPr>
          <w:rFonts w:hint="eastAsia" w:ascii="宋体" w:hAnsi="宋体" w:eastAsia="宋体" w:cs="宋体"/>
          <w:color w:val="auto"/>
          <w:sz w:val="18"/>
          <w:szCs w:val="18"/>
          <w:highlight w:val="none"/>
        </w:rPr>
      </w:pPr>
    </w:p>
    <w:p w14:paraId="5C8936FE">
      <w:pPr>
        <w:rPr>
          <w:rFonts w:hint="eastAsia" w:ascii="宋体" w:hAnsi="宋体" w:eastAsia="宋体" w:cs="宋体"/>
          <w:color w:val="auto"/>
          <w:sz w:val="18"/>
          <w:szCs w:val="18"/>
          <w:highlight w:val="none"/>
        </w:rPr>
      </w:pPr>
    </w:p>
    <w:p w14:paraId="6D8D8E2A">
      <w:pPr>
        <w:rPr>
          <w:rFonts w:hint="eastAsia" w:ascii="宋体" w:hAnsi="宋体" w:eastAsia="宋体" w:cs="宋体"/>
          <w:color w:val="auto"/>
          <w:sz w:val="18"/>
          <w:szCs w:val="18"/>
          <w:highlight w:val="none"/>
        </w:rPr>
      </w:pPr>
    </w:p>
    <w:p w14:paraId="35033040">
      <w:pPr>
        <w:pStyle w:val="7"/>
        <w:ind w:left="0" w:leftChars="0" w:firstLine="0" w:firstLineChars="0"/>
        <w:rPr>
          <w:rFonts w:hint="eastAsia" w:ascii="宋体" w:hAnsi="宋体" w:eastAsia="宋体" w:cs="宋体"/>
          <w:color w:val="auto"/>
          <w:sz w:val="18"/>
          <w:szCs w:val="18"/>
          <w:highlight w:val="none"/>
        </w:rPr>
      </w:pPr>
    </w:p>
    <w:p w14:paraId="135B7BF0">
      <w:pPr>
        <w:pStyle w:val="7"/>
        <w:ind w:left="0" w:leftChars="0" w:firstLine="0" w:firstLineChars="0"/>
        <w:rPr>
          <w:rFonts w:hint="eastAsia" w:ascii="宋体" w:hAnsi="宋体" w:eastAsia="宋体" w:cs="宋体"/>
          <w:color w:val="auto"/>
          <w:sz w:val="18"/>
          <w:szCs w:val="18"/>
          <w:highlight w:val="none"/>
        </w:rPr>
      </w:pPr>
    </w:p>
    <w:p w14:paraId="4CDD99BF">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陕西至诚项目管理集团有限公司</w:t>
      </w:r>
    </w:p>
    <w:p w14:paraId="483C6C8E">
      <w:pPr>
        <w:tabs>
          <w:tab w:val="left" w:pos="525"/>
        </w:tabs>
        <w:ind w:left="-2" w:leftChars="-1" w:firstLine="1"/>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w:t>
      </w:r>
      <w:r>
        <w:rPr>
          <w:rFonts w:hint="eastAsia" w:hAnsi="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eastAsia="zh-CN"/>
        </w:rPr>
        <w:t>年</w:t>
      </w:r>
      <w:r>
        <w:rPr>
          <w:rFonts w:hint="eastAsia" w:hAnsi="宋体" w:cs="宋体"/>
          <w:b/>
          <w:bCs/>
          <w:color w:val="auto"/>
          <w:kern w:val="2"/>
          <w:sz w:val="32"/>
          <w:szCs w:val="32"/>
          <w:highlight w:val="none"/>
          <w:lang w:val="en-US" w:eastAsia="zh-CN"/>
        </w:rPr>
        <w:t>十一</w:t>
      </w:r>
      <w:r>
        <w:rPr>
          <w:rFonts w:hint="eastAsia" w:ascii="宋体" w:hAnsi="宋体" w:eastAsia="宋体" w:cs="宋体"/>
          <w:b/>
          <w:bCs/>
          <w:color w:val="auto"/>
          <w:kern w:val="2"/>
          <w:sz w:val="32"/>
          <w:szCs w:val="32"/>
          <w:highlight w:val="none"/>
          <w:lang w:eastAsia="zh-CN"/>
        </w:rPr>
        <w:t>月</w:t>
      </w:r>
    </w:p>
    <w:p w14:paraId="47DC332D">
      <w:pPr>
        <w:spacing w:before="166"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8F0B1B3">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480" w:lineRule="auto"/>
        <w:textAlignment w:val="auto"/>
        <w:rPr>
          <w:sz w:val="28"/>
          <w:szCs w:val="28"/>
          <w:highlight w:val="none"/>
        </w:rPr>
      </w:pPr>
      <w:bookmarkStart w:id="1" w:name="_Toc5293"/>
      <w:bookmarkStart w:id="2" w:name="_Toc16218"/>
      <w:bookmarkStart w:id="3" w:name="_Toc20858"/>
      <w:bookmarkStart w:id="4" w:name="_Toc20652"/>
      <w:bookmarkStart w:id="5" w:name="_Toc21518"/>
      <w:bookmarkStart w:id="6" w:name="_Toc19886"/>
      <w:bookmarkStart w:id="7" w:name="_Toc389582033"/>
      <w:bookmarkStart w:id="8" w:name="_Toc426457691"/>
      <w:bookmarkStart w:id="9" w:name="_Toc363474016"/>
      <w:bookmarkStart w:id="10" w:name="_Toc403077638"/>
      <w:bookmarkStart w:id="11" w:name="_Toc363473971"/>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"1-4"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_Toc23852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_Toc23852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26234520">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_Toc20005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_Toc20005 \h </w:instrText>
      </w:r>
      <w:r>
        <w:rPr>
          <w:sz w:val="28"/>
          <w:szCs w:val="28"/>
          <w:highlight w:val="none"/>
        </w:rPr>
        <w:fldChar w:fldCharType="separate"/>
      </w:r>
      <w:r>
        <w:rPr>
          <w:sz w:val="28"/>
          <w:szCs w:val="28"/>
          <w:highlight w:val="none"/>
        </w:rPr>
        <w:t>9</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3919D273">
      <w:pPr>
        <w:pStyle w:val="18"/>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_Toc1707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投标人须知前附表</w:t>
      </w:r>
      <w:r>
        <w:rPr>
          <w:sz w:val="28"/>
          <w:szCs w:val="28"/>
          <w:highlight w:val="none"/>
        </w:rPr>
        <w:tab/>
      </w:r>
      <w:r>
        <w:rPr>
          <w:sz w:val="28"/>
          <w:szCs w:val="28"/>
          <w:highlight w:val="none"/>
        </w:rPr>
        <w:fldChar w:fldCharType="begin"/>
      </w:r>
      <w:r>
        <w:rPr>
          <w:sz w:val="28"/>
          <w:szCs w:val="28"/>
          <w:highlight w:val="none"/>
        </w:rPr>
        <w:instrText xml:space="preserve"> PAGEREF _Toc1707 \h </w:instrText>
      </w:r>
      <w:r>
        <w:rPr>
          <w:sz w:val="28"/>
          <w:szCs w:val="28"/>
          <w:highlight w:val="none"/>
        </w:rPr>
        <w:fldChar w:fldCharType="separate"/>
      </w:r>
      <w:r>
        <w:rPr>
          <w:sz w:val="28"/>
          <w:szCs w:val="28"/>
          <w:highlight w:val="none"/>
        </w:rPr>
        <w:t>9</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7FAE3D43">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_Toc22716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_Toc22716 \h </w:instrText>
      </w:r>
      <w:r>
        <w:rPr>
          <w:sz w:val="28"/>
          <w:szCs w:val="28"/>
          <w:highlight w:val="none"/>
        </w:rPr>
        <w:fldChar w:fldCharType="separate"/>
      </w:r>
      <w:r>
        <w:rPr>
          <w:sz w:val="28"/>
          <w:szCs w:val="28"/>
          <w:highlight w:val="none"/>
        </w:rPr>
        <w:t>30</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1C51BA6A">
      <w:pPr>
        <w:pStyle w:val="18"/>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_Toc21965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合同条款及格式前附表</w:t>
      </w:r>
      <w:r>
        <w:rPr>
          <w:sz w:val="28"/>
          <w:szCs w:val="28"/>
          <w:highlight w:val="none"/>
        </w:rPr>
        <w:tab/>
      </w:r>
      <w:r>
        <w:rPr>
          <w:sz w:val="28"/>
          <w:szCs w:val="28"/>
          <w:highlight w:val="none"/>
        </w:rPr>
        <w:fldChar w:fldCharType="begin"/>
      </w:r>
      <w:r>
        <w:rPr>
          <w:sz w:val="28"/>
          <w:szCs w:val="28"/>
          <w:highlight w:val="none"/>
        </w:rPr>
        <w:instrText xml:space="preserve"> PAGEREF _Toc21965 \h </w:instrText>
      </w:r>
      <w:r>
        <w:rPr>
          <w:sz w:val="28"/>
          <w:szCs w:val="28"/>
          <w:highlight w:val="none"/>
        </w:rPr>
        <w:fldChar w:fldCharType="separate"/>
      </w:r>
      <w:r>
        <w:rPr>
          <w:sz w:val="28"/>
          <w:szCs w:val="28"/>
          <w:highlight w:val="none"/>
        </w:rPr>
        <w:t>30</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257B9983">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_Toc4670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第四章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采购内容及技术要求</w:t>
      </w:r>
      <w:r>
        <w:rPr>
          <w:sz w:val="28"/>
          <w:szCs w:val="28"/>
          <w:highlight w:val="none"/>
        </w:rPr>
        <w:tab/>
      </w:r>
      <w:r>
        <w:rPr>
          <w:sz w:val="28"/>
          <w:szCs w:val="28"/>
          <w:highlight w:val="none"/>
        </w:rPr>
        <w:fldChar w:fldCharType="begin"/>
      </w:r>
      <w:r>
        <w:rPr>
          <w:sz w:val="28"/>
          <w:szCs w:val="28"/>
          <w:highlight w:val="none"/>
        </w:rPr>
        <w:instrText xml:space="preserve"> PAGEREF _Toc4670 \h </w:instrText>
      </w:r>
      <w:r>
        <w:rPr>
          <w:sz w:val="28"/>
          <w:szCs w:val="28"/>
          <w:highlight w:val="none"/>
        </w:rPr>
        <w:fldChar w:fldCharType="separate"/>
      </w:r>
      <w:r>
        <w:rPr>
          <w:sz w:val="28"/>
          <w:szCs w:val="28"/>
          <w:highlight w:val="none"/>
        </w:rPr>
        <w:t>41</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7334319D">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_Toc11153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评标方法</w:t>
      </w:r>
      <w:r>
        <w:rPr>
          <w:sz w:val="28"/>
          <w:szCs w:val="28"/>
          <w:highlight w:val="none"/>
        </w:rPr>
        <w:tab/>
      </w:r>
      <w:r>
        <w:rPr>
          <w:sz w:val="28"/>
          <w:szCs w:val="28"/>
          <w:highlight w:val="none"/>
        </w:rPr>
        <w:fldChar w:fldCharType="begin"/>
      </w:r>
      <w:r>
        <w:rPr>
          <w:sz w:val="28"/>
          <w:szCs w:val="28"/>
          <w:highlight w:val="none"/>
        </w:rPr>
        <w:instrText xml:space="preserve"> PAGEREF _Toc11153 \h </w:instrText>
      </w:r>
      <w:r>
        <w:rPr>
          <w:sz w:val="28"/>
          <w:szCs w:val="28"/>
          <w:highlight w:val="none"/>
        </w:rPr>
        <w:fldChar w:fldCharType="separate"/>
      </w:r>
      <w:r>
        <w:rPr>
          <w:sz w:val="28"/>
          <w:szCs w:val="28"/>
          <w:highlight w:val="none"/>
        </w:rPr>
        <w:t>59</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6E857181">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480" w:lineRule="auto"/>
        <w:textAlignment w:val="auto"/>
        <w:rPr>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_Toc2195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第六章</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投标文件构成及格式</w:t>
      </w:r>
      <w:r>
        <w:rPr>
          <w:sz w:val="28"/>
          <w:szCs w:val="28"/>
          <w:highlight w:val="none"/>
        </w:rPr>
        <w:tab/>
      </w:r>
      <w:r>
        <w:rPr>
          <w:sz w:val="28"/>
          <w:szCs w:val="28"/>
          <w:highlight w:val="none"/>
        </w:rPr>
        <w:fldChar w:fldCharType="begin"/>
      </w:r>
      <w:r>
        <w:rPr>
          <w:sz w:val="28"/>
          <w:szCs w:val="28"/>
          <w:highlight w:val="none"/>
        </w:rPr>
        <w:instrText xml:space="preserve"> PAGEREF _Toc2195 \h </w:instrText>
      </w:r>
      <w:r>
        <w:rPr>
          <w:sz w:val="28"/>
          <w:szCs w:val="28"/>
          <w:highlight w:val="none"/>
        </w:rPr>
        <w:fldChar w:fldCharType="separate"/>
      </w:r>
      <w:r>
        <w:rPr>
          <w:sz w:val="28"/>
          <w:szCs w:val="28"/>
          <w:highlight w:val="none"/>
        </w:rPr>
        <w:t>68</w:t>
      </w:r>
      <w:r>
        <w:rPr>
          <w:sz w:val="28"/>
          <w:szCs w:val="28"/>
          <w:highlight w:val="none"/>
        </w:rPr>
        <w:fldChar w:fldCharType="end"/>
      </w:r>
      <w:r>
        <w:rPr>
          <w:rFonts w:hint="eastAsia" w:ascii="宋体" w:hAnsi="宋体" w:eastAsia="宋体" w:cs="宋体"/>
          <w:color w:val="auto"/>
          <w:sz w:val="28"/>
          <w:szCs w:val="28"/>
          <w:highlight w:val="none"/>
        </w:rPr>
        <w:fldChar w:fldCharType="end"/>
      </w:r>
    </w:p>
    <w:p w14:paraId="687EEB9D">
      <w:pPr>
        <w:pStyle w:val="16"/>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color w:val="auto"/>
          <w:sz w:val="28"/>
          <w:szCs w:val="28"/>
          <w:highlight w:val="none"/>
        </w:rPr>
        <w:fldChar w:fldCharType="end"/>
      </w:r>
    </w:p>
    <w:p w14:paraId="1584FE13">
      <w:pPr>
        <w:pStyle w:val="2"/>
        <w:spacing w:after="333" w:afterLines="100" w:line="500" w:lineRule="exact"/>
        <w:jc w:val="center"/>
        <w:rPr>
          <w:rFonts w:hint="eastAsia" w:ascii="宋体" w:hAnsi="宋体" w:eastAsia="宋体" w:cs="宋体"/>
          <w:color w:val="auto"/>
          <w:sz w:val="36"/>
          <w:szCs w:val="36"/>
          <w:highlight w:val="none"/>
        </w:rPr>
      </w:pPr>
      <w:bookmarkStart w:id="12" w:name="_Toc31289"/>
      <w:bookmarkStart w:id="13" w:name="_Toc23576"/>
      <w:bookmarkStart w:id="14" w:name="_Toc28504"/>
      <w:bookmarkStart w:id="15" w:name="_Toc23852"/>
      <w:bookmarkStart w:id="16" w:name="_Toc26849"/>
      <w:r>
        <w:rPr>
          <w:rFonts w:hint="eastAsia" w:ascii="宋体" w:hAns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color w:val="auto"/>
          <w:sz w:val="36"/>
          <w:szCs w:val="36"/>
          <w:highlight w:val="none"/>
        </w:rPr>
        <w:t>招标公告</w:t>
      </w:r>
      <w:bookmarkEnd w:id="8"/>
      <w:bookmarkEnd w:id="12"/>
      <w:bookmarkEnd w:id="13"/>
      <w:bookmarkEnd w:id="14"/>
      <w:bookmarkEnd w:id="15"/>
      <w:bookmarkEnd w:id="16"/>
    </w:p>
    <w:p w14:paraId="3CCE8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项目概况</w:t>
      </w:r>
    </w:p>
    <w:p w14:paraId="1943451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fill="FFFFFF"/>
          <w:lang w:eastAsia="zh-CN"/>
        </w:rPr>
        <w:t>超声肝硬化检测仪等一批设备的采购项目招标项目的潜在投标人应在陕西省西安市经济技术开发区未央路171-1号银池道拉斯财富中心21楼获取招标文件，并于 2025年1</w:t>
      </w:r>
      <w:r>
        <w:rPr>
          <w:rFonts w:hint="eastAsia" w:cs="宋体"/>
          <w:i w:val="0"/>
          <w:iCs w:val="0"/>
          <w:caps w:val="0"/>
          <w:color w:val="auto"/>
          <w:spacing w:val="0"/>
          <w:sz w:val="24"/>
          <w:szCs w:val="24"/>
          <w:highlight w:val="none"/>
          <w:shd w:val="clear" w:fill="FFFFFF"/>
          <w:lang w:val="en-US" w:eastAsia="zh-CN"/>
        </w:rPr>
        <w:t>2</w:t>
      </w:r>
      <w:r>
        <w:rPr>
          <w:rFonts w:hint="eastAsia" w:cs="宋体"/>
          <w:i w:val="0"/>
          <w:iCs w:val="0"/>
          <w:caps w:val="0"/>
          <w:color w:val="auto"/>
          <w:spacing w:val="0"/>
          <w:sz w:val="24"/>
          <w:szCs w:val="24"/>
          <w:highlight w:val="none"/>
          <w:shd w:val="clear" w:fill="FFFFFF"/>
          <w:lang w:eastAsia="zh-CN"/>
        </w:rPr>
        <w:t>月</w:t>
      </w:r>
      <w:r>
        <w:rPr>
          <w:rFonts w:hint="eastAsia" w:cs="宋体"/>
          <w:i w:val="0"/>
          <w:iCs w:val="0"/>
          <w:caps w:val="0"/>
          <w:color w:val="auto"/>
          <w:spacing w:val="0"/>
          <w:sz w:val="24"/>
          <w:szCs w:val="24"/>
          <w:highlight w:val="none"/>
          <w:shd w:val="clear" w:fill="FFFFFF"/>
          <w:lang w:val="en-US" w:eastAsia="zh-CN"/>
        </w:rPr>
        <w:t>05</w:t>
      </w:r>
      <w:r>
        <w:rPr>
          <w:rFonts w:hint="eastAsia" w:cs="宋体"/>
          <w:i w:val="0"/>
          <w:iCs w:val="0"/>
          <w:caps w:val="0"/>
          <w:color w:val="auto"/>
          <w:spacing w:val="0"/>
          <w:sz w:val="24"/>
          <w:szCs w:val="24"/>
          <w:highlight w:val="none"/>
          <w:shd w:val="clear" w:fill="FFFFFF"/>
          <w:lang w:eastAsia="zh-CN"/>
        </w:rPr>
        <w:t xml:space="preserve">日 </w:t>
      </w:r>
      <w:r>
        <w:rPr>
          <w:rFonts w:hint="eastAsia" w:cs="宋体"/>
          <w:i w:val="0"/>
          <w:iCs w:val="0"/>
          <w:caps w:val="0"/>
          <w:color w:val="auto"/>
          <w:spacing w:val="0"/>
          <w:sz w:val="24"/>
          <w:szCs w:val="24"/>
          <w:highlight w:val="none"/>
          <w:shd w:val="clear" w:fill="FFFFFF"/>
          <w:lang w:val="en-US" w:eastAsia="zh-CN"/>
        </w:rPr>
        <w:t>09</w:t>
      </w:r>
      <w:r>
        <w:rPr>
          <w:rFonts w:hint="eastAsia" w:cs="宋体"/>
          <w:i w:val="0"/>
          <w:iCs w:val="0"/>
          <w:caps w:val="0"/>
          <w:color w:val="auto"/>
          <w:spacing w:val="0"/>
          <w:sz w:val="24"/>
          <w:szCs w:val="24"/>
          <w:highlight w:val="none"/>
          <w:shd w:val="clear" w:fill="FFFFFF"/>
          <w:lang w:eastAsia="zh-CN"/>
        </w:rPr>
        <w:t>时</w:t>
      </w:r>
      <w:r>
        <w:rPr>
          <w:rFonts w:hint="eastAsia" w:cs="宋体"/>
          <w:i w:val="0"/>
          <w:iCs w:val="0"/>
          <w:caps w:val="0"/>
          <w:color w:val="auto"/>
          <w:spacing w:val="0"/>
          <w:sz w:val="24"/>
          <w:szCs w:val="24"/>
          <w:highlight w:val="none"/>
          <w:shd w:val="clear" w:fill="FFFFFF"/>
          <w:lang w:val="en-US" w:eastAsia="zh-CN"/>
        </w:rPr>
        <w:t>3</w:t>
      </w:r>
      <w:r>
        <w:rPr>
          <w:rFonts w:hint="eastAsia" w:cs="宋体"/>
          <w:i w:val="0"/>
          <w:iCs w:val="0"/>
          <w:caps w:val="0"/>
          <w:color w:val="auto"/>
          <w:spacing w:val="0"/>
          <w:sz w:val="24"/>
          <w:szCs w:val="24"/>
          <w:highlight w:val="none"/>
          <w:shd w:val="clear" w:fill="FFFFFF"/>
          <w:lang w:eastAsia="zh-CN"/>
        </w:rPr>
        <w:t>0分 （北京时间）前递交投标文件。</w:t>
      </w:r>
    </w:p>
    <w:p w14:paraId="6433D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一、项目基本情况</w:t>
      </w:r>
    </w:p>
    <w:p w14:paraId="219E2B0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项目编号：SXZCZB2025-ZCGK-1043</w:t>
      </w:r>
    </w:p>
    <w:p w14:paraId="2697774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项目名称：超声肝硬化检测仪等一批设备的采购项目</w:t>
      </w:r>
    </w:p>
    <w:p w14:paraId="3359C1E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采购方式：公开招标</w:t>
      </w:r>
    </w:p>
    <w:p w14:paraId="1AC65F8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预算金额：2,217,400.00元</w:t>
      </w:r>
    </w:p>
    <w:p w14:paraId="0A6506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采购需求：</w:t>
      </w:r>
    </w:p>
    <w:p w14:paraId="19D1C76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合同包1(全自动单独滴染HE染色封片一体机):</w:t>
      </w:r>
    </w:p>
    <w:p w14:paraId="664C70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合同包预算金额：245,000.00元</w:t>
      </w:r>
    </w:p>
    <w:p w14:paraId="09178E4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合同包最高限价：245,000.00元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2387"/>
        <w:gridCol w:w="2387"/>
        <w:gridCol w:w="830"/>
        <w:gridCol w:w="1625"/>
        <w:gridCol w:w="1440"/>
      </w:tblGrid>
      <w:tr w14:paraId="202A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E21C3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1EA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E4824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DEDC4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075E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E68F9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1B83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7EA68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2817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其他医疗设备</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00DF2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全自动单独滴染HE染色封片一体机</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52A3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1(台)</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A534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0426C">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245,000.00</w:t>
            </w:r>
          </w:p>
        </w:tc>
      </w:tr>
    </w:tbl>
    <w:p w14:paraId="11BC8A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0BDBD73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合同履行期限：详见招标文件</w:t>
      </w:r>
    </w:p>
    <w:p w14:paraId="7B03988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合同包2(盆底康复治疗仪、胶囊胃镜):</w:t>
      </w:r>
    </w:p>
    <w:p w14:paraId="0CEDD3D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合同包预算金额：370,000.00元</w:t>
      </w:r>
    </w:p>
    <w:p w14:paraId="75AC50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合同包最高限价：370,000.00元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7"/>
        <w:gridCol w:w="2375"/>
        <w:gridCol w:w="2409"/>
        <w:gridCol w:w="828"/>
        <w:gridCol w:w="1619"/>
        <w:gridCol w:w="1440"/>
      </w:tblGrid>
      <w:tr w14:paraId="541F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36FA1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3D1A0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2B905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60E99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9C4D8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AAA0B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C9C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2E747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w:t>
            </w:r>
          </w:p>
        </w:tc>
        <w:tc>
          <w:tcPr>
            <w:tcW w:w="13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DB63F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其他医疗设备</w:t>
            </w:r>
          </w:p>
        </w:tc>
        <w:tc>
          <w:tcPr>
            <w:tcW w:w="13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7BCF35">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盆底康复治疗仪、胶囊胃镜</w:t>
            </w:r>
          </w:p>
        </w:tc>
        <w:tc>
          <w:tcPr>
            <w:tcW w:w="4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3709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1(批)</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111B8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B17B8D">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370,000.00</w:t>
            </w:r>
          </w:p>
        </w:tc>
      </w:tr>
    </w:tbl>
    <w:p w14:paraId="6A4D5D1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57CFC47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合同履行期限：详见招标文件</w:t>
      </w:r>
    </w:p>
    <w:p w14:paraId="671C95A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合同包3(多功能产床（家化版）):</w:t>
      </w:r>
    </w:p>
    <w:p w14:paraId="54AFD6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合同包预算金额：260,000.00元</w:t>
      </w:r>
    </w:p>
    <w:p w14:paraId="4FDE6B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合同包最高限价：260,000.00元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7"/>
        <w:gridCol w:w="2375"/>
        <w:gridCol w:w="2409"/>
        <w:gridCol w:w="828"/>
        <w:gridCol w:w="1619"/>
        <w:gridCol w:w="1440"/>
      </w:tblGrid>
      <w:tr w14:paraId="6465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BB99A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8A199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80F9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EA84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85258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326A3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ADE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25C4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3-1</w:t>
            </w:r>
          </w:p>
        </w:tc>
        <w:tc>
          <w:tcPr>
            <w:tcW w:w="13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61894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其他医疗设备</w:t>
            </w:r>
          </w:p>
        </w:tc>
        <w:tc>
          <w:tcPr>
            <w:tcW w:w="13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E2AAF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多功能产床（家化版）</w:t>
            </w:r>
          </w:p>
        </w:tc>
        <w:tc>
          <w:tcPr>
            <w:tcW w:w="4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96F4B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1(台)</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5434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5FCE3A">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260,000.00</w:t>
            </w:r>
          </w:p>
        </w:tc>
      </w:tr>
    </w:tbl>
    <w:p w14:paraId="6950D8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1F5B9E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合同履行期限：详见招标文件</w:t>
      </w:r>
    </w:p>
    <w:p w14:paraId="664BAEE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合同包4(婴儿床车、气压治疗仪、有创监护仪、BIS监测模块(设备）胰岛素泵):</w:t>
      </w:r>
    </w:p>
    <w:p w14:paraId="50303F6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合同包预算金额：212,400.00元</w:t>
      </w:r>
    </w:p>
    <w:p w14:paraId="4365FD5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合同包最高限价：212,400.00元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3"/>
        <w:gridCol w:w="1943"/>
        <w:gridCol w:w="3264"/>
        <w:gridCol w:w="738"/>
        <w:gridCol w:w="1369"/>
        <w:gridCol w:w="1441"/>
      </w:tblGrid>
      <w:tr w14:paraId="72F0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BA5C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FA4B3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33204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F5B45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7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A3A13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5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51E1E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EDB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782DB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4-1</w:t>
            </w:r>
          </w:p>
        </w:tc>
        <w:tc>
          <w:tcPr>
            <w:tcW w:w="10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DF793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其他医疗设备</w:t>
            </w:r>
          </w:p>
        </w:tc>
        <w:tc>
          <w:tcPr>
            <w:tcW w:w="1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E2246">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婴儿床车、气压治疗仪、有创监护仪、BIS监测模块(设备）胰岛素泵</w:t>
            </w:r>
          </w:p>
        </w:tc>
        <w:tc>
          <w:tcPr>
            <w:tcW w:w="4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096DD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1(批)</w:t>
            </w:r>
          </w:p>
        </w:tc>
        <w:tc>
          <w:tcPr>
            <w:tcW w:w="7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D251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5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07705">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212,400.00</w:t>
            </w:r>
          </w:p>
        </w:tc>
      </w:tr>
    </w:tbl>
    <w:p w14:paraId="710FA53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264F7D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合同履行期限：详见招标文件</w:t>
      </w:r>
    </w:p>
    <w:p w14:paraId="308DCA3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合同包5(无创心排监测仪):</w:t>
      </w:r>
    </w:p>
    <w:p w14:paraId="002B05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合同包预算金额：290,000.00元</w:t>
      </w:r>
    </w:p>
    <w:p w14:paraId="0DC1746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合同包最高限价：290,000.00元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2387"/>
        <w:gridCol w:w="2387"/>
        <w:gridCol w:w="830"/>
        <w:gridCol w:w="1625"/>
        <w:gridCol w:w="1440"/>
      </w:tblGrid>
      <w:tr w14:paraId="0BA6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EF780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F0AA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DC756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EC66A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DD6EE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DE7523">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7A2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592EA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A89976">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其他医疗设备</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CB2F2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无创心排监测仪</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B702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1(台)</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3AECA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6476A">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290,000.00</w:t>
            </w:r>
          </w:p>
        </w:tc>
      </w:tr>
    </w:tbl>
    <w:p w14:paraId="54F4D9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42464C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合同履行期限：详见招标文件</w:t>
      </w:r>
    </w:p>
    <w:p w14:paraId="6D39B75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合同包6(超声肝硬化检测仪):</w:t>
      </w:r>
    </w:p>
    <w:p w14:paraId="02B87FE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合同包预算金额：840,000.00元</w:t>
      </w:r>
    </w:p>
    <w:p w14:paraId="0A81A48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合同包最高限价：840,000.00元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2387"/>
        <w:gridCol w:w="2387"/>
        <w:gridCol w:w="830"/>
        <w:gridCol w:w="1625"/>
        <w:gridCol w:w="1440"/>
      </w:tblGrid>
      <w:tr w14:paraId="07AD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B8C9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3BC20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C661E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78D093">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FC8E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6BD6E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F26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72097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9D10C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其他医疗设备</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486F3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超声肝硬化检测仪</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09F6D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1(台)</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B697D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BFF8B7">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840,000.00</w:t>
            </w:r>
          </w:p>
        </w:tc>
      </w:tr>
    </w:tbl>
    <w:p w14:paraId="2FF07A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687D25D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合同履行期限：详见招标文件</w:t>
      </w:r>
    </w:p>
    <w:p w14:paraId="320BE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二、申请人的资格要求：</w:t>
      </w:r>
    </w:p>
    <w:p w14:paraId="211D5D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1.满足《中华人民共和国政府采购法》第二十二条规定;</w:t>
      </w:r>
    </w:p>
    <w:p w14:paraId="0EFBE87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2.落实政府采购政策需满足的资格要求：</w:t>
      </w:r>
    </w:p>
    <w:p w14:paraId="3B89A9A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合同包1(全自动单独滴染HE染色封片一体机)落实政府采购政策需满足的资格要求如下:</w:t>
      </w:r>
    </w:p>
    <w:p w14:paraId="095A94F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 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35EE170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合同包2(盆底康复治疗仪、胶囊胃镜)落实政府采购政策需满足的资格要求如下:</w:t>
      </w:r>
    </w:p>
    <w:p w14:paraId="542F3A5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7086A14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合同包3(多功能产床（家化版）)落实政府采购政策需满足的资格要求如下:</w:t>
      </w:r>
    </w:p>
    <w:p w14:paraId="2F90311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1EDA44B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合同包4(婴儿床车、气压治疗仪、有创监护仪、BIS监测模块(设备）胰岛素泵)落实政府采购政策需满足的资格要求如下:</w:t>
      </w:r>
    </w:p>
    <w:p w14:paraId="53EF1B5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0687A9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合同包5(无创心排监测仪)落实政府采购政策需满足的资格要求如下:</w:t>
      </w:r>
    </w:p>
    <w:p w14:paraId="470D99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602FC81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合同包6(超声肝硬化检测仪)落实政府采购政策需满足的资格要求如下:</w:t>
      </w:r>
    </w:p>
    <w:p w14:paraId="7F1B734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3B725CF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3.本项目的特定资格要求：</w:t>
      </w:r>
    </w:p>
    <w:p w14:paraId="579A90E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合同包1(全自动单独滴染HE染色封片一体机)特定资格要求如下:</w:t>
      </w:r>
    </w:p>
    <w:p w14:paraId="1EAB62C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1、提供合格有效的法人或者其他组织的营业执照等证明文件，自然人的身份证明；</w:t>
      </w:r>
    </w:p>
    <w:p w14:paraId="5E8BC8F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2、提供法定代表人授权书（附法定代表人、被授权人身份证复印件）及被授权人身份证原件（法定代表人直接参加投标，须提供法定代表人身份证明及身份证原件）；</w:t>
      </w:r>
    </w:p>
    <w:p w14:paraId="4B5A4A8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3、财务状况：提供2024年度的财务审计报告（至少包括资产负债表和利润表，成立时间至提交投标文件截止时间不足一年的可提供成立后任意时段的资产负债表）或开标时间前六个月内银行出具的资信证明；</w:t>
      </w:r>
    </w:p>
    <w:p w14:paraId="7BCBAD2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4、税收缴纳证明：提供投标截止日前近一年内任意一个月的纳税证明或完税证明（任意税种），依法免税的单位应提供相关证明材料；</w:t>
      </w:r>
    </w:p>
    <w:p w14:paraId="65AFC4E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5、社会保障资金缴纳证明：提供投标截止日前近一年内任意一个月的社会保障资金缴存单据或社保机构开具的社会保险参保缴费情况证明，依法不需要缴纳社会保障资金的单位应提供相关证明材料；</w:t>
      </w:r>
    </w:p>
    <w:p w14:paraId="09C2141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6、供应商应在招标文件领取期至投标截止时间前通过“信用中国”网站(www.creditchina.gov.cn)、中国政府采购网(www.ccgp.gov.cn)查询相关主体信用记录；</w:t>
      </w:r>
    </w:p>
    <w:p w14:paraId="04A26C4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7、参加政府采购活动前3年内，在经营活动中没有重大违法记录的书面声明；</w:t>
      </w:r>
    </w:p>
    <w:p w14:paraId="25D140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8、提供具有履行合同所必需的设备和专业技术能力的书面承诺；</w:t>
      </w:r>
    </w:p>
    <w:p w14:paraId="2E2497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9、投标人为代理商的，所投产品如属于医疗器械的须提供《医疗器械经营许可证》或《医疗器械经营备案凭证》及所投医疗器械产品在有效期内的《医疗器械注册证》或《医疗器械产品备案凭证》；投标人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p>
    <w:p w14:paraId="0BA96D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10、本项目不接受联合体投标。</w:t>
      </w:r>
    </w:p>
    <w:p w14:paraId="7632EE3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合同包2(盆底康复治疗仪、胶囊胃镜)特定资格要求如下:</w:t>
      </w:r>
    </w:p>
    <w:p w14:paraId="7632AC3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43E0F44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合同包3(多功能产床（家化版）)特定资格要求如下:</w:t>
      </w:r>
    </w:p>
    <w:p w14:paraId="3394DA8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3F78F3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合同包4(婴儿床车、气压治疗仪、有创监护仪、BIS监测模块(设备）胰岛素泵)特定资格要求如下:</w:t>
      </w:r>
    </w:p>
    <w:p w14:paraId="15FFF44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3D31D48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合同包5(无创心排监测仪)特定资格要求如下:</w:t>
      </w:r>
    </w:p>
    <w:p w14:paraId="5B6383D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00D809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合同包6(超声肝硬化检测仪)特定资格要求如下:</w:t>
      </w:r>
    </w:p>
    <w:p w14:paraId="546751D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同合同包1。</w:t>
      </w:r>
    </w:p>
    <w:p w14:paraId="46B9D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三、获取招标文件</w:t>
      </w:r>
    </w:p>
    <w:p w14:paraId="44E4A24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时间：2025年11月04日至2025年11月10日，每天上午09:00:00至12:00:00，下午14:00:00至17:00:00（北京时间）</w:t>
      </w:r>
    </w:p>
    <w:p w14:paraId="0EFB19A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途径：陕西省西安市经济技术开发区未央路171-1号银池道拉斯财富中心21楼</w:t>
      </w:r>
    </w:p>
    <w:p w14:paraId="7B1BA4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方式：现场获取</w:t>
      </w:r>
    </w:p>
    <w:p w14:paraId="198CBC3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售价：0元</w:t>
      </w:r>
    </w:p>
    <w:p w14:paraId="1247FE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2F65A50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时间：2025年1</w:t>
      </w: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lang w:eastAsia="zh-CN"/>
        </w:rPr>
        <w:t xml:space="preserve">日 </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lang w:eastAsia="zh-CN"/>
        </w:rPr>
        <w:t>时</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0分00秒（北京时间）</w:t>
      </w:r>
    </w:p>
    <w:p w14:paraId="317D728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提交投标文件地点：陕西省西安市经济技术开发区未央路171-1号银池道拉斯财富中心21楼</w:t>
      </w:r>
    </w:p>
    <w:p w14:paraId="0933EC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开标地点：陕西省西安市经济技术开发区未央路171-1号银池道拉斯财富中心21楼</w:t>
      </w:r>
    </w:p>
    <w:p w14:paraId="517E9E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五、公告期限</w:t>
      </w:r>
    </w:p>
    <w:p w14:paraId="0487052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自本公告发布之日起5个工作日。</w:t>
      </w:r>
    </w:p>
    <w:p w14:paraId="184CB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六、其他补充事宜</w:t>
      </w:r>
    </w:p>
    <w:p w14:paraId="17A76CB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（1）供应商领取招标文件时，请携带单位介绍信及经办人身份证原件及复印件并加盖公章；</w:t>
      </w:r>
    </w:p>
    <w:p w14:paraId="513135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（2）请供应商按照《陕西省财政厅关于政府采购供应商注册登记有关事项的通知》中的要求，通过陕西省政府采购网（http://www.ccgp-shaanxi.gov.cn/）注册登记加入陕西省政府采购供应商库；</w:t>
      </w:r>
    </w:p>
    <w:p w14:paraId="7DA109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本项目合同包1、合同包2、合同包3、合同包5、合同包6专门面向中小企业采购；合同包4婴儿床车、气压治疗仪、胰岛素泵专门面向中小企业采购，有创监护仪、BIS监测模块（设备）非专门面向中小企业采购。</w:t>
      </w:r>
    </w:p>
    <w:p w14:paraId="4D1F2D94">
      <w:pPr>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br w:type="page"/>
      </w:r>
    </w:p>
    <w:p w14:paraId="1BDF8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highlight w:val="none"/>
          <w:shd w:val="clear" w:fill="FFFFFF"/>
        </w:rPr>
      </w:pPr>
      <w:r>
        <w:rPr>
          <w:rStyle w:val="25"/>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0798DAD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1.采购人信息</w:t>
      </w:r>
    </w:p>
    <w:p w14:paraId="5617EDD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名称：丹凤县医院</w:t>
      </w:r>
    </w:p>
    <w:p w14:paraId="2AF2F4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地址：丹凤县商镇商邑社区商邑大道19号</w:t>
      </w:r>
    </w:p>
    <w:p w14:paraId="1509430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联系方式：0914-3376651</w:t>
      </w:r>
    </w:p>
    <w:p w14:paraId="313E01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2.采购代理机构信息</w:t>
      </w:r>
    </w:p>
    <w:p w14:paraId="255432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名称：陕西至诚项目管理集团有限公司</w:t>
      </w:r>
    </w:p>
    <w:p w14:paraId="404B8CC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地址：陕西省西安市经济技术开发区未央路171-1号银池道拉斯财富中心21楼</w:t>
      </w:r>
    </w:p>
    <w:p w14:paraId="643A00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联系方式：029-88219779</w:t>
      </w:r>
    </w:p>
    <w:p w14:paraId="501F473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3.项目联系方式</w:t>
      </w:r>
    </w:p>
    <w:p w14:paraId="7B4972F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项目联系人：康乐、孙洋、常瑛</w:t>
      </w:r>
    </w:p>
    <w:p w14:paraId="1EEF435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电话：029-88219779</w:t>
      </w:r>
    </w:p>
    <w:p w14:paraId="20D413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highlight w:val="none"/>
          <w:shd w:val="clear" w:fill="FFFFFF"/>
          <w:lang w:eastAsia="zh-CN"/>
        </w:rPr>
      </w:pPr>
    </w:p>
    <w:p w14:paraId="4150AF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outlineLvl w:val="9"/>
        <w:rPr>
          <w:rFonts w:hint="eastAsia" w:ascii="宋体" w:hAnsi="宋体" w:eastAsia="宋体" w:cs="宋体"/>
          <w:color w:val="auto"/>
          <w:sz w:val="24"/>
          <w:szCs w:val="24"/>
          <w:highlight w:val="none"/>
          <w:lang w:eastAsia="zh-CN"/>
        </w:rPr>
      </w:pPr>
    </w:p>
    <w:p w14:paraId="3626AD6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highlight w:val="none"/>
          <w:shd w:val="clear" w:fill="FFFFFF"/>
        </w:rPr>
      </w:pPr>
    </w:p>
    <w:p w14:paraId="7B891DE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陕西至诚项目管理集团有限公司</w:t>
      </w:r>
    </w:p>
    <w:p w14:paraId="456ABC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202</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val="en-US" w:eastAsia="zh-CN"/>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lang w:val="en-US" w:eastAsia="zh-CN"/>
        </w:rPr>
        <w:t>月</w:t>
      </w:r>
      <w:r>
        <w:rPr>
          <w:rFonts w:hint="eastAsia"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lang w:val="en-US" w:eastAsia="zh-CN"/>
        </w:rPr>
        <w:t>日</w:t>
      </w:r>
    </w:p>
    <w:p w14:paraId="23F749F5">
      <w:pPr>
        <w:outlineLvl w:val="9"/>
        <w:rPr>
          <w:rFonts w:hint="eastAsia" w:ascii="宋体" w:hAnsi="宋体" w:eastAsia="宋体" w:cs="宋体"/>
          <w:color w:val="auto"/>
          <w:highlight w:val="none"/>
          <w:lang w:val="en-US" w:eastAsia="zh-CN"/>
        </w:rPr>
      </w:pPr>
    </w:p>
    <w:p w14:paraId="69CA7861">
      <w:pPr>
        <w:rPr>
          <w:highlight w:val="none"/>
        </w:rPr>
      </w:pPr>
    </w:p>
    <w:p w14:paraId="13B604CC">
      <w:pPr>
        <w:rPr>
          <w:highlight w:val="none"/>
        </w:rPr>
      </w:pPr>
    </w:p>
    <w:p w14:paraId="6FB9562A">
      <w:pPr>
        <w:pStyle w:val="8"/>
        <w:rPr>
          <w:highlight w:val="none"/>
        </w:rPr>
      </w:pPr>
    </w:p>
    <w:p w14:paraId="45658F14">
      <w:pPr>
        <w:pStyle w:val="2"/>
        <w:jc w:val="center"/>
        <w:rPr>
          <w:rStyle w:val="27"/>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17" w:name="_Toc389582035"/>
      <w:bookmarkStart w:id="18" w:name="_Toc2929"/>
      <w:bookmarkStart w:id="19" w:name="_Toc426457692"/>
      <w:bookmarkStart w:id="20" w:name="_Toc20005"/>
      <w:bookmarkStart w:id="21" w:name="_Toc6096"/>
      <w:bookmarkStart w:id="22" w:name="_Toc30304"/>
      <w:r>
        <w:rPr>
          <w:rFonts w:hint="eastAsia" w:ascii="宋体" w:hAnsi="宋体" w:eastAsia="宋体" w:cs="宋体"/>
          <w:color w:val="auto"/>
          <w:sz w:val="36"/>
          <w:szCs w:val="36"/>
          <w:highlight w:val="none"/>
        </w:rPr>
        <w:t>第二</w:t>
      </w:r>
      <w:r>
        <w:rPr>
          <w:rStyle w:val="27"/>
          <w:rFonts w:hint="eastAsia" w:ascii="宋体" w:hAnsi="宋体" w:eastAsia="宋体" w:cs="宋体"/>
          <w:b/>
          <w:color w:val="auto"/>
          <w:sz w:val="36"/>
          <w:szCs w:val="36"/>
          <w:highlight w:val="none"/>
        </w:rPr>
        <w:t xml:space="preserve">章  </w:t>
      </w:r>
      <w:bookmarkEnd w:id="17"/>
      <w:bookmarkEnd w:id="18"/>
      <w:r>
        <w:rPr>
          <w:rStyle w:val="27"/>
          <w:rFonts w:hint="eastAsia" w:ascii="宋体" w:hAnsi="宋体" w:eastAsia="宋体" w:cs="宋体"/>
          <w:b/>
          <w:color w:val="auto"/>
          <w:sz w:val="36"/>
          <w:szCs w:val="36"/>
          <w:highlight w:val="none"/>
        </w:rPr>
        <w:t>投标人须知</w:t>
      </w:r>
      <w:bookmarkEnd w:id="19"/>
      <w:bookmarkEnd w:id="20"/>
    </w:p>
    <w:bookmarkEnd w:id="9"/>
    <w:bookmarkEnd w:id="10"/>
    <w:bookmarkEnd w:id="11"/>
    <w:bookmarkEnd w:id="21"/>
    <w:bookmarkEnd w:id="22"/>
    <w:p w14:paraId="726B5D31">
      <w:pPr>
        <w:pStyle w:val="3"/>
        <w:spacing w:before="120" w:after="120"/>
        <w:jc w:val="center"/>
        <w:rPr>
          <w:rFonts w:hint="eastAsia" w:ascii="宋体" w:hAnsi="宋体" w:eastAsia="宋体" w:cs="宋体"/>
          <w:color w:val="auto"/>
          <w:sz w:val="32"/>
          <w:highlight w:val="none"/>
        </w:rPr>
      </w:pPr>
      <w:bookmarkStart w:id="23" w:name="_Toc17040"/>
      <w:bookmarkStart w:id="24" w:name="_Toc30222"/>
      <w:bookmarkStart w:id="25" w:name="_Toc17539"/>
      <w:bookmarkStart w:id="26" w:name="_Toc426457693"/>
      <w:bookmarkStart w:id="27" w:name="_Toc11975"/>
      <w:bookmarkStart w:id="28" w:name="_Toc23108"/>
      <w:bookmarkStart w:id="29" w:name="_Toc1707"/>
      <w:bookmarkStart w:id="30" w:name="_Toc6721"/>
      <w:bookmarkStart w:id="31" w:name="_Toc363474023"/>
      <w:r>
        <w:rPr>
          <w:rFonts w:hint="eastAsia" w:ascii="宋体" w:hAnsi="宋体" w:eastAsia="宋体" w:cs="宋体"/>
          <w:color w:val="auto"/>
          <w:sz w:val="32"/>
          <w:highlight w:val="none"/>
        </w:rPr>
        <w:t>投标人须知前附表</w:t>
      </w:r>
      <w:bookmarkEnd w:id="23"/>
      <w:bookmarkEnd w:id="24"/>
      <w:bookmarkEnd w:id="25"/>
      <w:bookmarkEnd w:id="26"/>
      <w:bookmarkEnd w:id="27"/>
      <w:bookmarkEnd w:id="28"/>
      <w:bookmarkEnd w:id="29"/>
    </w:p>
    <w:tbl>
      <w:tblPr>
        <w:tblStyle w:val="2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0"/>
        <w:gridCol w:w="845"/>
        <w:gridCol w:w="7798"/>
      </w:tblGrid>
      <w:tr w14:paraId="698C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top"/>
          </w:tcPr>
          <w:p w14:paraId="7BFD5BDE">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463" w:type="pct"/>
            <w:noWrap w:val="0"/>
            <w:vAlign w:val="center"/>
          </w:tcPr>
          <w:p w14:paraId="4043D146">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4273" w:type="pct"/>
            <w:noWrap w:val="0"/>
            <w:vAlign w:val="top"/>
          </w:tcPr>
          <w:p w14:paraId="0D65B3B1">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5675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423E7E7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63" w:type="pct"/>
            <w:noWrap w:val="0"/>
            <w:vAlign w:val="center"/>
          </w:tcPr>
          <w:p w14:paraId="7456825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4273" w:type="pct"/>
            <w:noWrap w:val="0"/>
            <w:vAlign w:val="top"/>
          </w:tcPr>
          <w:p w14:paraId="2B3125B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陕西至诚项目管理集团有限公司</w:t>
            </w:r>
          </w:p>
          <w:p w14:paraId="0D30AD3D">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lang w:eastAsia="zh-CN"/>
              </w:rPr>
              <w:t>陕西省西安市经济技术开发区未央路171-1号银池道拉斯财富中心21楼</w:t>
            </w:r>
          </w:p>
          <w:p w14:paraId="74F792A5">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hAnsi="宋体" w:cs="宋体"/>
                <w:color w:val="auto"/>
                <w:szCs w:val="24"/>
                <w:highlight w:val="none"/>
                <w:lang w:val="en-US" w:eastAsia="zh-CN"/>
              </w:rPr>
              <w:t>00</w:t>
            </w:r>
          </w:p>
          <w:p w14:paraId="71F6AC8E">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029</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88219779</w:t>
            </w:r>
          </w:p>
          <w:p w14:paraId="7FD26CF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4C75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496676C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63" w:type="pct"/>
            <w:noWrap w:val="0"/>
            <w:vAlign w:val="center"/>
          </w:tcPr>
          <w:p w14:paraId="4AD7012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4273" w:type="pct"/>
            <w:noWrap w:val="0"/>
            <w:vAlign w:val="center"/>
          </w:tcPr>
          <w:p w14:paraId="2E6E954F">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ascii="宋体" w:hAnsi="宋体" w:eastAsia="宋体" w:cs="宋体"/>
                <w:color w:val="auto"/>
                <w:szCs w:val="24"/>
                <w:highlight w:val="none"/>
                <w:lang w:eastAsia="zh-CN"/>
              </w:rPr>
              <w:t>各包</w:t>
            </w:r>
            <w:r>
              <w:rPr>
                <w:rFonts w:hint="eastAsia" w:ascii="宋体" w:hAnsi="宋体" w:eastAsia="宋体" w:cs="宋体"/>
                <w:color w:val="auto"/>
                <w:szCs w:val="24"/>
                <w:highlight w:val="none"/>
              </w:rPr>
              <w:t>不接受联合体投标。</w:t>
            </w:r>
          </w:p>
        </w:tc>
      </w:tr>
      <w:tr w14:paraId="4F13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4F09D8D3">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463" w:type="pct"/>
            <w:noWrap w:val="0"/>
            <w:vAlign w:val="center"/>
          </w:tcPr>
          <w:p w14:paraId="2111E1AE">
            <w:pPr>
              <w:spacing w:line="360" w:lineRule="auto"/>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8.3</w:t>
            </w:r>
          </w:p>
        </w:tc>
        <w:tc>
          <w:tcPr>
            <w:tcW w:w="4273" w:type="pct"/>
            <w:noWrap w:val="0"/>
            <w:vAlign w:val="center"/>
          </w:tcPr>
          <w:p w14:paraId="72AA530C">
            <w:pPr>
              <w:spacing w:line="360" w:lineRule="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Cs w:val="21"/>
                <w:highlight w:val="none"/>
              </w:rPr>
              <w:t>采购代理机构答疑的时间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对于供应商在规定时间内依法提出的询问，采购代理机构将在三个工作日内答复询问。</w:t>
            </w:r>
          </w:p>
        </w:tc>
      </w:tr>
      <w:tr w14:paraId="2DA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3D38A35B">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63" w:type="pct"/>
            <w:noWrap w:val="0"/>
            <w:vAlign w:val="center"/>
          </w:tcPr>
          <w:p w14:paraId="5150D56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4273" w:type="pct"/>
            <w:noWrap w:val="0"/>
            <w:vAlign w:val="center"/>
          </w:tcPr>
          <w:p w14:paraId="224E2796">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本项目各包</w:t>
            </w:r>
            <w:r>
              <w:rPr>
                <w:rFonts w:hint="eastAsia" w:ascii="宋体" w:hAnsi="宋体" w:eastAsia="宋体" w:cs="宋体"/>
                <w:color w:val="auto"/>
                <w:szCs w:val="24"/>
                <w:highlight w:val="none"/>
              </w:rPr>
              <w:t>不允许提供备选方案。</w:t>
            </w:r>
          </w:p>
        </w:tc>
      </w:tr>
      <w:tr w14:paraId="0F55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4FFBEF0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63" w:type="pct"/>
            <w:noWrap w:val="0"/>
            <w:vAlign w:val="center"/>
          </w:tcPr>
          <w:p w14:paraId="36C504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4273" w:type="pct"/>
            <w:noWrap w:val="0"/>
            <w:vAlign w:val="center"/>
          </w:tcPr>
          <w:p w14:paraId="3FFF89C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供应商可根据自身的资质情况和经营范围进行投标，但不得将其子目自行分解或针对该项目中的品目进行不完全投标，任何不完全的投标将按无效投标处理。</w:t>
            </w:r>
          </w:p>
        </w:tc>
      </w:tr>
      <w:tr w14:paraId="71BF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4F945AB6">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463" w:type="pct"/>
            <w:noWrap w:val="0"/>
            <w:vAlign w:val="center"/>
          </w:tcPr>
          <w:p w14:paraId="4C864947">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4273" w:type="pct"/>
            <w:noWrap w:val="0"/>
            <w:vAlign w:val="top"/>
          </w:tcPr>
          <w:p w14:paraId="63073FA4">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bookmarkStart w:id="32" w:name="OLE_LINK11"/>
            <w:r>
              <w:rPr>
                <w:rFonts w:hint="eastAsia" w:ascii="宋体" w:hAnsi="宋体" w:eastAsia="宋体" w:cs="宋体"/>
                <w:color w:val="auto"/>
                <w:szCs w:val="24"/>
                <w:highlight w:val="none"/>
              </w:rPr>
              <w:t>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bookmarkEnd w:id="32"/>
          </w:p>
        </w:tc>
      </w:tr>
      <w:tr w14:paraId="6F41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102097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463" w:type="pct"/>
            <w:noWrap w:val="0"/>
            <w:vAlign w:val="center"/>
          </w:tcPr>
          <w:p w14:paraId="2499C9B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4273" w:type="pct"/>
            <w:noWrap w:val="0"/>
            <w:vAlign w:val="top"/>
          </w:tcPr>
          <w:p w14:paraId="590E6C87">
            <w:pPr>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1.基本资格条件：符合《中华人民共和国政府采购法》第二十二条的规定；</w:t>
            </w:r>
          </w:p>
          <w:p w14:paraId="59BAD3EA">
            <w:pPr>
              <w:spacing w:line="500" w:lineRule="exact"/>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2.特定资格条件：</w:t>
            </w:r>
          </w:p>
          <w:p w14:paraId="2D175AF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09031E30">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14:paraId="2CA4560B">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3、财务状况：提供2024年度的财务审计报告（至少包括资产负债表和利润表，成立时间至提交投标文件截止时间不足一年的可提供成立后任意时段的资产负债表）或开标时间前六个月内银行出具的资信证明；</w:t>
            </w:r>
          </w:p>
          <w:p w14:paraId="1EF1225B">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4、税收缴纳证明：提供投标截止日前近一年内任意一个月的纳税证明或完税证明（任意税种），依法免税的单位应提供相关证明材料；</w:t>
            </w:r>
          </w:p>
          <w:p w14:paraId="6A36CEED">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0F5F2E1B">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6、供应商应在招标文件领取期至投标截止时间前通过“信用中国”网站(www.creditchina.gov.cn)、中国政府采购网(www.ccgp.gov.cn)查询相关主体信用记录；</w:t>
            </w:r>
          </w:p>
          <w:p w14:paraId="04046356">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53E7A31F">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5A3D8287">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投标人为代理商的，所投产品如属于医疗器械的须提供《医疗器械经营许可证》或《医疗器械经营备案凭证》及所投医疗器械产品在有效期内的《医疗器械注册证》或《医疗器械产品备案凭证》；投标人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p>
          <w:p w14:paraId="633AFAD5">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10、本项目不接受联合体投标。</w:t>
            </w:r>
          </w:p>
          <w:p w14:paraId="620D63BE">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color w:val="auto"/>
                <w:highlight w:val="none"/>
              </w:rPr>
              <w:t>以上1-</w:t>
            </w:r>
            <w:r>
              <w:rPr>
                <w:rFonts w:hint="eastAsia" w:ascii="宋体" w:hAnsi="宋体" w:eastAsia="宋体" w:cs="宋体"/>
                <w:b/>
                <w:bCs/>
                <w:color w:val="auto"/>
                <w:highlight w:val="none"/>
                <w:lang w:val="en-US" w:eastAsia="zh-CN"/>
              </w:rPr>
              <w:t>1</w:t>
            </w:r>
            <w:r>
              <w:rPr>
                <w:rFonts w:hint="eastAsia" w:hAnsi="宋体" w:cs="宋体"/>
                <w:b/>
                <w:bCs/>
                <w:color w:val="auto"/>
                <w:highlight w:val="none"/>
                <w:lang w:val="en-US" w:eastAsia="zh-CN"/>
              </w:rPr>
              <w:t>0</w:t>
            </w:r>
            <w:r>
              <w:rPr>
                <w:rFonts w:hint="eastAsia" w:ascii="宋体" w:hAnsi="宋体" w:eastAsia="宋体" w:cs="宋体"/>
                <w:b/>
                <w:bCs/>
                <w:color w:val="auto"/>
                <w:highlight w:val="none"/>
              </w:rPr>
              <w:t>项为必备资质，缺一项或某项达不到要求，按无效投标处理。</w:t>
            </w:r>
          </w:p>
        </w:tc>
      </w:tr>
      <w:tr w14:paraId="626C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2D88111C">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463" w:type="pct"/>
            <w:noWrap w:val="0"/>
            <w:vAlign w:val="center"/>
          </w:tcPr>
          <w:p w14:paraId="5FE3D0D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4273" w:type="pct"/>
            <w:noWrap w:val="0"/>
            <w:vAlign w:val="top"/>
          </w:tcPr>
          <w:p w14:paraId="28C374F9">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投标有效期：投标文件的截止之日起90天。</w:t>
            </w:r>
          </w:p>
        </w:tc>
      </w:tr>
      <w:tr w14:paraId="4376E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03403A91">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463" w:type="pct"/>
            <w:noWrap w:val="0"/>
            <w:vAlign w:val="center"/>
          </w:tcPr>
          <w:p w14:paraId="4D1675C5">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4273" w:type="pct"/>
            <w:noWrap w:val="0"/>
            <w:vAlign w:val="center"/>
          </w:tcPr>
          <w:p w14:paraId="37BA1A9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w:t>
            </w:r>
            <w:r>
              <w:rPr>
                <w:rFonts w:hint="eastAsia" w:ascii="宋体" w:hAnsi="宋体" w:eastAsia="宋体" w:cs="宋体"/>
                <w:color w:val="auto"/>
                <w:szCs w:val="24"/>
                <w:highlight w:val="none"/>
                <w:lang w:eastAsia="zh-CN"/>
              </w:rPr>
              <w:t>贰</w:t>
            </w:r>
            <w:r>
              <w:rPr>
                <w:rFonts w:hint="eastAsia" w:ascii="宋体" w:hAnsi="宋体" w:eastAsia="宋体" w:cs="宋体"/>
                <w:color w:val="auto"/>
                <w:szCs w:val="24"/>
                <w:highlight w:val="none"/>
              </w:rPr>
              <w:t>份；开标一览表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壹份；电子版（U盘）：壹份（需在盘面上标注供应商全称、项目名称、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0589D642">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电子版为正本签字盖章后的PDF格式扫描件，与正本具有同等法律效力。</w:t>
            </w:r>
          </w:p>
        </w:tc>
      </w:tr>
      <w:tr w14:paraId="1006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09EB2B15">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w:t>
            </w:r>
          </w:p>
        </w:tc>
        <w:tc>
          <w:tcPr>
            <w:tcW w:w="463" w:type="pct"/>
            <w:noWrap w:val="0"/>
            <w:vAlign w:val="center"/>
          </w:tcPr>
          <w:p w14:paraId="1356605D">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4273" w:type="pct"/>
            <w:noWrap w:val="0"/>
            <w:vAlign w:val="center"/>
          </w:tcPr>
          <w:p w14:paraId="7D9490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正本、所有的副本、电子版本、开标一览表需分开密封装在单独的封袋中（封袋不得有破损），且在封袋正面标明“正本”“副本”“电子版本”“开标一览表”字样。封袋应加贴封条，并在封线处加盖供应商公章，封袋正面要粘贴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等标识。</w:t>
            </w:r>
          </w:p>
          <w:p w14:paraId="40198EA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外层包装请按以下要求标记：</w:t>
            </w:r>
          </w:p>
          <w:p w14:paraId="3F613FD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1）投标人全称（加盖公章）；</w:t>
            </w:r>
          </w:p>
          <w:p w14:paraId="339DE8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7224380">
            <w:pPr>
              <w:spacing w:line="360" w:lineRule="auto"/>
              <w:ind w:left="240" w:leftChars="100"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3）正本、副本、电子版、报价一览表“请勿在＿＿＿＿(开标时间)之前启封”。</w:t>
            </w:r>
          </w:p>
        </w:tc>
      </w:tr>
      <w:tr w14:paraId="18E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316C04BC">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463" w:type="pct"/>
            <w:noWrap w:val="0"/>
            <w:vAlign w:val="center"/>
          </w:tcPr>
          <w:p w14:paraId="53B3B5B0">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4273" w:type="pct"/>
            <w:noWrap w:val="0"/>
            <w:vAlign w:val="top"/>
          </w:tcPr>
          <w:p w14:paraId="151844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投标文件递交截止时间</w:t>
            </w:r>
            <w:bookmarkStart w:id="33" w:name="OLE_LINK12"/>
            <w:r>
              <w:rPr>
                <w:rFonts w:hint="eastAsia" w:ascii="宋体" w:hAnsi="宋体" w:eastAsia="宋体" w:cs="宋体"/>
                <w:color w:val="auto"/>
                <w:highlight w:val="none"/>
              </w:rPr>
              <w:t>：</w:t>
            </w:r>
            <w:bookmarkEnd w:id="33"/>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6443C90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w:t>
            </w:r>
            <w:r>
              <w:rPr>
                <w:rFonts w:hint="eastAsia" w:ascii="宋体" w:hAnsi="宋体" w:eastAsia="宋体" w:cs="宋体"/>
                <w:color w:val="auto"/>
                <w:szCs w:val="24"/>
                <w:highlight w:val="none"/>
                <w:lang w:eastAsia="zh-CN"/>
              </w:rPr>
              <w:t>陕西省西安市经济技术开发区未央路171-1号银池道拉斯财富中心21楼</w:t>
            </w:r>
            <w:r>
              <w:rPr>
                <w:rFonts w:hint="eastAsia" w:ascii="宋体" w:hAnsi="宋体" w:eastAsia="宋体" w:cs="宋体"/>
                <w:color w:val="auto"/>
                <w:szCs w:val="24"/>
                <w:highlight w:val="none"/>
              </w:rPr>
              <w:t>。</w:t>
            </w:r>
          </w:p>
          <w:p w14:paraId="063E074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投标文件接收人：</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w:t>
            </w:r>
          </w:p>
        </w:tc>
      </w:tr>
      <w:tr w14:paraId="5E7E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5379DB04">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p>
        </w:tc>
        <w:tc>
          <w:tcPr>
            <w:tcW w:w="463" w:type="pct"/>
            <w:noWrap w:val="0"/>
            <w:vAlign w:val="center"/>
          </w:tcPr>
          <w:p w14:paraId="70741249">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4273" w:type="pct"/>
            <w:noWrap w:val="0"/>
            <w:vAlign w:val="top"/>
          </w:tcPr>
          <w:p w14:paraId="428EC7B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w:t>
            </w:r>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10ECB3D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w:t>
            </w:r>
            <w:r>
              <w:rPr>
                <w:rFonts w:hint="eastAsia" w:ascii="宋体" w:hAnsi="宋体" w:eastAsia="宋体" w:cs="宋体"/>
                <w:color w:val="auto"/>
                <w:szCs w:val="24"/>
                <w:highlight w:val="none"/>
                <w:lang w:eastAsia="zh-CN"/>
              </w:rPr>
              <w:t>陕西省西安市经济技术开发区未央路171-1号银池道拉斯财富中心21楼</w:t>
            </w:r>
          </w:p>
        </w:tc>
      </w:tr>
      <w:tr w14:paraId="444B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3EB7A7EB">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w:t>
            </w:r>
          </w:p>
        </w:tc>
        <w:tc>
          <w:tcPr>
            <w:tcW w:w="463" w:type="pct"/>
            <w:noWrap w:val="0"/>
            <w:vAlign w:val="center"/>
          </w:tcPr>
          <w:p w14:paraId="6EC6B81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4273" w:type="pct"/>
            <w:noWrap w:val="0"/>
            <w:vAlign w:val="center"/>
          </w:tcPr>
          <w:p w14:paraId="7028BE5C">
            <w:pPr>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评标方法：综合评分法（详见第五章）。</w:t>
            </w:r>
          </w:p>
        </w:tc>
      </w:tr>
      <w:tr w14:paraId="46FD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0067E028">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463" w:type="pct"/>
            <w:noWrap w:val="0"/>
            <w:vAlign w:val="center"/>
          </w:tcPr>
          <w:p w14:paraId="2921D57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4273" w:type="pct"/>
            <w:noWrap w:val="0"/>
            <w:vAlign w:val="center"/>
          </w:tcPr>
          <w:p w14:paraId="0984DD53">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招标代理服务费： </w:t>
            </w:r>
          </w:p>
          <w:p w14:paraId="63D914E9">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 招标代理服务费的计算方法：以中标金额为基数，依据国家计委颁布《招标代理服务收费管理暂行办法》（计价格[2002]1980号）文件的有关规定执行。</w:t>
            </w:r>
          </w:p>
          <w:p w14:paraId="46BE52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 xml:space="preserve">.2 </w:t>
            </w:r>
            <w:r>
              <w:rPr>
                <w:rFonts w:hint="eastAsia" w:ascii="宋体" w:hAnsi="宋体" w:eastAsia="宋体" w:cs="宋体"/>
                <w:color w:val="auto"/>
                <w:szCs w:val="24"/>
                <w:highlight w:val="none"/>
              </w:rPr>
              <w:t>中标单位在领取中标通知书前，须向采购代理机构一次性支付招标代理服务费。</w:t>
            </w:r>
          </w:p>
        </w:tc>
      </w:tr>
      <w:tr w14:paraId="3927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38D9AA3D">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14</w:t>
            </w:r>
          </w:p>
        </w:tc>
        <w:tc>
          <w:tcPr>
            <w:tcW w:w="463" w:type="pct"/>
            <w:noWrap w:val="0"/>
            <w:vAlign w:val="center"/>
          </w:tcPr>
          <w:p w14:paraId="1752DA48">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273" w:type="pct"/>
            <w:noWrap w:val="0"/>
            <w:vAlign w:val="center"/>
          </w:tcPr>
          <w:p w14:paraId="369D5787">
            <w:pPr>
              <w:spacing w:line="360" w:lineRule="auto"/>
              <w:rPr>
                <w:rFonts w:hint="eastAsia" w:ascii="宋体" w:hAnsi="宋体" w:eastAsia="宋体" w:cs="宋体"/>
                <w:color w:val="auto"/>
                <w:szCs w:val="24"/>
                <w:highlight w:val="none"/>
                <w:lang w:val="en-US" w:eastAsia="zh-CN"/>
              </w:rPr>
            </w:pPr>
            <w:r>
              <w:rPr>
                <w:rFonts w:hint="eastAsia" w:hAnsi="宋体" w:cs="宋体"/>
                <w:b/>
                <w:bCs/>
                <w:szCs w:val="24"/>
                <w:highlight w:val="none"/>
                <w:lang w:val="en-US" w:eastAsia="zh-CN"/>
              </w:rPr>
              <w:t>本项目不缴纳投标保证金</w:t>
            </w:r>
          </w:p>
        </w:tc>
      </w:tr>
      <w:tr w14:paraId="62C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73DCF98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463" w:type="pct"/>
            <w:noWrap w:val="0"/>
            <w:vAlign w:val="center"/>
          </w:tcPr>
          <w:p w14:paraId="1C1539F9">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53E688E8">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73CAC1A6">
            <w:pPr>
              <w:spacing w:line="44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信息</w:t>
            </w:r>
          </w:p>
        </w:tc>
        <w:tc>
          <w:tcPr>
            <w:tcW w:w="4273" w:type="pct"/>
            <w:noWrap w:val="0"/>
            <w:vAlign w:val="center"/>
          </w:tcPr>
          <w:p w14:paraId="34571799">
            <w:pPr>
              <w:numPr>
                <w:ilvl w:val="0"/>
                <w:numId w:val="0"/>
              </w:numPr>
              <w:spacing w:line="44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招标代理服务费账户：</w:t>
            </w:r>
          </w:p>
          <w:p w14:paraId="65C77D7E">
            <w:pPr>
              <w:spacing w:line="440" w:lineRule="exact"/>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户名：</w:t>
            </w:r>
            <w:r>
              <w:rPr>
                <w:rFonts w:hint="eastAsia" w:hAnsi="宋体" w:cs="宋体"/>
                <w:b/>
                <w:bCs/>
                <w:color w:val="auto"/>
                <w:szCs w:val="24"/>
                <w:highlight w:val="none"/>
                <w:lang w:eastAsia="zh-CN"/>
              </w:rPr>
              <w:t>陕西至诚项目管理集团有限公司</w:t>
            </w:r>
          </w:p>
          <w:p w14:paraId="1CB6FA47">
            <w:pPr>
              <w:spacing w:line="440" w:lineRule="exact"/>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开户行：</w:t>
            </w:r>
            <w:r>
              <w:rPr>
                <w:rFonts w:hint="eastAsia" w:hAnsi="宋体" w:cs="宋体"/>
                <w:b/>
                <w:bCs/>
                <w:color w:val="auto"/>
                <w:szCs w:val="24"/>
                <w:highlight w:val="none"/>
                <w:lang w:eastAsia="zh-CN"/>
              </w:rPr>
              <w:t>中国建设银行股份有限公司西安高新技术产业开发区支行</w:t>
            </w:r>
          </w:p>
          <w:p w14:paraId="141EABBB">
            <w:pPr>
              <w:spacing w:line="44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账号：</w:t>
            </w:r>
            <w:r>
              <w:rPr>
                <w:rFonts w:hint="eastAsia" w:hAnsi="宋体" w:cs="宋体"/>
                <w:b/>
                <w:bCs/>
                <w:color w:val="auto"/>
                <w:szCs w:val="24"/>
                <w:highlight w:val="none"/>
                <w:lang w:val="en-US" w:eastAsia="zh-CN"/>
              </w:rPr>
              <w:t>61050192090000002152</w:t>
            </w:r>
          </w:p>
          <w:p w14:paraId="1B85CBC6">
            <w:pPr>
              <w:spacing w:line="440" w:lineRule="exact"/>
              <w:ind w:firstLine="241" w:firstLineChars="1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14:paraId="1CF1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1635272F">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w:t>
            </w:r>
          </w:p>
        </w:tc>
        <w:tc>
          <w:tcPr>
            <w:tcW w:w="463" w:type="pct"/>
            <w:noWrap w:val="0"/>
            <w:vAlign w:val="center"/>
          </w:tcPr>
          <w:p w14:paraId="5D89652F">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核心</w:t>
            </w:r>
          </w:p>
          <w:p w14:paraId="1CB4962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产品</w:t>
            </w:r>
          </w:p>
        </w:tc>
        <w:tc>
          <w:tcPr>
            <w:tcW w:w="4273" w:type="pct"/>
            <w:noWrap w:val="0"/>
            <w:vAlign w:val="center"/>
          </w:tcPr>
          <w:p w14:paraId="728842A6">
            <w:pPr>
              <w:pStyle w:val="19"/>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第</w:t>
            </w:r>
            <w:r>
              <w:rPr>
                <w:rFonts w:hint="eastAsia" w:ascii="宋体" w:hAnsi="宋体" w:eastAsia="宋体" w:cs="宋体"/>
                <w:b/>
                <w:bCs/>
                <w:color w:val="auto"/>
                <w:szCs w:val="24"/>
                <w:highlight w:val="none"/>
                <w:lang w:val="en-US" w:eastAsia="zh-CN"/>
              </w:rPr>
              <w:t>1包：全自动单独滴染HE染色封片一体机</w:t>
            </w:r>
          </w:p>
          <w:p w14:paraId="6F90C5EE">
            <w:pPr>
              <w:pStyle w:val="19"/>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第</w:t>
            </w:r>
            <w:r>
              <w:rPr>
                <w:rFonts w:hint="eastAsia" w:ascii="宋体" w:hAnsi="宋体" w:eastAsia="宋体" w:cs="宋体"/>
                <w:b/>
                <w:bCs/>
                <w:color w:val="auto"/>
                <w:szCs w:val="24"/>
                <w:highlight w:val="none"/>
                <w:lang w:val="en-US" w:eastAsia="zh-CN"/>
              </w:rPr>
              <w:t>2包：盆底康复治疗仪</w:t>
            </w:r>
          </w:p>
          <w:p w14:paraId="02DF3F07">
            <w:pPr>
              <w:pStyle w:val="19"/>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第3</w:t>
            </w:r>
            <w:r>
              <w:rPr>
                <w:rFonts w:hint="eastAsia" w:ascii="宋体" w:hAnsi="宋体" w:eastAsia="宋体" w:cs="宋体"/>
                <w:b/>
                <w:bCs/>
                <w:color w:val="auto"/>
                <w:szCs w:val="24"/>
                <w:highlight w:val="none"/>
                <w:lang w:val="en-US" w:eastAsia="zh-CN"/>
              </w:rPr>
              <w:t>包：多功能产床（家化版）</w:t>
            </w:r>
          </w:p>
          <w:p w14:paraId="7E3E9BCD">
            <w:pPr>
              <w:pStyle w:val="19"/>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第4</w:t>
            </w:r>
            <w:r>
              <w:rPr>
                <w:rFonts w:hint="eastAsia" w:ascii="宋体" w:hAnsi="宋体" w:eastAsia="宋体" w:cs="宋体"/>
                <w:b/>
                <w:bCs/>
                <w:color w:val="auto"/>
                <w:szCs w:val="24"/>
                <w:highlight w:val="none"/>
                <w:lang w:val="en-US" w:eastAsia="zh-CN"/>
              </w:rPr>
              <w:t>包：有创监护仪</w:t>
            </w:r>
          </w:p>
          <w:p w14:paraId="2FAE7BE4">
            <w:pPr>
              <w:pStyle w:val="19"/>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第5</w:t>
            </w:r>
            <w:r>
              <w:rPr>
                <w:rFonts w:hint="eastAsia" w:ascii="宋体" w:hAnsi="宋体" w:eastAsia="宋体" w:cs="宋体"/>
                <w:b/>
                <w:bCs/>
                <w:color w:val="auto"/>
                <w:szCs w:val="24"/>
                <w:highlight w:val="none"/>
                <w:lang w:val="en-US" w:eastAsia="zh-CN"/>
              </w:rPr>
              <w:t>包：无创心排监测仪</w:t>
            </w:r>
          </w:p>
          <w:p w14:paraId="64B89244">
            <w:pPr>
              <w:pStyle w:val="19"/>
              <w:keepNext w:val="0"/>
              <w:keepLines w:val="0"/>
              <w:widowControl/>
              <w:suppressLineNumbers w:val="0"/>
              <w:spacing w:before="0" w:beforeAutospacing="0" w:after="0" w:afterAutospacing="0" w:line="360" w:lineRule="auto"/>
              <w:ind w:right="0"/>
              <w:rPr>
                <w:rFonts w:hint="eastAsia"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第6</w:t>
            </w:r>
            <w:r>
              <w:rPr>
                <w:rFonts w:hint="eastAsia" w:ascii="宋体" w:hAnsi="宋体" w:eastAsia="宋体" w:cs="宋体"/>
                <w:b/>
                <w:bCs/>
                <w:color w:val="auto"/>
                <w:szCs w:val="24"/>
                <w:highlight w:val="none"/>
                <w:lang w:val="en-US" w:eastAsia="zh-CN"/>
              </w:rPr>
              <w:t>包：超声肝硬化检测仪</w:t>
            </w:r>
          </w:p>
        </w:tc>
      </w:tr>
      <w:tr w14:paraId="6E0CF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79ED93BC">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17</w:t>
            </w:r>
          </w:p>
        </w:tc>
        <w:tc>
          <w:tcPr>
            <w:tcW w:w="463" w:type="pct"/>
            <w:noWrap w:val="0"/>
            <w:vAlign w:val="center"/>
          </w:tcPr>
          <w:p w14:paraId="4E30F7CF">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进口</w:t>
            </w:r>
          </w:p>
          <w:p w14:paraId="24F5B82D">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产品</w:t>
            </w:r>
          </w:p>
        </w:tc>
        <w:tc>
          <w:tcPr>
            <w:tcW w:w="4273" w:type="pct"/>
            <w:noWrap w:val="0"/>
            <w:vAlign w:val="center"/>
          </w:tcPr>
          <w:p w14:paraId="08A8249D">
            <w:pPr>
              <w:widowControl/>
              <w:spacing w:line="360" w:lineRule="auto"/>
              <w:jc w:val="left"/>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val="en-US" w:eastAsia="zh-CN"/>
              </w:rPr>
              <w:t>本项目</w:t>
            </w:r>
            <w:r>
              <w:rPr>
                <w:rFonts w:hint="eastAsia" w:ascii="宋体" w:hAnsi="宋体" w:eastAsia="宋体" w:cs="宋体"/>
                <w:b/>
                <w:bCs/>
                <w:color w:val="auto"/>
                <w:szCs w:val="24"/>
                <w:highlight w:val="none"/>
              </w:rPr>
              <w:t>不允许进口产品投标</w:t>
            </w:r>
            <w:r>
              <w:rPr>
                <w:rFonts w:hint="eastAsia" w:ascii="宋体" w:hAnsi="宋体" w:eastAsia="宋体" w:cs="宋体"/>
                <w:b/>
                <w:bCs/>
                <w:color w:val="auto"/>
                <w:szCs w:val="24"/>
                <w:highlight w:val="none"/>
                <w:lang w:eastAsia="zh-CN"/>
              </w:rPr>
              <w:t>。</w:t>
            </w:r>
          </w:p>
        </w:tc>
      </w:tr>
      <w:tr w14:paraId="6C46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25A527A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18</w:t>
            </w:r>
          </w:p>
        </w:tc>
        <w:tc>
          <w:tcPr>
            <w:tcW w:w="463" w:type="pct"/>
            <w:noWrap w:val="0"/>
            <w:vAlign w:val="center"/>
          </w:tcPr>
          <w:p w14:paraId="79D813D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项目</w:t>
            </w:r>
          </w:p>
          <w:p w14:paraId="0319BE41">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性质</w:t>
            </w:r>
          </w:p>
        </w:tc>
        <w:tc>
          <w:tcPr>
            <w:tcW w:w="4273" w:type="pct"/>
            <w:noWrap w:val="0"/>
            <w:vAlign w:val="center"/>
          </w:tcPr>
          <w:p w14:paraId="13A36972">
            <w:pPr>
              <w:spacing w:line="360" w:lineRule="auto"/>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本项目合同包1、合同包2、合同包3、合同包5、合同包6专门面向中小企业采购；合同包4婴儿床车、气压治疗仪、胰岛素泵专门面向中小企业采购，有创监护仪、BIS监测模块（设备）非专门面向中小企业采购。</w:t>
            </w:r>
          </w:p>
          <w:p w14:paraId="10B9D0F5">
            <w:pPr>
              <w:spacing w:line="360" w:lineRule="auto"/>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专门面向中小企业采购的合同包及产品，</w:t>
            </w:r>
            <w:r>
              <w:rPr>
                <w:rFonts w:hint="eastAsia" w:ascii="宋体" w:hAnsi="宋体" w:eastAsia="宋体" w:cs="宋体"/>
                <w:b/>
                <w:bCs/>
                <w:color w:val="auto"/>
                <w:szCs w:val="24"/>
                <w:highlight w:val="none"/>
                <w:lang w:val="en-US" w:eastAsia="zh-CN"/>
              </w:rPr>
              <w:t>参与投标的供应商须提供中小企业声明函，且所投产品的生产厂家企业类型属于中型、小型或微型企业。</w:t>
            </w:r>
          </w:p>
        </w:tc>
      </w:tr>
      <w:tr w14:paraId="430E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1CE7869F">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19</w:t>
            </w:r>
          </w:p>
        </w:tc>
        <w:tc>
          <w:tcPr>
            <w:tcW w:w="463" w:type="pct"/>
            <w:noWrap w:val="0"/>
            <w:vAlign w:val="center"/>
          </w:tcPr>
          <w:p w14:paraId="2B7222E2">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政策性扣减</w:t>
            </w:r>
          </w:p>
        </w:tc>
        <w:tc>
          <w:tcPr>
            <w:tcW w:w="4273" w:type="pct"/>
            <w:noWrap w:val="0"/>
            <w:vAlign w:val="center"/>
          </w:tcPr>
          <w:p w14:paraId="08A0D81F">
            <w:pPr>
              <w:spacing w:line="360" w:lineRule="auto"/>
              <w:rPr>
                <w:rFonts w:hint="default"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eastAsia="zh-CN"/>
              </w:rPr>
              <w:t>对符合《政府采购促进中小企业发展管理办法》(财库(2020)46号)规定的小微企业(监狱企业视同小型、微型企业)的报价给予10%的扣除</w:t>
            </w:r>
            <w:r>
              <w:rPr>
                <w:rFonts w:hint="eastAsia" w:hAnsi="宋体" w:cs="宋体"/>
                <w:b/>
                <w:bCs/>
                <w:color w:val="auto"/>
                <w:szCs w:val="24"/>
                <w:highlight w:val="none"/>
                <w:lang w:eastAsia="zh-CN"/>
              </w:rPr>
              <w:t>，</w:t>
            </w:r>
            <w:r>
              <w:rPr>
                <w:rFonts w:hint="eastAsia" w:ascii="宋体" w:hAnsi="宋体" w:eastAsia="宋体" w:cs="宋体"/>
                <w:b/>
                <w:bCs/>
                <w:color w:val="auto"/>
                <w:szCs w:val="24"/>
                <w:highlight w:val="none"/>
                <w:lang w:eastAsia="zh-CN"/>
              </w:rPr>
              <w:t>用扣除后的价格参加评审。</w:t>
            </w:r>
            <w:r>
              <w:rPr>
                <w:rFonts w:hint="eastAsia" w:hAnsi="宋体" w:cs="宋体"/>
                <w:b/>
                <w:bCs/>
                <w:color w:val="auto"/>
                <w:szCs w:val="24"/>
                <w:highlight w:val="none"/>
                <w:lang w:val="en-US" w:eastAsia="zh-CN"/>
              </w:rPr>
              <w:t>专门面向中小企业采购的合同包不再进行价格得分的扣减。</w:t>
            </w:r>
          </w:p>
        </w:tc>
      </w:tr>
      <w:tr w14:paraId="2414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3C314E1D">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20</w:t>
            </w:r>
          </w:p>
        </w:tc>
        <w:tc>
          <w:tcPr>
            <w:tcW w:w="463" w:type="pct"/>
            <w:noWrap w:val="0"/>
            <w:vAlign w:val="center"/>
          </w:tcPr>
          <w:p w14:paraId="4EFCABDA">
            <w:pPr>
              <w:widowControl/>
              <w:spacing w:line="360" w:lineRule="auto"/>
              <w:jc w:val="center"/>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项目</w:t>
            </w:r>
            <w:r>
              <w:rPr>
                <w:rFonts w:hint="eastAsia" w:ascii="宋体" w:hAnsi="宋体" w:eastAsia="宋体" w:cs="宋体"/>
                <w:b/>
                <w:bCs/>
                <w:color w:val="auto"/>
                <w:szCs w:val="24"/>
                <w:highlight w:val="none"/>
                <w:lang w:val="en-US" w:eastAsia="zh-CN"/>
              </w:rPr>
              <w:t>所属行业</w:t>
            </w:r>
          </w:p>
        </w:tc>
        <w:tc>
          <w:tcPr>
            <w:tcW w:w="4273" w:type="pct"/>
            <w:noWrap w:val="0"/>
            <w:vAlign w:val="center"/>
          </w:tcPr>
          <w:p w14:paraId="015C09B4">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工业</w:t>
            </w:r>
          </w:p>
        </w:tc>
      </w:tr>
      <w:tr w14:paraId="62B8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4A571E91">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21</w:t>
            </w:r>
          </w:p>
        </w:tc>
        <w:tc>
          <w:tcPr>
            <w:tcW w:w="463" w:type="pct"/>
            <w:noWrap w:val="0"/>
            <w:vAlign w:val="center"/>
          </w:tcPr>
          <w:p w14:paraId="56B87F67">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其他</w:t>
            </w:r>
          </w:p>
        </w:tc>
        <w:tc>
          <w:tcPr>
            <w:tcW w:w="4273" w:type="pct"/>
            <w:noWrap w:val="0"/>
            <w:vAlign w:val="center"/>
          </w:tcPr>
          <w:p w14:paraId="5CDEA57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8EA2C5">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(http://www.ccgp-shaanxi.gov.cn/zcdservice/zcd/shan xi/）在线申请，依法参加政府采购信用融资活动。</w:t>
            </w:r>
          </w:p>
          <w:p w14:paraId="4B96FB26">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624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263" w:type="pct"/>
            <w:noWrap w:val="0"/>
            <w:vAlign w:val="center"/>
          </w:tcPr>
          <w:p w14:paraId="7410394A">
            <w:pPr>
              <w:widowControl/>
              <w:spacing w:line="360" w:lineRule="auto"/>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22</w:t>
            </w:r>
          </w:p>
        </w:tc>
        <w:tc>
          <w:tcPr>
            <w:tcW w:w="463" w:type="pct"/>
            <w:noWrap w:val="0"/>
            <w:vAlign w:val="center"/>
          </w:tcPr>
          <w:p w14:paraId="13CA1911">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4273" w:type="pct"/>
            <w:noWrap w:val="0"/>
            <w:vAlign w:val="center"/>
          </w:tcPr>
          <w:p w14:paraId="1BF8790E">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3D50E593">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"http://www.ccgp-shaanxi.gov.cn/information/informationDetail.do?informationguid=8a85be3567ed23460167ed36804d0009"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bl>
    <w:p w14:paraId="65393E02">
      <w:pPr>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34" w:name="_Toc403077639"/>
      <w:bookmarkStart w:id="35" w:name="_Toc363473972"/>
      <w:bookmarkStart w:id="36" w:name="_Toc363474017"/>
      <w:r>
        <w:rPr>
          <w:rFonts w:hint="eastAsia" w:ascii="宋体" w:hAnsi="宋体" w:eastAsia="宋体" w:cs="宋体"/>
          <w:b/>
          <w:color w:val="auto"/>
          <w:sz w:val="32"/>
          <w:szCs w:val="32"/>
          <w:highlight w:val="none"/>
        </w:rPr>
        <w:t>一.总  则</w:t>
      </w:r>
      <w:bookmarkEnd w:id="34"/>
      <w:bookmarkEnd w:id="35"/>
      <w:bookmarkEnd w:id="36"/>
    </w:p>
    <w:p w14:paraId="4FE8D4A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0472D4D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w:t>
      </w:r>
      <w:r>
        <w:rPr>
          <w:rFonts w:hint="eastAsia" w:ascii="宋体" w:hAnsi="宋体" w:eastAsia="宋体" w:cs="宋体"/>
          <w:color w:val="auto"/>
          <w:szCs w:val="24"/>
          <w:highlight w:val="none"/>
          <w:lang w:val="en-US" w:eastAsia="zh-CN"/>
        </w:rPr>
        <w:t>财政拨款</w:t>
      </w:r>
      <w:r>
        <w:rPr>
          <w:rFonts w:hint="eastAsia" w:ascii="宋体" w:hAnsi="宋体" w:eastAsia="宋体" w:cs="宋体"/>
          <w:color w:val="auto"/>
          <w:szCs w:val="24"/>
          <w:highlight w:val="none"/>
          <w:lang w:eastAsia="zh-CN"/>
        </w:rPr>
        <w:t>资金</w:t>
      </w:r>
      <w:r>
        <w:rPr>
          <w:rFonts w:hint="eastAsia" w:ascii="宋体" w:hAnsi="宋体" w:eastAsia="宋体" w:cs="宋体"/>
          <w:color w:val="auto"/>
          <w:szCs w:val="24"/>
          <w:highlight w:val="none"/>
        </w:rPr>
        <w:t>支付，资金已落实到位。</w:t>
      </w:r>
    </w:p>
    <w:p w14:paraId="333462EC">
      <w:pPr>
        <w:numPr>
          <w:ilvl w:val="0"/>
          <w:numId w:val="2"/>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438EF320">
      <w:pPr>
        <w:tabs>
          <w:tab w:val="left" w:pos="7665"/>
        </w:tabs>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2.1采购人：</w:t>
      </w:r>
      <w:r>
        <w:rPr>
          <w:rFonts w:hint="eastAsia" w:hAnsi="宋体" w:cs="宋体"/>
          <w:color w:val="auto"/>
          <w:highlight w:val="none"/>
          <w:lang w:eastAsia="zh-CN"/>
        </w:rPr>
        <w:t>丹凤县医院</w:t>
      </w:r>
    </w:p>
    <w:p w14:paraId="181B687C">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2.2监督机构：</w:t>
      </w:r>
      <w:r>
        <w:rPr>
          <w:rFonts w:hint="eastAsia" w:ascii="宋体" w:hAnsi="宋体" w:eastAsia="宋体" w:cs="宋体"/>
          <w:color w:val="auto"/>
          <w:highlight w:val="none"/>
          <w:lang w:eastAsia="zh-CN"/>
        </w:rPr>
        <w:t>同级人民财政部门</w:t>
      </w:r>
    </w:p>
    <w:p w14:paraId="1458477E">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2.3采购代理机构：</w:t>
      </w:r>
      <w:r>
        <w:rPr>
          <w:rFonts w:hint="eastAsia" w:ascii="宋体" w:hAnsi="宋体" w:eastAsia="宋体" w:cs="宋体"/>
          <w:color w:val="auto"/>
          <w:highlight w:val="none"/>
          <w:lang w:eastAsia="zh-CN"/>
        </w:rPr>
        <w:t>陕西至诚项目管理集团有限公司。</w:t>
      </w:r>
    </w:p>
    <w:p w14:paraId="547BFACC">
      <w:pP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：是指响应和符合招标文件规定资格条件且参与投标竞争的法人、其他组织或者自然人。</w:t>
      </w:r>
    </w:p>
    <w:p w14:paraId="0A01153D">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2.5产品是指本招标文件中第四章所述所有产品。</w:t>
      </w:r>
    </w:p>
    <w:p w14:paraId="37BFF6FB">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2.6服务是指供应商为满足招标文件要求而提供的服务。</w:t>
      </w:r>
    </w:p>
    <w:p w14:paraId="0FF06C3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2.7节能产品或者环保产品是指财政部发布的《节能产品政府采购清单》或《环境标志产品政府采购清单》的产品。</w:t>
      </w:r>
    </w:p>
    <w:p w14:paraId="5A7DA3A2">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4DF5C5F8">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3EF0B2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各地（设区的市）监狱、强制隔离戒毒所、戒毒康复所，以及新疆生产建设兵团监狱管理局、戒毒管理局的企业。</w:t>
      </w:r>
    </w:p>
    <w:p w14:paraId="38CFB08A">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358D228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2CCD27E4">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3.1《政府采购法》第二十二条第一款规定的供应商基本资格条件:</w:t>
      </w:r>
    </w:p>
    <w:p w14:paraId="103170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5893C4B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69746E1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6A2875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（4）有依法缴纳税收的良好记录；</w:t>
      </w:r>
    </w:p>
    <w:p w14:paraId="6389F4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87F225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3AB835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3.2根据本次采购项目的特殊要求，规定的供应商特殊条件（见供应商须知前附表）。</w:t>
      </w:r>
    </w:p>
    <w:p w14:paraId="333F6E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3.3单位负责人为同一人或者存在直接控股、管理关系的不同供应商，不得参加同一合同项下的政府采购活动。</w:t>
      </w:r>
    </w:p>
    <w:p w14:paraId="3A2BC3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14:paraId="027F43C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ascii="宋体" w:hAnsi="宋体" w:eastAsia="宋体" w:cs="宋体"/>
          <w:color w:val="auto"/>
          <w:szCs w:val="24"/>
          <w:highlight w:val="none"/>
          <w:lang w:eastAsia="zh-CN"/>
        </w:rPr>
        <w:t>陕西至诚项目管理集团有限公司报名并领取</w:t>
      </w:r>
      <w:r>
        <w:rPr>
          <w:rFonts w:hint="eastAsia" w:ascii="宋体" w:hAnsi="宋体" w:eastAsia="宋体" w:cs="宋体"/>
          <w:color w:val="auto"/>
          <w:szCs w:val="24"/>
          <w:highlight w:val="none"/>
        </w:rPr>
        <w:t>招标文件，方可参加投标。</w:t>
      </w:r>
    </w:p>
    <w:p w14:paraId="3FBC2169">
      <w:pPr>
        <w:spacing w:line="500" w:lineRule="exact"/>
        <w:ind w:firstLine="480" w:firstLineChars="200"/>
        <w:rPr>
          <w:rFonts w:hint="eastAsia" w:ascii="宋体" w:hAnsi="宋体" w:eastAsia="宋体" w:cs="宋体"/>
          <w:color w:val="auto"/>
          <w:szCs w:val="24"/>
          <w:highlight w:val="none"/>
          <w:lang w:eastAsia="zh-CN"/>
        </w:rPr>
      </w:pPr>
      <w:bookmarkStart w:id="37" w:name="OLE_LINK33"/>
      <w:r>
        <w:rPr>
          <w:rFonts w:hint="eastAsia" w:ascii="宋体" w:hAnsi="宋体" w:eastAsia="宋体" w:cs="宋体"/>
          <w:color w:val="auto"/>
          <w:szCs w:val="24"/>
          <w:highlight w:val="none"/>
        </w:rPr>
        <w:t>3.</w:t>
      </w:r>
      <w:bookmarkEnd w:id="37"/>
      <w:r>
        <w:rPr>
          <w:rFonts w:hint="eastAsia" w:ascii="宋体" w:hAnsi="宋体" w:eastAsia="宋体" w:cs="宋体"/>
          <w:color w:val="auto"/>
          <w:szCs w:val="24"/>
          <w:highlight w:val="none"/>
        </w:rPr>
        <w:t>5联合体投标</w:t>
      </w:r>
      <w:r>
        <w:rPr>
          <w:rFonts w:hint="eastAsia" w:ascii="宋体" w:hAnsi="宋体" w:eastAsia="宋体" w:cs="宋体"/>
          <w:color w:val="auto"/>
          <w:szCs w:val="24"/>
          <w:highlight w:val="none"/>
          <w:lang w:eastAsia="zh-CN"/>
        </w:rPr>
        <w:t>。</w:t>
      </w:r>
    </w:p>
    <w:p w14:paraId="7069EBE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3.5.1如果在招标文件中接受联合体投标（见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须知前附表），则两个以上供应商可以组成一个投标联合体，以一个供应商的身份投标。以联合体形式参加投标的，联合体各方均应当符合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。采购人根据采购项目的特殊要求规定供应商特定条件的，联合体各方中至少应当有一方符合采购人规定的特定条件。</w:t>
      </w:r>
    </w:p>
    <w:p w14:paraId="1A3BD93A">
      <w:pPr>
        <w:spacing w:line="500" w:lineRule="exact"/>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3.5.2联合体各方之间应当签订共同投标协议，明确约定联合体各方承担的工作和相应的责任，并将共同投标协议连同投标文件一并提交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。联合体各方签订共同投标协议后，不得再以自己名义单独在同一项目中投标，也不得组成新的联合体参加同一项目投标。</w:t>
      </w:r>
    </w:p>
    <w:p w14:paraId="587FDBF6">
      <w:pPr>
        <w:pStyle w:val="1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37BF2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3.6投标费用自理。不论投标的结果如何，供应商均应自行承担所有与参加投标有关的费用。</w:t>
      </w:r>
    </w:p>
    <w:p w14:paraId="3588B7D0">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5B04A8B8">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12C40B62">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0EBB0D6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5.投标文件内容的真实性</w:t>
      </w:r>
    </w:p>
    <w:p w14:paraId="0B107FE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103FB519">
      <w:pPr>
        <w:spacing w:before="333" w:beforeLines="100"/>
        <w:jc w:val="center"/>
        <w:rPr>
          <w:rFonts w:hint="eastAsia" w:ascii="宋体" w:hAnsi="宋体" w:eastAsia="宋体" w:cs="宋体"/>
          <w:b/>
          <w:color w:val="auto"/>
          <w:sz w:val="32"/>
          <w:szCs w:val="32"/>
          <w:highlight w:val="none"/>
        </w:rPr>
      </w:pPr>
      <w:bookmarkStart w:id="38" w:name="_Toc21955"/>
      <w:bookmarkStart w:id="39" w:name="_Toc363474018"/>
      <w:bookmarkStart w:id="40" w:name="_Toc403077640"/>
      <w:bookmarkStart w:id="41" w:name="_Toc363473973"/>
      <w:r>
        <w:rPr>
          <w:rFonts w:hint="eastAsia" w:ascii="宋体" w:hAnsi="宋体" w:eastAsia="宋体" w:cs="宋体"/>
          <w:b/>
          <w:color w:val="auto"/>
          <w:sz w:val="32"/>
          <w:szCs w:val="32"/>
          <w:highlight w:val="none"/>
        </w:rPr>
        <w:t>二、招标文件</w:t>
      </w:r>
      <w:bookmarkEnd w:id="38"/>
      <w:bookmarkEnd w:id="39"/>
      <w:bookmarkEnd w:id="40"/>
      <w:bookmarkEnd w:id="41"/>
    </w:p>
    <w:p w14:paraId="3E6690F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2C05AAA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招标文件要求提供的货物、服务，招标程序和合同条件在招标文件中均有说明。招标文件共六章，内容如下：</w:t>
      </w:r>
    </w:p>
    <w:p w14:paraId="36D138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65A185B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4ABEC18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投标人须知前附表</w:t>
      </w:r>
    </w:p>
    <w:p w14:paraId="3F80186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266DDD28">
      <w:pPr>
        <w:spacing w:line="500" w:lineRule="exact"/>
        <w:ind w:firstLine="840"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合同条款及格式前附表</w:t>
      </w:r>
    </w:p>
    <w:p w14:paraId="2BC1D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3AB24B1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602D03A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投标文件构成及格式</w:t>
      </w:r>
    </w:p>
    <w:p w14:paraId="1AF46C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195C19D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6.3本招标文件的解释权归</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，如发现招标文件内容与现行法律法规不相符的情况，以现行法律法规为准。</w:t>
      </w:r>
    </w:p>
    <w:p w14:paraId="7159A66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0D816F46">
      <w:pPr>
        <w:tabs>
          <w:tab w:val="left" w:pos="720"/>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 在投标截止时间前，采购代理机构无论出于何种原因，可以对已发出招标文件进行必要的澄清或者修改，但不得修改采购标的和资格条件。</w:t>
      </w:r>
    </w:p>
    <w:p w14:paraId="54A3DF9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澄清或者修改的内容可能影响投标文件编制的，采购代理机构应当在投标文件截止时间</w:t>
      </w:r>
      <w:r>
        <w:rPr>
          <w:rFonts w:hint="eastAsia" w:ascii="宋体" w:hAnsi="宋体" w:eastAsia="宋体" w:cs="宋体"/>
          <w:bCs/>
          <w:color w:val="auto"/>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ascii="宋体" w:hAnsi="宋体" w:eastAsia="宋体" w:cs="宋体"/>
          <w:color w:val="auto"/>
          <w:highlight w:val="none"/>
        </w:rPr>
        <w:t>顺延投标截止时间。</w:t>
      </w:r>
    </w:p>
    <w:p w14:paraId="250B75C0">
      <w:pPr>
        <w:pStyle w:val="8"/>
        <w:spacing w:line="50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7691728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0ECEAD3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7.5</w:t>
      </w:r>
      <w:r>
        <w:rPr>
          <w:rFonts w:hint="eastAsia" w:ascii="宋体" w:hAnsi="宋体" w:eastAsia="宋体" w:cs="宋体"/>
          <w:color w:val="auto"/>
          <w:highlight w:val="none"/>
        </w:rPr>
        <w:t>供应商在收到上述通知后，应立即向采购代理机构回函确认。</w:t>
      </w:r>
    </w:p>
    <w:p w14:paraId="75DE7AF2">
      <w:pPr>
        <w:spacing w:line="500" w:lineRule="exact"/>
        <w:rPr>
          <w:rFonts w:hint="eastAsia" w:ascii="宋体" w:hAnsi="宋体" w:eastAsia="宋体" w:cs="宋体"/>
          <w:color w:val="auto"/>
          <w:highlight w:val="none"/>
        </w:rPr>
      </w:pPr>
    </w:p>
    <w:p w14:paraId="31EC67D9">
      <w:pPr>
        <w:spacing w:line="500" w:lineRule="exact"/>
        <w:jc w:val="center"/>
        <w:rPr>
          <w:rFonts w:hint="eastAsia" w:ascii="宋体" w:hAnsi="宋体" w:eastAsia="宋体" w:cs="宋体"/>
          <w:b/>
          <w:color w:val="auto"/>
          <w:sz w:val="32"/>
          <w:szCs w:val="32"/>
          <w:highlight w:val="none"/>
        </w:rPr>
      </w:pPr>
      <w:bookmarkStart w:id="42" w:name="_Toc363473974"/>
      <w:bookmarkStart w:id="43" w:name="_Toc403077641"/>
      <w:bookmarkStart w:id="44" w:name="_Toc363474019"/>
      <w:r>
        <w:rPr>
          <w:rFonts w:hint="eastAsia" w:ascii="宋体" w:hAnsi="宋体" w:eastAsia="宋体" w:cs="宋体"/>
          <w:b/>
          <w:color w:val="auto"/>
          <w:sz w:val="32"/>
          <w:szCs w:val="32"/>
          <w:highlight w:val="none"/>
        </w:rPr>
        <w:t>三.投标文件的编制</w:t>
      </w:r>
      <w:bookmarkEnd w:id="42"/>
      <w:bookmarkEnd w:id="43"/>
      <w:bookmarkEnd w:id="44"/>
    </w:p>
    <w:p w14:paraId="75B33FD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投标语言和投标货币</w:t>
      </w:r>
    </w:p>
    <w:p w14:paraId="7F7CFFA8">
      <w:pP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8.1供应商提交的投标文件以及供应商与采购代理机构就有关投标的所有来往函电均应使用中文。</w:t>
      </w:r>
    </w:p>
    <w:p w14:paraId="1E77A3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8.2投标应以人民币报价。任何包含非人民币报价的投标将按无效投标处理。</w:t>
      </w:r>
    </w:p>
    <w:p w14:paraId="09B9EA7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9.投标文件的构成</w:t>
      </w:r>
    </w:p>
    <w:p w14:paraId="35A14F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供应商提交的投标文件应包括下列部分的内容：</w:t>
      </w:r>
    </w:p>
    <w:p w14:paraId="375A4EFD">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（1）按照供应商须知的要求和招标文件规定的格式填写的投标函、投标报价表、法定代表人或负责人授权书</w:t>
      </w:r>
      <w:r>
        <w:rPr>
          <w:rFonts w:hint="eastAsia" w:ascii="宋体" w:hAnsi="宋体" w:eastAsia="宋体" w:cs="宋体"/>
          <w:color w:val="auto"/>
          <w:szCs w:val="24"/>
          <w:highlight w:val="none"/>
          <w:lang w:eastAsia="zh-CN"/>
        </w:rPr>
        <w:t>；</w:t>
      </w:r>
    </w:p>
    <w:p w14:paraId="3948BEE1">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ascii="宋体" w:hAnsi="宋体" w:eastAsia="宋体" w:cs="宋体"/>
          <w:color w:val="auto"/>
          <w:szCs w:val="24"/>
          <w:highlight w:val="none"/>
          <w:lang w:eastAsia="zh-CN"/>
        </w:rPr>
        <w:t>；</w:t>
      </w:r>
    </w:p>
    <w:p w14:paraId="00AE5C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（3）按照招标文件供应商须知前附表的要求提交的资格证明文件；  </w:t>
      </w:r>
    </w:p>
    <w:p w14:paraId="7EEB34F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（4）按照本须知第14条要求提交的投标保证金；</w:t>
      </w:r>
    </w:p>
    <w:p w14:paraId="0DFA30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（5）招标文件中要求的其他证明文件。</w:t>
      </w:r>
    </w:p>
    <w:p w14:paraId="1C8B19F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本项目各包不允许提供备选方案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每个供应商只允许提交一个投标方案，否则，其投标将按照无效投标处理。</w:t>
      </w:r>
    </w:p>
    <w:p w14:paraId="7F64DE3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供应商可根据自身的资质情况和经营范围进行投标，但不得将其子目自行分解或针对该项目中的品目进行不完全投标，任何不完全的投标将按无效投标处理。</w:t>
      </w:r>
    </w:p>
    <w:p w14:paraId="6220BC9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10.投标文件格式</w:t>
      </w:r>
    </w:p>
    <w:p w14:paraId="57CF5F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供应商应按照招标文件中第六章所提供的格式和要求制作投标文件，明确表达投标意愿，详细说明投标方案、承诺及价格。</w:t>
      </w:r>
    </w:p>
    <w:p w14:paraId="4533C8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10.2按招标文件第9条的内容及要求和第六章提供的格式和要求编写其投标文件，供应商不得缺少或留空任何招标文件要求填写的表格或提交的资料。</w:t>
      </w:r>
    </w:p>
    <w:p w14:paraId="194EEDA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11.投标报价</w:t>
      </w:r>
    </w:p>
    <w:p w14:paraId="0D13615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p>
    <w:p w14:paraId="090BA2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11.2投标报价表中标明的价格应为履行合同的固定价格。</w:t>
      </w:r>
    </w:p>
    <w:p w14:paraId="47DCC179">
      <w:pPr>
        <w:spacing w:line="500" w:lineRule="exact"/>
        <w:ind w:right="617" w:rightChars="257"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11.3投标报价：总价（精确到小数点后二位）。</w:t>
      </w:r>
    </w:p>
    <w:p w14:paraId="5C0431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12.证明供应商合格和资格的文件</w:t>
      </w:r>
    </w:p>
    <w:p w14:paraId="4AD7BB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12.1供应商应按照招标文件“投标人须知前附表”的要求，在投标文件中提交合格的资格证明文件。如果资格证明文件不齐全或不合格的，其投标将按无效投标处理。</w:t>
      </w:r>
    </w:p>
    <w:p w14:paraId="51B22C4D">
      <w:pPr>
        <w:spacing w:line="500" w:lineRule="exact"/>
        <w:rPr>
          <w:rFonts w:hint="eastAsia" w:ascii="宋体" w:hAnsi="宋体" w:eastAsia="宋体" w:cs="宋体"/>
          <w:color w:val="auto"/>
          <w:highlight w:val="none"/>
        </w:rPr>
      </w:pPr>
      <w:r>
        <w:rPr>
          <w:rFonts w:hint="eastAsia" w:ascii="宋体" w:hAnsi="宋体" w:eastAsia="宋体" w:cs="宋体"/>
          <w:b/>
          <w:color w:val="auto"/>
          <w:szCs w:val="24"/>
          <w:highlight w:val="none"/>
        </w:rPr>
        <w:t>13.证明所提供的服务符合招标文件规定的文件</w:t>
      </w:r>
    </w:p>
    <w:p w14:paraId="5ED319A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1D1769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.2上述证明文件可以是文字资料、图纸、图片、数据、宣传彩页等，所有证明文件表达意思必须统一（如需供应商提供样品，样品必须与投标文件的表述完全符合）。包括：</w:t>
      </w:r>
    </w:p>
    <w:p w14:paraId="667147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（1)产品主要技术指标和性能的详细说明；</w:t>
      </w:r>
    </w:p>
    <w:p w14:paraId="6230207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（2）生产厂家出具的、相应的产品功能证明材料（包括但不限于测试报告、官网和功能截图等）；</w:t>
      </w:r>
    </w:p>
    <w:p w14:paraId="1ADF0F9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（3)逐条对招标文件提出的技术要求和商务要求进行应答，说明所提供的产品和服务对招标的技术和商务要求是否做出了实质性响应并提供支持文件；</w:t>
      </w:r>
    </w:p>
    <w:p w14:paraId="442F49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（4）供货范围和服务内容的详细说明。</w:t>
      </w:r>
    </w:p>
    <w:p w14:paraId="72EEE460">
      <w:pPr>
        <w:spacing w:line="360" w:lineRule="auto"/>
        <w:rPr>
          <w:rFonts w:hint="eastAsia" w:ascii="宋体" w:hAnsi="宋体" w:eastAsia="宋体" w:cs="宋体"/>
          <w:b/>
          <w:bCs w:val="0"/>
          <w:color w:val="auto"/>
          <w:szCs w:val="24"/>
          <w:highlight w:val="none"/>
          <w:lang w:eastAsia="zh-CN"/>
        </w:rPr>
      </w:pPr>
      <w:r>
        <w:rPr>
          <w:rFonts w:hint="eastAsia" w:ascii="宋体" w:hAnsi="宋体" w:eastAsia="宋体" w:cs="宋体"/>
          <w:b/>
          <w:bCs w:val="0"/>
          <w:color w:val="auto"/>
          <w:szCs w:val="24"/>
          <w:highlight w:val="none"/>
        </w:rPr>
        <w:t>14.投标保证金</w:t>
      </w:r>
    </w:p>
    <w:p w14:paraId="1523A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ascii="宋体" w:hAnsi="宋体" w:eastAsia="宋体" w:cs="宋体"/>
          <w:color w:val="auto"/>
          <w:sz w:val="24"/>
          <w:szCs w:val="24"/>
          <w:highlight w:val="none"/>
          <w:lang w:eastAsia="zh-CN"/>
        </w:rPr>
        <w:t>陕西至诚项目管理集团有限公司</w:t>
      </w:r>
      <w:r>
        <w:rPr>
          <w:rFonts w:hint="eastAsia" w:ascii="宋体" w:hAnsi="宋体" w:eastAsia="宋体" w:cs="宋体"/>
          <w:color w:val="auto"/>
          <w:sz w:val="24"/>
          <w:szCs w:val="24"/>
          <w:highlight w:val="none"/>
        </w:rPr>
        <w:t>提交“投标人须知前附表”规定数额的投标保证金,并作为其投标的一部分。</w:t>
      </w:r>
    </w:p>
    <w:p w14:paraId="66309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14:paraId="034EC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14:paraId="6D0F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14:paraId="48DB2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14:paraId="7062F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4.6未中标人的投标保证金，将在中标通知书发出后五个工作日内退还；中标人的投标保证金，在合同签订后五个工作日内退还</w:t>
      </w:r>
      <w:r>
        <w:rPr>
          <w:rFonts w:hint="eastAsia" w:ascii="宋体" w:hAnsi="宋体" w:eastAsia="宋体" w:cs="宋体"/>
          <w:b/>
          <w:bCs/>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壹份）</w:t>
      </w:r>
      <w:r>
        <w:rPr>
          <w:rFonts w:hint="eastAsia" w:ascii="宋体" w:hAnsi="宋体" w:eastAsia="宋体" w:cs="宋体"/>
          <w:color w:val="auto"/>
          <w:sz w:val="24"/>
          <w:szCs w:val="24"/>
          <w:highlight w:val="none"/>
        </w:rPr>
        <w:t>。</w:t>
      </w:r>
    </w:p>
    <w:p w14:paraId="6F689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14:paraId="14D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14:paraId="24D16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14:paraId="0B777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5" w:name="OLE_LINK3"/>
      <w:r>
        <w:rPr>
          <w:rFonts w:hint="eastAsia" w:ascii="宋体" w:hAnsi="宋体" w:eastAsia="宋体" w:cs="宋体"/>
          <w:color w:val="auto"/>
          <w:sz w:val="24"/>
          <w:szCs w:val="24"/>
          <w:highlight w:val="none"/>
        </w:rPr>
        <w:t>、</w:t>
      </w:r>
      <w:bookmarkEnd w:id="45"/>
      <w:r>
        <w:rPr>
          <w:rFonts w:hint="eastAsia" w:ascii="宋体" w:hAnsi="宋体" w:eastAsia="宋体" w:cs="宋体"/>
          <w:color w:val="auto"/>
          <w:sz w:val="24"/>
          <w:szCs w:val="24"/>
          <w:highlight w:val="none"/>
        </w:rPr>
        <w:t>未按招标文件规定提交履约担保；</w:t>
      </w:r>
    </w:p>
    <w:p w14:paraId="4733E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14:paraId="459299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14:paraId="72C0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14:paraId="3E69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14:paraId="3BAC8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14:paraId="4AA50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6" w:name="OLE_LINK47"/>
      <w:r>
        <w:rPr>
          <w:rFonts w:hint="eastAsia" w:ascii="宋体" w:hAnsi="宋体" w:eastAsia="宋体" w:cs="宋体"/>
          <w:color w:val="auto"/>
          <w:sz w:val="24"/>
          <w:szCs w:val="24"/>
          <w:highlight w:val="none"/>
        </w:rPr>
        <w:t>效</w:t>
      </w:r>
      <w:bookmarkEnd w:id="46"/>
      <w:r>
        <w:rPr>
          <w:rFonts w:hint="eastAsia" w:ascii="宋体" w:hAnsi="宋体" w:eastAsia="宋体" w:cs="宋体"/>
          <w:color w:val="auto"/>
          <w:sz w:val="24"/>
          <w:szCs w:val="24"/>
          <w:highlight w:val="none"/>
        </w:rPr>
        <w:t>期与投标有效期一致，担保机构出具的保函有效期为投标有效期延长一个月。</w:t>
      </w:r>
    </w:p>
    <w:p w14:paraId="2664C8D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2728508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15.1投标有效期从递交投标文件的截止之日起90天。投标文件应在投标有效期内保持有效。投标有效期不满足规定有效期的投标文件将被视为无效投标而拒绝。</w:t>
      </w:r>
    </w:p>
    <w:p w14:paraId="3F4B712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ascii="宋体" w:hAnsi="宋体" w:eastAsia="宋体" w:cs="宋体"/>
          <w:color w:val="auto"/>
          <w:highlight w:val="none"/>
        </w:rPr>
        <w:t>。</w:t>
      </w:r>
    </w:p>
    <w:p w14:paraId="00F75082">
      <w:pPr>
        <w:numPr>
          <w:ilvl w:val="0"/>
          <w:numId w:val="3"/>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投标文件的式样和签署</w:t>
      </w:r>
    </w:p>
    <w:p w14:paraId="01772C5F">
      <w:pPr>
        <w:spacing w:line="360" w:lineRule="auto"/>
        <w:ind w:firstLine="480" w:firstLineChars="200"/>
        <w:rPr>
          <w:rFonts w:hint="eastAsia" w:ascii="宋体" w:hAnsi="宋体" w:eastAsia="宋体" w:cs="宋体"/>
          <w:b/>
          <w:bCs/>
          <w:color w:val="auto"/>
          <w:spacing w:val="-2"/>
          <w:highlight w:val="none"/>
        </w:rPr>
      </w:pPr>
      <w:r>
        <w:rPr>
          <w:rFonts w:hint="eastAsia" w:ascii="宋体" w:hAnsi="宋体" w:eastAsia="宋体" w:cs="宋体"/>
          <w:color w:val="auto"/>
          <w:szCs w:val="24"/>
          <w:highlight w:val="none"/>
        </w:rPr>
        <w:t>16.1供应商应按照本章</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须知的要求</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提交壹份投标文件正本和“</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w:t>
      </w:r>
      <w:r>
        <w:rPr>
          <w:rFonts w:hint="eastAsia" w:ascii="宋体" w:hAnsi="宋体" w:eastAsia="宋体" w:cs="宋体"/>
          <w:color w:val="auto"/>
          <w:spacing w:val="4"/>
          <w:highlight w:val="none"/>
        </w:rPr>
        <w:t>同时提供与投标文件正本内容一致的电子版（U盘）一份及开标一览表一份，并标注供应商全称、项目名称、项目</w:t>
      </w:r>
      <w:r>
        <w:rPr>
          <w:rFonts w:hint="eastAsia" w:ascii="宋体" w:hAnsi="宋体" w:eastAsia="宋体" w:cs="宋体"/>
          <w:color w:val="auto"/>
          <w:spacing w:val="4"/>
          <w:highlight w:val="none"/>
          <w:lang w:eastAsia="zh-CN"/>
        </w:rPr>
        <w:t>编号、包号</w:t>
      </w:r>
      <w:r>
        <w:rPr>
          <w:rFonts w:hint="eastAsia" w:ascii="宋体" w:hAnsi="宋体" w:eastAsia="宋体" w:cs="宋体"/>
          <w:color w:val="auto"/>
          <w:spacing w:val="4"/>
          <w:highlight w:val="none"/>
        </w:rPr>
        <w:t>，与投标文件同时递交。</w:t>
      </w:r>
      <w:r>
        <w:rPr>
          <w:rFonts w:hint="eastAsia" w:ascii="宋体" w:hAnsi="宋体" w:eastAsia="宋体" w:cs="宋体"/>
          <w:b/>
          <w:bCs/>
          <w:color w:val="auto"/>
          <w:spacing w:val="4"/>
          <w:highlight w:val="none"/>
        </w:rPr>
        <w:t>投标文件</w:t>
      </w:r>
      <w:r>
        <w:rPr>
          <w:rFonts w:hint="eastAsia" w:ascii="宋体" w:hAnsi="宋体" w:eastAsia="宋体" w:cs="宋体"/>
          <w:b/>
          <w:bCs/>
          <w:color w:val="auto"/>
          <w:szCs w:val="24"/>
          <w:highlight w:val="none"/>
        </w:rPr>
        <w:t>电子版为正本签字盖章后的PDF格式扫描件，与正本具有同等法律效力。</w:t>
      </w:r>
    </w:p>
    <w:p w14:paraId="3B89449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6C79C07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16.3任何行间插字、涂改和增删，必须由供应商的法定代表人或负责人或其授权代表在旁边签字方有效。</w:t>
      </w:r>
    </w:p>
    <w:p w14:paraId="30EE499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16.4供应商名称应填写全称，投标文件正本</w:t>
      </w:r>
      <w:r>
        <w:rPr>
          <w:rFonts w:hint="eastAsia" w:ascii="宋体" w:hAnsi="宋体" w:eastAsia="宋体" w:cs="宋体"/>
          <w:color w:val="auto"/>
          <w:highlight w:val="none"/>
          <w:lang w:eastAsia="zh-CN"/>
        </w:rPr>
        <w:t>要求盖章部分</w:t>
      </w:r>
      <w:r>
        <w:rPr>
          <w:rFonts w:hint="eastAsia" w:ascii="宋体" w:hAnsi="宋体" w:eastAsia="宋体" w:cs="宋体"/>
          <w:color w:val="auto"/>
          <w:highlight w:val="none"/>
        </w:rPr>
        <w:t>必须加盖供应商</w:t>
      </w:r>
      <w:r>
        <w:rPr>
          <w:rFonts w:hint="eastAsia" w:ascii="宋体" w:hAnsi="宋体" w:eastAsia="宋体" w:cs="宋体"/>
          <w:color w:val="auto"/>
          <w:highlight w:val="none"/>
          <w:lang w:eastAsia="zh-CN"/>
        </w:rPr>
        <w:t>鲜章。</w:t>
      </w:r>
    </w:p>
    <w:p w14:paraId="7DE3979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 投标文件正本和副本按照招标文件第六章规定的顺序编排、并应</w:t>
      </w:r>
      <w:r>
        <w:rPr>
          <w:rFonts w:hint="eastAsia" w:ascii="宋体" w:hAnsi="宋体" w:eastAsia="宋体" w:cs="宋体"/>
          <w:color w:val="auto"/>
          <w:szCs w:val="24"/>
          <w:highlight w:val="none"/>
          <w:lang w:val="zh-CN"/>
        </w:rPr>
        <w:t>编制目录，</w:t>
      </w:r>
      <w:r>
        <w:rPr>
          <w:rFonts w:hint="eastAsia" w:ascii="宋体" w:hAnsi="宋体" w:eastAsia="宋体" w:cs="宋体"/>
          <w:color w:val="auto"/>
          <w:szCs w:val="24"/>
          <w:highlight w:val="none"/>
        </w:rPr>
        <w:t>逐页标注连续页码，并分别</w:t>
      </w:r>
      <w:r>
        <w:rPr>
          <w:rFonts w:hint="eastAsia" w:ascii="宋体" w:hAnsi="宋体" w:eastAsia="宋体" w:cs="宋体"/>
          <w:color w:val="auto"/>
          <w:szCs w:val="24"/>
          <w:highlight w:val="none"/>
          <w:lang w:val="zh-CN"/>
        </w:rPr>
        <w:t>胶装成册</w:t>
      </w:r>
      <w:r>
        <w:rPr>
          <w:rFonts w:hint="eastAsia" w:ascii="宋体" w:hAnsi="宋体" w:eastAsia="宋体" w:cs="宋体"/>
          <w:color w:val="auto"/>
          <w:szCs w:val="24"/>
          <w:highlight w:val="none"/>
        </w:rPr>
        <w:t>。</w:t>
      </w:r>
    </w:p>
    <w:p w14:paraId="317EFE9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16.6因字迹潦草、表述不清或不按招标文件格式编制的投标文件，所引起的对供应商不利的后果，由供应商自行负责。</w:t>
      </w:r>
    </w:p>
    <w:p w14:paraId="10D610A3">
      <w:pPr>
        <w:tabs>
          <w:tab w:val="left" w:pos="1080"/>
        </w:tabs>
        <w:spacing w:line="500" w:lineRule="exact"/>
        <w:ind w:firstLine="460" w:firstLineChars="192"/>
        <w:rPr>
          <w:rFonts w:hint="eastAsia" w:ascii="宋体" w:hAnsi="宋体" w:eastAsia="宋体" w:cs="宋体"/>
          <w:color w:val="auto"/>
          <w:highlight w:val="none"/>
        </w:rPr>
      </w:pPr>
      <w:r>
        <w:rPr>
          <w:rFonts w:hint="eastAsia" w:ascii="宋体" w:hAnsi="宋体" w:eastAsia="宋体" w:cs="宋体"/>
          <w:color w:val="auto"/>
          <w:szCs w:val="24"/>
          <w:highlight w:val="none"/>
        </w:rPr>
        <w:t>16.7投标文件的副本、电子版须和正本保持一致。</w:t>
      </w:r>
      <w:r>
        <w:rPr>
          <w:rFonts w:hint="eastAsia" w:ascii="宋体" w:hAnsi="宋体" w:eastAsia="宋体" w:cs="宋体"/>
          <w:color w:val="auto"/>
          <w:highlight w:val="none"/>
        </w:rPr>
        <w:t>若正本、副本和电子版有不一致的内容，以正本为准。</w:t>
      </w:r>
    </w:p>
    <w:p w14:paraId="40D88C36">
      <w:pPr>
        <w:spacing w:before="333" w:beforeLines="100" w:after="333" w:afterLines="100" w:line="500" w:lineRule="exact"/>
        <w:jc w:val="center"/>
        <w:rPr>
          <w:rFonts w:hint="eastAsia" w:ascii="宋体" w:hAnsi="宋体" w:eastAsia="宋体" w:cs="宋体"/>
          <w:b/>
          <w:color w:val="auto"/>
          <w:sz w:val="32"/>
          <w:szCs w:val="32"/>
          <w:highlight w:val="none"/>
        </w:rPr>
      </w:pPr>
      <w:bookmarkStart w:id="47" w:name="_Toc363474020"/>
      <w:bookmarkStart w:id="48" w:name="_Toc363473975"/>
      <w:bookmarkStart w:id="49" w:name="_Toc403077642"/>
      <w:r>
        <w:rPr>
          <w:rFonts w:hint="eastAsia" w:ascii="宋体" w:hAnsi="宋体" w:eastAsia="宋体" w:cs="宋体"/>
          <w:b/>
          <w:color w:val="auto"/>
          <w:sz w:val="32"/>
          <w:szCs w:val="32"/>
          <w:highlight w:val="none"/>
        </w:rPr>
        <w:t>四.投标文件的递交</w:t>
      </w:r>
      <w:bookmarkEnd w:id="47"/>
      <w:bookmarkEnd w:id="48"/>
      <w:bookmarkEnd w:id="49"/>
    </w:p>
    <w:p w14:paraId="32BECD9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17.投标文件的密封和标记</w:t>
      </w:r>
    </w:p>
    <w:p w14:paraId="3DA642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ascii="宋体" w:hAnsi="宋体" w:eastAsia="宋体" w:cs="宋体"/>
          <w:color w:val="auto"/>
          <w:highlight w:val="none"/>
        </w:rPr>
        <w:t>为方便开标唱标，开标一览表除投标文件内装订外，再制作一份单独密封在封袋中。封线处加贴封条并加盖供应商公章，封袋正面要粘贴标识，单独递交（该单独密封开标一览表的投标报价必须与投标文件正本中的开标一览表（报价表）的投</w:t>
      </w:r>
      <w:r>
        <w:rPr>
          <w:rFonts w:hint="eastAsia" w:ascii="宋体" w:hAnsi="宋体" w:eastAsia="宋体" w:cs="宋体"/>
          <w:color w:val="auto"/>
          <w:szCs w:val="24"/>
          <w:highlight w:val="none"/>
        </w:rPr>
        <w:t>标报价一致，若不一致，则按单独密封的开标一览表为准。</w:t>
      </w:r>
    </w:p>
    <w:p w14:paraId="4AD412A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供应商应将投标文件正本、所有的副本、电子版本、开标一览表分别单独密封装在封袋中（封袋不得有破损），且在封袋正面标明“正本”“副本”“电子版本”“开标一览表”字样。封袋应加贴封条，并在封线处加盖供应商公章，封袋正面要粘贴供应商全称、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等标识。</w:t>
      </w:r>
    </w:p>
    <w:p w14:paraId="438BB30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17.3外层包装请按以下要求标记：</w:t>
      </w:r>
    </w:p>
    <w:p w14:paraId="213BD2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 供应商的全称；</w:t>
      </w:r>
    </w:p>
    <w:p w14:paraId="1FA895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投标项目名称、项目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F1DE86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（3）正本或副本、电子版本、开标一览表“请勿在＿＿＿＿(开标时间)之前启封”。</w:t>
      </w:r>
    </w:p>
    <w:p w14:paraId="09938B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17.4如果供应商未对投标文件按上述要求进行完好密封，由此产生的不利后果由供应商自行承担。</w:t>
      </w:r>
    </w:p>
    <w:p w14:paraId="21F37D4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18．投标文件的递交</w:t>
      </w:r>
    </w:p>
    <w:p w14:paraId="3AC7385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18.1供应商应按照招标公告中规定的时间、地点，在规定的投标文件递交截止时间前将全部投标文件和投标资料递交至采购代理机构投标文件接收人。</w:t>
      </w:r>
    </w:p>
    <w:p w14:paraId="6F70408E">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18.2采购代理机构在招标文件规定的投标文件递交截止时间前，只负责投标文件的接收、清点、造册登记工作，并请递交人签字确认，对其有效性不负任何责任</w:t>
      </w:r>
      <w:r>
        <w:rPr>
          <w:rFonts w:hint="eastAsia" w:ascii="宋体" w:hAnsi="宋体" w:eastAsia="宋体" w:cs="宋体"/>
          <w:color w:val="auto"/>
          <w:szCs w:val="24"/>
          <w:highlight w:val="none"/>
          <w:lang w:eastAsia="zh-CN"/>
        </w:rPr>
        <w:t>。</w:t>
      </w:r>
    </w:p>
    <w:p w14:paraId="4E276EC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18.3采购代理机构收到投标文件后，向供应商出具签收回执。</w:t>
      </w:r>
    </w:p>
    <w:p w14:paraId="1F770708">
      <w:pPr>
        <w:spacing w:line="500" w:lineRule="exact"/>
        <w:ind w:firstLine="480" w:firstLineChars="200"/>
        <w:rPr>
          <w:rFonts w:hint="eastAsia" w:ascii="宋体" w:hAnsi="宋体" w:eastAsia="宋体" w:cs="宋体"/>
          <w:color w:val="auto"/>
          <w:spacing w:val="-2"/>
          <w:highlight w:val="none"/>
        </w:rPr>
      </w:pPr>
      <w:r>
        <w:rPr>
          <w:rFonts w:hint="eastAsia" w:ascii="宋体" w:hAnsi="宋体" w:eastAsia="宋体" w:cs="宋体"/>
          <w:color w:val="auto"/>
          <w:szCs w:val="24"/>
          <w:highlight w:val="none"/>
        </w:rPr>
        <w:t>18.4无论供应商中标与否，其投标文件</w:t>
      </w:r>
      <w:r>
        <w:rPr>
          <w:rFonts w:hint="eastAsia" w:ascii="宋体" w:hAnsi="宋体" w:eastAsia="宋体" w:cs="宋体"/>
          <w:color w:val="auto"/>
          <w:highlight w:val="none"/>
        </w:rPr>
        <w:t>恕不退还。</w:t>
      </w:r>
    </w:p>
    <w:p w14:paraId="72E4AD6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19．迟交的投标文件</w:t>
      </w:r>
    </w:p>
    <w:p w14:paraId="7FE51C3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19.1按照招标文件的规定，在递交投标文件的截止时间之后送达的投标文件，为无效投标文件，采购代理机构将拒绝接收。</w:t>
      </w:r>
    </w:p>
    <w:p w14:paraId="03DA8A0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20．投标的修改与撤回</w:t>
      </w:r>
    </w:p>
    <w:p w14:paraId="212FF27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411E1D0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7FDF1AF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在投标文件递交截止时间之后，供应商不得对其投标做任何修改或撤回。</w:t>
      </w:r>
    </w:p>
    <w:p w14:paraId="150863CE">
      <w:pPr>
        <w:spacing w:line="500" w:lineRule="exact"/>
        <w:rPr>
          <w:rFonts w:hint="eastAsia" w:ascii="宋体" w:hAnsi="宋体" w:eastAsia="宋体" w:cs="宋体"/>
          <w:color w:val="auto"/>
          <w:highlight w:val="none"/>
        </w:rPr>
      </w:pPr>
    </w:p>
    <w:p w14:paraId="11615A7F">
      <w:pPr>
        <w:spacing w:line="500" w:lineRule="exact"/>
        <w:jc w:val="center"/>
        <w:rPr>
          <w:rFonts w:hint="eastAsia" w:ascii="宋体" w:hAnsi="宋体" w:eastAsia="宋体" w:cs="宋体"/>
          <w:b/>
          <w:color w:val="auto"/>
          <w:sz w:val="32"/>
          <w:szCs w:val="32"/>
          <w:highlight w:val="none"/>
        </w:rPr>
      </w:pPr>
      <w:bookmarkStart w:id="50" w:name="_Toc363474021"/>
      <w:bookmarkStart w:id="51" w:name="_Toc403077643"/>
      <w:bookmarkStart w:id="52" w:name="_Toc363473976"/>
      <w:r>
        <w:rPr>
          <w:rFonts w:hint="eastAsia" w:ascii="宋体" w:hAnsi="宋体" w:eastAsia="宋体" w:cs="宋体"/>
          <w:b/>
          <w:color w:val="auto"/>
          <w:sz w:val="32"/>
          <w:szCs w:val="32"/>
          <w:highlight w:val="none"/>
        </w:rPr>
        <w:t>五.开标与评标</w:t>
      </w:r>
      <w:bookmarkEnd w:id="50"/>
      <w:bookmarkEnd w:id="51"/>
      <w:bookmarkEnd w:id="52"/>
    </w:p>
    <w:p w14:paraId="7B973769">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21.开标</w:t>
      </w:r>
    </w:p>
    <w:p w14:paraId="1EE7689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采购代理机构在规定的时间和地点组织公开开标。开标时所有供应商代表自愿参加，参加开标的代表应签名报到以证明其出席。</w:t>
      </w:r>
    </w:p>
    <w:p w14:paraId="6C10B7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14:paraId="1491DB2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21.3只有在开标时唱出的价格和价格变动声明，评标时才能考虑。</w:t>
      </w:r>
    </w:p>
    <w:p w14:paraId="480356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21.4在开标时没有启封和宣读的投标文件将原封退回给供应商。</w:t>
      </w:r>
    </w:p>
    <w:p w14:paraId="0180C13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 采购代理机构将做开标记录，存档备查。</w:t>
      </w:r>
    </w:p>
    <w:p w14:paraId="69810E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22．评标组织及评标原则</w:t>
      </w:r>
    </w:p>
    <w:p w14:paraId="792733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r>
        <w:rPr>
          <w:rFonts w:hint="eastAsia" w:ascii="宋体" w:hAnsi="宋体" w:eastAsia="宋体" w:cs="宋体"/>
          <w:color w:val="auto"/>
          <w:szCs w:val="24"/>
          <w:highlight w:val="none"/>
        </w:rPr>
        <w:t>。</w:t>
      </w:r>
    </w:p>
    <w:p w14:paraId="4002D9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 评标委员会负责具体评标事务，并独立履行下列职责：</w:t>
      </w:r>
    </w:p>
    <w:p w14:paraId="3CFECB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（1）审查、评价投标文件是否符合招标文件的商务、技术、服务等实质性要求；</w:t>
      </w:r>
    </w:p>
    <w:p w14:paraId="6072667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（2）要求供应商对投标文件有关事项作出澄清或者说明；</w:t>
      </w:r>
    </w:p>
    <w:p w14:paraId="4C6F269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（3）对投标文件进行比较和评价；</w:t>
      </w:r>
    </w:p>
    <w:p w14:paraId="0F97884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（4）确定中标候选人名单，以及根据采购人委托直接确定中标人；</w:t>
      </w:r>
    </w:p>
    <w:p w14:paraId="5EF2934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（5）向采购人、采购代理机构或者有关部门报告评标中发现的违法行为。</w:t>
      </w:r>
    </w:p>
    <w:p w14:paraId="7CFD53F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 采购代理机构负责组织评标工作并履行下列职责：</w:t>
      </w:r>
    </w:p>
    <w:p w14:paraId="4091E45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569EF1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（2）宣布评标纪律；</w:t>
      </w:r>
    </w:p>
    <w:p w14:paraId="02FB534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（3）公布供应商名单，告知评标专家应当回避的情形；</w:t>
      </w:r>
    </w:p>
    <w:p w14:paraId="737607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（4）组织评标委员会推选评标组长，采购人代表不得担任组长；</w:t>
      </w:r>
    </w:p>
    <w:p w14:paraId="680E28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（5）在评标期间采取必要的通讯管理措施，保证评标活动不受外界干扰；</w:t>
      </w:r>
    </w:p>
    <w:p w14:paraId="74AEE74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（6）根据评标委员会的要求介绍政府采购相关政策法规、招标文件；</w:t>
      </w:r>
    </w:p>
    <w:p w14:paraId="087565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C6F47F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55423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003348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（10）处理与评标有关的其他事项。</w:t>
      </w:r>
    </w:p>
    <w:p w14:paraId="3C1DF54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22.4招标文件和投标文件是评标的依据。在评标中，不得改变招标文件中规定的评标标准、方法和中标条件。供应商不得在开标后使用任何方式对投标文件的实质性内容做任何更改。</w:t>
      </w:r>
    </w:p>
    <w:p w14:paraId="65234F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22.5在评标期间，对投标文件中含义不明确、同类问题表述不一致或者有明显文字和计算错误的内容，评标委员会可以书面形式</w:t>
      </w:r>
      <w:r>
        <w:rPr>
          <w:rFonts w:hint="eastAsia" w:ascii="宋体" w:hAnsi="宋体" w:eastAsia="宋体" w:cs="宋体"/>
          <w:color w:val="auto"/>
          <w:highlight w:val="none"/>
        </w:rPr>
        <w:t>（由评标委员会专家签字）</w:t>
      </w:r>
      <w:r>
        <w:rPr>
          <w:rFonts w:hint="eastAsia" w:ascii="宋体" w:hAnsi="宋体" w:eastAsia="宋体" w:cs="宋体"/>
          <w:color w:val="auto"/>
          <w:szCs w:val="24"/>
          <w:highlight w:val="none"/>
        </w:rPr>
        <w:t>要求供应商作出必要的澄清、说明或者纠正。供应商的澄清、说明或者补正应当采用书面形式，由其授权的代表签字，并不得超出投标文件的范围或者改变投标文件的实质性内容。</w:t>
      </w:r>
    </w:p>
    <w:p w14:paraId="212DB5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22.6如果供应商在澄清规定期限内，未能答复或拒绝答复评委会提出的澄清要求，将由评委会根据其投标文件按最大风险进行评标。</w:t>
      </w:r>
    </w:p>
    <w:p w14:paraId="2615F0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22.7投标文件的初审（含资格性、符合性审查）</w:t>
      </w:r>
    </w:p>
    <w:p w14:paraId="30A232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22.7.1采购人</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Cs w:val="24"/>
          <w:highlight w:val="none"/>
        </w:rPr>
        <w:t>采购代理机构将审查资格证明文件是否合格齐全，评标委员会审查投标文件是否完整、有效、响应等。</w:t>
      </w:r>
    </w:p>
    <w:p w14:paraId="2212C7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22.7.2投标文件报价出现前后不一致的，按照下列规定修正：</w:t>
      </w:r>
    </w:p>
    <w:p w14:paraId="2D75A02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ascii="宋体" w:hAnsi="宋体" w:eastAsia="宋体" w:cs="宋体"/>
          <w:color w:val="auto"/>
          <w:szCs w:val="24"/>
          <w:highlight w:val="none"/>
          <w:lang w:eastAsia="zh-CN"/>
        </w:rPr>
        <w:t>；</w:t>
      </w:r>
    </w:p>
    <w:p w14:paraId="7FB1FB8B">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4DE7AE4C">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单价金额小数点或者百分比有明显错位的，以单独密封的开标一览表的总价为准，并修改单价；</w:t>
      </w:r>
    </w:p>
    <w:p w14:paraId="26EA2631">
      <w:pPr>
        <w:numPr>
          <w:ilvl w:val="0"/>
          <w:numId w:val="4"/>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总价金额与按单价汇总金额不一致的，以单价金额计算结果为准。</w:t>
      </w:r>
    </w:p>
    <w:p w14:paraId="20D33BE2">
      <w:pPr>
        <w:widowControl/>
        <w:autoSpaceDE w:val="0"/>
        <w:autoSpaceDN w:val="0"/>
        <w:spacing w:line="500" w:lineRule="exact"/>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按上述修正的顺序和方法调整的投标报价应对供应商具有约束力。如果供应商不接受修正后的价格，其投标将按无效投标处理。</w:t>
      </w:r>
    </w:p>
    <w:p w14:paraId="4266405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693BBC4">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3B5CD2DF">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1）没有按照招标文件要求提供投标文件或投标文件构成有重大缺项；</w:t>
      </w:r>
    </w:p>
    <w:p w14:paraId="7AF4F9B5">
      <w:pPr>
        <w:kinsoku w:val="0"/>
        <w:spacing w:line="500" w:lineRule="exact"/>
        <w:ind w:firstLine="48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2）投标</w:t>
      </w:r>
      <w:r>
        <w:rPr>
          <w:rFonts w:hint="eastAsia" w:ascii="宋体" w:hAnsi="宋体" w:eastAsia="宋体" w:cs="宋体"/>
          <w:color w:val="auto"/>
          <w:spacing w:val="-6"/>
          <w:highlight w:val="none"/>
        </w:rPr>
        <w:t>文件</w:t>
      </w:r>
      <w:r>
        <w:rPr>
          <w:rFonts w:hint="eastAsia" w:ascii="宋体" w:hAnsi="宋体" w:eastAsia="宋体" w:cs="宋体"/>
          <w:color w:val="auto"/>
          <w:highlight w:val="none"/>
        </w:rPr>
        <w:t>未按招标文件要求签署、盖章的；</w:t>
      </w:r>
    </w:p>
    <w:p w14:paraId="7AC44629">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3）供应商未按招标文件要求提交投标保证金或保函的；</w:t>
      </w:r>
    </w:p>
    <w:p w14:paraId="15FF938E">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4）不具备招标文件中规定的资格要求的；</w:t>
      </w:r>
    </w:p>
    <w:p w14:paraId="2032FC1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pacing w:val="-6"/>
          <w:highlight w:val="none"/>
        </w:rPr>
        <w:t>无投标</w:t>
      </w:r>
      <w:r>
        <w:rPr>
          <w:rFonts w:hint="eastAsia" w:ascii="宋体" w:hAnsi="宋体" w:eastAsia="宋体" w:cs="宋体"/>
          <w:color w:val="auto"/>
          <w:szCs w:val="24"/>
          <w:highlight w:val="none"/>
        </w:rPr>
        <w:t>有效期</w:t>
      </w:r>
      <w:r>
        <w:rPr>
          <w:rFonts w:hint="eastAsia" w:ascii="宋体" w:hAnsi="宋体" w:eastAsia="宋体" w:cs="宋体"/>
          <w:color w:val="auto"/>
          <w:spacing w:val="-6"/>
          <w:highlight w:val="none"/>
        </w:rPr>
        <w:t>或有效期达不到招标文件要求的</w:t>
      </w:r>
      <w:r>
        <w:rPr>
          <w:rFonts w:hint="eastAsia" w:ascii="宋体" w:hAnsi="宋体" w:eastAsia="宋体" w:cs="宋体"/>
          <w:color w:val="auto"/>
          <w:szCs w:val="24"/>
          <w:highlight w:val="none"/>
        </w:rPr>
        <w:t>；</w:t>
      </w:r>
    </w:p>
    <w:p w14:paraId="7847A23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6）存在有重大缺漏项和重大技术偏离的投标</w:t>
      </w:r>
      <w:r>
        <w:rPr>
          <w:rFonts w:hint="eastAsia" w:ascii="宋体" w:hAnsi="宋体" w:eastAsia="宋体" w:cs="宋体"/>
          <w:color w:val="auto"/>
          <w:highlight w:val="none"/>
        </w:rPr>
        <w:t>货物（产品）</w:t>
      </w:r>
      <w:r>
        <w:rPr>
          <w:rFonts w:hint="eastAsia" w:ascii="宋体" w:hAnsi="宋体" w:eastAsia="宋体" w:cs="宋体"/>
          <w:color w:val="auto"/>
          <w:szCs w:val="24"/>
          <w:highlight w:val="none"/>
        </w:rPr>
        <w:t>；</w:t>
      </w:r>
    </w:p>
    <w:p w14:paraId="1E49661A">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7）供应商有串通投标、以他人名义投标、弄虚作假、行贿等违法行为的；</w:t>
      </w:r>
    </w:p>
    <w:p w14:paraId="24DA48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8）投标总报价超过招标文件公布的采购预算或者最高限价的；</w:t>
      </w:r>
    </w:p>
    <w:p w14:paraId="6FDB9329">
      <w:pPr>
        <w:pStyle w:val="19"/>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9）投标文件含有采购人不能接受的附加条件的；</w:t>
      </w:r>
    </w:p>
    <w:p w14:paraId="5BF1D405">
      <w:pPr>
        <w:pStyle w:val="19"/>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10）供应商被列入失信被执行人、重大税收违法案件当事人名单、政府采购严重违法失信行为记录名单的；</w:t>
      </w:r>
    </w:p>
    <w:p w14:paraId="3E93077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11）法律、法规规定的其他无效情形。</w:t>
      </w:r>
    </w:p>
    <w:p w14:paraId="4B6036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22.8投标文件的详细评审</w:t>
      </w:r>
    </w:p>
    <w:p w14:paraId="4A912C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22.8.1评标委员会将按照本须知第22.5.4条规定，只对确定为实质性响应招标文件要求的投标进行详细评审。</w:t>
      </w:r>
    </w:p>
    <w:p w14:paraId="489963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22.8.2详细评审按照第五章“评标方法”的评标方法进行。</w:t>
      </w:r>
    </w:p>
    <w:p w14:paraId="2E5E04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22.9中标候选人的确定</w:t>
      </w:r>
    </w:p>
    <w:p w14:paraId="60726E0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评标委员会完成评标后，向采购人提出书面评标报告，并推荐三名中标候选人，标明排列顺序。</w:t>
      </w:r>
    </w:p>
    <w:p w14:paraId="0591F278">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23．评标过程的保密</w:t>
      </w:r>
    </w:p>
    <w:p w14:paraId="752F555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23.1评标委员会成员和与评标活动有关的工作人员不得泄露有关投标文件的评审和比较、中标候选人的推荐以及与评标有关的其他情况。</w:t>
      </w:r>
    </w:p>
    <w:p w14:paraId="6D2A3E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14:paraId="0036983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24．评标方法</w:t>
      </w:r>
    </w:p>
    <w:p w14:paraId="79207E4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24.1按照中华人民共和国财政部令第87号--《政府采购货物和服务招标投标管理办法》的规定，本次评标采用以下评标方法中的一种：具体见“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w:t>
      </w:r>
    </w:p>
    <w:p w14:paraId="577E671F">
      <w:pPr>
        <w:pStyle w:val="19"/>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1）最低评标价法，即在全部满足招标文件实质性要求前提下，且投标报价最低的供应商为中标候选人的评标方法。</w:t>
      </w:r>
    </w:p>
    <w:p w14:paraId="43E95C6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0D41825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25．评标程序</w:t>
      </w:r>
    </w:p>
    <w:p w14:paraId="0D4A44E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14:paraId="0F16B871">
      <w:pPr>
        <w:spacing w:line="500" w:lineRule="exact"/>
        <w:jc w:val="center"/>
        <w:rPr>
          <w:rFonts w:hint="eastAsia" w:ascii="宋体" w:hAnsi="宋体" w:eastAsia="宋体" w:cs="宋体"/>
          <w:b/>
          <w:color w:val="auto"/>
          <w:sz w:val="32"/>
          <w:szCs w:val="32"/>
          <w:highlight w:val="none"/>
        </w:rPr>
      </w:pPr>
      <w:bookmarkStart w:id="53" w:name="_Toc403077644"/>
      <w:bookmarkStart w:id="54" w:name="_Toc363474022"/>
      <w:bookmarkStart w:id="55" w:name="_Toc363473977"/>
      <w:r>
        <w:rPr>
          <w:rFonts w:hint="eastAsia" w:ascii="宋体" w:hAnsi="宋体" w:eastAsia="宋体" w:cs="宋体"/>
          <w:b/>
          <w:color w:val="auto"/>
          <w:sz w:val="32"/>
          <w:szCs w:val="32"/>
          <w:highlight w:val="none"/>
        </w:rPr>
        <w:t>六.定标、中标通知与签约</w:t>
      </w:r>
      <w:bookmarkEnd w:id="53"/>
      <w:bookmarkEnd w:id="54"/>
      <w:bookmarkEnd w:id="55"/>
    </w:p>
    <w:p w14:paraId="09E78A3D">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26．定标程序</w:t>
      </w:r>
    </w:p>
    <w:p w14:paraId="7A8ECD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26.1评标委员会根据评标方法的规定对供应商进行评审排序，推荐3名中标候选人，作为评标结果。评标结果由评标委员会成员签字确认。</w:t>
      </w:r>
    </w:p>
    <w:p w14:paraId="7633B26F">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w:t>
      </w:r>
      <w:r>
        <w:rPr>
          <w:rFonts w:hint="eastAsia" w:ascii="宋体" w:hAnsi="宋体" w:eastAsia="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14:paraId="7E4DD17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w:t>
      </w:r>
      <w:r>
        <w:rPr>
          <w:rFonts w:hint="eastAsia" w:ascii="宋体" w:hAnsi="宋体" w:eastAsia="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1AF55A2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26.4采购人也可以授权评标委员会评标后直接确定中标人。</w:t>
      </w:r>
    </w:p>
    <w:p w14:paraId="7DBB68D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26.5中标人确定之后，中标结果将在财政部门指定的政府采购信息发布媒体上公告。</w:t>
      </w:r>
    </w:p>
    <w:p w14:paraId="2BF673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26.6供应商或者其他利害关系人对评标结果有异议的，应当在法律规定的时间内提出。</w:t>
      </w:r>
    </w:p>
    <w:p w14:paraId="24C3432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27．中标和落标通知</w:t>
      </w:r>
    </w:p>
    <w:p w14:paraId="101119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中标人领取中标通知书时须携带法定代表人或负责人授权书及加盖单位公章的被授权人身份证复印件。</w:t>
      </w:r>
    </w:p>
    <w:p w14:paraId="0E4BB6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27.2中标通知书对采购人和中标人具有同等法律效力。中标通知书发出之后，采购人改变中标结果，或者中标人放弃中标，应当承担相应的法律责任。</w:t>
      </w:r>
    </w:p>
    <w:p w14:paraId="47EA0C4C">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中标合同的签订</w:t>
      </w:r>
    </w:p>
    <w:p w14:paraId="5B8879A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BDFD6D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2CF8E020">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29．招标代理服务费</w:t>
      </w:r>
    </w:p>
    <w:p w14:paraId="2B9B9DF0">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 招标代理服务费的计算方法：以中标金额为基数，依据国家计委颁布《招标代理服务收费管理暂行办法》（计价格[2002]1980号）文件的有关规定执行。</w:t>
      </w:r>
    </w:p>
    <w:p w14:paraId="05E6666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 xml:space="preserve">.2 </w:t>
      </w:r>
      <w:r>
        <w:rPr>
          <w:rFonts w:hint="eastAsia" w:ascii="宋体" w:hAnsi="宋体" w:eastAsia="宋体" w:cs="宋体"/>
          <w:color w:val="auto"/>
          <w:szCs w:val="24"/>
          <w:highlight w:val="none"/>
        </w:rPr>
        <w:t>中标单位在领取中标通知书前，须向采购代理机构一次性支付招标代理服务费。</w:t>
      </w:r>
    </w:p>
    <w:p w14:paraId="638EDDE8">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30.质疑</w:t>
      </w:r>
    </w:p>
    <w:p w14:paraId="4AE30768">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30.1供应商认为招标文件、招标过程、中标结果使自己的权益受到损害的，可以在知道或者应知其权益受到损害之日起7个工作日内，以书面形式向采购人、采购代理机构提出质疑。</w:t>
      </w:r>
    </w:p>
    <w:p w14:paraId="4CE08872">
      <w:pPr>
        <w:spacing w:line="500" w:lineRule="exact"/>
        <w:ind w:right="12" w:firstLine="480"/>
        <w:rPr>
          <w:rStyle w:val="25"/>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43FFC930">
      <w:pPr>
        <w:spacing w:line="500" w:lineRule="exact"/>
        <w:ind w:left="3" w:firstLine="518" w:firstLineChars="216"/>
        <w:rPr>
          <w:rStyle w:val="25"/>
          <w:rFonts w:hint="eastAsia" w:ascii="宋体" w:hAnsi="宋体" w:eastAsia="宋体" w:cs="宋体"/>
          <w:b w:val="0"/>
          <w:color w:val="auto"/>
          <w:szCs w:val="24"/>
          <w:highlight w:val="none"/>
          <w:shd w:val="clear" w:color="auto" w:fill="FFFFFF"/>
        </w:rPr>
      </w:pPr>
      <w:r>
        <w:rPr>
          <w:rStyle w:val="25"/>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7702411">
      <w:pPr>
        <w:spacing w:line="500" w:lineRule="exact"/>
        <w:ind w:left="3" w:firstLine="518" w:firstLineChars="216"/>
        <w:rPr>
          <w:rStyle w:val="25"/>
          <w:rFonts w:hint="eastAsia" w:ascii="宋体" w:hAnsi="宋体" w:eastAsia="宋体" w:cs="宋体"/>
          <w:b w:val="0"/>
          <w:color w:val="auto"/>
          <w:szCs w:val="24"/>
          <w:highlight w:val="none"/>
          <w:shd w:val="clear" w:color="auto" w:fill="FFFFFF"/>
        </w:rPr>
      </w:pPr>
      <w:r>
        <w:rPr>
          <w:rStyle w:val="25"/>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45566C6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3355E62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101451F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419D641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2D22D3E">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1B4B29A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3925DECC">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30.5.6提出质疑的日期。</w:t>
      </w:r>
    </w:p>
    <w:p w14:paraId="0B68F51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30.6有下列情形之一的，属于无效质疑，采购代理机构和采购人不予受理：</w:t>
      </w:r>
    </w:p>
    <w:p w14:paraId="5C822FF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30.6.1质疑供应商不是参与本次政府采购项目的供应商；</w:t>
      </w:r>
    </w:p>
    <w:p w14:paraId="7A13E54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30.6.2质疑供应商与质疑事项不存在利害关系的；</w:t>
      </w:r>
    </w:p>
    <w:p w14:paraId="3F44A49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30.6.3未在法定期限内提出质疑的；</w:t>
      </w:r>
    </w:p>
    <w:p w14:paraId="2162C67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30.6.4质疑未以书面形式提出，或质疑函主要内容构成不完整的；</w:t>
      </w:r>
    </w:p>
    <w:p w14:paraId="7C9B204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30.6.5应当提交授权书而未提交的；</w:t>
      </w:r>
    </w:p>
    <w:p w14:paraId="2594EA0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30.6.6以非法手段取得证据、材料的；</w:t>
      </w:r>
    </w:p>
    <w:p w14:paraId="2852C43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30.6.7质疑答复后，同一质疑人就同一事项或同一采购程序环节再次提出质疑的；</w:t>
      </w:r>
    </w:p>
    <w:p w14:paraId="4871340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30.6.8不符合法律、法规、规章和政府采购监管机构规定的其他条件的。</w:t>
      </w:r>
    </w:p>
    <w:p w14:paraId="3462905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30.7质疑答复</w:t>
      </w:r>
    </w:p>
    <w:p w14:paraId="2449C8A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4283BF8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30.7.2质疑供应商对采购人、采购代理机构的答复不满意，或者采购人、采购代理机构未在规定时间内作出答复的，可以在答复期满后15个工作日内向项目主管财政部门提起投诉。</w:t>
      </w:r>
    </w:p>
    <w:p w14:paraId="11340EB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4437369">
      <w:pPr>
        <w:pStyle w:val="28"/>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72DB5C4B">
      <w:pPr>
        <w:pStyle w:val="28"/>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30.8.2接收质疑函的方式：书面形式</w:t>
      </w:r>
    </w:p>
    <w:p w14:paraId="3EB0464A">
      <w:pPr>
        <w:pStyle w:val="28"/>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30.8.3联系部门：</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前台</w:t>
      </w:r>
    </w:p>
    <w:p w14:paraId="4CC8E255">
      <w:pPr>
        <w:pStyle w:val="28"/>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30.8.4联系电话：</w:t>
      </w:r>
      <w:r>
        <w:rPr>
          <w:rFonts w:hint="eastAsia" w:hAnsi="宋体" w:cs="宋体"/>
          <w:color w:val="auto"/>
          <w:szCs w:val="24"/>
          <w:highlight w:val="none"/>
          <w:lang w:eastAsia="zh-CN"/>
        </w:rPr>
        <w:t>029-88219779</w:t>
      </w:r>
    </w:p>
    <w:p w14:paraId="01E272D4">
      <w:pPr>
        <w:pStyle w:val="28"/>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31.8.5通讯地址：</w:t>
      </w:r>
      <w:r>
        <w:rPr>
          <w:rFonts w:hint="eastAsia" w:ascii="宋体" w:hAnsi="宋体" w:eastAsia="宋体" w:cs="宋体"/>
          <w:color w:val="auto"/>
          <w:szCs w:val="24"/>
          <w:highlight w:val="none"/>
          <w:lang w:eastAsia="zh-CN"/>
        </w:rPr>
        <w:t>陕西省西安市经济技术开发区未央路171-1号银池道拉斯财富中心21楼</w:t>
      </w:r>
    </w:p>
    <w:p w14:paraId="68EA15CB">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32.其他</w:t>
      </w:r>
    </w:p>
    <w:p w14:paraId="3D54AAF2">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 废标的情形</w:t>
      </w:r>
    </w:p>
    <w:p w14:paraId="326AC87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32.1.1招标采购中，出现下列情形之一的，应予以废标：</w:t>
      </w:r>
    </w:p>
    <w:p w14:paraId="62ACEFF6">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（1）符合专业条件的供应商或者对招标文件作实质响应的供应商不足3家的；</w:t>
      </w:r>
    </w:p>
    <w:p w14:paraId="206E0983">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06676655">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（3）供应商的报价均超过了采购预算，采购人不能支付的；</w:t>
      </w:r>
    </w:p>
    <w:p w14:paraId="59B58BC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6BB8C9D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32.1.2废标后，采购代理机构应在财政部门指定采购网上公告，并公告废标的详细理由。</w:t>
      </w:r>
    </w:p>
    <w:p w14:paraId="68EF5CE1">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32.2变更采购方式</w:t>
      </w:r>
    </w:p>
    <w:p w14:paraId="226EC70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14:paraId="74F91D8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417DBEE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（2）通过资格审查的供应商不足3家的；</w:t>
      </w:r>
    </w:p>
    <w:p w14:paraId="14887C4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（3）通过符合性审查的供应商不足3家的。</w:t>
      </w:r>
    </w:p>
    <w:p w14:paraId="3660CF64">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32.2.2通过符合性审查的供应商只有2家时，采购人经同级财政部门同意后，可以按《政府采购非招标采购方式管理办法》（财政部第74号令）的规定与该2家供应商进行竞争性谈判采购。</w:t>
      </w:r>
    </w:p>
    <w:p w14:paraId="192CED65">
      <w:pPr>
        <w:spacing w:line="50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33 同品牌投标</w:t>
      </w:r>
    </w:p>
    <w:p w14:paraId="0A10BFF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33.1</w:t>
      </w:r>
      <w:r>
        <w:rPr>
          <w:rFonts w:hint="eastAsia" w:ascii="宋体" w:hAnsi="宋体" w:eastAsia="宋体" w:cs="宋体"/>
          <w:color w:val="auto"/>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确定一个参加评标的投标人，其他投标无效。</w:t>
      </w:r>
    </w:p>
    <w:p w14:paraId="1E53267B">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33.2</w:t>
      </w:r>
      <w:r>
        <w:rPr>
          <w:rFonts w:hint="eastAsia" w:ascii="宋体" w:hAnsi="宋体" w:eastAsia="宋体" w:cs="宋体"/>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确定一个投标人获得中标人推荐资格，其他同品牌投标人不作为中标候选人。</w:t>
      </w:r>
    </w:p>
    <w:p w14:paraId="2B6404BE">
      <w:pPr>
        <w:spacing w:line="500" w:lineRule="exact"/>
        <w:ind w:firstLine="480" w:firstLineChars="200"/>
        <w:rPr>
          <w:rFonts w:hint="eastAsia" w:ascii="宋体" w:hAnsi="宋体" w:eastAsia="宋体" w:cs="宋体"/>
          <w:color w:val="auto"/>
          <w:sz w:val="36"/>
          <w:szCs w:val="36"/>
          <w:highlight w:val="none"/>
        </w:rPr>
      </w:pPr>
      <w:r>
        <w:rPr>
          <w:rFonts w:hint="eastAsia" w:ascii="宋体" w:hAnsi="宋体" w:eastAsia="宋体" w:cs="宋体"/>
          <w:color w:val="auto"/>
          <w:highlight w:val="none"/>
          <w:lang w:val="en-US" w:eastAsia="zh-CN"/>
        </w:rPr>
        <w:t>33.3非单一产品采购项目，在第二章投标人须知前附表中载明核心产品。多家投标人提供的核心产品品牌相同的，按前两款规定处理。</w:t>
      </w:r>
    </w:p>
    <w:p w14:paraId="501BE889">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FDD2A20">
      <w:pPr>
        <w:pStyle w:val="2"/>
        <w:jc w:val="center"/>
        <w:rPr>
          <w:rFonts w:hint="eastAsia" w:ascii="宋体" w:hAnsi="宋体" w:eastAsia="宋体" w:cs="宋体"/>
          <w:color w:val="auto"/>
          <w:sz w:val="36"/>
          <w:szCs w:val="36"/>
          <w:highlight w:val="none"/>
        </w:rPr>
      </w:pPr>
      <w:bookmarkStart w:id="56" w:name="_Toc22716"/>
      <w:r>
        <w:rPr>
          <w:rFonts w:hint="eastAsia" w:ascii="宋体" w:hAnsi="宋体" w:eastAsia="宋体" w:cs="宋体"/>
          <w:color w:val="auto"/>
          <w:sz w:val="36"/>
          <w:szCs w:val="36"/>
          <w:highlight w:val="none"/>
        </w:rPr>
        <w:t>第三章  合同条款及格式</w:t>
      </w:r>
      <w:bookmarkEnd w:id="30"/>
      <w:bookmarkEnd w:id="56"/>
    </w:p>
    <w:p w14:paraId="16E0156F">
      <w:pPr>
        <w:pStyle w:val="3"/>
        <w:jc w:val="center"/>
        <w:rPr>
          <w:rFonts w:hint="eastAsia" w:ascii="宋体" w:hAnsi="宋体" w:eastAsia="宋体" w:cs="宋体"/>
          <w:color w:val="auto"/>
          <w:highlight w:val="none"/>
        </w:rPr>
      </w:pPr>
      <w:bookmarkStart w:id="57" w:name="_Toc426457695"/>
      <w:bookmarkStart w:id="58" w:name="_Toc26935"/>
      <w:bookmarkStart w:id="59" w:name="_Toc21965"/>
      <w:bookmarkStart w:id="60" w:name="_Toc476"/>
      <w:bookmarkStart w:id="61" w:name="_Toc317530110"/>
      <w:bookmarkStart w:id="62" w:name="_Toc23856"/>
      <w:bookmarkStart w:id="63" w:name="_Toc11450"/>
      <w:bookmarkStart w:id="64" w:name="_Toc389582038"/>
      <w:bookmarkStart w:id="65" w:name="_Toc1025"/>
      <w:bookmarkStart w:id="66" w:name="_Toc20481"/>
      <w:bookmarkStart w:id="67" w:name="_Toc2711"/>
      <w:bookmarkStart w:id="68" w:name="_Toc4053"/>
      <w:r>
        <w:rPr>
          <w:rFonts w:hint="eastAsia" w:ascii="宋体" w:hAnsi="宋体" w:eastAsia="宋体" w:cs="宋体"/>
          <w:color w:val="auto"/>
          <w:highlight w:val="none"/>
        </w:rPr>
        <w:t>合同条款及格式前附表</w:t>
      </w:r>
      <w:bookmarkEnd w:id="57"/>
      <w:bookmarkEnd w:id="58"/>
      <w:bookmarkEnd w:id="59"/>
      <w:bookmarkEnd w:id="60"/>
    </w:p>
    <w:p w14:paraId="39A7587A">
      <w:pPr>
        <w:rPr>
          <w:rFonts w:hint="eastAsia" w:ascii="宋体" w:hAnsi="宋体" w:eastAsia="宋体" w:cs="宋体"/>
          <w:color w:val="auto"/>
          <w:highlight w:val="none"/>
        </w:rPr>
      </w:pPr>
      <w:r>
        <w:rPr>
          <w:rFonts w:hint="eastAsia" w:ascii="宋体" w:hAnsi="宋体" w:eastAsia="宋体" w:cs="宋体"/>
          <w:b/>
          <w:bCs/>
          <w:color w:val="auto"/>
          <w:highlight w:val="none"/>
        </w:rPr>
        <w:t>本表是对合同条款的具体补充和修改，如有矛盾，应以本资料表为准。</w:t>
      </w:r>
    </w:p>
    <w:tbl>
      <w:tblPr>
        <w:tblStyle w:val="22"/>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13BC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14:paraId="7E3C156B">
            <w:pPr>
              <w:spacing w:line="360" w:lineRule="auto"/>
              <w:jc w:val="center"/>
              <w:rPr>
                <w:rFonts w:hint="eastAsia" w:ascii="宋体" w:hAnsi="宋体" w:eastAsia="宋体" w:cs="宋体"/>
                <w:b/>
                <w:color w:val="auto"/>
                <w:sz w:val="24"/>
                <w:szCs w:val="24"/>
                <w:highlight w:val="none"/>
              </w:rPr>
            </w:pPr>
            <w:bookmarkStart w:id="69" w:name="_Toc15898"/>
            <w:bookmarkStart w:id="70" w:name="_Toc403077645"/>
            <w:bookmarkStart w:id="71" w:name="_Toc3798"/>
            <w:bookmarkStart w:id="72" w:name="_Toc426457694"/>
            <w:bookmarkStart w:id="73" w:name="_Toc11810"/>
            <w:r>
              <w:rPr>
                <w:rFonts w:hint="eastAsia" w:ascii="宋体" w:hAnsi="宋体" w:eastAsia="宋体" w:cs="宋体"/>
                <w:b/>
                <w:color w:val="auto"/>
                <w:sz w:val="24"/>
                <w:szCs w:val="24"/>
                <w:highlight w:val="none"/>
              </w:rPr>
              <w:t>序号</w:t>
            </w:r>
          </w:p>
        </w:tc>
        <w:tc>
          <w:tcPr>
            <w:tcW w:w="8546" w:type="dxa"/>
            <w:noWrap w:val="0"/>
            <w:vAlign w:val="center"/>
          </w:tcPr>
          <w:p w14:paraId="1F77DC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8A5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14:paraId="5588F2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46" w:type="dxa"/>
            <w:noWrap w:val="0"/>
            <w:vAlign w:val="center"/>
          </w:tcPr>
          <w:p w14:paraId="53FBE985">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采购人名称：</w:t>
            </w:r>
            <w:r>
              <w:rPr>
                <w:rFonts w:hint="eastAsia" w:hAnsi="宋体" w:cs="宋体"/>
                <w:b w:val="0"/>
                <w:bCs/>
                <w:color w:val="auto"/>
                <w:sz w:val="24"/>
                <w:szCs w:val="24"/>
                <w:highlight w:val="none"/>
                <w:lang w:eastAsia="zh-CN"/>
              </w:rPr>
              <w:t>丹凤县医院</w:t>
            </w:r>
          </w:p>
          <w:p w14:paraId="38B0A829">
            <w:pPr>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地址：</w:t>
            </w:r>
            <w:r>
              <w:rPr>
                <w:rFonts w:hint="eastAsia" w:hAnsi="宋体" w:cs="宋体"/>
                <w:b w:val="0"/>
                <w:bCs/>
                <w:color w:val="auto"/>
                <w:sz w:val="24"/>
                <w:szCs w:val="24"/>
                <w:highlight w:val="none"/>
                <w:lang w:eastAsia="zh-CN"/>
              </w:rPr>
              <w:t>丹凤县商镇商邑社区商邑大道19号</w:t>
            </w:r>
          </w:p>
          <w:p w14:paraId="07CBCE04">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项目名称：</w:t>
            </w:r>
            <w:r>
              <w:rPr>
                <w:rFonts w:hint="eastAsia" w:hAnsi="宋体" w:cs="宋体"/>
                <w:b w:val="0"/>
                <w:bCs/>
                <w:color w:val="auto"/>
                <w:sz w:val="24"/>
                <w:szCs w:val="24"/>
                <w:highlight w:val="none"/>
                <w:lang w:eastAsia="zh-CN"/>
              </w:rPr>
              <w:t>超声肝硬化检测仪等一批设备的采购项目</w:t>
            </w:r>
          </w:p>
          <w:p w14:paraId="47AAB29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资金来源：</w:t>
            </w:r>
            <w:r>
              <w:rPr>
                <w:rFonts w:hint="eastAsia" w:ascii="宋体" w:hAnsi="宋体" w:eastAsia="宋体" w:cs="宋体"/>
                <w:b w:val="0"/>
                <w:bCs/>
                <w:color w:val="auto"/>
                <w:sz w:val="24"/>
                <w:szCs w:val="24"/>
                <w:highlight w:val="none"/>
                <w:lang w:val="en-US" w:eastAsia="zh-CN"/>
              </w:rPr>
              <w:t>财政拨款</w:t>
            </w:r>
            <w:r>
              <w:rPr>
                <w:rFonts w:hint="eastAsia" w:ascii="宋体" w:hAnsi="宋体" w:eastAsia="宋体" w:cs="宋体"/>
                <w:b w:val="0"/>
                <w:bCs/>
                <w:color w:val="auto"/>
                <w:sz w:val="24"/>
                <w:szCs w:val="24"/>
                <w:highlight w:val="none"/>
              </w:rPr>
              <w:t>，资金已落实</w:t>
            </w:r>
          </w:p>
        </w:tc>
      </w:tr>
      <w:tr w14:paraId="29DB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trPr>
        <w:tc>
          <w:tcPr>
            <w:tcW w:w="865" w:type="dxa"/>
            <w:noWrap w:val="0"/>
            <w:vAlign w:val="center"/>
          </w:tcPr>
          <w:p w14:paraId="422CF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46" w:type="dxa"/>
            <w:noWrap w:val="0"/>
            <w:vAlign w:val="center"/>
          </w:tcPr>
          <w:p w14:paraId="5DDD94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名词解释：</w:t>
            </w:r>
            <w:r>
              <w:rPr>
                <w:rFonts w:hint="eastAsia" w:ascii="宋体" w:hAnsi="宋体" w:eastAsia="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415D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14:paraId="60B7E4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46" w:type="dxa"/>
            <w:noWrap w:val="0"/>
            <w:vAlign w:val="center"/>
          </w:tcPr>
          <w:p w14:paraId="3427AA4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项目实施地点：采购人指定地点</w:t>
            </w:r>
          </w:p>
        </w:tc>
      </w:tr>
      <w:tr w14:paraId="0FD2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exact"/>
        </w:trPr>
        <w:tc>
          <w:tcPr>
            <w:tcW w:w="865" w:type="dxa"/>
            <w:noWrap w:val="0"/>
            <w:vAlign w:val="center"/>
          </w:tcPr>
          <w:p w14:paraId="627DF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46" w:type="dxa"/>
            <w:noWrap w:val="0"/>
            <w:vAlign w:val="center"/>
          </w:tcPr>
          <w:p w14:paraId="0270148C">
            <w:pPr>
              <w:spacing w:line="360" w:lineRule="auto"/>
              <w:rPr>
                <w:rFonts w:hint="eastAsia" w:ascii="宋体" w:hAnsi="宋体" w:eastAsia="宋体" w:cs="宋体"/>
                <w:color w:val="auto"/>
                <w:sz w:val="24"/>
                <w:szCs w:val="24"/>
                <w:highlight w:val="none"/>
                <w:lang w:val="en-US" w:eastAsia="zh-CN"/>
              </w:rPr>
            </w:pPr>
            <w:bookmarkStart w:id="74" w:name="OLE_LINK6"/>
            <w:bookmarkStart w:id="75" w:name="OLE_LINK5"/>
            <w:r>
              <w:rPr>
                <w:rFonts w:hint="eastAsia" w:ascii="宋体" w:hAnsi="宋体" w:eastAsia="宋体" w:cs="宋体"/>
                <w:b/>
                <w:color w:val="auto"/>
                <w:sz w:val="24"/>
                <w:szCs w:val="24"/>
                <w:highlight w:val="none"/>
                <w:lang w:eastAsia="zh-CN"/>
              </w:rPr>
              <w:t>交货期</w:t>
            </w:r>
            <w:r>
              <w:rPr>
                <w:rFonts w:hint="eastAsia" w:ascii="宋体" w:hAnsi="宋体" w:eastAsia="宋体" w:cs="宋体"/>
                <w:b/>
                <w:color w:val="auto"/>
                <w:sz w:val="24"/>
                <w:szCs w:val="24"/>
                <w:highlight w:val="none"/>
              </w:rPr>
              <w:t>（含安装调试期）：</w:t>
            </w:r>
            <w:bookmarkEnd w:id="74"/>
            <w:bookmarkEnd w:id="75"/>
            <w:r>
              <w:rPr>
                <w:rFonts w:hint="eastAsia" w:ascii="宋体" w:hAnsi="宋体" w:eastAsia="宋体" w:cs="宋体"/>
                <w:b/>
                <w:color w:val="auto"/>
                <w:sz w:val="24"/>
                <w:szCs w:val="24"/>
                <w:highlight w:val="none"/>
                <w:lang w:val="en-US" w:eastAsia="zh-CN"/>
              </w:rPr>
              <w:t>自合同签订之日起30日历天；</w:t>
            </w:r>
          </w:p>
        </w:tc>
      </w:tr>
      <w:tr w14:paraId="14568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exact"/>
        </w:trPr>
        <w:tc>
          <w:tcPr>
            <w:tcW w:w="865" w:type="dxa"/>
            <w:noWrap w:val="0"/>
            <w:vAlign w:val="center"/>
          </w:tcPr>
          <w:p w14:paraId="70B1E1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46" w:type="dxa"/>
            <w:noWrap w:val="0"/>
            <w:vAlign w:val="center"/>
          </w:tcPr>
          <w:p w14:paraId="6A9DE2C8">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质保期：</w:t>
            </w:r>
            <w:r>
              <w:rPr>
                <w:rFonts w:hint="eastAsia" w:ascii="宋体" w:hAnsi="宋体" w:eastAsia="宋体" w:cs="宋体"/>
                <w:b/>
                <w:color w:val="auto"/>
                <w:sz w:val="24"/>
                <w:szCs w:val="24"/>
                <w:highlight w:val="none"/>
                <w:lang w:val="en-US" w:eastAsia="zh-CN"/>
              </w:rPr>
              <w:t>验收合格后24个月；</w:t>
            </w:r>
          </w:p>
        </w:tc>
      </w:tr>
      <w:tr w14:paraId="3DAC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exact"/>
        </w:trPr>
        <w:tc>
          <w:tcPr>
            <w:tcW w:w="865" w:type="dxa"/>
            <w:noWrap w:val="0"/>
            <w:vAlign w:val="center"/>
          </w:tcPr>
          <w:p w14:paraId="58179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46" w:type="dxa"/>
            <w:noWrap w:val="0"/>
            <w:vAlign w:val="center"/>
          </w:tcPr>
          <w:p w14:paraId="4962AAD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06888A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1.合同总价即中标价，不受市场价变化或实际工作量变化的影响。</w:t>
            </w:r>
          </w:p>
          <w:p w14:paraId="54DA53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2.付款方式和程序：</w:t>
            </w:r>
          </w:p>
          <w:p w14:paraId="5DF6ED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2.1由采购人负责结算，在付款前，投标人必须开具全额发票给采购人（附详细清单）。</w:t>
            </w:r>
          </w:p>
          <w:p w14:paraId="0163837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2.2付款方式：</w:t>
            </w:r>
          </w:p>
          <w:p w14:paraId="0E05EBD8">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eastAsia="zh-CN"/>
              </w:rPr>
              <w:t>合同签订后，设备安装调试完毕验收合格支付合同总价的60%，使用3个月无质量问题支付合同总价的30%，余下10%验收合格两年后一次性付清；</w:t>
            </w:r>
            <w:r>
              <w:rPr>
                <w:rFonts w:hint="eastAsia" w:ascii="宋体" w:hAnsi="宋体" w:eastAsia="宋体" w:cs="宋体"/>
                <w:b/>
                <w:bCs/>
                <w:color w:val="auto"/>
                <w:sz w:val="24"/>
                <w:szCs w:val="24"/>
                <w:highlight w:val="none"/>
                <w:lang w:eastAsia="zh-CN"/>
              </w:rPr>
              <w:t>（具体以合同签订为准）</w:t>
            </w:r>
          </w:p>
          <w:p w14:paraId="7E32FFD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2.3支付方式：银行转账</w:t>
            </w:r>
          </w:p>
        </w:tc>
      </w:tr>
      <w:tr w14:paraId="5451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3526F1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46" w:type="dxa"/>
            <w:noWrap w:val="0"/>
            <w:vAlign w:val="center"/>
          </w:tcPr>
          <w:p w14:paraId="3418FB3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eastAsia="zh-CN"/>
              </w:rPr>
              <w:t>运输、</w:t>
            </w:r>
            <w:r>
              <w:rPr>
                <w:rFonts w:hint="eastAsia" w:ascii="宋体" w:hAnsi="宋体" w:eastAsia="宋体" w:cs="宋体"/>
                <w:b/>
                <w:color w:val="auto"/>
                <w:szCs w:val="24"/>
                <w:highlight w:val="none"/>
              </w:rPr>
              <w:t>安装</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调试要求：</w:t>
            </w:r>
          </w:p>
          <w:p w14:paraId="7410B7A3">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1EF35817">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2.由供应商提供安装、调试及试运行的进度计划表。</w:t>
            </w:r>
          </w:p>
          <w:p w14:paraId="74A69B35">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3.供应商应在合同规定的安装调试期内完成该项工作。如因供应商责任而造成延期，每超过一天按合同总价款的（5</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）支付采购人误期赔偿金，直至交货或提供服务结束为止，所有因延期而产生的费用由供应商承担。</w:t>
            </w:r>
          </w:p>
          <w:p w14:paraId="5FCC09C3">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4.安装和调试期间所发生的费用均由供应商负责。</w:t>
            </w:r>
          </w:p>
          <w:p w14:paraId="2F5E6D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5.供应商应对安装调试、整改等实施过程的安全负责，如发生人身伤亡、财产损失的由供应商负责解决并承担全部责任。</w:t>
            </w:r>
          </w:p>
        </w:tc>
      </w:tr>
      <w:tr w14:paraId="659A4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4CD81B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546" w:type="dxa"/>
            <w:noWrap w:val="0"/>
            <w:vAlign w:val="center"/>
          </w:tcPr>
          <w:p w14:paraId="65D84E1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技术支持：</w:t>
            </w:r>
          </w:p>
          <w:p w14:paraId="43660B15">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1"/>
                <w:highlight w:val="none"/>
                <w:lang w:val="en-US" w:eastAsia="zh-CN" w:bidi="ar-SA"/>
              </w:rPr>
            </w:pPr>
            <w:r>
              <w:rPr>
                <w:rFonts w:hint="eastAsia" w:ascii="宋体" w:hAnsi="宋体" w:eastAsia="宋体" w:cs="宋体"/>
                <w:bCs/>
                <w:color w:val="auto"/>
                <w:kern w:val="0"/>
                <w:sz w:val="24"/>
                <w:szCs w:val="21"/>
                <w:highlight w:val="none"/>
                <w:lang w:val="en-US" w:eastAsia="zh-CN" w:bidi="ar-SA"/>
              </w:rPr>
              <w:t>1.提供质保期内每周7×24小时的技术咨询服务。供应商怠于或无法提供技术支持的，采购人有权委托第三方处理，由此产生的费用和后果由供应商负责，费用直接从应付款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55F9F7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1"/>
                <w:highlight w:val="none"/>
                <w:lang w:val="en-US" w:eastAsia="zh-CN" w:bidi="ar-SA"/>
              </w:rPr>
              <w:t>2.供应商在项目实施过程中，质量保障人员、资源不足或者执行不力，给项目质量带来的风险超出采购人认定的允许范围时，采购人可终止本项目的合作并进行索赔。</w:t>
            </w:r>
          </w:p>
        </w:tc>
      </w:tr>
      <w:tr w14:paraId="143B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C6B4F91">
            <w:pPr>
              <w:pStyle w:val="13"/>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546" w:type="dxa"/>
            <w:noWrap w:val="0"/>
            <w:vAlign w:val="center"/>
          </w:tcPr>
          <w:p w14:paraId="4DEED52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技术资料要求：</w:t>
            </w:r>
          </w:p>
          <w:p w14:paraId="214DDBC2">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供应商应向采购人提供全套中文技术资料一套，其费用包括在投标价格中：</w:t>
            </w:r>
          </w:p>
          <w:p w14:paraId="3208B311">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1.完整的产品操作使用手册、产品合格证、装箱清单、说明书和维护、修理技术文件，图纸（线路图、原理图等）、保修卡等；</w:t>
            </w:r>
          </w:p>
          <w:p w14:paraId="7F292E0C">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2.制造厂的检验、测试报告、产品检验合格证书，质量保证书等文件验收时须一并提供；</w:t>
            </w:r>
          </w:p>
          <w:p w14:paraId="075FB748">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3.产品验收标准；</w:t>
            </w:r>
          </w:p>
          <w:p w14:paraId="3ABCEB9C">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4.技术说明书及必须的其它技术资料;</w:t>
            </w:r>
          </w:p>
          <w:p w14:paraId="14AA7DA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5.系统安装，调试、维修线路图及原理图；</w:t>
            </w:r>
          </w:p>
          <w:p w14:paraId="69BB268D">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6.零部件目录；</w:t>
            </w:r>
          </w:p>
          <w:p w14:paraId="5BE4CFF1">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7.项目完工后提供验收报告；</w:t>
            </w:r>
          </w:p>
          <w:p w14:paraId="66A9D07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8.合同中要求的其他文件资料。</w:t>
            </w:r>
          </w:p>
        </w:tc>
      </w:tr>
      <w:tr w14:paraId="1C6B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52" w:hRule="atLeast"/>
        </w:trPr>
        <w:tc>
          <w:tcPr>
            <w:tcW w:w="865" w:type="dxa"/>
            <w:noWrap w:val="0"/>
            <w:vAlign w:val="center"/>
          </w:tcPr>
          <w:p w14:paraId="7C675227">
            <w:pPr>
              <w:pStyle w:val="13"/>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546" w:type="dxa"/>
            <w:noWrap w:val="0"/>
            <w:vAlign w:val="center"/>
          </w:tcPr>
          <w:p w14:paraId="0A37D68C">
            <w:pPr>
              <w:tabs>
                <w:tab w:val="left" w:pos="480"/>
              </w:tabs>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技术培训：</w:t>
            </w:r>
          </w:p>
          <w:p w14:paraId="506F04F4">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lang w:val="en-US" w:eastAsia="zh-CN" w:bidi="ar-SA"/>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14:paraId="7699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8" w:hRule="atLeast"/>
        </w:trPr>
        <w:tc>
          <w:tcPr>
            <w:tcW w:w="865" w:type="dxa"/>
            <w:noWrap w:val="0"/>
            <w:vAlign w:val="center"/>
          </w:tcPr>
          <w:p w14:paraId="2022989B">
            <w:pPr>
              <w:pStyle w:val="13"/>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p>
        </w:tc>
        <w:tc>
          <w:tcPr>
            <w:tcW w:w="8546" w:type="dxa"/>
            <w:noWrap w:val="0"/>
            <w:vAlign w:val="center"/>
          </w:tcPr>
          <w:p w14:paraId="43477684">
            <w:pPr>
              <w:pStyle w:val="13"/>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质量保证：</w:t>
            </w:r>
          </w:p>
          <w:p w14:paraId="5E229A2E">
            <w:pPr>
              <w:tabs>
                <w:tab w:val="left" w:pos="480"/>
              </w:tabs>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乙方所供货物必须执行下列条款：</w:t>
            </w:r>
          </w:p>
          <w:p w14:paraId="064119FA">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（一）货物到达甲方指定地点后，甲方根据合同要求，进行外观验收，确认产地、规格、型号和数量。</w:t>
            </w:r>
            <w:r>
              <w:rPr>
                <w:rFonts w:hint="eastAsia" w:ascii="宋体" w:hAnsi="宋体" w:eastAsia="宋体" w:cs="宋体"/>
                <w:color w:val="auto"/>
                <w:szCs w:val="24"/>
                <w:highlight w:val="none"/>
                <w:lang w:eastAsia="zh-CN"/>
              </w:rPr>
              <w:t>产品</w:t>
            </w:r>
            <w:r>
              <w:rPr>
                <w:rFonts w:hint="eastAsia" w:ascii="宋体" w:hAnsi="宋体" w:eastAsia="宋体" w:cs="宋体"/>
                <w:bCs/>
                <w:color w:val="auto"/>
                <w:szCs w:val="24"/>
                <w:highlight w:val="none"/>
              </w:rPr>
              <w:t>性能及质量符合买方要求，并符合厂家规定的各项标准，货物技术指标经验收合格，附验收报告</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进口货物需加报海关清关证明（包括但不限于进口货物报关单）。</w:t>
            </w:r>
          </w:p>
          <w:p w14:paraId="03356369">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（二）保证技术指标先进、质量性能可靠、进货渠道正常，配置合理，全面满足</w:t>
            </w:r>
            <w:r>
              <w:rPr>
                <w:rFonts w:hint="eastAsia" w:ascii="宋体" w:hAnsi="宋体" w:eastAsia="宋体" w:cs="宋体"/>
                <w:color w:val="auto"/>
                <w:szCs w:val="24"/>
                <w:highlight w:val="none"/>
                <w:lang w:val="en-US" w:eastAsia="zh-CN"/>
              </w:rPr>
              <w:t>招标</w:t>
            </w:r>
            <w:r>
              <w:rPr>
                <w:rFonts w:hint="eastAsia" w:ascii="宋体" w:hAnsi="宋体" w:eastAsia="宋体" w:cs="宋体"/>
                <w:color w:val="auto"/>
                <w:szCs w:val="24"/>
                <w:highlight w:val="none"/>
              </w:rPr>
              <w:t>要求。</w:t>
            </w:r>
          </w:p>
          <w:p w14:paraId="1AF98F7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（三）符合国家有关规范要求，确保达到最佳运行状态。</w:t>
            </w:r>
          </w:p>
          <w:p w14:paraId="7052F120">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（四）具有良好的外观，适合安装场所的使用。</w:t>
            </w:r>
          </w:p>
          <w:p w14:paraId="4B7B148B">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（五）自安装、调试正常运行并验收合格之日起：</w:t>
            </w:r>
          </w:p>
          <w:p w14:paraId="190B1D74">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）设备到位后，工程师应立即进行安装、调试，同时对操作人员进行严格的规范化培训。</w:t>
            </w:r>
          </w:p>
          <w:p w14:paraId="491ACE27">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de-DE"/>
              </w:rPr>
              <w:t>（</w:t>
            </w:r>
            <w:r>
              <w:rPr>
                <w:rFonts w:hint="eastAsia" w:ascii="宋体" w:hAnsi="宋体" w:eastAsia="宋体" w:cs="宋体"/>
                <w:color w:val="auto"/>
                <w:szCs w:val="24"/>
                <w:highlight w:val="none"/>
                <w:lang w:eastAsia="zh-CN"/>
              </w:rPr>
              <w:t>七</w:t>
            </w:r>
            <w:r>
              <w:rPr>
                <w:rFonts w:hint="eastAsia" w:ascii="宋体" w:hAnsi="宋体" w:eastAsia="宋体" w:cs="宋体"/>
                <w:color w:val="auto"/>
                <w:szCs w:val="24"/>
                <w:highlight w:val="none"/>
                <w:lang w:val="de-DE"/>
              </w:rPr>
              <w:t>）技术文件：提供配套的设备清单。</w:t>
            </w:r>
          </w:p>
        </w:tc>
      </w:tr>
      <w:tr w14:paraId="61112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ED839F1">
            <w:pPr>
              <w:pStyle w:val="13"/>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p>
        </w:tc>
        <w:tc>
          <w:tcPr>
            <w:tcW w:w="8546" w:type="dxa"/>
            <w:noWrap w:val="0"/>
            <w:vAlign w:val="center"/>
          </w:tcPr>
          <w:p w14:paraId="5FA37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验收：</w:t>
            </w:r>
          </w:p>
          <w:p w14:paraId="2267B635">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验收包括两部分：1、产品进场验收。供货商将产品运输到达医院现场，所有产品的相关证书、检测报告等资料准备齐全并装订成册，由采购人安排专门人员进行产品及材料的开箱验收，验收合格后签字确认。</w:t>
            </w:r>
          </w:p>
          <w:p w14:paraId="20769379">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2、所有产品安装调试等过程均需要做好安装日志，运行正常后由供货商、采购人以及相关技术专家组成验收小组，进行项目整机验收。验收合格后签字确认。</w:t>
            </w:r>
          </w:p>
          <w:p w14:paraId="5A1BD0F3">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3、验收内容：</w:t>
            </w:r>
          </w:p>
          <w:p w14:paraId="4573967B">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693F8A97">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2ADFD31E">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3.2.若发现供应商有弄虚作假的，在投标阶段故意或随意夸大产品技术性能，供应商应无条件退货，本合同解除，供应商赔偿采购人相应的损失。</w:t>
            </w:r>
          </w:p>
          <w:p w14:paraId="77190D7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3.3.验收标准：按招标文件、投标文件及澄清函等技术指标进行验收。各项指标均应符合验收标准及要求。</w:t>
            </w:r>
          </w:p>
          <w:p w14:paraId="4A97A61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4.验收合格后，填写验收单，双方签字生效。</w:t>
            </w:r>
          </w:p>
          <w:p w14:paraId="11AFFE8F">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5.验收依据：</w:t>
            </w:r>
          </w:p>
          <w:p w14:paraId="61531280">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5.1合同文本；</w:t>
            </w:r>
          </w:p>
          <w:p w14:paraId="72CDF69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5.2响应文件及澄清函、招标文件；</w:t>
            </w:r>
          </w:p>
          <w:p w14:paraId="0E2466A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5.3国家和行业制定的相应的标准和规范；</w:t>
            </w:r>
          </w:p>
          <w:p w14:paraId="6995C060">
            <w:pPr>
              <w:tabs>
                <w:tab w:val="left" w:pos="48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 xml:space="preserve"> 5.4验收清单（注明各部件的品名、数量、规格型号和原产地或生产厂家）</w:t>
            </w:r>
            <w:r>
              <w:rPr>
                <w:rFonts w:hint="eastAsia" w:hAnsi="宋体" w:cs="宋体"/>
                <w:color w:val="auto"/>
                <w:highlight w:val="none"/>
                <w:lang w:eastAsia="zh-CN"/>
              </w:rPr>
              <w:t>；</w:t>
            </w:r>
          </w:p>
        </w:tc>
      </w:tr>
      <w:tr w14:paraId="0B662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A4F7AC6">
            <w:pPr>
              <w:pStyle w:val="13"/>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8546" w:type="dxa"/>
            <w:noWrap w:val="0"/>
            <w:vAlign w:val="center"/>
          </w:tcPr>
          <w:p w14:paraId="2A49E773">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售后服务</w:t>
            </w:r>
            <w:r>
              <w:rPr>
                <w:rFonts w:hint="eastAsia" w:ascii="宋体" w:hAnsi="宋体" w:eastAsia="宋体" w:cs="宋体"/>
                <w:b/>
                <w:bCs/>
                <w:color w:val="auto"/>
                <w:highlight w:val="none"/>
                <w:lang w:eastAsia="zh-CN"/>
              </w:rPr>
              <w:t>：</w:t>
            </w:r>
          </w:p>
          <w:p w14:paraId="754B76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1.供应商应提供可承担维修职能的公司、全资分公司或办事处，并驻守多名维护技术人员，并提供地点、联系人（常驻工程师）及联系电话（服务热线），随时解答各种疑问（需提供相关证明材料）。</w:t>
            </w:r>
          </w:p>
          <w:p w14:paraId="4598BF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服务方式:现场服务，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14:paraId="1F788AA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3.每年至少2次免费上门维护，回访。</w:t>
            </w:r>
          </w:p>
          <w:p w14:paraId="7FD47CE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4.对于存在质量问题或者短少的产品，供应商应在接到采购人的通知2个日历日内负责修复，调换、重新制作或补齐。</w:t>
            </w:r>
          </w:p>
          <w:p w14:paraId="38F1AB3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5.在最终验收后的质量保证期内，供应商应对设计、工艺或材料等的缺陷而产生的故障负责（负责解决并承担全部费用）。质保期满后如出现此类问题亦应负责。</w:t>
            </w:r>
          </w:p>
          <w:p w14:paraId="4235786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14:paraId="43D85E6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对于未按约定提供质保服务的供应商或违约的供应商，采购人有权拒绝其参加采购人单位的政府采购项目。且采购人有权委托第三方进行维修，所产生的费用由供应商承担，采购人有权从质保金中直接扣除，不足部分应由供应商支付。</w:t>
            </w:r>
          </w:p>
          <w:p w14:paraId="2D007A4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8.维修响应速度：接到通知后1小时内做出维修方案决定；如2小时内无法通过电话解决问题,维修人员必须在接到故障报告后24小时内到达医院，不管是否节假日；</w:t>
            </w:r>
          </w:p>
          <w:p w14:paraId="4BCC08FB">
            <w:pPr>
              <w:widowControl/>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9.提供现场技术培训，保证使用人员正常操作设备的各种功能；</w:t>
            </w:r>
          </w:p>
        </w:tc>
      </w:tr>
      <w:tr w14:paraId="4275E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7C0E9512">
            <w:pPr>
              <w:pStyle w:val="13"/>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8546" w:type="dxa"/>
            <w:noWrap w:val="0"/>
            <w:vAlign w:val="center"/>
          </w:tcPr>
          <w:p w14:paraId="761FA91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0EC713F0">
            <w:pPr>
              <w:widowControl/>
              <w:spacing w:line="5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F5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02297D3">
            <w:pPr>
              <w:pStyle w:val="13"/>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8546" w:type="dxa"/>
            <w:noWrap w:val="0"/>
            <w:vAlign w:val="center"/>
          </w:tcPr>
          <w:p w14:paraId="3387DCC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34A2D31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》中的相关条款执行。</w:t>
            </w:r>
          </w:p>
          <w:p w14:paraId="6EBB289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》有关条款及合同约定终止合同，并要求服务商承担违约责任。同时，政府采购监管部门有权依据《</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政府采购法》及相关法律法规对服务商的违法行为进行相应的处罚。</w:t>
            </w:r>
          </w:p>
        </w:tc>
      </w:tr>
      <w:tr w14:paraId="66CC8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3" w:hRule="atLeast"/>
        </w:trPr>
        <w:tc>
          <w:tcPr>
            <w:tcW w:w="865" w:type="dxa"/>
            <w:noWrap w:val="0"/>
            <w:vAlign w:val="center"/>
          </w:tcPr>
          <w:p w14:paraId="3F5CE888">
            <w:pPr>
              <w:pStyle w:val="13"/>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8546" w:type="dxa"/>
            <w:noWrap w:val="0"/>
            <w:vAlign w:val="center"/>
          </w:tcPr>
          <w:p w14:paraId="7EB7C6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0F1560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62EC31F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21A0B5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国务院政府采购监督管理部门应当会同国务院有关部门，规定政府采购合同必须具备的条款。</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4A5ACC7">
            <w:pPr>
              <w:widowControl/>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tc>
      </w:tr>
      <w:bookmarkEnd w:id="69"/>
      <w:bookmarkEnd w:id="70"/>
      <w:bookmarkEnd w:id="71"/>
      <w:bookmarkEnd w:id="72"/>
      <w:bookmarkEnd w:id="73"/>
    </w:tbl>
    <w:p w14:paraId="795414E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B3E0F97">
      <w:pPr>
        <w:rPr>
          <w:rFonts w:hint="eastAsia" w:ascii="宋体" w:hAnsi="宋体" w:eastAsia="宋体" w:cs="宋体"/>
          <w:b/>
          <w:color w:val="auto"/>
          <w:sz w:val="32"/>
          <w:szCs w:val="32"/>
          <w:highlight w:val="none"/>
        </w:rPr>
      </w:pPr>
      <w:bookmarkStart w:id="76" w:name="_Toc9053"/>
      <w:bookmarkStart w:id="77" w:name="_Toc20230"/>
      <w:bookmarkStart w:id="78" w:name="_Toc19199"/>
      <w:bookmarkStart w:id="79" w:name="_Toc389582037"/>
      <w:bookmarkStart w:id="80" w:name="_Toc19246"/>
      <w:bookmarkStart w:id="81" w:name="_Toc8333"/>
      <w:bookmarkStart w:id="82" w:name="_Toc426457696"/>
      <w:bookmarkStart w:id="83" w:name="_Toc31683"/>
      <w:bookmarkStart w:id="84" w:name="_Toc26595"/>
      <w:bookmarkStart w:id="85" w:name="_Toc31520"/>
      <w:bookmarkStart w:id="86" w:name="_Toc29888"/>
      <w:bookmarkStart w:id="87" w:name="_Toc8954"/>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 xml:space="preserve">仅供参考）                  </w:t>
      </w:r>
    </w:p>
    <w:p w14:paraId="03CE4D5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3C23192">
      <w:pPr>
        <w:jc w:val="center"/>
        <w:rPr>
          <w:rFonts w:hint="eastAsia" w:ascii="宋体" w:hAnsi="宋体" w:eastAsia="宋体" w:cs="宋体"/>
          <w:color w:val="auto"/>
          <w:sz w:val="52"/>
          <w:szCs w:val="52"/>
          <w:highlight w:val="none"/>
        </w:rPr>
      </w:pPr>
    </w:p>
    <w:p w14:paraId="5A69391C">
      <w:pPr>
        <w:jc w:val="center"/>
        <w:rPr>
          <w:rFonts w:hint="eastAsia" w:ascii="宋体" w:hAnsi="宋体" w:eastAsia="宋体" w:cs="宋体"/>
          <w:color w:val="auto"/>
          <w:sz w:val="52"/>
          <w:szCs w:val="52"/>
          <w:highlight w:val="none"/>
        </w:rPr>
      </w:pPr>
    </w:p>
    <w:p w14:paraId="59FE20C0">
      <w:pPr>
        <w:jc w:val="center"/>
        <w:rPr>
          <w:rFonts w:hint="eastAsia" w:ascii="宋体" w:hAnsi="宋体" w:eastAsia="宋体" w:cs="宋体"/>
          <w:b/>
          <w:snapToGrid w:val="0"/>
          <w:color w:val="auto"/>
          <w:sz w:val="48"/>
          <w:szCs w:val="48"/>
          <w:highlight w:val="none"/>
          <w:u w:val="single"/>
        </w:rPr>
      </w:pPr>
      <w:r>
        <w:rPr>
          <w:rFonts w:hint="eastAsia" w:ascii="宋体" w:hAnsi="宋体" w:eastAsia="宋体" w:cs="宋体"/>
          <w:b/>
          <w:snapToGrid w:val="0"/>
          <w:color w:val="auto"/>
          <w:sz w:val="48"/>
          <w:szCs w:val="48"/>
          <w:highlight w:val="none"/>
          <w:u w:val="single"/>
        </w:rPr>
        <w:t>(项目名称)</w:t>
      </w:r>
    </w:p>
    <w:p w14:paraId="5A1693CB">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供 货 合 同</w:t>
      </w:r>
    </w:p>
    <w:p w14:paraId="4EE4D2CD">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（项目编号：      </w:t>
      </w:r>
      <w:r>
        <w:rPr>
          <w:rFonts w:hint="eastAsia" w:ascii="宋体" w:hAnsi="宋体" w:eastAsia="宋体" w:cs="宋体"/>
          <w:color w:val="auto"/>
          <w:sz w:val="28"/>
          <w:szCs w:val="28"/>
          <w:highlight w:val="none"/>
        </w:rPr>
        <w:t>）</w:t>
      </w:r>
    </w:p>
    <w:p w14:paraId="3B9D27E9">
      <w:pPr>
        <w:jc w:val="center"/>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lang w:eastAsia="zh-CN"/>
        </w:rPr>
        <w:t>第</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none"/>
          <w:lang w:val="en-US" w:eastAsia="zh-CN"/>
        </w:rPr>
        <w:t>包</w:t>
      </w:r>
    </w:p>
    <w:p w14:paraId="082E7115">
      <w:pPr>
        <w:jc w:val="center"/>
        <w:rPr>
          <w:rFonts w:hint="eastAsia" w:ascii="宋体" w:hAnsi="宋体" w:eastAsia="宋体" w:cs="宋体"/>
          <w:color w:val="auto"/>
          <w:sz w:val="30"/>
          <w:szCs w:val="30"/>
          <w:highlight w:val="none"/>
        </w:rPr>
      </w:pPr>
    </w:p>
    <w:p w14:paraId="7A4D9F41">
      <w:pPr>
        <w:jc w:val="center"/>
        <w:rPr>
          <w:rFonts w:hint="eastAsia" w:ascii="宋体" w:hAnsi="宋体" w:eastAsia="宋体" w:cs="宋体"/>
          <w:color w:val="auto"/>
          <w:sz w:val="30"/>
          <w:szCs w:val="30"/>
          <w:highlight w:val="none"/>
        </w:rPr>
      </w:pPr>
    </w:p>
    <w:p w14:paraId="08B4F335">
      <w:pPr>
        <w:jc w:val="center"/>
        <w:rPr>
          <w:rFonts w:hint="eastAsia" w:ascii="宋体" w:hAnsi="宋体" w:eastAsia="宋体" w:cs="宋体"/>
          <w:color w:val="auto"/>
          <w:sz w:val="30"/>
          <w:szCs w:val="30"/>
          <w:highlight w:val="none"/>
        </w:rPr>
      </w:pPr>
    </w:p>
    <w:p w14:paraId="4BCAD345">
      <w:pPr>
        <w:jc w:val="center"/>
        <w:rPr>
          <w:rFonts w:hint="eastAsia" w:ascii="宋体" w:hAnsi="宋体" w:eastAsia="宋体" w:cs="宋体"/>
          <w:color w:val="auto"/>
          <w:sz w:val="30"/>
          <w:szCs w:val="30"/>
          <w:highlight w:val="none"/>
        </w:rPr>
      </w:pPr>
    </w:p>
    <w:p w14:paraId="0019CA36">
      <w:pPr>
        <w:ind w:firstLine="2080" w:firstLineChars="650"/>
        <w:rPr>
          <w:rFonts w:hint="eastAsia" w:ascii="宋体" w:hAnsi="宋体" w:eastAsia="宋体" w:cs="宋体"/>
          <w:color w:val="auto"/>
          <w:sz w:val="32"/>
          <w:szCs w:val="32"/>
          <w:highlight w:val="none"/>
        </w:rPr>
      </w:pPr>
    </w:p>
    <w:p w14:paraId="4E92C4BF">
      <w:pPr>
        <w:ind w:firstLine="2080" w:firstLineChars="650"/>
        <w:rPr>
          <w:rFonts w:hint="eastAsia" w:ascii="宋体" w:hAnsi="宋体" w:eastAsia="宋体" w:cs="宋体"/>
          <w:color w:val="auto"/>
          <w:sz w:val="32"/>
          <w:szCs w:val="32"/>
          <w:highlight w:val="none"/>
        </w:rPr>
      </w:pPr>
    </w:p>
    <w:p w14:paraId="751556F5">
      <w:pPr>
        <w:ind w:firstLine="2080" w:firstLineChars="6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14:paraId="55E1B3A0">
      <w:pPr>
        <w:tabs>
          <w:tab w:val="left" w:pos="480"/>
        </w:tabs>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乙  方：</w:t>
      </w:r>
    </w:p>
    <w:p w14:paraId="0009E57F">
      <w:pPr>
        <w:jc w:val="center"/>
        <w:rPr>
          <w:rFonts w:hint="eastAsia" w:ascii="宋体" w:hAnsi="宋体" w:eastAsia="宋体" w:cs="宋体"/>
          <w:color w:val="auto"/>
          <w:sz w:val="30"/>
          <w:szCs w:val="30"/>
          <w:highlight w:val="none"/>
        </w:rPr>
      </w:pPr>
    </w:p>
    <w:p w14:paraId="252AC98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年  月</w:t>
      </w:r>
    </w:p>
    <w:p w14:paraId="2B0B4DB6">
      <w:pPr>
        <w:jc w:val="center"/>
        <w:rPr>
          <w:rFonts w:hint="eastAsia" w:ascii="宋体" w:hAnsi="宋体" w:eastAsia="宋体" w:cs="宋体"/>
          <w:color w:val="auto"/>
          <w:sz w:val="32"/>
          <w:szCs w:val="32"/>
          <w:highlight w:val="none"/>
        </w:rPr>
      </w:pPr>
    </w:p>
    <w:p w14:paraId="0DC615AD">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36"/>
          <w:szCs w:val="36"/>
          <w:highlight w:val="none"/>
        </w:rPr>
        <w:t>第一部分  协议书</w:t>
      </w:r>
    </w:p>
    <w:p w14:paraId="4F701E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hAnsi="宋体" w:cs="宋体"/>
          <w:color w:val="auto"/>
          <w:sz w:val="24"/>
          <w:highlight w:val="none"/>
          <w:lang w:eastAsia="zh-CN"/>
        </w:rPr>
        <w:t>丹凤县医院</w:t>
      </w:r>
      <w:r>
        <w:rPr>
          <w:rFonts w:hint="eastAsia" w:ascii="宋体" w:hAnsi="宋体" w:eastAsia="宋体" w:cs="宋体"/>
          <w:color w:val="auto"/>
          <w:sz w:val="24"/>
          <w:highlight w:val="none"/>
        </w:rPr>
        <w:t>，其注册登记地址为：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95EDD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，其注册登记地址为：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C26FB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甲、乙双方基于公平、公正、平等的原则，依据《中华人民共和国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》、《中华人民共和国</w:t>
      </w:r>
      <w:r>
        <w:rPr>
          <w:rFonts w:hint="eastAsia" w:ascii="宋体" w:hAnsi="宋体" w:eastAsia="宋体" w:cs="宋体"/>
          <w:color w:val="auto"/>
          <w:sz w:val="24"/>
          <w:highlight w:val="none"/>
          <w:lang w:eastAsia="zh-CN"/>
        </w:rPr>
        <w:t>政府采购法</w:t>
      </w:r>
      <w:r>
        <w:rPr>
          <w:rFonts w:hint="eastAsia" w:ascii="宋体" w:hAnsi="宋体" w:eastAsia="宋体" w:cs="宋体"/>
          <w:color w:val="auto"/>
          <w:sz w:val="24"/>
          <w:highlight w:val="none"/>
        </w:rPr>
        <w:t>》之相关规定，现经甲、乙双方友好协商，就甲方购买乙方产品设备事宜，达成以下合同条款：</w:t>
      </w:r>
    </w:p>
    <w:p w14:paraId="4FCC9E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合同标的物：</w:t>
      </w:r>
    </w:p>
    <w:tbl>
      <w:tblPr>
        <w:tblStyle w:val="22"/>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14:paraId="599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1620" w:type="dxa"/>
          </w:tcPr>
          <w:p w14:paraId="195E54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1620" w:type="dxa"/>
          </w:tcPr>
          <w:p w14:paraId="50EDA4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注册证名称</w:t>
            </w:r>
          </w:p>
        </w:tc>
        <w:tc>
          <w:tcPr>
            <w:tcW w:w="1360" w:type="dxa"/>
          </w:tcPr>
          <w:p w14:paraId="2A6F36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品牌型号</w:t>
            </w:r>
          </w:p>
        </w:tc>
        <w:tc>
          <w:tcPr>
            <w:tcW w:w="878" w:type="dxa"/>
          </w:tcPr>
          <w:p w14:paraId="727552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产地</w:t>
            </w:r>
          </w:p>
        </w:tc>
        <w:tc>
          <w:tcPr>
            <w:tcW w:w="750" w:type="dxa"/>
          </w:tcPr>
          <w:p w14:paraId="3DBCFE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571" w:type="dxa"/>
          </w:tcPr>
          <w:p w14:paraId="56E37B9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27" w:type="dxa"/>
          </w:tcPr>
          <w:p w14:paraId="4CB43D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p w14:paraId="46DC0C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w:t>
            </w:r>
          </w:p>
        </w:tc>
        <w:tc>
          <w:tcPr>
            <w:tcW w:w="1305" w:type="dxa"/>
          </w:tcPr>
          <w:p w14:paraId="49E391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p w14:paraId="6F0DF4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w:t>
            </w:r>
          </w:p>
        </w:tc>
      </w:tr>
      <w:tr w14:paraId="3A2E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tcPr>
          <w:p w14:paraId="1CA429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620" w:type="dxa"/>
          </w:tcPr>
          <w:p w14:paraId="7BCA38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360" w:type="dxa"/>
          </w:tcPr>
          <w:p w14:paraId="4C563CA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tc>
        <w:tc>
          <w:tcPr>
            <w:tcW w:w="878" w:type="dxa"/>
          </w:tcPr>
          <w:p w14:paraId="1FEFD9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750" w:type="dxa"/>
          </w:tcPr>
          <w:p w14:paraId="0E6E93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c>
          <w:tcPr>
            <w:tcW w:w="571" w:type="dxa"/>
          </w:tcPr>
          <w:p w14:paraId="0FB5B78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tc>
        <w:tc>
          <w:tcPr>
            <w:tcW w:w="1327" w:type="dxa"/>
            <w:vAlign w:val="center"/>
          </w:tcPr>
          <w:p w14:paraId="126879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05" w:type="dxa"/>
            <w:vAlign w:val="center"/>
          </w:tcPr>
          <w:p w14:paraId="0D2FA1C0">
            <w:pPr>
              <w:keepNext w:val="0"/>
              <w:keepLines w:val="0"/>
              <w:pageBreakBefore w:val="0"/>
              <w:kinsoku/>
              <w:wordWrap/>
              <w:overflowPunct/>
              <w:topLinePunct w:val="0"/>
              <w:autoSpaceDE/>
              <w:autoSpaceDN/>
              <w:bidi w:val="0"/>
              <w:adjustRightInd/>
              <w:snapToGrid/>
              <w:spacing w:line="360" w:lineRule="auto"/>
              <w:ind w:right="96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0985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tcPr>
          <w:p w14:paraId="0DEE33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合计（大写）：人民币          元整；                （小写）：￥</w:t>
            </w:r>
          </w:p>
        </w:tc>
      </w:tr>
      <w:tr w14:paraId="317C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tcPr>
          <w:p w14:paraId="4E32D2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备注：      </w:t>
            </w:r>
            <w:r>
              <w:rPr>
                <w:rFonts w:hint="eastAsia" w:ascii="宋体" w:hAnsi="宋体" w:eastAsia="宋体" w:cs="宋体"/>
                <w:color w:val="auto"/>
                <w:sz w:val="24"/>
                <w:highlight w:val="none"/>
              </w:rPr>
              <w:t xml:space="preserve">                                                         </w:t>
            </w:r>
          </w:p>
          <w:p w14:paraId="3ACC12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bl>
    <w:p w14:paraId="02190B3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产品应当符合国家规范规定的标准及乙方投标文件所述和宣传的标准，设备配置详单附后。</w:t>
      </w:r>
    </w:p>
    <w:p w14:paraId="6206FC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合同价款：</w:t>
      </w:r>
    </w:p>
    <w:p w14:paraId="328B4C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1、合同总金额：</w:t>
      </w:r>
      <w:r>
        <w:rPr>
          <w:rFonts w:hint="eastAsia" w:ascii="宋体" w:hAnsi="宋体" w:eastAsia="宋体" w:cs="宋体"/>
          <w:b/>
          <w:color w:val="auto"/>
          <w:sz w:val="24"/>
          <w:highlight w:val="none"/>
          <w:u w:val="single"/>
        </w:rPr>
        <w:t>人民币          元整。</w:t>
      </w:r>
    </w:p>
    <w:p w14:paraId="581572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2、合同总金额包括但不限于产品费（含相关配件、附件、安装材料）、施工费、安装调试费、运杂费（含保险）、仓储保管费、技术培训费、招标代理服务费、税金等其他一切相关费用。</w:t>
      </w:r>
    </w:p>
    <w:p w14:paraId="4C1227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交货地点：</w:t>
      </w:r>
    </w:p>
    <w:p w14:paraId="26987F73">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highlight w:val="none"/>
        </w:rPr>
      </w:pPr>
      <w:r>
        <w:rPr>
          <w:rFonts w:hint="eastAsia" w:hAnsi="宋体" w:cs="宋体"/>
          <w:color w:val="auto"/>
          <w:sz w:val="24"/>
          <w:highlight w:val="none"/>
          <w:lang w:eastAsia="zh-CN"/>
        </w:rPr>
        <w:t>丹凤县医院</w:t>
      </w:r>
      <w:r>
        <w:rPr>
          <w:rFonts w:hint="eastAsia" w:ascii="宋体" w:hAnsi="宋体" w:eastAsia="宋体" w:cs="宋体"/>
          <w:color w:val="auto"/>
          <w:sz w:val="24"/>
          <w:highlight w:val="none"/>
        </w:rPr>
        <w:t>指定地点。</w:t>
      </w:r>
    </w:p>
    <w:p w14:paraId="1D44B3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交货时间：</w:t>
      </w:r>
    </w:p>
    <w:p w14:paraId="251FCF95">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合同签订接采购人通知后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个日历日内。</w:t>
      </w:r>
    </w:p>
    <w:p w14:paraId="5EF035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甲方指定收件人为：</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i/>
          <w:iCs/>
          <w:color w:val="auto"/>
          <w:sz w:val="24"/>
          <w:highlight w:val="none"/>
          <w:u w:val="single"/>
          <w:lang w:val="en-US" w:eastAsia="zh-CN"/>
        </w:rPr>
        <w:t xml:space="preserve">     </w:t>
      </w:r>
      <w:r>
        <w:rPr>
          <w:rFonts w:hint="eastAsia" w:ascii="宋体" w:hAnsi="宋体" w:eastAsia="宋体" w:cs="宋体"/>
          <w:color w:val="auto"/>
          <w:sz w:val="24"/>
          <w:highlight w:val="none"/>
        </w:rPr>
        <w:t>。</w:t>
      </w:r>
    </w:p>
    <w:p w14:paraId="7DCA3D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根据使用需要，甲方如需提前或推迟收货，甲方应当</w:t>
      </w:r>
      <w:r>
        <w:rPr>
          <w:rFonts w:hint="eastAsia" w:ascii="宋体" w:hAnsi="宋体" w:eastAsia="宋体" w:cs="宋体"/>
          <w:b/>
          <w:bCs/>
          <w:color w:val="auto"/>
          <w:sz w:val="24"/>
          <w:highlight w:val="none"/>
        </w:rPr>
        <w:t>提前电话或邮箱或其他任何在本合同约定的方式通知乙方</w:t>
      </w:r>
      <w:r>
        <w:rPr>
          <w:rFonts w:hint="eastAsia" w:ascii="宋体" w:hAnsi="宋体" w:eastAsia="宋体" w:cs="宋体"/>
          <w:color w:val="auto"/>
          <w:sz w:val="24"/>
          <w:highlight w:val="none"/>
        </w:rPr>
        <w:t>，乙方应无条件配合，不得收取仓储费等任何费用。</w:t>
      </w:r>
    </w:p>
    <w:p w14:paraId="2BB462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：货款结算方式：</w:t>
      </w:r>
    </w:p>
    <w:p w14:paraId="783A2B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1、付款方式：</w:t>
      </w:r>
    </w:p>
    <w:p w14:paraId="5CB6DCE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每次付款前</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个工作日内，乙方需提前向甲方开具相应金额的正式税务发票。</w:t>
      </w:r>
    </w:p>
    <w:p w14:paraId="1DAC8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2、支付方式：甲方直接将货款通过银行转账的方式转入乙方指定的专用账号。乙方账户名：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A2376E0">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、质量保证：</w:t>
      </w:r>
      <w:r>
        <w:rPr>
          <w:rFonts w:hint="eastAsia" w:ascii="宋体" w:hAnsi="宋体" w:eastAsia="宋体" w:cs="宋体"/>
          <w:color w:val="auto"/>
          <w:szCs w:val="24"/>
          <w:highlight w:val="none"/>
        </w:rPr>
        <w:t>详见“第三章合同条款及格式前附表”</w:t>
      </w:r>
    </w:p>
    <w:p w14:paraId="29CFB991">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eastAsia="zh-CN"/>
        </w:rPr>
        <w:t>八</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rPr>
        <w:t>运输、安装、调试要求：</w:t>
      </w:r>
      <w:r>
        <w:rPr>
          <w:rFonts w:hint="eastAsia" w:ascii="宋体" w:hAnsi="宋体" w:eastAsia="宋体" w:cs="宋体"/>
          <w:color w:val="auto"/>
          <w:szCs w:val="24"/>
          <w:highlight w:val="none"/>
        </w:rPr>
        <w:t>详见“第三章合同条款及格式前附表”</w:t>
      </w:r>
    </w:p>
    <w:p w14:paraId="6EDDE7E6">
      <w:pPr>
        <w:adjustRightInd w:val="0"/>
        <w:snapToGrid w:val="0"/>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lang w:eastAsia="zh-CN"/>
        </w:rPr>
        <w:t>九</w:t>
      </w:r>
      <w:r>
        <w:rPr>
          <w:rFonts w:hint="eastAsia" w:ascii="宋体" w:hAnsi="宋体" w:eastAsia="宋体" w:cs="宋体"/>
          <w:b/>
          <w:bCs/>
          <w:color w:val="auto"/>
          <w:szCs w:val="24"/>
          <w:highlight w:val="none"/>
        </w:rPr>
        <w:t>、技术支持</w:t>
      </w:r>
      <w:r>
        <w:rPr>
          <w:rFonts w:hint="eastAsia" w:ascii="宋体" w:hAnsi="宋体" w:eastAsia="宋体" w:cs="宋体"/>
          <w:b/>
          <w:bCs/>
          <w:color w:val="auto"/>
          <w:szCs w:val="24"/>
          <w:highlight w:val="none"/>
          <w:lang w:eastAsia="zh-CN"/>
        </w:rPr>
        <w:t>及</w:t>
      </w:r>
      <w:r>
        <w:rPr>
          <w:rFonts w:hint="eastAsia" w:ascii="宋体" w:hAnsi="宋体" w:eastAsia="宋体" w:cs="宋体"/>
          <w:b/>
          <w:bCs/>
          <w:color w:val="auto"/>
          <w:szCs w:val="24"/>
          <w:highlight w:val="none"/>
        </w:rPr>
        <w:t>培训：</w:t>
      </w:r>
      <w:r>
        <w:rPr>
          <w:rFonts w:hint="eastAsia" w:ascii="宋体" w:hAnsi="宋体" w:eastAsia="宋体" w:cs="宋体"/>
          <w:color w:val="auto"/>
          <w:szCs w:val="24"/>
          <w:highlight w:val="none"/>
        </w:rPr>
        <w:t>详见“第三章合同条款及格式前附表”</w:t>
      </w:r>
    </w:p>
    <w:p w14:paraId="45913A98">
      <w:pPr>
        <w:adjustRightInd w:val="0"/>
        <w:snapToGrid w:val="0"/>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eastAsia="zh-CN"/>
        </w:rPr>
        <w:t>十</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技术资料要求</w:t>
      </w:r>
      <w:r>
        <w:rPr>
          <w:rFonts w:hint="eastAsia" w:ascii="宋体" w:hAnsi="宋体" w:eastAsia="宋体" w:cs="宋体"/>
          <w:b/>
          <w:color w:val="auto"/>
          <w:szCs w:val="24"/>
          <w:highlight w:val="none"/>
        </w:rPr>
        <w:t>：</w:t>
      </w:r>
      <w:r>
        <w:rPr>
          <w:rFonts w:hint="eastAsia" w:ascii="宋体" w:hAnsi="宋体" w:eastAsia="宋体" w:cs="宋体"/>
          <w:color w:val="auto"/>
          <w:szCs w:val="24"/>
          <w:highlight w:val="none"/>
        </w:rPr>
        <w:t>详见“第三章合同条款及格式前附表”</w:t>
      </w:r>
    </w:p>
    <w:p w14:paraId="4C30FAD7">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十一</w:t>
      </w:r>
      <w:r>
        <w:rPr>
          <w:rFonts w:hint="eastAsia" w:ascii="宋体" w:hAnsi="宋体" w:eastAsia="宋体" w:cs="宋体"/>
          <w:b/>
          <w:color w:val="auto"/>
          <w:szCs w:val="24"/>
          <w:highlight w:val="none"/>
        </w:rPr>
        <w:t>、验收：</w:t>
      </w:r>
      <w:r>
        <w:rPr>
          <w:rFonts w:hint="eastAsia" w:ascii="宋体" w:hAnsi="宋体" w:eastAsia="宋体" w:cs="宋体"/>
          <w:color w:val="auto"/>
          <w:szCs w:val="24"/>
          <w:highlight w:val="none"/>
        </w:rPr>
        <w:t>详见“第三章合同条款及格式前附表”</w:t>
      </w:r>
    </w:p>
    <w:p w14:paraId="7B77A5DA">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二</w:t>
      </w:r>
      <w:r>
        <w:rPr>
          <w:rFonts w:hint="eastAsia" w:ascii="宋体" w:hAnsi="宋体" w:eastAsia="宋体" w:cs="宋体"/>
          <w:b/>
          <w:bCs/>
          <w:color w:val="auto"/>
          <w:szCs w:val="24"/>
          <w:highlight w:val="none"/>
        </w:rPr>
        <w:t>、质保及维保服务：</w:t>
      </w:r>
      <w:r>
        <w:rPr>
          <w:rFonts w:hint="eastAsia" w:ascii="宋体" w:hAnsi="宋体" w:eastAsia="宋体" w:cs="宋体"/>
          <w:color w:val="auto"/>
          <w:szCs w:val="24"/>
          <w:highlight w:val="none"/>
        </w:rPr>
        <w:t>详见“第三章合同条款及格式前附表”</w:t>
      </w:r>
    </w:p>
    <w:p w14:paraId="65FA2C8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三</w:t>
      </w:r>
      <w:r>
        <w:rPr>
          <w:rFonts w:hint="eastAsia" w:ascii="宋体" w:hAnsi="宋体" w:eastAsia="宋体" w:cs="宋体"/>
          <w:b/>
          <w:color w:val="auto"/>
          <w:szCs w:val="24"/>
          <w:highlight w:val="none"/>
        </w:rPr>
        <w:t>、知识产权：</w:t>
      </w:r>
      <w:r>
        <w:rPr>
          <w:rFonts w:hint="eastAsia" w:ascii="宋体" w:hAnsi="宋体" w:eastAsia="宋体" w:cs="宋体"/>
          <w:color w:val="auto"/>
          <w:szCs w:val="24"/>
          <w:highlight w:val="none"/>
        </w:rPr>
        <w:t>详见“第三章合同条款及格式前附表”</w:t>
      </w:r>
    </w:p>
    <w:p w14:paraId="5960164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四</w:t>
      </w:r>
      <w:r>
        <w:rPr>
          <w:rFonts w:hint="eastAsia" w:ascii="宋体" w:hAnsi="宋体" w:eastAsia="宋体" w:cs="宋体"/>
          <w:b/>
          <w:color w:val="auto"/>
          <w:szCs w:val="24"/>
          <w:highlight w:val="none"/>
        </w:rPr>
        <w:t>、合同争议的解决</w:t>
      </w:r>
    </w:p>
    <w:p w14:paraId="78D2DEE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合同执行中发生争议的，当事人双方应协商解决。协商达不成一致时，可向当地行政仲裁机关申请仲裁或者向人民法院提请诉讼。</w:t>
      </w:r>
    </w:p>
    <w:p w14:paraId="729513B7">
      <w:pPr>
        <w:spacing w:line="36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十</w:t>
      </w:r>
      <w:r>
        <w:rPr>
          <w:rFonts w:hint="eastAsia" w:ascii="宋体" w:hAnsi="宋体" w:eastAsia="宋体" w:cs="宋体"/>
          <w:b/>
          <w:bCs/>
          <w:color w:val="auto"/>
          <w:szCs w:val="24"/>
          <w:highlight w:val="none"/>
          <w:lang w:eastAsia="zh-CN"/>
        </w:rPr>
        <w:t>五</w:t>
      </w:r>
      <w:r>
        <w:rPr>
          <w:rFonts w:hint="eastAsia" w:ascii="宋体" w:hAnsi="宋体" w:eastAsia="宋体" w:cs="宋体"/>
          <w:b/>
          <w:bCs/>
          <w:color w:val="auto"/>
          <w:szCs w:val="24"/>
          <w:highlight w:val="none"/>
        </w:rPr>
        <w:t>、不可抗力情况下的免责约定</w:t>
      </w:r>
    </w:p>
    <w:p w14:paraId="25E5EEC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14:paraId="76687E3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六</w:t>
      </w:r>
      <w:r>
        <w:rPr>
          <w:rFonts w:hint="eastAsia" w:ascii="宋体" w:hAnsi="宋体" w:eastAsia="宋体" w:cs="宋体"/>
          <w:b/>
          <w:color w:val="auto"/>
          <w:szCs w:val="24"/>
          <w:highlight w:val="none"/>
        </w:rPr>
        <w:t>、违约责任：</w:t>
      </w:r>
      <w:r>
        <w:rPr>
          <w:rFonts w:hint="eastAsia" w:ascii="宋体" w:hAnsi="宋体" w:eastAsia="宋体" w:cs="宋体"/>
          <w:color w:val="auto"/>
          <w:szCs w:val="24"/>
          <w:highlight w:val="none"/>
        </w:rPr>
        <w:t>详见“第三章合同条款及格式前附表”</w:t>
      </w:r>
    </w:p>
    <w:p w14:paraId="721732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Cs w:val="24"/>
          <w:highlight w:val="none"/>
        </w:rPr>
        <w:t>十</w:t>
      </w:r>
      <w:r>
        <w:rPr>
          <w:rFonts w:hint="eastAsia" w:ascii="宋体" w:hAnsi="宋体" w:eastAsia="宋体" w:cs="宋体"/>
          <w:b/>
          <w:color w:val="auto"/>
          <w:szCs w:val="24"/>
          <w:highlight w:val="none"/>
          <w:lang w:eastAsia="zh-CN"/>
        </w:rPr>
        <w:t>七</w:t>
      </w:r>
      <w:r>
        <w:rPr>
          <w:rFonts w:hint="eastAsia" w:ascii="宋体" w:hAnsi="宋体" w:eastAsia="宋体" w:cs="宋体"/>
          <w:b/>
          <w:color w:val="auto"/>
          <w:szCs w:val="24"/>
          <w:highlight w:val="none"/>
        </w:rPr>
        <w:t>、</w:t>
      </w:r>
      <w:r>
        <w:rPr>
          <w:rFonts w:hint="eastAsia" w:ascii="宋体" w:hAnsi="宋体" w:eastAsia="宋体" w:cs="宋体"/>
          <w:b/>
          <w:color w:val="auto"/>
          <w:sz w:val="24"/>
          <w:highlight w:val="none"/>
        </w:rPr>
        <w:t>以下资料为本合同不可分割部分，与本合同具有同等法律效力：</w:t>
      </w:r>
    </w:p>
    <w:p w14:paraId="203238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1、本合同所涉产品的国家标准及</w:t>
      </w:r>
      <w:r>
        <w:rPr>
          <w:rFonts w:hint="eastAsia" w:ascii="宋体" w:hAnsi="宋体" w:eastAsia="宋体" w:cs="宋体"/>
          <w:color w:val="auto"/>
          <w:sz w:val="24"/>
          <w:highlight w:val="none"/>
          <w:lang w:eastAsia="zh-CN"/>
        </w:rPr>
        <w:t>相关行业</w:t>
      </w:r>
      <w:r>
        <w:rPr>
          <w:rFonts w:hint="eastAsia" w:ascii="宋体" w:hAnsi="宋体" w:eastAsia="宋体" w:cs="宋体"/>
          <w:color w:val="auto"/>
          <w:sz w:val="24"/>
          <w:highlight w:val="none"/>
        </w:rPr>
        <w:t>标准；</w:t>
      </w:r>
    </w:p>
    <w:p w14:paraId="0B6FF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2、本产品的详细资料；</w:t>
      </w:r>
    </w:p>
    <w:p w14:paraId="776C5B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3、招投标文件；</w:t>
      </w:r>
    </w:p>
    <w:p w14:paraId="230BEB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4、本套产品配置及配套设备零件报价详单；（附于合同后）</w:t>
      </w:r>
    </w:p>
    <w:p w14:paraId="1CB779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5、本套产品配套耗材清单、报价详单。（附于合同后）</w:t>
      </w:r>
    </w:p>
    <w:p w14:paraId="69A7E330">
      <w:pPr>
        <w:spacing w:line="360" w:lineRule="auto"/>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eastAsia="zh-CN"/>
        </w:rPr>
        <w:t>十八、</w:t>
      </w:r>
      <w:r>
        <w:rPr>
          <w:rFonts w:hint="eastAsia" w:ascii="宋体" w:hAnsi="宋体" w:eastAsia="宋体" w:cs="宋体"/>
          <w:b/>
          <w:color w:val="auto"/>
          <w:szCs w:val="24"/>
          <w:highlight w:val="none"/>
        </w:rPr>
        <w:t>其他（</w:t>
      </w:r>
      <w:r>
        <w:rPr>
          <w:rFonts w:hint="eastAsia" w:ascii="宋体" w:hAnsi="宋体" w:eastAsia="宋体" w:cs="宋体"/>
          <w:color w:val="auto"/>
          <w:szCs w:val="24"/>
          <w:highlight w:val="none"/>
        </w:rPr>
        <w:t>在合同中</w:t>
      </w:r>
      <w:r>
        <w:rPr>
          <w:rFonts w:hint="eastAsia" w:ascii="宋体" w:hAnsi="宋体" w:eastAsia="宋体" w:cs="宋体"/>
          <w:color w:val="auto"/>
          <w:szCs w:val="24"/>
          <w:highlight w:val="none"/>
          <w:lang w:eastAsia="zh-CN"/>
        </w:rPr>
        <w:t>双方自行约定</w:t>
      </w:r>
      <w:r>
        <w:rPr>
          <w:rFonts w:hint="eastAsia" w:ascii="宋体" w:hAnsi="宋体" w:eastAsia="宋体" w:cs="宋体"/>
          <w:color w:val="auto"/>
          <w:szCs w:val="24"/>
          <w:highlight w:val="none"/>
        </w:rPr>
        <w:t>）</w:t>
      </w:r>
    </w:p>
    <w:p w14:paraId="711F4CC1">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十</w:t>
      </w:r>
      <w:r>
        <w:rPr>
          <w:rFonts w:hint="eastAsia" w:ascii="宋体" w:hAnsi="宋体" w:eastAsia="宋体" w:cs="宋体"/>
          <w:b/>
          <w:color w:val="auto"/>
          <w:highlight w:val="none"/>
          <w:lang w:eastAsia="zh-CN"/>
        </w:rPr>
        <w:t>九</w:t>
      </w:r>
      <w:r>
        <w:rPr>
          <w:rFonts w:hint="eastAsia" w:ascii="宋体" w:hAnsi="宋体" w:eastAsia="宋体" w:cs="宋体"/>
          <w:b/>
          <w:color w:val="auto"/>
          <w:highlight w:val="none"/>
        </w:rPr>
        <w:t>、合同订立</w:t>
      </w:r>
    </w:p>
    <w:p w14:paraId="1D14779A">
      <w:pPr>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2A58C46">
      <w:pPr>
        <w:adjustRightInd w:val="0"/>
        <w:snapToGrid w:val="0"/>
        <w:spacing w:line="36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DA529E0">
      <w:pPr>
        <w:tabs>
          <w:tab w:val="left" w:pos="980"/>
        </w:tabs>
        <w:kinsoku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本合同一式</w:t>
      </w:r>
      <w:r>
        <w:rPr>
          <w:rFonts w:hint="eastAsia" w:ascii="宋体" w:hAnsi="宋体" w:eastAsia="宋体" w:cs="宋体"/>
          <w:color w:val="auto"/>
          <w:highlight w:val="none"/>
          <w:u w:val="single"/>
        </w:rPr>
        <w:t xml:space="preserve"> 捌 </w:t>
      </w:r>
      <w:r>
        <w:rPr>
          <w:rFonts w:hint="eastAsia" w:ascii="宋体" w:hAnsi="宋体" w:eastAsia="宋体" w:cs="宋体"/>
          <w:color w:val="auto"/>
          <w:highlight w:val="none"/>
        </w:rPr>
        <w:t>份，具有同等法律效力，双方各执</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份，监管部门备案</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份、招标代理机构存档</w:t>
      </w:r>
      <w:r>
        <w:rPr>
          <w:rFonts w:hint="eastAsia" w:ascii="宋体" w:hAnsi="宋体" w:eastAsia="宋体" w:cs="宋体"/>
          <w:color w:val="auto"/>
          <w:highlight w:val="none"/>
          <w:u w:val="single"/>
        </w:rPr>
        <w:t xml:space="preserve"> 贰 </w:t>
      </w:r>
      <w:r>
        <w:rPr>
          <w:rFonts w:hint="eastAsia" w:ascii="宋体" w:hAnsi="宋体" w:eastAsia="宋体" w:cs="宋体"/>
          <w:color w:val="auto"/>
          <w:highlight w:val="none"/>
        </w:rPr>
        <w:t>份。各方签字盖章后生效，合同执行完毕自动失效。（合同的服务承诺则长期有效）。</w:t>
      </w:r>
    </w:p>
    <w:p w14:paraId="57B33C3B">
      <w:pPr>
        <w:adjustRightInd w:val="0"/>
        <w:snapToGrid w:val="0"/>
        <w:spacing w:line="360" w:lineRule="auto"/>
        <w:ind w:firstLine="475" w:firstLineChars="198"/>
        <w:rPr>
          <w:rFonts w:hint="eastAsia" w:ascii="宋体" w:hAnsi="宋体" w:eastAsia="宋体" w:cs="宋体"/>
          <w:color w:val="auto"/>
          <w:highlight w:val="none"/>
        </w:rPr>
      </w:pP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1"/>
        <w:gridCol w:w="4945"/>
      </w:tblGrid>
      <w:tr w14:paraId="577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6B9976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w:t>
            </w:r>
          </w:p>
        </w:tc>
        <w:tc>
          <w:tcPr>
            <w:tcW w:w="2662" w:type="pct"/>
            <w:vAlign w:val="center"/>
          </w:tcPr>
          <w:p w14:paraId="437E66E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 方</w:t>
            </w:r>
          </w:p>
        </w:tc>
      </w:tr>
      <w:tr w14:paraId="2C5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6D2C6F83">
            <w:pPr>
              <w:spacing w:line="360" w:lineRule="auto"/>
              <w:ind w:firstLine="960" w:firstLineChars="400"/>
              <w:rPr>
                <w:rFonts w:hint="eastAsia" w:ascii="宋体" w:hAnsi="宋体" w:eastAsia="宋体" w:cs="宋体"/>
                <w:color w:val="auto"/>
                <w:sz w:val="24"/>
                <w:highlight w:val="none"/>
              </w:rPr>
            </w:pPr>
          </w:p>
          <w:p w14:paraId="0A94EA8C">
            <w:pPr>
              <w:spacing w:line="360" w:lineRule="auto"/>
              <w:jc w:val="center"/>
              <w:rPr>
                <w:rFonts w:hint="eastAsia" w:ascii="宋体" w:hAnsi="宋体" w:eastAsia="宋体" w:cs="宋体"/>
                <w:color w:val="auto"/>
                <w:sz w:val="24"/>
                <w:highlight w:val="none"/>
              </w:rPr>
            </w:pPr>
          </w:p>
          <w:p w14:paraId="32D4C327">
            <w:pPr>
              <w:spacing w:line="360" w:lineRule="auto"/>
              <w:jc w:val="center"/>
              <w:rPr>
                <w:rFonts w:hint="eastAsia" w:ascii="宋体" w:hAnsi="宋体" w:eastAsia="宋体" w:cs="宋体"/>
                <w:color w:val="auto"/>
                <w:sz w:val="24"/>
                <w:highlight w:val="none"/>
              </w:rPr>
            </w:pPr>
          </w:p>
          <w:p w14:paraId="46EC389F">
            <w:pPr>
              <w:spacing w:line="360" w:lineRule="auto"/>
              <w:jc w:val="center"/>
              <w:rPr>
                <w:rFonts w:hint="eastAsia" w:ascii="宋体" w:hAnsi="宋体" w:eastAsia="宋体" w:cs="宋体"/>
                <w:color w:val="auto"/>
                <w:sz w:val="24"/>
                <w:highlight w:val="none"/>
              </w:rPr>
            </w:pPr>
          </w:p>
          <w:p w14:paraId="33DD5C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c>
          <w:tcPr>
            <w:tcW w:w="2662" w:type="pct"/>
            <w:vAlign w:val="center"/>
          </w:tcPr>
          <w:p w14:paraId="49CF7003">
            <w:pPr>
              <w:spacing w:line="360" w:lineRule="auto"/>
              <w:jc w:val="center"/>
              <w:rPr>
                <w:rFonts w:hint="eastAsia" w:ascii="宋体" w:hAnsi="宋体" w:eastAsia="宋体" w:cs="宋体"/>
                <w:color w:val="auto"/>
                <w:sz w:val="24"/>
                <w:highlight w:val="none"/>
              </w:rPr>
            </w:pPr>
          </w:p>
          <w:p w14:paraId="37161879">
            <w:pPr>
              <w:spacing w:line="360" w:lineRule="auto"/>
              <w:jc w:val="center"/>
              <w:rPr>
                <w:rFonts w:hint="eastAsia" w:ascii="宋体" w:hAnsi="宋体" w:eastAsia="宋体" w:cs="宋体"/>
                <w:color w:val="auto"/>
                <w:sz w:val="24"/>
                <w:highlight w:val="none"/>
              </w:rPr>
            </w:pPr>
          </w:p>
          <w:p w14:paraId="24476A32">
            <w:pPr>
              <w:spacing w:line="360" w:lineRule="auto"/>
              <w:jc w:val="center"/>
              <w:rPr>
                <w:rFonts w:hint="eastAsia" w:ascii="宋体" w:hAnsi="宋体" w:eastAsia="宋体" w:cs="宋体"/>
                <w:color w:val="auto"/>
                <w:sz w:val="24"/>
                <w:highlight w:val="none"/>
              </w:rPr>
            </w:pPr>
          </w:p>
          <w:p w14:paraId="28F3531A">
            <w:pPr>
              <w:spacing w:line="360" w:lineRule="auto"/>
              <w:jc w:val="center"/>
              <w:rPr>
                <w:rFonts w:hint="eastAsia" w:ascii="宋体" w:hAnsi="宋体" w:eastAsia="宋体" w:cs="宋体"/>
                <w:color w:val="auto"/>
                <w:sz w:val="24"/>
                <w:highlight w:val="none"/>
              </w:rPr>
            </w:pPr>
          </w:p>
          <w:p w14:paraId="65BD89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477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6AF807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2662" w:type="pct"/>
          </w:tcPr>
          <w:p w14:paraId="50A3795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6B3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7F49984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2662" w:type="pct"/>
          </w:tcPr>
          <w:p w14:paraId="7C3432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78F7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16AF2C5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662" w:type="pct"/>
          </w:tcPr>
          <w:p w14:paraId="6F9ABE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03D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873D81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c>
          <w:tcPr>
            <w:tcW w:w="2662" w:type="pct"/>
          </w:tcPr>
          <w:p w14:paraId="5CB701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被授权代表：（签字）</w:t>
            </w:r>
          </w:p>
        </w:tc>
      </w:tr>
      <w:tr w14:paraId="51D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E32B2D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662" w:type="pct"/>
          </w:tcPr>
          <w:p w14:paraId="7DD5755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328F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5A0982B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662" w:type="pct"/>
          </w:tcPr>
          <w:p w14:paraId="32F7743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r>
      <w:tr w14:paraId="275E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127D4191">
            <w:pPr>
              <w:spacing w:line="360" w:lineRule="auto"/>
              <w:jc w:val="left"/>
              <w:rPr>
                <w:rFonts w:hint="eastAsia" w:ascii="宋体" w:hAnsi="宋体" w:eastAsia="宋体" w:cs="宋体"/>
                <w:color w:val="auto"/>
                <w:sz w:val="24"/>
                <w:highlight w:val="none"/>
              </w:rPr>
            </w:pPr>
          </w:p>
        </w:tc>
        <w:tc>
          <w:tcPr>
            <w:tcW w:w="2662" w:type="pct"/>
          </w:tcPr>
          <w:p w14:paraId="3AEEAB3A">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p>
        </w:tc>
      </w:tr>
      <w:tr w14:paraId="2298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CAE880B">
            <w:pPr>
              <w:spacing w:line="360" w:lineRule="auto"/>
              <w:jc w:val="left"/>
              <w:rPr>
                <w:rFonts w:hint="eastAsia" w:ascii="宋体" w:hAnsi="宋体" w:eastAsia="宋体" w:cs="宋体"/>
                <w:color w:val="auto"/>
                <w:sz w:val="24"/>
                <w:highlight w:val="none"/>
              </w:rPr>
            </w:pPr>
          </w:p>
        </w:tc>
        <w:tc>
          <w:tcPr>
            <w:tcW w:w="2662" w:type="pct"/>
          </w:tcPr>
          <w:p w14:paraId="1651B8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179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039446F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tc>
        <w:tc>
          <w:tcPr>
            <w:tcW w:w="2662" w:type="pct"/>
          </w:tcPr>
          <w:p w14:paraId="3FC567F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bl>
    <w:p w14:paraId="556D8A81">
      <w:pPr>
        <w:tabs>
          <w:tab w:val="left" w:pos="480"/>
        </w:tabs>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p>
    <w:p w14:paraId="398DA74C">
      <w:pPr>
        <w:tabs>
          <w:tab w:val="left" w:pos="67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w:t>
      </w:r>
    </w:p>
    <w:p w14:paraId="7C8A878D">
      <w:pPr>
        <w:tabs>
          <w:tab w:val="left" w:pos="675"/>
        </w:tabs>
        <w:spacing w:line="360" w:lineRule="auto"/>
        <w:jc w:val="center"/>
        <w:rPr>
          <w:rFonts w:hint="eastAsia" w:ascii="宋体" w:hAnsi="宋体" w:eastAsia="宋体" w:cs="宋体"/>
          <w:b/>
          <w:color w:val="auto"/>
          <w:szCs w:val="21"/>
          <w:highlight w:val="none"/>
        </w:rPr>
      </w:pPr>
    </w:p>
    <w:p w14:paraId="33AAC1FA">
      <w:pPr>
        <w:tabs>
          <w:tab w:val="left" w:pos="675"/>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（项目名称）</w:t>
      </w:r>
      <w:r>
        <w:rPr>
          <w:rFonts w:hint="eastAsia" w:ascii="宋体" w:hAnsi="宋体" w:eastAsia="宋体" w:cs="宋体"/>
          <w:b/>
          <w:color w:val="auto"/>
          <w:szCs w:val="21"/>
          <w:highlight w:val="none"/>
        </w:rPr>
        <w:t>配置清单</w:t>
      </w:r>
    </w:p>
    <w:p w14:paraId="51222C35">
      <w:pPr>
        <w:tabs>
          <w:tab w:val="left" w:pos="675"/>
        </w:tabs>
        <w:spacing w:line="360" w:lineRule="auto"/>
        <w:jc w:val="center"/>
        <w:rPr>
          <w:rFonts w:hint="eastAsia" w:ascii="宋体" w:hAnsi="宋体" w:eastAsia="宋体" w:cs="宋体"/>
          <w:b/>
          <w:color w:val="auto"/>
          <w:szCs w:val="21"/>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415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14:paraId="08F6DB3E">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104BB7D1">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52A91D93">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4BBA099C">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4FE39FE1">
            <w:pPr>
              <w:tabs>
                <w:tab w:val="left" w:pos="48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tcPr>
          <w:p w14:paraId="7A1212F9">
            <w:pPr>
              <w:tabs>
                <w:tab w:val="left" w:pos="48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45F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2B07D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5B945EA6">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07D6A7">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75F3912">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ED482C">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752F04C">
            <w:pPr>
              <w:tabs>
                <w:tab w:val="left" w:pos="480"/>
              </w:tabs>
              <w:spacing w:line="360" w:lineRule="auto"/>
              <w:jc w:val="center"/>
              <w:rPr>
                <w:rFonts w:hint="eastAsia" w:ascii="宋体" w:hAnsi="宋体" w:eastAsia="宋体" w:cs="宋体"/>
                <w:color w:val="auto"/>
                <w:szCs w:val="21"/>
                <w:highlight w:val="none"/>
              </w:rPr>
            </w:pPr>
          </w:p>
        </w:tc>
      </w:tr>
      <w:tr w14:paraId="021E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F8EF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0A4A0E3A">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F573AC6">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60586C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EF152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D7704C8">
            <w:pPr>
              <w:tabs>
                <w:tab w:val="left" w:pos="480"/>
              </w:tabs>
              <w:spacing w:line="360" w:lineRule="auto"/>
              <w:jc w:val="center"/>
              <w:rPr>
                <w:rFonts w:hint="eastAsia" w:ascii="宋体" w:hAnsi="宋体" w:eastAsia="宋体" w:cs="宋体"/>
                <w:color w:val="auto"/>
                <w:szCs w:val="21"/>
                <w:highlight w:val="none"/>
              </w:rPr>
            </w:pPr>
          </w:p>
        </w:tc>
      </w:tr>
      <w:tr w14:paraId="5314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853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185A5E80">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FB80417">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AC26FD">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DC1FC9">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14B8F66">
            <w:pPr>
              <w:tabs>
                <w:tab w:val="left" w:pos="480"/>
              </w:tabs>
              <w:spacing w:line="360" w:lineRule="auto"/>
              <w:jc w:val="center"/>
              <w:rPr>
                <w:rFonts w:hint="eastAsia" w:ascii="宋体" w:hAnsi="宋体" w:eastAsia="宋体" w:cs="宋体"/>
                <w:color w:val="auto"/>
                <w:szCs w:val="21"/>
                <w:highlight w:val="none"/>
              </w:rPr>
            </w:pPr>
          </w:p>
        </w:tc>
      </w:tr>
      <w:tr w14:paraId="58A2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D089F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B966FCC">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CFEBECF">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3DF8A9D">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4501E6">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3D3447">
            <w:pPr>
              <w:tabs>
                <w:tab w:val="left" w:pos="480"/>
              </w:tabs>
              <w:spacing w:line="360" w:lineRule="auto"/>
              <w:jc w:val="center"/>
              <w:rPr>
                <w:rFonts w:hint="eastAsia" w:ascii="宋体" w:hAnsi="宋体" w:eastAsia="宋体" w:cs="宋体"/>
                <w:color w:val="auto"/>
                <w:szCs w:val="21"/>
                <w:highlight w:val="none"/>
              </w:rPr>
            </w:pPr>
          </w:p>
        </w:tc>
      </w:tr>
      <w:tr w14:paraId="578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69CF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33AE02A6">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269DAE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E4378">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727A4D">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CE886EA">
            <w:pPr>
              <w:tabs>
                <w:tab w:val="left" w:pos="480"/>
              </w:tabs>
              <w:spacing w:line="360" w:lineRule="auto"/>
              <w:jc w:val="center"/>
              <w:rPr>
                <w:rFonts w:hint="eastAsia" w:ascii="宋体" w:hAnsi="宋体" w:eastAsia="宋体" w:cs="宋体"/>
                <w:color w:val="auto"/>
                <w:szCs w:val="21"/>
                <w:highlight w:val="none"/>
              </w:rPr>
            </w:pPr>
          </w:p>
        </w:tc>
      </w:tr>
      <w:tr w14:paraId="090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C1A4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2A401947">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A3A4ECB">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3C2F272">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E26C73">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1138CFC">
            <w:pPr>
              <w:tabs>
                <w:tab w:val="left" w:pos="480"/>
              </w:tabs>
              <w:spacing w:line="360" w:lineRule="auto"/>
              <w:jc w:val="center"/>
              <w:rPr>
                <w:rFonts w:hint="eastAsia" w:ascii="宋体" w:hAnsi="宋体" w:eastAsia="宋体" w:cs="宋体"/>
                <w:color w:val="auto"/>
                <w:szCs w:val="21"/>
                <w:highlight w:val="none"/>
              </w:rPr>
            </w:pPr>
          </w:p>
        </w:tc>
      </w:tr>
      <w:tr w14:paraId="356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215B6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442F9EB7">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1BAE4C2">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B377BF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960E69">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55C3F24">
            <w:pPr>
              <w:tabs>
                <w:tab w:val="left" w:pos="480"/>
              </w:tabs>
              <w:spacing w:line="360" w:lineRule="auto"/>
              <w:jc w:val="center"/>
              <w:rPr>
                <w:rFonts w:hint="eastAsia" w:ascii="宋体" w:hAnsi="宋体" w:eastAsia="宋体" w:cs="宋体"/>
                <w:color w:val="auto"/>
                <w:szCs w:val="21"/>
                <w:highlight w:val="none"/>
              </w:rPr>
            </w:pPr>
          </w:p>
        </w:tc>
      </w:tr>
      <w:tr w14:paraId="38AD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C2C2A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C8CF3C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C077AC2">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73F546E">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D515FD">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0A3D0D6">
            <w:pPr>
              <w:tabs>
                <w:tab w:val="left" w:pos="480"/>
              </w:tabs>
              <w:spacing w:line="360" w:lineRule="auto"/>
              <w:jc w:val="center"/>
              <w:rPr>
                <w:rFonts w:hint="eastAsia" w:ascii="宋体" w:hAnsi="宋体" w:eastAsia="宋体" w:cs="宋体"/>
                <w:color w:val="auto"/>
                <w:szCs w:val="21"/>
                <w:highlight w:val="none"/>
              </w:rPr>
            </w:pPr>
          </w:p>
        </w:tc>
      </w:tr>
      <w:tr w14:paraId="460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8BF3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5CAF4FFB">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00FC9E39">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823B8A0">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61AEDB">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753BF39">
            <w:pPr>
              <w:tabs>
                <w:tab w:val="left" w:pos="480"/>
              </w:tabs>
              <w:spacing w:line="360" w:lineRule="auto"/>
              <w:jc w:val="center"/>
              <w:rPr>
                <w:rFonts w:hint="eastAsia" w:ascii="宋体" w:hAnsi="宋体" w:eastAsia="宋体" w:cs="宋体"/>
                <w:color w:val="auto"/>
                <w:szCs w:val="21"/>
                <w:highlight w:val="none"/>
              </w:rPr>
            </w:pPr>
          </w:p>
        </w:tc>
      </w:tr>
      <w:tr w14:paraId="082B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020D7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2F622BC5">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D87C86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8E00C">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FB4FF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AEA7B88">
            <w:pPr>
              <w:tabs>
                <w:tab w:val="left" w:pos="480"/>
              </w:tabs>
              <w:spacing w:line="360" w:lineRule="auto"/>
              <w:jc w:val="center"/>
              <w:rPr>
                <w:rFonts w:hint="eastAsia" w:ascii="宋体" w:hAnsi="宋体" w:eastAsia="宋体" w:cs="宋体"/>
                <w:color w:val="auto"/>
                <w:szCs w:val="21"/>
                <w:highlight w:val="none"/>
              </w:rPr>
            </w:pPr>
          </w:p>
        </w:tc>
      </w:tr>
      <w:tr w14:paraId="745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571FA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0D6C6442">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4267166">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43FBC27">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835B9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DBFEA6D">
            <w:pPr>
              <w:tabs>
                <w:tab w:val="left" w:pos="480"/>
              </w:tabs>
              <w:spacing w:line="360" w:lineRule="auto"/>
              <w:jc w:val="center"/>
              <w:rPr>
                <w:rFonts w:hint="eastAsia" w:ascii="宋体" w:hAnsi="宋体" w:eastAsia="宋体" w:cs="宋体"/>
                <w:color w:val="auto"/>
                <w:szCs w:val="21"/>
                <w:highlight w:val="none"/>
              </w:rPr>
            </w:pPr>
          </w:p>
        </w:tc>
      </w:tr>
      <w:tr w14:paraId="0D2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A04F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309A89C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6857305">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6C83110">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B9C9C2">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AAEC1F2">
            <w:pPr>
              <w:tabs>
                <w:tab w:val="left" w:pos="480"/>
              </w:tabs>
              <w:spacing w:line="360" w:lineRule="auto"/>
              <w:jc w:val="center"/>
              <w:rPr>
                <w:rFonts w:hint="eastAsia" w:ascii="宋体" w:hAnsi="宋体" w:eastAsia="宋体" w:cs="宋体"/>
                <w:color w:val="auto"/>
                <w:szCs w:val="21"/>
                <w:highlight w:val="none"/>
              </w:rPr>
            </w:pPr>
          </w:p>
        </w:tc>
      </w:tr>
      <w:tr w14:paraId="34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8D20C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31867BB9">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98B2648">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EC4DD08">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CDA49A">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57A135">
            <w:pPr>
              <w:tabs>
                <w:tab w:val="left" w:pos="480"/>
              </w:tabs>
              <w:spacing w:line="360" w:lineRule="auto"/>
              <w:jc w:val="center"/>
              <w:rPr>
                <w:rFonts w:hint="eastAsia" w:ascii="宋体" w:hAnsi="宋体" w:eastAsia="宋体" w:cs="宋体"/>
                <w:color w:val="auto"/>
                <w:szCs w:val="21"/>
                <w:highlight w:val="none"/>
              </w:rPr>
            </w:pPr>
          </w:p>
        </w:tc>
      </w:tr>
      <w:tr w14:paraId="2A6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58E16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5E492CF1">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9F3B2C9">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284993E">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21F4CE">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F4C3ABC">
            <w:pPr>
              <w:tabs>
                <w:tab w:val="left" w:pos="480"/>
              </w:tabs>
              <w:spacing w:line="360" w:lineRule="auto"/>
              <w:jc w:val="center"/>
              <w:rPr>
                <w:rFonts w:hint="eastAsia" w:ascii="宋体" w:hAnsi="宋体" w:eastAsia="宋体" w:cs="宋体"/>
                <w:color w:val="auto"/>
                <w:szCs w:val="21"/>
                <w:highlight w:val="none"/>
              </w:rPr>
            </w:pPr>
          </w:p>
        </w:tc>
      </w:tr>
      <w:tr w14:paraId="543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BFA7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71F64B2E">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C3015ED">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BB3427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451458">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EF339C8">
            <w:pPr>
              <w:tabs>
                <w:tab w:val="left" w:pos="480"/>
              </w:tabs>
              <w:spacing w:line="360" w:lineRule="auto"/>
              <w:jc w:val="center"/>
              <w:rPr>
                <w:rFonts w:hint="eastAsia" w:ascii="宋体" w:hAnsi="宋体" w:eastAsia="宋体" w:cs="宋体"/>
                <w:color w:val="auto"/>
                <w:szCs w:val="21"/>
                <w:highlight w:val="none"/>
              </w:rPr>
            </w:pPr>
          </w:p>
        </w:tc>
      </w:tr>
      <w:tr w14:paraId="2B4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F377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48ABFF2F">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1348741">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280F4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59B09E">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F829455">
            <w:pPr>
              <w:tabs>
                <w:tab w:val="left" w:pos="480"/>
              </w:tabs>
              <w:spacing w:line="360" w:lineRule="auto"/>
              <w:jc w:val="center"/>
              <w:rPr>
                <w:rFonts w:hint="eastAsia" w:ascii="宋体" w:hAnsi="宋体" w:eastAsia="宋体" w:cs="宋体"/>
                <w:color w:val="auto"/>
                <w:szCs w:val="21"/>
                <w:highlight w:val="none"/>
              </w:rPr>
            </w:pPr>
          </w:p>
        </w:tc>
      </w:tr>
      <w:tr w14:paraId="223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F1EB4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40369743">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F9BECCE">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1666B7A">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BB3974">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28022754">
            <w:pPr>
              <w:tabs>
                <w:tab w:val="left" w:pos="480"/>
              </w:tabs>
              <w:spacing w:line="360" w:lineRule="auto"/>
              <w:jc w:val="center"/>
              <w:rPr>
                <w:rFonts w:hint="eastAsia" w:ascii="宋体" w:hAnsi="宋体" w:eastAsia="宋体" w:cs="宋体"/>
                <w:color w:val="auto"/>
                <w:szCs w:val="21"/>
                <w:highlight w:val="none"/>
              </w:rPr>
            </w:pPr>
          </w:p>
        </w:tc>
      </w:tr>
      <w:tr w14:paraId="4EE4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90232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61357868">
            <w:pPr>
              <w:spacing w:line="360" w:lineRule="auto"/>
              <w:jc w:val="center"/>
              <w:rPr>
                <w:rFonts w:hint="eastAsia" w:ascii="宋体" w:hAnsi="宋体" w:eastAsia="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5D253C">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3EF4A5">
            <w:pPr>
              <w:spacing w:line="360" w:lineRule="auto"/>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340FC4">
            <w:pPr>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9670AEC">
            <w:pPr>
              <w:tabs>
                <w:tab w:val="left" w:pos="480"/>
              </w:tabs>
              <w:spacing w:line="360" w:lineRule="auto"/>
              <w:jc w:val="center"/>
              <w:rPr>
                <w:rFonts w:hint="eastAsia" w:ascii="宋体" w:hAnsi="宋体" w:eastAsia="宋体" w:cs="宋体"/>
                <w:color w:val="auto"/>
                <w:szCs w:val="21"/>
                <w:highlight w:val="none"/>
              </w:rPr>
            </w:pPr>
          </w:p>
        </w:tc>
      </w:tr>
    </w:tbl>
    <w:p w14:paraId="78604726">
      <w:pPr>
        <w:pStyle w:val="8"/>
        <w:rPr>
          <w:rFonts w:hint="eastAsia" w:ascii="宋体" w:hAnsi="宋体" w:eastAsia="宋体" w:cs="宋体"/>
          <w:color w:val="auto"/>
          <w:highlight w:val="none"/>
        </w:rPr>
        <w:sectPr>
          <w:headerReference r:id="rId11" w:type="first"/>
          <w:footerReference r:id="rId13" w:type="first"/>
          <w:footerReference r:id="rId12" w:type="default"/>
          <w:pgSz w:w="11906" w:h="16838"/>
          <w:pgMar w:top="1361" w:right="1417" w:bottom="1361" w:left="1417" w:header="1134" w:footer="992" w:gutter="0"/>
          <w:cols w:space="720" w:num="1"/>
          <w:docGrid w:type="lines" w:linePitch="333" w:charSpace="0"/>
        </w:sectPr>
      </w:pPr>
    </w:p>
    <w:bookmarkEnd w:id="76"/>
    <w:bookmarkEnd w:id="77"/>
    <w:bookmarkEnd w:id="78"/>
    <w:bookmarkEnd w:id="79"/>
    <w:bookmarkEnd w:id="80"/>
    <w:bookmarkEnd w:id="81"/>
    <w:bookmarkEnd w:id="82"/>
    <w:bookmarkEnd w:id="83"/>
    <w:bookmarkEnd w:id="84"/>
    <w:bookmarkEnd w:id="85"/>
    <w:bookmarkEnd w:id="86"/>
    <w:bookmarkEnd w:id="87"/>
    <w:p w14:paraId="436418E5">
      <w:pPr>
        <w:pStyle w:val="2"/>
        <w:numPr>
          <w:ilvl w:val="0"/>
          <w:numId w:val="0"/>
        </w:numPr>
        <w:jc w:val="center"/>
        <w:rPr>
          <w:rFonts w:hint="eastAsia" w:ascii="宋体" w:hAnsi="宋体" w:eastAsia="宋体" w:cs="宋体"/>
          <w:color w:val="auto"/>
          <w:sz w:val="36"/>
          <w:szCs w:val="36"/>
          <w:highlight w:val="none"/>
        </w:rPr>
      </w:pPr>
      <w:bookmarkStart w:id="88" w:name="_Toc4670"/>
      <w:r>
        <w:rPr>
          <w:rFonts w:hint="eastAsia" w:ascii="宋体" w:hAnsi="宋体" w:eastAsia="宋体" w:cs="宋体"/>
          <w:color w:val="auto"/>
          <w:sz w:val="36"/>
          <w:szCs w:val="36"/>
          <w:highlight w:val="none"/>
          <w:lang w:eastAsia="zh-CN"/>
        </w:rPr>
        <w:t>第四章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采购内容及技术要求</w:t>
      </w:r>
      <w:bookmarkEnd w:id="88"/>
    </w:p>
    <w:bookmarkEnd w:id="61"/>
    <w:p w14:paraId="4C268F8E">
      <w:pPr>
        <w:jc w:val="center"/>
        <w:rPr>
          <w:rFonts w:hint="eastAsia" w:ascii="宋体" w:hAnsi="宋体" w:eastAsia="宋体" w:cs="宋体"/>
          <w:b/>
          <w:bCs/>
          <w:color w:val="auto"/>
          <w:sz w:val="28"/>
          <w:szCs w:val="28"/>
          <w:highlight w:val="none"/>
          <w:lang w:val="en-US" w:eastAsia="zh-CN"/>
        </w:rPr>
      </w:pPr>
      <w:bookmarkStart w:id="89" w:name="_Toc19952"/>
      <w:bookmarkStart w:id="90" w:name="_Toc25607"/>
      <w:bookmarkStart w:id="91" w:name="_Toc1462"/>
      <w:bookmarkStart w:id="92" w:name="_Toc426457697"/>
      <w:bookmarkStart w:id="93" w:name="_Toc2203"/>
      <w:r>
        <w:rPr>
          <w:rFonts w:hint="eastAsia" w:hAnsi="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val="en-US" w:eastAsia="zh-CN"/>
        </w:rPr>
        <w:t>设备清单</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3595"/>
        <w:gridCol w:w="1020"/>
        <w:gridCol w:w="942"/>
        <w:gridCol w:w="3026"/>
      </w:tblGrid>
      <w:tr w14:paraId="6354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ABDD24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5E9C5C7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1A7CC6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F352DA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hAnsi="宋体" w:cs="宋体"/>
                <w:b/>
                <w:bCs/>
                <w:i w:val="0"/>
                <w:iCs w:val="0"/>
                <w:color w:val="auto"/>
                <w:kern w:val="0"/>
                <w:sz w:val="24"/>
                <w:szCs w:val="24"/>
                <w:highlight w:val="none"/>
                <w:u w:val="none"/>
                <w:lang w:val="en-US" w:eastAsia="zh-CN" w:bidi="ar"/>
              </w:rPr>
              <w:t>单位</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072393C6">
            <w:pPr>
              <w:keepNext w:val="0"/>
              <w:keepLines w:val="0"/>
              <w:widowControl/>
              <w:suppressLineNumbers w:val="0"/>
              <w:jc w:val="center"/>
              <w:textAlignment w:val="center"/>
              <w:rPr>
                <w:rFonts w:hint="default" w:hAnsi="宋体" w:cs="宋体"/>
                <w:b/>
                <w:bCs/>
                <w:i w:val="0"/>
                <w:iCs w:val="0"/>
                <w:color w:val="auto"/>
                <w:kern w:val="0"/>
                <w:sz w:val="24"/>
                <w:szCs w:val="24"/>
                <w:highlight w:val="none"/>
                <w:u w:val="none"/>
                <w:lang w:val="en-US" w:eastAsia="zh-CN" w:bidi="ar"/>
              </w:rPr>
            </w:pPr>
            <w:r>
              <w:rPr>
                <w:rFonts w:hint="eastAsia" w:hAnsi="宋体" w:cs="宋体"/>
                <w:b/>
                <w:bCs/>
                <w:i w:val="0"/>
                <w:iCs w:val="0"/>
                <w:color w:val="auto"/>
                <w:kern w:val="0"/>
                <w:sz w:val="24"/>
                <w:szCs w:val="24"/>
                <w:highlight w:val="none"/>
                <w:u w:val="none"/>
                <w:lang w:val="en-US" w:eastAsia="zh-CN" w:bidi="ar"/>
              </w:rPr>
              <w:t>备注</w:t>
            </w:r>
          </w:p>
        </w:tc>
      </w:tr>
      <w:tr w14:paraId="5608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222563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第1包</w:t>
            </w:r>
          </w:p>
        </w:tc>
      </w:tr>
      <w:tr w14:paraId="5767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7E347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4EA656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全自动单独滴染HE染色封片一体机</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C97CC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DD3B67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5926C8B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509B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6A960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第2包</w:t>
            </w:r>
          </w:p>
        </w:tc>
      </w:tr>
      <w:tr w14:paraId="0C1B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C9C5E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4EDD0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盆底康复治疗仪</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ABAB68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19C959F">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5AA8616A">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024D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11D772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2</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1BC8F4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胶囊胃镜</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7B032B9A">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D35BD64">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条</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4CD68391">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0FEA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87E3AA1">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第</w:t>
            </w:r>
            <w:r>
              <w:rPr>
                <w:rFonts w:hint="eastAsia"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包</w:t>
            </w:r>
          </w:p>
        </w:tc>
      </w:tr>
      <w:tr w14:paraId="5088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71C977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5C544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多功能产床（家化版）</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7FFFB35">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3F26096">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5C6CD331">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3EB8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21F77D0">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第</w:t>
            </w:r>
            <w:r>
              <w:rPr>
                <w:rFonts w:hint="eastAsia"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包</w:t>
            </w:r>
          </w:p>
        </w:tc>
      </w:tr>
      <w:tr w14:paraId="6741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D8CBC7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2F373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婴儿床车</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036E5097">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E3A3C57">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4E11EB21">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48BD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196CC74">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2</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5C6C9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气压治疗仪</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16FBC93F">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BDBEE15">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22B6E263">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3077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7B856CF">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3</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0558F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有创监护仪</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686C12E8">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FCB18E0">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54CF8D6C">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非专门面向中小企业采购</w:t>
            </w:r>
          </w:p>
        </w:tc>
      </w:tr>
      <w:tr w14:paraId="3BEF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63F9F6C">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4</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501896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BIS监测模块(设备）</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D78D26E">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0DB192B">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434BD821">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非专门面向中小企业采购</w:t>
            </w:r>
          </w:p>
        </w:tc>
      </w:tr>
      <w:tr w14:paraId="48AD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4407A73">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5</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78DEF7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胰岛素泵</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2B2A9B32">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DDECCD9">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7BBF1FBC">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49B2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13607AA">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第5包</w:t>
            </w:r>
          </w:p>
        </w:tc>
      </w:tr>
      <w:tr w14:paraId="6397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BC7ED6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04F04F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无创心排监测仪</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D367A62">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989D1FC">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308A6269">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r w14:paraId="2CEE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4AEAF77">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第6包</w:t>
            </w:r>
          </w:p>
        </w:tc>
      </w:tr>
      <w:tr w14:paraId="35ED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2D7C7E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1936" w:type="pct"/>
            <w:tcBorders>
              <w:top w:val="single" w:color="000000" w:sz="4" w:space="0"/>
              <w:left w:val="single" w:color="000000" w:sz="4" w:space="0"/>
              <w:bottom w:val="single" w:color="000000" w:sz="4" w:space="0"/>
              <w:right w:val="single" w:color="000000" w:sz="4" w:space="0"/>
            </w:tcBorders>
            <w:noWrap/>
            <w:vAlign w:val="center"/>
          </w:tcPr>
          <w:p w14:paraId="41E21D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超声肝硬化检测仪</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F61C3CF">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923EFBF">
            <w:pPr>
              <w:keepNext w:val="0"/>
              <w:keepLines w:val="0"/>
              <w:widowControl/>
              <w:suppressLineNumbers w:val="0"/>
              <w:jc w:val="center"/>
              <w:textAlignment w:val="center"/>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台</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37CE60DF">
            <w:pPr>
              <w:keepNext w:val="0"/>
              <w:keepLines w:val="0"/>
              <w:widowControl/>
              <w:suppressLineNumbers w:val="0"/>
              <w:jc w:val="center"/>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专门面向中小企业采购</w:t>
            </w:r>
          </w:p>
        </w:tc>
      </w:tr>
    </w:tbl>
    <w:p w14:paraId="0AE11D8F">
      <w:pPr>
        <w:keepNext w:val="0"/>
        <w:keepLines w:val="0"/>
        <w:widowControl/>
        <w:suppressLineNumbers w:val="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br w:type="page"/>
      </w:r>
    </w:p>
    <w:p w14:paraId="7881673E">
      <w:pPr>
        <w:spacing w:line="360" w:lineRule="auto"/>
        <w:jc w:val="center"/>
        <w:outlineLvl w:val="1"/>
        <w:rPr>
          <w:rFonts w:hint="eastAsia" w:ascii="宋体" w:hAnsi="宋体" w:eastAsia="宋体" w:cs="宋体"/>
          <w:b/>
          <w:bCs/>
          <w:color w:val="auto"/>
          <w:sz w:val="32"/>
          <w:szCs w:val="32"/>
          <w:highlight w:val="none"/>
          <w:lang w:val="en-US" w:eastAsia="zh-CN"/>
        </w:rPr>
      </w:pPr>
      <w:bookmarkStart w:id="94" w:name="_Toc22963"/>
      <w:bookmarkStart w:id="95" w:name="_Toc8044"/>
      <w:r>
        <w:rPr>
          <w:rFonts w:hint="eastAsia" w:ascii="宋体" w:hAnsi="宋体" w:eastAsia="宋体" w:cs="宋体"/>
          <w:b/>
          <w:bCs/>
          <w:color w:val="auto"/>
          <w:sz w:val="32"/>
          <w:szCs w:val="32"/>
          <w:highlight w:val="none"/>
          <w:lang w:eastAsia="zh-CN"/>
        </w:rPr>
        <w:t>第</w:t>
      </w:r>
      <w:r>
        <w:rPr>
          <w:rFonts w:hint="eastAsia" w:ascii="宋体" w:hAnsi="宋体" w:eastAsia="宋体" w:cs="宋体"/>
          <w:b/>
          <w:bCs/>
          <w:color w:val="auto"/>
          <w:sz w:val="32"/>
          <w:szCs w:val="32"/>
          <w:highlight w:val="none"/>
          <w:lang w:val="en-US" w:eastAsia="zh-CN"/>
        </w:rPr>
        <w:t>1包产品参数要求</w:t>
      </w:r>
      <w:bookmarkEnd w:id="94"/>
      <w:bookmarkEnd w:id="95"/>
    </w:p>
    <w:p w14:paraId="7F9CC168">
      <w:pPr>
        <w:keepNext w:val="0"/>
        <w:keepLines w:val="0"/>
        <w:pageBreakBefore w:val="0"/>
        <w:widowControl w:val="0"/>
        <w:numPr>
          <w:ilvl w:val="0"/>
          <w:numId w:val="0"/>
        </w:numPr>
        <w:tabs>
          <w:tab w:val="left" w:pos="12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color w:val="000000" w:themeColor="text1"/>
          <w:sz w:val="28"/>
          <w:szCs w:val="28"/>
          <w:highlight w:val="none"/>
          <w14:textFill>
            <w14:solidFill>
              <w14:schemeClr w14:val="tx1"/>
            </w14:solidFill>
          </w14:textFill>
        </w:rPr>
        <w:t>全自动单独滴染HE染色封片一体机</w:t>
      </w:r>
    </w:p>
    <w:p w14:paraId="7673797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1、功能：用于病理组织切片的滴染染色+盖片。</w:t>
      </w:r>
    </w:p>
    <w:p w14:paraId="77DF2547">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2</w:t>
      </w:r>
      <w:r>
        <w:rPr>
          <w:rFonts w:hint="eastAsia" w:ascii="宋体" w:hAnsi="宋体" w:eastAsia="宋体" w:cs="宋体"/>
          <w:color w:val="000000" w:themeColor="text1"/>
          <w:sz w:val="24"/>
          <w:szCs w:val="24"/>
          <w:highlight w:val="none"/>
          <w14:textFill>
            <w14:solidFill>
              <w14:schemeClr w14:val="tx1"/>
            </w14:solidFill>
          </w14:textFill>
        </w:rPr>
        <w:t>、仪器内全自动完成染色的全过程，自动完成封片过程，无需人员介入。</w:t>
      </w:r>
    </w:p>
    <w:p w14:paraId="055C27AA">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3、模块化设计：包含染色模块的自动烤片、脱蜡、染色、脱水、透明及盖片模块。</w:t>
      </w:r>
    </w:p>
    <w:p w14:paraId="6A7C1FB0">
      <w:pPr>
        <w:spacing w:line="360" w:lineRule="auto"/>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4、程序可预设多种染色程序，每套程序可设置步骤≥80个，每个步骤设置时间：1</w:t>
      </w:r>
      <w:r>
        <w:rPr>
          <w:rFonts w:hint="eastAsia" w:ascii="宋体" w:hAnsi="宋体" w:eastAsia="宋体" w:cs="宋体"/>
          <w:sz w:val="24"/>
          <w:szCs w:val="24"/>
          <w:highlight w:val="none"/>
        </w:rPr>
        <w:t>秒—59分59秒。</w:t>
      </w:r>
    </w:p>
    <w:p w14:paraId="048A3D8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5、具备滴染染色+盖片模式、单独滴染染色模式、单独盖片模式，三种模式自由选择。</w:t>
      </w:r>
    </w:p>
    <w:p w14:paraId="1C735A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6、配置专用电脑，实时显示染色位和染色进度。</w:t>
      </w:r>
    </w:p>
    <w:p w14:paraId="3582DDB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7、具备多路滴染式试剂染色。</w:t>
      </w:r>
    </w:p>
    <w:p w14:paraId="5844491A">
      <w:pPr>
        <w:spacing w:line="360" w:lineRule="auto"/>
        <w:rPr>
          <w:highlight w:val="none"/>
        </w:rPr>
      </w:pPr>
      <w:r>
        <w:rPr>
          <w:rFonts w:hint="eastAsia" w:ascii="宋体" w:hAnsi="宋体" w:eastAsia="宋体" w:cs="宋体"/>
          <w:sz w:val="24"/>
          <w:szCs w:val="24"/>
          <w:highlight w:val="none"/>
        </w:rPr>
        <w:t>8、</w:t>
      </w:r>
      <w:r>
        <w:rPr>
          <w:rFonts w:hint="eastAsia" w:ascii="宋体" w:hAnsi="宋体" w:eastAsia="宋体" w:cs="宋体"/>
          <w:color w:val="000000" w:themeColor="text1"/>
          <w:sz w:val="24"/>
          <w:szCs w:val="24"/>
          <w:highlight w:val="none"/>
          <w14:textFill>
            <w14:solidFill>
              <w14:schemeClr w14:val="tx1"/>
            </w14:solidFill>
          </w14:textFill>
        </w:rPr>
        <w:t>标本处理通量：</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sz w:val="24"/>
          <w:szCs w:val="24"/>
          <w:highlight w:val="none"/>
        </w:rPr>
        <w:t>架</w:t>
      </w:r>
      <w:r>
        <w:rPr>
          <w:rFonts w:hint="eastAsia" w:ascii="宋体" w:hAnsi="宋体" w:eastAsia="宋体" w:cs="宋体"/>
          <w:color w:val="000000" w:themeColor="text1"/>
          <w:sz w:val="24"/>
          <w:szCs w:val="24"/>
          <w:highlight w:val="none"/>
          <w14:textFill>
            <w14:solidFill>
              <w14:schemeClr w14:val="tx1"/>
            </w14:solidFill>
          </w14:textFill>
        </w:rPr>
        <w:t>60片，</w:t>
      </w:r>
      <w:r>
        <w:rPr>
          <w:rFonts w:hint="eastAsia" w:ascii="宋体" w:hAnsi="宋体" w:eastAsia="宋体" w:cs="宋体"/>
          <w:sz w:val="24"/>
          <w:szCs w:val="24"/>
          <w:highlight w:val="none"/>
        </w:rPr>
        <w:t>处理速度≥60片/小时HE组织染色封片</w:t>
      </w:r>
    </w:p>
    <w:p w14:paraId="6542460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9、烤片温度范围：室温～100℃。</w:t>
      </w:r>
    </w:p>
    <w:p w14:paraId="7076646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10、具备自动试剂管理功能：试剂不足提前预警。</w:t>
      </w:r>
    </w:p>
    <w:p w14:paraId="2204CF4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11、具备质量控制功能，实时记录每天工作量。</w:t>
      </w:r>
    </w:p>
    <w:p w14:paraId="0F9F44B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12、远程智能监控：具有远程报警、远程监控功能，可以通过网页、微信小程序、APP三个方式进行监控，实时了解设备运行状态，配置USB接口，可导出Excel的质量控制表。</w:t>
      </w:r>
    </w:p>
    <w:p w14:paraId="7BD6EBDC">
      <w:pPr>
        <w:spacing w:line="360" w:lineRule="auto"/>
        <w:rPr>
          <w:rFonts w:ascii="宋体" w:hAnsi="宋体" w:eastAsia="宋体" w:cs="宋体"/>
          <w:color w:val="FF0000"/>
          <w:sz w:val="24"/>
          <w:szCs w:val="24"/>
          <w:highlight w:val="none"/>
        </w:rPr>
      </w:pPr>
      <w:r>
        <w:rPr>
          <w:rFonts w:hint="eastAsia" w:ascii="宋体" w:hAnsi="宋体" w:eastAsia="宋体" w:cs="宋体"/>
          <w:sz w:val="24"/>
          <w:szCs w:val="24"/>
          <w:highlight w:val="none"/>
        </w:rPr>
        <w:t>13、适用盖玻片规格：24×</w:t>
      </w:r>
      <w:r>
        <w:rPr>
          <w:rFonts w:hint="eastAsia" w:hAnsi="宋体" w:cs="宋体"/>
          <w:sz w:val="24"/>
          <w:szCs w:val="24"/>
          <w:highlight w:val="none"/>
          <w:lang w:eastAsia="zh-CN"/>
        </w:rPr>
        <w:t>（</w:t>
      </w:r>
      <w:r>
        <w:rPr>
          <w:rFonts w:hint="eastAsia" w:ascii="宋体" w:hAnsi="宋体" w:eastAsia="宋体" w:cs="宋体"/>
          <w:sz w:val="24"/>
          <w:szCs w:val="24"/>
          <w:highlight w:val="none"/>
        </w:rPr>
        <w:t>40-60</w:t>
      </w:r>
      <w:r>
        <w:rPr>
          <w:rFonts w:hint="eastAsia" w:hAnsi="宋体" w:cs="宋体"/>
          <w:sz w:val="24"/>
          <w:szCs w:val="24"/>
          <w:highlight w:val="none"/>
          <w:lang w:eastAsia="zh-CN"/>
        </w:rPr>
        <w:t>）</w:t>
      </w:r>
      <w:r>
        <w:rPr>
          <w:rFonts w:hint="eastAsia" w:ascii="宋体" w:hAnsi="宋体" w:eastAsia="宋体" w:cs="宋体"/>
          <w:sz w:val="24"/>
          <w:szCs w:val="24"/>
          <w:highlight w:val="none"/>
        </w:rPr>
        <w:t>mm</w:t>
      </w:r>
    </w:p>
    <w:p w14:paraId="334931A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14、盖片方式采用圆弧压片</w:t>
      </w:r>
    </w:p>
    <w:p w14:paraId="1531902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15、染色和封片在一台机器内，无需人工转运</w:t>
      </w:r>
    </w:p>
    <w:p w14:paraId="499B2EAD">
      <w:pPr>
        <w:tabs>
          <w:tab w:val="left" w:pos="0"/>
        </w:tabs>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color w:val="000000"/>
          <w:sz w:val="24"/>
          <w:szCs w:val="24"/>
          <w:highlight w:val="none"/>
        </w:rPr>
        <w:t>具有坏盖破片智能检测功能，并自动处理</w:t>
      </w:r>
    </w:p>
    <w:p w14:paraId="73218C3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color w:val="000000"/>
          <w:sz w:val="24"/>
          <w:szCs w:val="24"/>
          <w:highlight w:val="none"/>
        </w:rPr>
        <w:t>具有无盖玻片和盖玻片余量智能检测并进行提示功能</w:t>
      </w:r>
    </w:p>
    <w:p w14:paraId="51653099">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18、具有≥10张玻片同步进行染色流程</w:t>
      </w:r>
    </w:p>
    <w:p w14:paraId="6119B591">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08F1DA75">
      <w:pPr>
        <w:spacing w:line="360" w:lineRule="auto"/>
        <w:jc w:val="center"/>
        <w:outlineLvl w:val="1"/>
        <w:rPr>
          <w:rFonts w:hint="eastAsia" w:ascii="宋体" w:hAnsi="宋体" w:eastAsia="宋体" w:cs="宋体"/>
          <w:b/>
          <w:bCs/>
          <w:color w:val="auto"/>
          <w:sz w:val="32"/>
          <w:szCs w:val="32"/>
          <w:highlight w:val="none"/>
          <w:lang w:val="en-US" w:eastAsia="zh-CN"/>
        </w:rPr>
      </w:pPr>
      <w:bookmarkStart w:id="96" w:name="_Toc1510"/>
      <w:r>
        <w:rPr>
          <w:rFonts w:hint="eastAsia" w:ascii="宋体" w:hAnsi="宋体" w:eastAsia="宋体" w:cs="宋体"/>
          <w:b/>
          <w:bCs/>
          <w:color w:val="auto"/>
          <w:sz w:val="32"/>
          <w:szCs w:val="32"/>
          <w:highlight w:val="none"/>
          <w:lang w:eastAsia="zh-CN"/>
        </w:rPr>
        <w:t>第</w:t>
      </w:r>
      <w:r>
        <w:rPr>
          <w:rFonts w:hint="eastAsia" w:hAnsi="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en-US" w:eastAsia="zh-CN"/>
        </w:rPr>
        <w:t>包产品参数要求</w:t>
      </w:r>
      <w:bookmarkEnd w:id="96"/>
    </w:p>
    <w:bookmarkEnd w:id="31"/>
    <w:bookmarkEnd w:id="62"/>
    <w:bookmarkEnd w:id="63"/>
    <w:bookmarkEnd w:id="64"/>
    <w:bookmarkEnd w:id="65"/>
    <w:bookmarkEnd w:id="66"/>
    <w:bookmarkEnd w:id="67"/>
    <w:bookmarkEnd w:id="68"/>
    <w:bookmarkEnd w:id="89"/>
    <w:bookmarkEnd w:id="90"/>
    <w:bookmarkEnd w:id="91"/>
    <w:bookmarkEnd w:id="92"/>
    <w:bookmarkEnd w:id="93"/>
    <w:p w14:paraId="56833898">
      <w:pPr>
        <w:keepNext w:val="0"/>
        <w:keepLines w:val="0"/>
        <w:pageBreakBefore w:val="0"/>
        <w:tabs>
          <w:tab w:val="left" w:pos="270"/>
        </w:tabs>
        <w:kinsoku/>
        <w:wordWrap/>
        <w:overflowPunct/>
        <w:topLinePunct w:val="0"/>
        <w:autoSpaceDE/>
        <w:autoSpaceDN/>
        <w:bidi w:val="0"/>
        <w:adjustRightInd w:val="0"/>
        <w:snapToGrid w:val="0"/>
        <w:spacing w:line="360" w:lineRule="auto"/>
        <w:jc w:val="center"/>
        <w:outlineLvl w:val="9"/>
        <w:rPr>
          <w:rFonts w:hint="eastAsia" w:ascii="宋体" w:hAnsi="宋体" w:eastAsia="宋体" w:cs="宋体"/>
          <w:sz w:val="28"/>
          <w:szCs w:val="28"/>
          <w:highlight w:val="none"/>
          <w:lang w:val="en-US" w:eastAsia="zh-CN"/>
        </w:rPr>
      </w:pPr>
      <w:bookmarkStart w:id="97" w:name="_Toc20163"/>
      <w:bookmarkStart w:id="98" w:name="_Toc22538"/>
      <w:bookmarkStart w:id="99" w:name="_Toc8126"/>
      <w:bookmarkStart w:id="100" w:name="_Toc426457698"/>
      <w:bookmarkStart w:id="101" w:name="_Toc8830"/>
      <w:bookmarkStart w:id="102" w:name="_Toc363474025"/>
      <w:bookmarkStart w:id="103" w:name="_Toc28411"/>
      <w:r>
        <w:rPr>
          <w:rFonts w:hint="eastAsia" w:ascii="宋体" w:hAnsi="宋体" w:eastAsia="宋体" w:cs="宋体"/>
          <w:b/>
          <w:sz w:val="28"/>
          <w:szCs w:val="28"/>
          <w:highlight w:val="none"/>
        </w:rPr>
        <w:t>盆底康复治疗仪</w:t>
      </w:r>
    </w:p>
    <w:p w14:paraId="5340892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总体要求：</w:t>
      </w:r>
    </w:p>
    <w:p w14:paraId="5BA19FBA">
      <w:pPr>
        <w:keepNext w:val="0"/>
        <w:keepLines w:val="0"/>
        <w:pageBreakBefore w:val="0"/>
        <w:widowControl w:val="0"/>
        <w:numPr>
          <w:ilvl w:val="0"/>
          <w:numId w:val="5"/>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适应范</w:t>
      </w:r>
      <w:r>
        <w:rPr>
          <w:rFonts w:hint="eastAsia" w:ascii="宋体" w:hAnsi="宋体" w:eastAsia="宋体" w:cs="宋体"/>
          <w:color w:val="000000" w:themeColor="text1"/>
          <w:kern w:val="0"/>
          <w:sz w:val="24"/>
          <w:szCs w:val="24"/>
          <w:highlight w:val="none"/>
          <w14:textFill>
            <w14:solidFill>
              <w14:schemeClr w14:val="tx1"/>
            </w14:solidFill>
          </w14:textFill>
        </w:rPr>
        <w:t>围必须包</w:t>
      </w:r>
      <w:r>
        <w:rPr>
          <w:rFonts w:hint="eastAsia" w:ascii="宋体" w:hAnsi="宋体" w:eastAsia="宋体" w:cs="宋体"/>
          <w:kern w:val="0"/>
          <w:sz w:val="24"/>
          <w:szCs w:val="24"/>
          <w:highlight w:val="none"/>
        </w:rPr>
        <w:t>括肌电信号采集、分析功能。</w:t>
      </w:r>
    </w:p>
    <w:p w14:paraId="0FA25D2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硬件要求：</w:t>
      </w:r>
    </w:p>
    <w:p w14:paraId="3284B255">
      <w:pPr>
        <w:keepNext w:val="0"/>
        <w:keepLines w:val="0"/>
        <w:pageBreakBefore w:val="0"/>
        <w:widowControl w:val="0"/>
        <w:numPr>
          <w:ilvl w:val="0"/>
          <w:numId w:val="5"/>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主机：集成化一体式机箱设计</w:t>
      </w:r>
      <w:r>
        <w:rPr>
          <w:rFonts w:hint="eastAsia" w:hAnsi="宋体" w:cs="宋体"/>
          <w:kern w:val="0"/>
          <w:sz w:val="24"/>
          <w:szCs w:val="24"/>
          <w:highlight w:val="none"/>
          <w:lang w:eastAsia="zh-CN"/>
        </w:rPr>
        <w:t>。</w:t>
      </w:r>
    </w:p>
    <w:p w14:paraId="70EF2A9B">
      <w:pPr>
        <w:keepNext w:val="0"/>
        <w:keepLines w:val="0"/>
        <w:pageBreakBefore w:val="0"/>
        <w:widowControl w:val="0"/>
        <w:numPr>
          <w:ilvl w:val="0"/>
          <w:numId w:val="5"/>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主机多功能物理通道≥4个，其中≥4个电刺激通道（STIM），≥3个肌电采集通道（EMG）。</w:t>
      </w:r>
    </w:p>
    <w:p w14:paraId="56443593">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可调节电流强度，每个通道均设置各自的独立控制，可实现多通道不同强度刺激。</w:t>
      </w:r>
    </w:p>
    <w:p w14:paraId="66824922">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肌电采集范围：2-2500μV（r.m.s）</w:t>
      </w:r>
    </w:p>
    <w:p w14:paraId="6D296435">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分辨率：≤0.5μV（r.m.s）</w:t>
      </w:r>
    </w:p>
    <w:p w14:paraId="1430FB01">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通频带：20Hz～520Hz</w:t>
      </w:r>
    </w:p>
    <w:p w14:paraId="50421DF4">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刺激电流强度：0-100mA可调，步进0.5mA。</w:t>
      </w:r>
    </w:p>
    <w:p w14:paraId="0FCFA319">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电刺激脉冲宽度：50-900μs可调，步进10μs。</w:t>
      </w:r>
    </w:p>
    <w:p w14:paraId="043DB88C">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电刺激脉冲频率：1-500Hz可调，步进1Hz。</w:t>
      </w:r>
    </w:p>
    <w:p w14:paraId="51467A05">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上升/下降时间：0s～18s可调。</w:t>
      </w:r>
    </w:p>
    <w:p w14:paraId="6A5350D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软件参数:</w:t>
      </w:r>
    </w:p>
    <w:p w14:paraId="39029896">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筛查模式用于短时间内筛查出盆底肌异常者。快速筛查耗时≤1分钟，标准筛查耗时≤3分钟。快速筛查和标准筛查指标包括：前静息平均值、前静息变异性、快速收缩上升时间、快速收缩最大值、快速收缩下降时间、持续收缩平均值、持续收缩变异性、后静息平均值、后静息变异性等。</w:t>
      </w:r>
    </w:p>
    <w:p w14:paraId="1486A371">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盆底表面肌电标准评估（Glazer评估），对盆底肌肉进行全面且标准化的评估，耗时≤6分钟。评估指标包括：前静息平均值，前静息变异性，快速收缩上升时间，快速收缩最大值，快速收缩下降时间，持续收缩平均值，持续收缩变异性，耐久收缩平均值、耐久收缩变异性、耐久收缩后前10秒比值、后静息平均值，后静息变异性等。</w:t>
      </w:r>
    </w:p>
    <w:p w14:paraId="3FDC49C0">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肌电筛查、评估报告包括筛查、评估指标数值、参考值、盆底肌肌电图、腹肌肌电图、报告简要解读说明和治疗建议。</w:t>
      </w:r>
    </w:p>
    <w:p w14:paraId="007DDFFC">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系统自动对筛查、评估的每个阶段进行打分，并计算出整个过程的最终得分。</w:t>
      </w:r>
    </w:p>
    <w:p w14:paraId="0CF274E2">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筛查、评估和治疗过程中，系统提供语音指导。</w:t>
      </w:r>
    </w:p>
    <w:p w14:paraId="2C6714D7">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系统在监测盆底肌电信号时，若腹肌肌电幅值高于阈值，则自动弹出提示标志，提醒患者减少腹部发力。</w:t>
      </w:r>
    </w:p>
    <w:p w14:paraId="068F3C44">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sz w:val="24"/>
          <w:szCs w:val="24"/>
          <w:highlight w:val="none"/>
        </w:rPr>
        <w:t>系统可根据盆底筛查或评估结果自动生成针对不同患者的疗程化盆底训练方案。</w:t>
      </w:r>
    </w:p>
    <w:p w14:paraId="0E811000">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sz w:val="24"/>
          <w:szCs w:val="24"/>
          <w:highlight w:val="none"/>
        </w:rPr>
        <w:t>系统支持自动生成磁电联合疗程化治疗方案，并实现与同品牌磁刺激类设备的实时数据同步共享。</w:t>
      </w:r>
    </w:p>
    <w:p w14:paraId="51242B8A">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p w14:paraId="634B61F5">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具有多种治疗模式，包括神经肌肉电刺激、肌电触发电刺激、Kegel模板训练、多媒体游戏训练。</w:t>
      </w:r>
    </w:p>
    <w:p w14:paraId="0DE56630">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单个电刺激治疗可设置变频模式，实现刺激过程中≥2种频率以及脉宽之间转换。</w:t>
      </w:r>
    </w:p>
    <w:p w14:paraId="50BBE6A6">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肌电触发电刺激模式包括阈值上刺激和阈值下刺激，系统可根据肌肉收缩情况自动调整阈值。</w:t>
      </w:r>
    </w:p>
    <w:p w14:paraId="30DC2EAE">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Kegel训练可采用肌电值和MVC%（最大随意收缩力的百分比）两种模式。其中MVC%模式可根据患者的自身情况，调节模板训练的难度，有助于科学训练。</w:t>
      </w:r>
    </w:p>
    <w:p w14:paraId="5FDFE015">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触发电刺激、Kegel训练可查看训练记录，且Kegel训练可查看训练期间的盆底肌肌电图和腹肌肌电图。</w:t>
      </w:r>
    </w:p>
    <w:p w14:paraId="16F1C717">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系统可对多个筛查评估结果进行趋势分析，并自动绘制趋势分析折线图，显示不同阶段的结果。可自由选择需要分析的检测类型和不同时间段的盆底肌电报告。</w:t>
      </w:r>
    </w:p>
    <w:p w14:paraId="515D4A33">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系统支持扫码读取患者信息，标配扫描器，通过扫描器可识别患者在手机端填写的基本信息，实现扫码后读取所填写的全部信息并在设备中自动建立病患档案，其中信息至少包括姓名、电话、出生日期、身份证号、身高、体重、分娩史、分娩情况等。</w:t>
      </w:r>
    </w:p>
    <w:p w14:paraId="0912D475">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系统支持与盆底疾病分级诊疗信息软件的数据同步，实现医联体组建、共享数据、科研协作、病患转诊、患者预约、本地病员管理等功能。</w:t>
      </w:r>
    </w:p>
    <w:p w14:paraId="2A2219FC">
      <w:pPr>
        <w:keepNext w:val="0"/>
        <w:keepLines w:val="0"/>
        <w:pageBreakBefore w:val="0"/>
        <w:widowControl w:val="0"/>
        <w:numPr>
          <w:ilvl w:val="0"/>
          <w:numId w:val="6"/>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系统支持患者通过手机实时进行医院的诊疗预约，医生可通过预约软件对患者预约信息进行管理。医生可对诊疗预约进行个性化设置，包括：最大预约次数、允许预约时间、预约设备管理和预约时间段管理等。</w:t>
      </w:r>
    </w:p>
    <w:p w14:paraId="14FCBFA3">
      <w:pPr>
        <w:rPr>
          <w:rFonts w:hint="eastAsia" w:hAnsi="宋体" w:cs="Times New Roman"/>
          <w:b/>
          <w:sz w:val="24"/>
          <w:szCs w:val="24"/>
          <w:highlight w:val="none"/>
          <w:lang w:val="en-US" w:eastAsia="zh-CN"/>
        </w:rPr>
      </w:pPr>
      <w:r>
        <w:rPr>
          <w:rFonts w:hint="eastAsia" w:hAnsi="宋体" w:cs="Times New Roman"/>
          <w:b/>
          <w:sz w:val="24"/>
          <w:szCs w:val="24"/>
          <w:highlight w:val="none"/>
          <w:lang w:val="en-US" w:eastAsia="zh-CN"/>
        </w:rPr>
        <w:br w:type="page"/>
      </w:r>
    </w:p>
    <w:p w14:paraId="4654D5D1">
      <w:pPr>
        <w:keepNext w:val="0"/>
        <w:keepLines w:val="0"/>
        <w:pageBreakBefore w:val="0"/>
        <w:tabs>
          <w:tab w:val="left" w:pos="270"/>
        </w:tabs>
        <w:kinsoku/>
        <w:wordWrap/>
        <w:overflowPunct/>
        <w:topLinePunct w:val="0"/>
        <w:autoSpaceDE/>
        <w:autoSpaceDN/>
        <w:bidi w:val="0"/>
        <w:adjustRightInd w:val="0"/>
        <w:snapToGrid w:val="0"/>
        <w:spacing w:line="360" w:lineRule="auto"/>
        <w:jc w:val="center"/>
        <w:outlineLvl w:val="9"/>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胶囊胃镜</w:t>
      </w:r>
    </w:p>
    <w:p w14:paraId="20AE8024">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b/>
          <w:bCs/>
          <w:sz w:val="24"/>
          <w:highlight w:val="none"/>
        </w:rPr>
      </w:pPr>
      <w:r>
        <w:rPr>
          <w:rFonts w:hint="eastAsia" w:ascii="宋体" w:hAnsi="宋体" w:cs="宋体"/>
          <w:b/>
          <w:bCs/>
          <w:sz w:val="24"/>
          <w:highlight w:val="none"/>
        </w:rPr>
        <w:t xml:space="preserve">一、胶囊式内窥镜系统 </w:t>
      </w:r>
    </w:p>
    <w:p w14:paraId="2AED7E19">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1.适用范围：用于采集和查看胃和小肠图像</w:t>
      </w:r>
    </w:p>
    <w:p w14:paraId="2B54ED6E">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b/>
          <w:bCs/>
          <w:sz w:val="24"/>
          <w:highlight w:val="none"/>
        </w:rPr>
      </w:pPr>
      <w:r>
        <w:rPr>
          <w:rFonts w:hint="eastAsia" w:ascii="宋体" w:hAnsi="宋体" w:cs="宋体"/>
          <w:b/>
          <w:bCs/>
          <w:sz w:val="24"/>
          <w:highlight w:val="none"/>
        </w:rPr>
        <w:t>2.图像记录仪：</w:t>
      </w:r>
    </w:p>
    <w:p w14:paraId="08753F5D">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图像记录仪采用可分离多天线设计，固定在受检者腰部位置，用来保证检查覆盖区域能够接收到胶囊内窥镜传输的图像信号</w:t>
      </w:r>
    </w:p>
    <w:p w14:paraId="6794F0F1">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2.1存储容量：≥2</w:t>
      </w:r>
      <w:r>
        <w:rPr>
          <w:rFonts w:hint="eastAsia" w:ascii="宋体" w:hAnsi="宋体" w:cs="宋体"/>
          <w:sz w:val="24"/>
          <w:highlight w:val="none"/>
          <w:lang w:val="en-US" w:eastAsia="zh-CN"/>
        </w:rPr>
        <w:t>0</w:t>
      </w:r>
      <w:r>
        <w:rPr>
          <w:rFonts w:hint="eastAsia" w:ascii="宋体" w:hAnsi="宋体" w:cs="宋体"/>
          <w:sz w:val="24"/>
          <w:highlight w:val="none"/>
        </w:rPr>
        <w:t xml:space="preserve">GB </w:t>
      </w:r>
    </w:p>
    <w:p w14:paraId="0D246A17">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2.2连续工作时间：≥10h</w:t>
      </w:r>
    </w:p>
    <w:p w14:paraId="099F8EE9">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2.3天线单元数量：≥4个</w:t>
      </w:r>
    </w:p>
    <w:p w14:paraId="6659C24F">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2.4显示：带彩色LED屏，可以从屏幕显示胶囊图片，也可传输电脑显示，两种实时监控方式</w:t>
      </w:r>
    </w:p>
    <w:p w14:paraId="24AAB2C0">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2.5内部电源：内置锂离子电池,≥12000mAh</w:t>
      </w:r>
    </w:p>
    <w:p w14:paraId="251ED7A8">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2.6具备胶囊电池低电量提醒功能</w:t>
      </w:r>
    </w:p>
    <w:p w14:paraId="5C4420D2">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2.7具备数据安全保护功能：保留≥5个病例</w:t>
      </w:r>
    </w:p>
    <w:p w14:paraId="60F9F74E">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b/>
          <w:bCs/>
          <w:sz w:val="24"/>
          <w:highlight w:val="none"/>
        </w:rPr>
      </w:pPr>
      <w:r>
        <w:rPr>
          <w:rFonts w:hint="eastAsia" w:ascii="宋体" w:hAnsi="宋体" w:cs="宋体"/>
          <w:b/>
          <w:bCs/>
          <w:sz w:val="24"/>
          <w:highlight w:val="none"/>
        </w:rPr>
        <w:t>3.胶囊内镜系统软件：</w:t>
      </w:r>
    </w:p>
    <w:p w14:paraId="4596D36B">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3.1能够实时监控胶囊拍摄图像</w:t>
      </w:r>
    </w:p>
    <w:p w14:paraId="4C773B3B">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3.2简体中文界面</w:t>
      </w:r>
    </w:p>
    <w:p w14:paraId="14A65AE9">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 xml:space="preserve">3.3可休眠及实时查看功能：可休眠正在工作的胶囊，亦可实时查看胶囊拍摄图像，可控制胶囊休眠，显示胶囊的姿态；可显示当前控制状态； </w:t>
      </w:r>
    </w:p>
    <w:p w14:paraId="16529BD1">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3.4输出格式：BMP格式、AVI格式视频，WORD、PDF格式报告单。</w:t>
      </w:r>
    </w:p>
    <w:p w14:paraId="778A1A32">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3.5信息管理：可按查询条件查找目标患者，可导入和导出患者数据，可数据转换，通过USB接口可下载记录仪的图像</w:t>
      </w:r>
    </w:p>
    <w:p w14:paraId="4C7DA1A2">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3.6图像浏览及处理：可浏览、标记患者图片，编辑，显示颜色信息，图像增强、色彩增强、相似图片排除</w:t>
      </w:r>
    </w:p>
    <w:p w14:paraId="34084E27">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3.7查看速率：1~30fps。</w:t>
      </w:r>
    </w:p>
    <w:p w14:paraId="3EBDD01B">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3.8显示数据：时间/图像色带，胃肠道分割显色等</w:t>
      </w:r>
    </w:p>
    <w:p w14:paraId="00B7BB6F">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3.9查看模式：单一视图，双视图，四视图，六视图，八视图及十五视图</w:t>
      </w:r>
    </w:p>
    <w:p w14:paraId="2A87D3B7">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3.10能实时监控1台图像记录仪，4个下载队列软件具有用户管理、数据管理、实时监控、数据导入导出、病例管理、图片浏览、报告编辑及生成和对接医院PACS等功能；</w:t>
      </w:r>
    </w:p>
    <w:p w14:paraId="3B25923B">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b/>
          <w:bCs/>
          <w:sz w:val="24"/>
          <w:highlight w:val="none"/>
        </w:rPr>
      </w:pPr>
      <w:r>
        <w:rPr>
          <w:rFonts w:hint="eastAsia" w:ascii="宋体" w:hAnsi="宋体" w:cs="宋体"/>
          <w:b/>
          <w:bCs/>
          <w:sz w:val="24"/>
          <w:highlight w:val="none"/>
        </w:rPr>
        <w:t>4.一次性胶囊式内窥镜</w:t>
      </w:r>
    </w:p>
    <w:p w14:paraId="5BEF8D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4.1物理特性：</w:t>
      </w:r>
    </w:p>
    <w:p w14:paraId="4AF6AC93">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4.1.1材料：医用高分子材料</w:t>
      </w:r>
    </w:p>
    <w:p w14:paraId="16F2AAED">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4.1.2尺寸：直径 ≤12mm±0.5mm；长度 ≤31.0mm±1.0mm；</w:t>
      </w:r>
    </w:p>
    <w:p w14:paraId="46660FB0">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4.1.3质量 5.5±0.5g</w:t>
      </w:r>
    </w:p>
    <w:p w14:paraId="0F59F33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4.2光学特性         </w:t>
      </w:r>
    </w:p>
    <w:p w14:paraId="03E8D6CE">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4.2.1顶点视场角 160°±15%</w:t>
      </w:r>
    </w:p>
    <w:p w14:paraId="37DC668C">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4.2.2景深  0~35mm</w:t>
      </w:r>
    </w:p>
    <w:p w14:paraId="7BC41B1A">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4.2.3分辨力</w:t>
      </w:r>
      <w:r>
        <w:rPr>
          <w:rFonts w:ascii="Arial" w:hAnsi="Arial" w:cs="Arial"/>
          <w:sz w:val="24"/>
          <w:highlight w:val="none"/>
        </w:rPr>
        <w:t>≥</w:t>
      </w:r>
      <w:r>
        <w:rPr>
          <w:rFonts w:hint="eastAsia" w:ascii="宋体" w:hAnsi="宋体" w:cs="宋体"/>
          <w:sz w:val="24"/>
          <w:highlight w:val="none"/>
        </w:rPr>
        <w:t xml:space="preserve">  8lp/mm</w:t>
      </w:r>
    </w:p>
    <w:p w14:paraId="43CA9498">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4.2.4分辨率</w:t>
      </w:r>
      <w:r>
        <w:rPr>
          <w:rFonts w:ascii="Arial" w:hAnsi="Arial" w:cs="Arial"/>
          <w:sz w:val="24"/>
          <w:highlight w:val="none"/>
        </w:rPr>
        <w:t>≥</w:t>
      </w:r>
      <w:r>
        <w:rPr>
          <w:rFonts w:hint="eastAsia" w:ascii="宋体" w:hAnsi="宋体" w:cs="宋体"/>
          <w:sz w:val="24"/>
          <w:highlight w:val="none"/>
        </w:rPr>
        <w:t xml:space="preserve"> 512×512</w:t>
      </w:r>
    </w:p>
    <w:p w14:paraId="7950079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4.3操作特性        </w:t>
      </w:r>
    </w:p>
    <w:p w14:paraId="23604AE7">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4.3.1帧速率：拍摄帧率≥2</w:t>
      </w:r>
    </w:p>
    <w:p w14:paraId="4C625B54">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sz w:val="24"/>
          <w:highlight w:val="none"/>
        </w:rPr>
      </w:pPr>
      <w:r>
        <w:rPr>
          <w:rFonts w:hint="eastAsia" w:ascii="宋体" w:hAnsi="宋体" w:cs="宋体"/>
          <w:sz w:val="24"/>
          <w:highlight w:val="none"/>
        </w:rPr>
        <w:t>4.3.2工作时间 ：≥9h</w:t>
      </w:r>
    </w:p>
    <w:p w14:paraId="3A31699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hint="eastAsia" w:ascii="宋体" w:hAnsi="宋体" w:eastAsia="宋体" w:cs="宋体"/>
          <w:b/>
          <w:bCs/>
          <w:sz w:val="24"/>
          <w:szCs w:val="24"/>
          <w:highlight w:val="none"/>
        </w:rPr>
        <w:t xml:space="preserve">4.4其它特性  </w:t>
      </w:r>
    </w:p>
    <w:p w14:paraId="4F4C24F2">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sz w:val="24"/>
          <w:highlight w:val="none"/>
        </w:rPr>
      </w:pPr>
      <w:r>
        <w:rPr>
          <w:rFonts w:hint="eastAsia" w:ascii="宋体" w:hAnsi="宋体" w:cs="宋体"/>
          <w:sz w:val="24"/>
          <w:highlight w:val="none"/>
        </w:rPr>
        <w:t>4.4.1电池类型：锂二氧化锰</w:t>
      </w:r>
    </w:p>
    <w:p w14:paraId="4BC1DF4E">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sz w:val="24"/>
          <w:highlight w:val="none"/>
        </w:rPr>
      </w:pPr>
      <w:r>
        <w:rPr>
          <w:rFonts w:hint="eastAsia" w:ascii="宋体" w:hAnsi="宋体" w:cs="宋体"/>
          <w:sz w:val="24"/>
          <w:highlight w:val="none"/>
        </w:rPr>
        <w:t>4.4.2电池电压 3Vd.c</w:t>
      </w:r>
    </w:p>
    <w:p w14:paraId="5DE9C61A">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sz w:val="24"/>
          <w:highlight w:val="none"/>
        </w:rPr>
      </w:pPr>
      <w:r>
        <w:rPr>
          <w:rFonts w:hint="eastAsia" w:ascii="宋体" w:hAnsi="宋体" w:cs="宋体"/>
          <w:sz w:val="24"/>
          <w:highlight w:val="none"/>
        </w:rPr>
        <w:t xml:space="preserve">4.4.3密封性 </w:t>
      </w:r>
      <w:r>
        <w:rPr>
          <w:rFonts w:ascii="Arial" w:hAnsi="Arial" w:cs="Arial"/>
          <w:sz w:val="24"/>
          <w:highlight w:val="none"/>
        </w:rPr>
        <w:t>≥</w:t>
      </w:r>
      <w:r>
        <w:rPr>
          <w:rFonts w:hint="eastAsia" w:ascii="宋体" w:hAnsi="宋体" w:cs="宋体"/>
          <w:sz w:val="24"/>
          <w:highlight w:val="none"/>
        </w:rPr>
        <w:t xml:space="preserve"> IPX8</w:t>
      </w:r>
    </w:p>
    <w:p w14:paraId="293737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lang w:eastAsia="zh-CN"/>
        </w:rPr>
      </w:pPr>
      <w:r>
        <w:rPr>
          <w:rFonts w:hint="eastAsia" w:ascii="宋体" w:hAnsi="宋体" w:cs="宋体"/>
          <w:sz w:val="24"/>
          <w:highlight w:val="none"/>
        </w:rPr>
        <w:t>4.4.4 胶囊磁场强度 10-30mT</w:t>
      </w:r>
    </w:p>
    <w:p w14:paraId="3ECDBFE9">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571A4360">
      <w:pPr>
        <w:spacing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第</w:t>
      </w:r>
      <w:r>
        <w:rPr>
          <w:rFonts w:hint="eastAsia"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包产品参数要求</w:t>
      </w:r>
      <w:bookmarkEnd w:id="97"/>
    </w:p>
    <w:p w14:paraId="63EA885F">
      <w:pPr>
        <w:jc w:val="center"/>
        <w:rPr>
          <w:rFonts w:hint="eastAsia" w:ascii="宋体" w:hAnsi="宋体" w:eastAsia="宋体" w:cs="宋体"/>
          <w:color w:val="auto"/>
          <w:sz w:val="28"/>
          <w:szCs w:val="28"/>
          <w:highlight w:val="none"/>
        </w:rPr>
      </w:pPr>
      <w:r>
        <w:rPr>
          <w:rFonts w:hint="eastAsia" w:ascii="宋体" w:hAnsi="宋体" w:eastAsia="宋体" w:cs="宋体"/>
          <w:b/>
          <w:sz w:val="28"/>
          <w:szCs w:val="28"/>
          <w:highlight w:val="none"/>
        </w:rPr>
        <w:t>多功能产床（家化版）</w:t>
      </w:r>
    </w:p>
    <w:p w14:paraId="50DB389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b/>
          <w:bCs/>
          <w:sz w:val="28"/>
          <w:szCs w:val="28"/>
          <w:highlight w:val="none"/>
        </w:rPr>
      </w:pPr>
      <w:r>
        <w:rPr>
          <w:rFonts w:hint="eastAsia" w:ascii="宋体" w:hAnsi="宋体" w:eastAsia="宋体" w:cs="宋体"/>
          <w:b/>
          <w:bCs/>
          <w:sz w:val="28"/>
          <w:szCs w:val="28"/>
          <w:highlight w:val="none"/>
        </w:rPr>
        <w:t>1性能要求：</w:t>
      </w:r>
    </w:p>
    <w:p w14:paraId="1A66B7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1.1能转换椅式体位，床面高度、背板、坐板、搁手板、辅助台均可调节，能</w:t>
      </w:r>
      <w:r>
        <w:rPr>
          <w:rFonts w:hint="eastAsia" w:ascii="宋体" w:hAnsi="宋体" w:eastAsia="宋体" w:cs="宋体"/>
          <w:color w:val="000000" w:themeColor="text1"/>
          <w:sz w:val="24"/>
          <w:szCs w:val="24"/>
          <w:highlight w:val="none"/>
          <w14:textFill>
            <w14:solidFill>
              <w14:schemeClr w14:val="tx1"/>
            </w14:solidFill>
          </w14:textFill>
        </w:rPr>
        <w:t>快速</w:t>
      </w:r>
      <w:r>
        <w:rPr>
          <w:rFonts w:hint="eastAsia" w:ascii="宋体" w:hAnsi="宋体" w:eastAsia="宋体" w:cs="宋体"/>
          <w:sz w:val="24"/>
          <w:szCs w:val="24"/>
          <w:highlight w:val="none"/>
        </w:rPr>
        <w:t>变换各个体位。</w:t>
      </w:r>
    </w:p>
    <w:p w14:paraId="66D9074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1.2刹车系统采用电动控制一键操作，脚轮采用中控脚轮；</w:t>
      </w:r>
    </w:p>
    <w:p w14:paraId="62662C7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1.3配备有音响，可进行蓝牙连接，播放系统；</w:t>
      </w:r>
    </w:p>
    <w:p w14:paraId="62C80FD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1.4护栏采用高强度塑料成型，内外侧镶嵌操作按钮，护栏使用时即可当握把抓握又起到侧边保护作用。不用时可向下隐藏；</w:t>
      </w:r>
    </w:p>
    <w:p w14:paraId="73FB035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1.5坐板两侧装有搁手板，搁手板升降高度≥250mm。搁手板侧边配有拉手可调节角度，不用时可以隐藏。</w:t>
      </w:r>
    </w:p>
    <w:p w14:paraId="02D024E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1.6辅助台功能多样，可上下升降，可上折角度，并且可以在分娩时隐藏到背板下方。辅助台升降高度≥170mm；</w:t>
      </w:r>
    </w:p>
    <w:p w14:paraId="19CEF80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1.7床垫采用可脱卸式全防水皮垫；</w:t>
      </w:r>
    </w:p>
    <w:p w14:paraId="34D9463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1.8具有不间断电源系统；</w:t>
      </w:r>
    </w:p>
    <w:p w14:paraId="0FF46B2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1.9隐藏式污物盆在不使用时可以隐藏在坐板下方，使用时旋转摆出，污物盆位置前后可调节，能精确调整到使用位置；</w:t>
      </w:r>
    </w:p>
    <w:p w14:paraId="341F2CD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1.10脚板操作简便，能一键操作外摆与上折，同时脚板下方装有搁腿架，脚板摆动角度：外摆≥90°，上折≥90°；</w:t>
      </w:r>
    </w:p>
    <w:p w14:paraId="5848DC2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1.11输液架插口位置可调节，输液架支撑架可旋转调节，调节角度≥90°</w:t>
      </w:r>
    </w:p>
    <w:p w14:paraId="7BFC0E6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1.12头板、脚板易于拆卸，配备大扶手方便抓握；</w:t>
      </w:r>
    </w:p>
    <w:p w14:paraId="60BF8A9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1.13整床电动控制为≥6电机控制；</w:t>
      </w:r>
    </w:p>
    <w:p w14:paraId="66D4281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1.14使用寿命≥10年；</w:t>
      </w:r>
    </w:p>
    <w:p w14:paraId="1EA40AB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b/>
          <w:bCs/>
          <w:sz w:val="28"/>
          <w:szCs w:val="28"/>
          <w:highlight w:val="none"/>
        </w:rPr>
      </w:pPr>
      <w:r>
        <w:rPr>
          <w:rFonts w:hint="eastAsia" w:ascii="宋体" w:hAnsi="宋体" w:eastAsia="宋体" w:cs="宋体"/>
          <w:b/>
          <w:bCs/>
          <w:sz w:val="28"/>
          <w:szCs w:val="28"/>
          <w:highlight w:val="none"/>
        </w:rPr>
        <w:t>2技术要求：</w:t>
      </w:r>
    </w:p>
    <w:p w14:paraId="6BECB55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2.1床体尺寸：长度≥2000mm 宽度≥950mm；</w:t>
      </w:r>
    </w:p>
    <w:p w14:paraId="7F3E35B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2.2床面尺寸：长度≥1950mm 宽度≥800mm；</w:t>
      </w:r>
    </w:p>
    <w:p w14:paraId="675ABA5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2.3床面高度：最低≤650mm 最高≥750mm（不含皮垫）；</w:t>
      </w:r>
    </w:p>
    <w:p w14:paraId="73F89E3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2.4背板折转角度：下折≥-12° 上折≥65°；</w:t>
      </w:r>
    </w:p>
    <w:p w14:paraId="456FAC0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2.5坐板上折角度：上折≥12°；</w:t>
      </w:r>
    </w:p>
    <w:p w14:paraId="392735F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2.6床面前后倾角度：后倾≥10°；</w:t>
      </w:r>
    </w:p>
    <w:p w14:paraId="61B5EA7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2.7搁手板升降高度≥250mm；</w:t>
      </w:r>
    </w:p>
    <w:p w14:paraId="3FE00A6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2.8辅助台升降高度≥170mm；</w:t>
      </w:r>
    </w:p>
    <w:p w14:paraId="68A68AD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2.9脚板摆动角度：外摆≥90°，上折≥90°；</w:t>
      </w:r>
    </w:p>
    <w:p w14:paraId="0D3D376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b/>
          <w:bCs/>
          <w:sz w:val="28"/>
          <w:szCs w:val="28"/>
          <w:highlight w:val="none"/>
        </w:rPr>
      </w:pPr>
      <w:r>
        <w:rPr>
          <w:rFonts w:hint="eastAsia" w:ascii="宋体" w:hAnsi="宋体" w:eastAsia="宋体" w:cs="宋体"/>
          <w:b/>
          <w:bCs/>
          <w:sz w:val="28"/>
          <w:szCs w:val="28"/>
          <w:highlight w:val="none"/>
        </w:rPr>
        <w:t>3配置要求：</w:t>
      </w:r>
    </w:p>
    <w:p w14:paraId="79C100B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3.1产病床    1台</w:t>
      </w:r>
    </w:p>
    <w:p w14:paraId="020FCB3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3.2床头板    1个</w:t>
      </w:r>
    </w:p>
    <w:p w14:paraId="10BE401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3.3小扶手    1付</w:t>
      </w:r>
    </w:p>
    <w:p w14:paraId="013B8D7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3.4大扶手    1个</w:t>
      </w:r>
    </w:p>
    <w:p w14:paraId="6C9207D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3.5床头推行把手   1付</w:t>
      </w:r>
    </w:p>
    <w:p w14:paraId="0DDF268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3.6输液架    1个</w:t>
      </w:r>
    </w:p>
    <w:p w14:paraId="2BA441E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3.7污物盆    1个</w:t>
      </w:r>
    </w:p>
    <w:p w14:paraId="00E036F0">
      <w:pPr>
        <w:keepNext w:val="0"/>
        <w:keepLines w:val="0"/>
        <w:pageBreakBefore w:val="0"/>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3.8头枕   1个</w:t>
      </w:r>
    </w:p>
    <w:p w14:paraId="274F19A5">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12B94D18">
      <w:pPr>
        <w:spacing w:line="360" w:lineRule="auto"/>
        <w:jc w:val="center"/>
        <w:outlineLvl w:val="1"/>
        <w:rPr>
          <w:rFonts w:hint="eastAsia" w:ascii="宋体" w:hAnsi="宋体" w:eastAsia="宋体" w:cs="宋体"/>
          <w:b/>
          <w:bCs/>
          <w:color w:val="auto"/>
          <w:sz w:val="32"/>
          <w:szCs w:val="32"/>
          <w:highlight w:val="none"/>
          <w:lang w:val="en-US" w:eastAsia="zh-CN"/>
        </w:rPr>
      </w:pPr>
      <w:bookmarkStart w:id="104" w:name="_Toc19516"/>
      <w:r>
        <w:rPr>
          <w:rFonts w:hint="eastAsia" w:ascii="宋体" w:hAnsi="宋体" w:eastAsia="宋体" w:cs="宋体"/>
          <w:b/>
          <w:bCs/>
          <w:color w:val="auto"/>
          <w:sz w:val="32"/>
          <w:szCs w:val="32"/>
          <w:highlight w:val="none"/>
          <w:lang w:eastAsia="zh-CN"/>
        </w:rPr>
        <w:t>第</w:t>
      </w:r>
      <w:r>
        <w:rPr>
          <w:rFonts w:hint="eastAsia"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en-US" w:eastAsia="zh-CN"/>
        </w:rPr>
        <w:t>包产品参数要求</w:t>
      </w:r>
      <w:bookmarkEnd w:id="104"/>
    </w:p>
    <w:p w14:paraId="53ECEAA0">
      <w:pPr>
        <w:jc w:val="center"/>
        <w:rPr>
          <w:rFonts w:hint="eastAsia" w:ascii="宋体" w:hAnsi="宋体" w:eastAsia="宋体" w:cs="宋体"/>
          <w:b/>
          <w:sz w:val="28"/>
          <w:szCs w:val="28"/>
          <w:highlight w:val="none"/>
        </w:rPr>
      </w:pPr>
      <w:bookmarkStart w:id="105" w:name="_Toc12416"/>
      <w:r>
        <w:rPr>
          <w:rFonts w:hint="eastAsia" w:ascii="宋体" w:hAnsi="宋体" w:eastAsia="宋体" w:cs="宋体"/>
          <w:b/>
          <w:sz w:val="28"/>
          <w:szCs w:val="28"/>
          <w:highlight w:val="none"/>
        </w:rPr>
        <w:t>婴儿床车</w:t>
      </w:r>
    </w:p>
    <w:p w14:paraId="59BD56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产品规格：83*48*78cm（±2cm）</w:t>
      </w:r>
    </w:p>
    <w:p w14:paraId="31E1C6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、升降可调</w:t>
      </w:r>
      <w:r>
        <w:rPr>
          <w:rFonts w:hint="eastAsia" w:ascii="宋体" w:hAnsi="宋体" w:eastAsia="宋体" w:cs="宋体"/>
          <w:color w:val="000000" w:themeColor="text1"/>
          <w:sz w:val="24"/>
          <w:szCs w:val="24"/>
          <w:highlight w:val="none"/>
          <w14:textFill>
            <w14:solidFill>
              <w14:schemeClr w14:val="tx1"/>
            </w14:solidFill>
          </w14:textFill>
        </w:rPr>
        <w:t>；</w:t>
      </w:r>
    </w:p>
    <w:p w14:paraId="037EFA7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、底盘设计可临时摆放洗浴用品；</w:t>
      </w:r>
    </w:p>
    <w:p w14:paraId="565073D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、婴儿</w:t>
      </w:r>
      <w:r>
        <w:rPr>
          <w:rFonts w:hint="eastAsia" w:hAnsi="宋体" w:cs="宋体"/>
          <w:color w:val="000000" w:themeColor="text1"/>
          <w:sz w:val="24"/>
          <w:szCs w:val="24"/>
          <w:highlight w:val="none"/>
          <w:lang w:val="en-US" w:eastAsia="zh-CN"/>
          <w14:textFill>
            <w14:solidFill>
              <w14:schemeClr w14:val="tx1"/>
            </w14:solidFill>
          </w14:textFill>
        </w:rPr>
        <w:t>托</w:t>
      </w:r>
      <w:r>
        <w:rPr>
          <w:rFonts w:hint="eastAsia" w:ascii="宋体" w:hAnsi="宋体" w:eastAsia="宋体" w:cs="宋体"/>
          <w:color w:val="000000" w:themeColor="text1"/>
          <w:sz w:val="24"/>
          <w:szCs w:val="24"/>
          <w:highlight w:val="none"/>
          <w14:textFill>
            <w14:solidFill>
              <w14:schemeClr w14:val="tx1"/>
            </w14:solidFill>
          </w14:textFill>
        </w:rPr>
        <w:t>盘可自由取放；</w:t>
      </w:r>
    </w:p>
    <w:p w14:paraId="328A07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、四轮静音，带刹车装配；</w:t>
      </w:r>
    </w:p>
    <w:p w14:paraId="5979468C">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5F6D3613">
      <w:pPr>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气压治疗仪</w:t>
      </w:r>
    </w:p>
    <w:p w14:paraId="7AD49D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1、操作方式：数码显示，按键控制。</w:t>
      </w:r>
    </w:p>
    <w:p w14:paraId="1B6500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2、气囊腔数：单侧4腔气囊，双侧8腔气囊，配备双下肢气囊。</w:t>
      </w:r>
    </w:p>
    <w:p w14:paraId="2E0727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3、压力范围：0kPa～27kPa（0mmHg～ 203mmHg），步进1kPa。</w:t>
      </w:r>
    </w:p>
    <w:p w14:paraId="051F9B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4、压力调节：采用数据采集技术，快速识别压力值，进行压力调节。</w:t>
      </w:r>
    </w:p>
    <w:p w14:paraId="4B2F4E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5、零压跳过：在有创面或压力治疗禁忌的部位，可选择关闭该位置的气囊压。</w:t>
      </w:r>
    </w:p>
    <w:p w14:paraId="69068E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6、治疗时间：1min～99min自由设置，开机默认20min。</w:t>
      </w:r>
    </w:p>
    <w:p w14:paraId="61D886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7、提示与警示：具备过压保护提示功能。</w:t>
      </w:r>
    </w:p>
    <w:p w14:paraId="11E0B4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8、自动泄压功能：达到阈值时、突然断电或中断治疗时，气囊可自动泄压。</w:t>
      </w:r>
    </w:p>
    <w:p w14:paraId="43BBDD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9、安全保护功能：配备紧急功能开关，</w:t>
      </w:r>
      <w:r>
        <w:rPr>
          <w:rFonts w:hint="eastAsia" w:ascii="宋体" w:hAnsi="宋体" w:eastAsia="宋体" w:cs="宋体"/>
          <w:color w:val="000000" w:themeColor="text1"/>
          <w:sz w:val="24"/>
          <w:szCs w:val="24"/>
          <w:highlight w:val="none"/>
          <w14:textFill>
            <w14:solidFill>
              <w14:schemeClr w14:val="tx1"/>
            </w14:solidFill>
          </w14:textFill>
        </w:rPr>
        <w:t>遇到紧急情况可以进行紧急停止</w:t>
      </w:r>
      <w:r>
        <w:rPr>
          <w:rFonts w:hint="eastAsia" w:ascii="宋体" w:hAnsi="宋体" w:eastAsia="宋体" w:cs="宋体"/>
          <w:sz w:val="24"/>
          <w:szCs w:val="24"/>
          <w:highlight w:val="none"/>
        </w:rPr>
        <w:t>，紧急开关无需另外安装电池即可使用。</w:t>
      </w:r>
    </w:p>
    <w:p w14:paraId="65B577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10、设备使用噪声≤60dB(A)。</w:t>
      </w:r>
    </w:p>
    <w:p w14:paraId="09FA2D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11、压强监测：内置压强检测模块，实时监测工作状态下压强。</w:t>
      </w:r>
    </w:p>
    <w:p w14:paraId="700237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12、充气间隔时间：≤8s。</w:t>
      </w:r>
    </w:p>
    <w:p w14:paraId="08237B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sz w:val="24"/>
          <w:szCs w:val="24"/>
          <w:highlight w:val="none"/>
        </w:rPr>
        <w:t>13、充气保持时间：≤1s。</w:t>
      </w:r>
    </w:p>
    <w:p w14:paraId="701C73FE">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4239EC51">
      <w:pPr>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有创监护仪</w:t>
      </w:r>
    </w:p>
    <w:p w14:paraId="082A2AEC">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模块化插件式床边监护仪，主机、显示屏和插件槽一体化设计，主机插槽数≥6个，并可外接8槽位辅助插件箱方便升级。</w:t>
      </w:r>
    </w:p>
    <w:p w14:paraId="5BF77BE0">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≥15吋彩色触摸屏，分辨率≥1920 x 1080像素，≥10通道显示，亮度可自动调节。</w:t>
      </w:r>
    </w:p>
    <w:p w14:paraId="2F602331">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内置锂电池，供电时间≥2小时。</w:t>
      </w:r>
    </w:p>
    <w:p w14:paraId="6EB9B89C">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配置≥4个USB接口，支持连接存储介质、鼠标、键盘、条码扫描枪等USB设备。</w:t>
      </w:r>
    </w:p>
    <w:p w14:paraId="6C745567">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基本功能模块支持心电，呼吸，心率，无创血压，血氧饱和度，脉搏，双通道体温和双通道有创血压监测。</w:t>
      </w:r>
    </w:p>
    <w:p w14:paraId="71184BC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基本功能模块从监护仪拔出后作为一个独立的监护仪支持病人的无缝转移，具有显示屏，屏幕尺寸≥5.5英寸，内置锂电池供电≥4小时，无风扇设计。</w:t>
      </w:r>
    </w:p>
    <w:p w14:paraId="50024E91">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支持3/5导心电监测，支持升级6/12导心电测量，并在监护仪上完成12导静息分析。</w:t>
      </w:r>
    </w:p>
    <w:p w14:paraId="0C42050D">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支持心律失常分析功能，支持≥25种实时心律失常分析。</w:t>
      </w:r>
    </w:p>
    <w:p w14:paraId="65AE02FA">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具备ST段分析功能，</w:t>
      </w:r>
      <w:r>
        <w:rPr>
          <w:rFonts w:hint="eastAsia" w:ascii="宋体" w:hAnsi="宋体" w:eastAsia="宋体" w:cs="宋体"/>
          <w:color w:val="000000" w:themeColor="text1"/>
          <w:sz w:val="24"/>
          <w:szCs w:val="24"/>
          <w:highlight w:val="none"/>
          <w14:textFill>
            <w14:solidFill>
              <w14:schemeClr w14:val="tx1"/>
            </w14:solidFill>
          </w14:textFill>
        </w:rPr>
        <w:t>支持分组显示心脏前壁，下壁和侧壁的ST实时片段和参考片段。</w:t>
      </w:r>
    </w:p>
    <w:p w14:paraId="2184A21E">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监测ST段抬高或者压低，提供ST报警。提供单个，或多个ST值报警，并支持相对的报警限设置。</w:t>
      </w:r>
    </w:p>
    <w:p w14:paraId="1842D36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提供导联类型自动识别功能，具备智能导联脱落监测功能，导联脱落的情况下仍能保持监护。</w:t>
      </w:r>
    </w:p>
    <w:p w14:paraId="5E4B618F">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具备QT/QTc测量功能，提供QT，QTc和ΔQTc参数值。</w:t>
      </w:r>
    </w:p>
    <w:p w14:paraId="5F8FAAD8">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具有QT和QTc模板显示。</w:t>
      </w:r>
    </w:p>
    <w:p w14:paraId="4558AFA3">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无创血压提供手动、自动间隔、连续、序列四种测量模式。</w:t>
      </w:r>
    </w:p>
    <w:p w14:paraId="3B04AB97">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血氧监测提供灌注指数（PI）的监测。</w:t>
      </w:r>
    </w:p>
    <w:p w14:paraId="516AD7AD">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支持双通道有创压IBP监测，支持升级8通道有创压监测。</w:t>
      </w:r>
    </w:p>
    <w:p w14:paraId="0421982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具有肺动脉锲压（PAWP）的监测和PPV参数监测 。</w:t>
      </w:r>
    </w:p>
    <w:p w14:paraId="1322D34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支持≥4道IBP波形叠加显示。</w:t>
      </w:r>
    </w:p>
    <w:p w14:paraId="439C4D00">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支持升级BIS监测模块或者单机，提供≥4通道EEG，双频指数（BIS），肌电活动（EMG），抑制比（SR），频谱边缘频率（SEF）参数的监测。</w:t>
      </w:r>
    </w:p>
    <w:p w14:paraId="301ADB95">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具有功率谱密度（DSA）显示界面，可以直观地显示一段时间内的双侧功率谱分布变化的情况。</w:t>
      </w:r>
    </w:p>
    <w:p w14:paraId="7AAA5B07">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支持升级PiCCO监测模块或者单机，采用Pulsion PiCCO技术股动脉和中心静脉常规穿刺实现微创CCO等血流动力学监测参数，并提供蛛网图。</w:t>
      </w:r>
    </w:p>
    <w:p w14:paraId="6DBB3FF2">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标配EtCO2监测模块，支持监测呼末CO2和O2浓度，采用旁流技术，水槽要求易于快速更换。</w:t>
      </w:r>
    </w:p>
    <w:p w14:paraId="58F7BC37">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支持≥6个参数的设置和显示。</w:t>
      </w:r>
    </w:p>
    <w:p w14:paraId="3C86EDD2">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具有图形化报警指示功能。</w:t>
      </w:r>
    </w:p>
    <w:p w14:paraId="3359059D">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所有参数报警限自动设置。</w:t>
      </w:r>
    </w:p>
    <w:p w14:paraId="3077107A">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能够设置护理组，一个护理组能够设置6-12个病人。这些病人之间能够互相进行它床观察。</w:t>
      </w:r>
    </w:p>
    <w:p w14:paraId="48A6AA9C">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具备血流动力学，药物计算，氧合计算，通气计算和肾功能计算功能。</w:t>
      </w:r>
    </w:p>
    <w:p w14:paraId="06323704">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具有≥40个参数的120小时趋势表、趋势图回顾，4小时趋势表、趋势图回顾。</w:t>
      </w:r>
    </w:p>
    <w:p w14:paraId="700947AF">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具有≥1000条事件回顾。每条报警事件能够存储≥30秒三道相关波形，以及报警触发时所有测量参数值。</w:t>
      </w:r>
    </w:p>
    <w:p w14:paraId="273F1493">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事件回顾时能够提供报警事件列表。能够根据时间、报警优先级、报警类型和参数组对事件进行筛选。</w:t>
      </w:r>
    </w:p>
    <w:p w14:paraId="00CA72B4">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48小时全息波形的存储与回顾功能。</w:t>
      </w:r>
    </w:p>
    <w:p w14:paraId="7CCCE757">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具有≥120小时（分辨率5分钟）ST模板回顾。</w:t>
      </w:r>
    </w:p>
    <w:p w14:paraId="6715B8AB">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具有升级24小时心律失常统计，具有24小时心电综合分析概览（24h ECG综合分析报告），能够提供HR、ST、QT/QTc、心律失常、起搏的统计结果，并能够查看细节。</w:t>
      </w:r>
    </w:p>
    <w:p w14:paraId="368A7626">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具有在线帮助功能，能够指导用户掌握如何设置参数。</w:t>
      </w:r>
    </w:p>
    <w:p w14:paraId="34F425F2">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具有高级参数指导功能，能够指导用户掌握高级参数的使用方法。</w:t>
      </w:r>
    </w:p>
    <w:p w14:paraId="1E9B9550">
      <w:pPr>
        <w:keepNext w:val="0"/>
        <w:keepLines w:val="0"/>
        <w:pageBreakBefore w:val="0"/>
        <w:widowControl w:val="0"/>
        <w:numPr>
          <w:ilvl w:val="0"/>
          <w:numId w:val="7"/>
        </w:numPr>
        <w:kinsoku/>
        <w:wordWrap/>
        <w:overflowPunct/>
        <w:topLinePunct w:val="0"/>
        <w:bidi w:val="0"/>
        <w:snapToGrid w:val="0"/>
        <w:spacing w:line="360" w:lineRule="auto"/>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工作模式：监护模式、待机模式、体外循环模式、插管模式，夜间模式、隐私模式、演示模式等。</w:t>
      </w:r>
    </w:p>
    <w:p w14:paraId="2B6796BA">
      <w:pPr>
        <w:keepNext w:val="0"/>
        <w:keepLines w:val="0"/>
        <w:pageBreakBefore w:val="0"/>
        <w:widowControl w:val="0"/>
        <w:numPr>
          <w:ilvl w:val="0"/>
          <w:numId w:val="7"/>
        </w:numPr>
        <w:kinsoku/>
        <w:wordWrap/>
        <w:overflowPunct/>
        <w:topLinePunct w:val="0"/>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支持升级早期预警评分功能，并提供用户自定义评分协议的能力。</w:t>
      </w:r>
    </w:p>
    <w:p w14:paraId="5708A2BD">
      <w:pPr>
        <w:keepNext w:val="0"/>
        <w:keepLines w:val="0"/>
        <w:pageBreakBefore w:val="0"/>
        <w:widowControl w:val="0"/>
        <w:numPr>
          <w:ilvl w:val="0"/>
          <w:numId w:val="7"/>
        </w:numPr>
        <w:kinsoku/>
        <w:wordWrap/>
        <w:overflowPunct/>
        <w:topLinePunct w:val="0"/>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具备趋势共存界面、呼吸氧合图界面，标准显示界面等多种显示界面。</w:t>
      </w:r>
    </w:p>
    <w:p w14:paraId="10DEC50C">
      <w:pPr>
        <w:keepNext w:val="0"/>
        <w:keepLines w:val="0"/>
        <w:pageBreakBefore w:val="0"/>
        <w:widowControl w:val="0"/>
        <w:numPr>
          <w:ilvl w:val="0"/>
          <w:numId w:val="7"/>
        </w:numPr>
        <w:kinsoku/>
        <w:wordWrap/>
        <w:overflowPunct/>
        <w:topLinePunct w:val="0"/>
        <w:bidi w:val="0"/>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负责与现有中央监护系统顺畅连接使用，且接入无需任何费用。</w:t>
      </w:r>
    </w:p>
    <w:p w14:paraId="47A844E6">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5530A942">
      <w:pPr>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BIS监测模块(设备）</w:t>
      </w:r>
    </w:p>
    <w:p w14:paraId="75A9C812">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设备模块应符合GB 9706.26-2005标准。</w:t>
      </w:r>
    </w:p>
    <w:p w14:paraId="224D2597">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测量参数及测量范围</w:t>
      </w:r>
      <w:r>
        <w:rPr>
          <w:rFonts w:hint="eastAsia" w:ascii="宋体" w:hAnsi="宋体" w:eastAsia="宋体" w:cs="宋体"/>
          <w:spacing w:val="1"/>
          <w:sz w:val="24"/>
          <w:szCs w:val="24"/>
          <w:highlight w:val="none"/>
        </w:rPr>
        <w:t>应满足：</w:t>
      </w:r>
      <w:r>
        <w:rPr>
          <w:rFonts w:hint="eastAsia" w:ascii="宋体" w:hAnsi="宋体" w:eastAsia="宋体" w:cs="宋体"/>
          <w:sz w:val="24"/>
          <w:szCs w:val="24"/>
          <w:highlight w:val="none"/>
        </w:rPr>
        <w:t>BIS：0~100；SQI：0%~100%；EMG：0 dB~100dB。</w:t>
      </w:r>
    </w:p>
    <w:p w14:paraId="0988A5C5">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电极阻抗范围：0~99kΩ</w:t>
      </w:r>
    </w:p>
    <w:p w14:paraId="18CFC02C">
      <w:pPr>
        <w:keepNext w:val="0"/>
        <w:keepLines w:val="0"/>
        <w:pageBreakBefore w:val="0"/>
        <w:widowControl w:val="0"/>
        <w:numPr>
          <w:ilvl w:val="0"/>
          <w:numId w:val="8"/>
        </w:numPr>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扫描速度：6.25 mm/s, 12.5 mm/s,25 mm/s或50 mm/s。</w:t>
      </w:r>
    </w:p>
    <w:p w14:paraId="1ABDBAE2">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输入阻抗：≥5MΩ。</w:t>
      </w:r>
    </w:p>
    <w:p w14:paraId="634DBE64">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噪声(RTI)：≤0.3μV(0.25~50Hz)。</w:t>
      </w:r>
    </w:p>
    <w:p w14:paraId="05CF0A40">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输入信号范围：±1 mV。</w:t>
      </w:r>
    </w:p>
    <w:p w14:paraId="6498C9C4">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EEG 带宽：0.25~100Hz。</w:t>
      </w:r>
    </w:p>
    <w:p w14:paraId="7AE2BA47">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病人漏电流：≤10μA。</w:t>
      </w:r>
    </w:p>
    <w:p w14:paraId="4B68CFFF">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报警限规格及范围：BIS高限：(低限+5)~100 ；BIS低限：0~(高限-5)。</w:t>
      </w:r>
    </w:p>
    <w:p w14:paraId="273F3B87">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632104C7">
      <w:pPr>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胰岛素泵</w:t>
      </w:r>
    </w:p>
    <w:p w14:paraId="5C5141CA">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bCs/>
          <w:spacing w:val="9"/>
          <w:sz w:val="24"/>
          <w:szCs w:val="24"/>
          <w:highlight w:val="none"/>
        </w:rPr>
      </w:pPr>
      <w:r>
        <w:rPr>
          <w:rFonts w:hint="eastAsia" w:ascii="宋体" w:hAnsi="宋体" w:eastAsia="宋体" w:cs="宋体"/>
          <w:bCs/>
          <w:sz w:val="24"/>
          <w:szCs w:val="24"/>
          <w:highlight w:val="none"/>
        </w:rPr>
        <w:t>使用</w:t>
      </w:r>
      <w:r>
        <w:rPr>
          <w:rFonts w:hint="eastAsia" w:ascii="宋体" w:hAnsi="宋体" w:eastAsia="宋体" w:cs="宋体"/>
          <w:bCs/>
          <w:spacing w:val="9"/>
          <w:sz w:val="24"/>
          <w:szCs w:val="24"/>
          <w:highlight w:val="none"/>
        </w:rPr>
        <w:t>一体式减速编码电机。</w:t>
      </w:r>
    </w:p>
    <w:p w14:paraId="1BB0CF49">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bCs/>
          <w:spacing w:val="9"/>
          <w:sz w:val="24"/>
          <w:szCs w:val="24"/>
          <w:highlight w:val="none"/>
        </w:rPr>
      </w:pPr>
      <w:r>
        <w:rPr>
          <w:rFonts w:hint="eastAsia" w:ascii="宋体" w:hAnsi="宋体" w:eastAsia="宋体" w:cs="宋体"/>
          <w:bCs/>
          <w:spacing w:val="6"/>
          <w:sz w:val="24"/>
          <w:szCs w:val="24"/>
          <w:highlight w:val="none"/>
        </w:rPr>
        <w:t>屏幕显示为全中文界面</w:t>
      </w:r>
      <w:r>
        <w:rPr>
          <w:rFonts w:hint="eastAsia" w:ascii="宋体" w:hAnsi="宋体" w:eastAsia="宋体" w:cs="宋体"/>
          <w:bCs/>
          <w:spacing w:val="8"/>
          <w:sz w:val="24"/>
          <w:szCs w:val="24"/>
          <w:highlight w:val="none"/>
        </w:rPr>
        <w:t>、动画、图标。</w:t>
      </w:r>
    </w:p>
    <w:p w14:paraId="28A6157B">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bCs/>
          <w:spacing w:val="9"/>
          <w:sz w:val="24"/>
          <w:szCs w:val="24"/>
          <w:highlight w:val="none"/>
        </w:rPr>
      </w:pPr>
      <w:r>
        <w:rPr>
          <w:rFonts w:hint="eastAsia" w:ascii="宋体" w:hAnsi="宋体" w:eastAsia="宋体" w:cs="宋体"/>
          <w:bCs/>
          <w:spacing w:val="8"/>
          <w:sz w:val="24"/>
          <w:szCs w:val="24"/>
          <w:highlight w:val="none"/>
        </w:rPr>
        <w:t>储药器容量为≥3mL。</w:t>
      </w:r>
    </w:p>
    <w:p w14:paraId="11144689">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bCs/>
          <w:spacing w:val="9"/>
          <w:sz w:val="24"/>
          <w:szCs w:val="24"/>
          <w:highlight w:val="none"/>
        </w:rPr>
      </w:pPr>
      <w:r>
        <w:rPr>
          <w:rFonts w:hint="eastAsia" w:ascii="宋体" w:hAnsi="宋体" w:eastAsia="宋体" w:cs="宋体"/>
          <w:bCs/>
          <w:spacing w:val="8"/>
          <w:sz w:val="24"/>
          <w:szCs w:val="24"/>
          <w:highlight w:val="none"/>
        </w:rPr>
        <w:t>胰岛素选择</w:t>
      </w:r>
      <w:r>
        <w:rPr>
          <w:rFonts w:hint="eastAsia" w:ascii="宋体" w:hAnsi="宋体" w:eastAsia="宋体" w:cs="宋体"/>
          <w:bCs/>
          <w:spacing w:val="6"/>
          <w:sz w:val="24"/>
          <w:szCs w:val="24"/>
          <w:highlight w:val="none"/>
        </w:rPr>
        <w:t>U-100/</w:t>
      </w:r>
      <w:r>
        <w:rPr>
          <w:rFonts w:hint="eastAsia" w:ascii="宋体" w:hAnsi="宋体" w:eastAsia="宋体" w:cs="宋体"/>
          <w:bCs/>
          <w:sz w:val="24"/>
          <w:szCs w:val="24"/>
          <w:highlight w:val="none"/>
        </w:rPr>
        <w:t>ml。</w:t>
      </w:r>
    </w:p>
    <w:p w14:paraId="24A308AE">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bCs/>
          <w:spacing w:val="9"/>
          <w:sz w:val="24"/>
          <w:szCs w:val="24"/>
          <w:highlight w:val="none"/>
        </w:rPr>
      </w:pPr>
      <w:r>
        <w:rPr>
          <w:rFonts w:hint="eastAsia" w:ascii="宋体" w:hAnsi="宋体" w:eastAsia="宋体" w:cs="宋体"/>
          <w:bCs/>
          <w:spacing w:val="8"/>
          <w:sz w:val="24"/>
          <w:szCs w:val="24"/>
          <w:highlight w:val="none"/>
        </w:rPr>
        <w:t>有装药自动定位读数功能。</w:t>
      </w:r>
    </w:p>
    <w:p w14:paraId="789A514C">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9"/>
          <w:sz w:val="24"/>
          <w:szCs w:val="24"/>
          <w:highlight w:val="none"/>
        </w:rPr>
      </w:pPr>
      <w:r>
        <w:rPr>
          <w:rFonts w:hint="eastAsia" w:ascii="宋体" w:hAnsi="宋体" w:eastAsia="宋体" w:cs="宋体"/>
          <w:spacing w:val="7"/>
          <w:sz w:val="24"/>
          <w:szCs w:val="24"/>
          <w:highlight w:val="none"/>
        </w:rPr>
        <w:t>操作模式</w:t>
      </w:r>
      <w:r>
        <w:rPr>
          <w:rFonts w:hint="eastAsia" w:ascii="宋体" w:hAnsi="宋体" w:eastAsia="宋体" w:cs="宋体"/>
          <w:sz w:val="24"/>
          <w:szCs w:val="24"/>
          <w:highlight w:val="none"/>
        </w:rPr>
        <w:t>≥4种。</w:t>
      </w:r>
    </w:p>
    <w:p w14:paraId="6B0A7921">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有背景光，可显示</w:t>
      </w:r>
      <w:r>
        <w:rPr>
          <w:rFonts w:hint="eastAsia" w:ascii="宋体" w:hAnsi="宋体" w:eastAsia="宋体" w:cs="宋体"/>
          <w:spacing w:val="8"/>
          <w:sz w:val="24"/>
          <w:szCs w:val="24"/>
          <w:highlight w:val="none"/>
        </w:rPr>
        <w:t>胰岛素余量、电池余量、基础曲线</w:t>
      </w:r>
      <w:r>
        <w:rPr>
          <w:rFonts w:hint="eastAsia" w:ascii="宋体" w:hAnsi="宋体" w:eastAsia="宋体" w:cs="宋体"/>
          <w:spacing w:val="9"/>
          <w:sz w:val="24"/>
          <w:szCs w:val="24"/>
          <w:highlight w:val="none"/>
        </w:rPr>
        <w:t>。</w:t>
      </w:r>
    </w:p>
    <w:p w14:paraId="496264E9">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基础率分段</w:t>
      </w:r>
      <w:r>
        <w:rPr>
          <w:rFonts w:hint="eastAsia" w:ascii="宋体" w:hAnsi="宋体" w:eastAsia="宋体" w:cs="宋体"/>
          <w:bCs/>
          <w:spacing w:val="8"/>
          <w:sz w:val="24"/>
          <w:szCs w:val="24"/>
          <w:highlight w:val="none"/>
        </w:rPr>
        <w:t>≥</w:t>
      </w:r>
      <w:r>
        <w:rPr>
          <w:rFonts w:hint="eastAsia" w:ascii="宋体" w:hAnsi="宋体" w:eastAsia="宋体" w:cs="宋体"/>
          <w:spacing w:val="8"/>
          <w:sz w:val="24"/>
          <w:szCs w:val="24"/>
          <w:highlight w:val="none"/>
        </w:rPr>
        <w:t>24个时段。</w:t>
      </w:r>
    </w:p>
    <w:p w14:paraId="5E76FF37">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基础率输注最小时段≤60分钟。.</w:t>
      </w:r>
    </w:p>
    <w:p w14:paraId="33895B11">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基础率输注方式最小间隔≤2分钟。</w:t>
      </w:r>
    </w:p>
    <w:p w14:paraId="47BA6347">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基础率设置范围</w:t>
      </w:r>
      <w:r>
        <w:rPr>
          <w:rFonts w:hint="eastAsia" w:ascii="宋体" w:hAnsi="宋体" w:eastAsia="宋体" w:cs="宋体"/>
          <w:spacing w:val="1"/>
          <w:sz w:val="24"/>
          <w:szCs w:val="24"/>
          <w:highlight w:val="none"/>
        </w:rPr>
        <w:t>0.1U～4U。</w:t>
      </w:r>
    </w:p>
    <w:p w14:paraId="159EFFD6">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临基率方式为</w:t>
      </w:r>
      <w:r>
        <w:rPr>
          <w:rFonts w:hint="eastAsia" w:ascii="宋体" w:hAnsi="宋体" w:eastAsia="宋体" w:cs="宋体"/>
          <w:spacing w:val="7"/>
          <w:sz w:val="24"/>
          <w:szCs w:val="24"/>
          <w:highlight w:val="none"/>
        </w:rPr>
        <w:t>当前基础率的倍率。</w:t>
      </w:r>
    </w:p>
    <w:p w14:paraId="4E3E9AF3">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临基率范围0% -250%（间隔25%）。</w:t>
      </w:r>
    </w:p>
    <w:p w14:paraId="7B9FC86F">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大剂量设置范围</w:t>
      </w:r>
      <w:r>
        <w:rPr>
          <w:rFonts w:hint="eastAsia" w:ascii="宋体" w:hAnsi="宋体" w:eastAsia="宋体" w:cs="宋体"/>
          <w:spacing w:val="1"/>
          <w:sz w:val="24"/>
          <w:szCs w:val="24"/>
          <w:highlight w:val="none"/>
        </w:rPr>
        <w:t>0.1U～</w:t>
      </w:r>
      <w:r>
        <w:rPr>
          <w:rFonts w:hint="eastAsia" w:ascii="宋体" w:hAnsi="宋体" w:eastAsia="宋体" w:cs="宋体"/>
          <w:b/>
          <w:bCs/>
          <w:spacing w:val="1"/>
          <w:sz w:val="24"/>
          <w:szCs w:val="24"/>
          <w:highlight w:val="none"/>
        </w:rPr>
        <w:t>85</w:t>
      </w:r>
      <w:r>
        <w:rPr>
          <w:rFonts w:hint="eastAsia" w:ascii="宋体" w:hAnsi="宋体" w:eastAsia="宋体" w:cs="宋体"/>
          <w:spacing w:val="1"/>
          <w:sz w:val="24"/>
          <w:szCs w:val="24"/>
          <w:highlight w:val="none"/>
        </w:rPr>
        <w:t>U。</w:t>
      </w:r>
    </w:p>
    <w:p w14:paraId="7D3C95B4">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大剂量输注速度</w:t>
      </w:r>
      <w:r>
        <w:rPr>
          <w:rFonts w:hint="eastAsia" w:ascii="宋体" w:hAnsi="宋体" w:eastAsia="宋体" w:cs="宋体"/>
          <w:spacing w:val="1"/>
          <w:sz w:val="24"/>
          <w:szCs w:val="24"/>
          <w:highlight w:val="none"/>
        </w:rPr>
        <w:t>约10U/分钟。</w:t>
      </w:r>
    </w:p>
    <w:p w14:paraId="270C785A">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大剂量设置增量</w:t>
      </w:r>
      <w:r>
        <w:rPr>
          <w:rFonts w:hint="eastAsia" w:ascii="宋体" w:hAnsi="宋体" w:eastAsia="宋体" w:cs="宋体"/>
          <w:spacing w:val="2"/>
          <w:sz w:val="24"/>
          <w:szCs w:val="24"/>
          <w:highlight w:val="none"/>
        </w:rPr>
        <w:t>0.1U(0-10U)，1U(10-</w:t>
      </w:r>
      <w:r>
        <w:rPr>
          <w:rFonts w:hint="eastAsia" w:ascii="宋体" w:hAnsi="宋体" w:eastAsia="宋体" w:cs="宋体"/>
          <w:b/>
          <w:bCs/>
          <w:sz w:val="24"/>
          <w:szCs w:val="24"/>
          <w:highlight w:val="none"/>
        </w:rPr>
        <w:t>8</w:t>
      </w:r>
      <w:r>
        <w:rPr>
          <w:rFonts w:hint="eastAsia" w:ascii="宋体" w:hAnsi="宋体" w:eastAsia="宋体" w:cs="宋体"/>
          <w:sz w:val="24"/>
          <w:szCs w:val="24"/>
          <w:highlight w:val="none"/>
        </w:rPr>
        <w:t>5</w:t>
      </w:r>
      <w:r>
        <w:rPr>
          <w:rFonts w:hint="eastAsia" w:ascii="宋体" w:hAnsi="宋体" w:eastAsia="宋体" w:cs="宋体"/>
          <w:spacing w:val="2"/>
          <w:sz w:val="24"/>
          <w:szCs w:val="24"/>
          <w:highlight w:val="none"/>
        </w:rPr>
        <w:t>U）。</w:t>
      </w:r>
    </w:p>
    <w:p w14:paraId="55CE88B5">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具有预设餐前量、</w:t>
      </w:r>
      <w:r>
        <w:rPr>
          <w:rFonts w:hint="eastAsia" w:ascii="宋体" w:hAnsi="宋体" w:eastAsia="宋体" w:cs="宋体"/>
          <w:spacing w:val="8"/>
          <w:sz w:val="24"/>
          <w:szCs w:val="24"/>
          <w:highlight w:val="none"/>
        </w:rPr>
        <w:t>上次餐前量显示。</w:t>
      </w:r>
    </w:p>
    <w:p w14:paraId="7A315EC3">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能进行日总量回顾、</w:t>
      </w:r>
      <w:r>
        <w:rPr>
          <w:rFonts w:hint="eastAsia" w:ascii="宋体" w:hAnsi="宋体" w:eastAsia="宋体" w:cs="宋体"/>
          <w:spacing w:val="8"/>
          <w:sz w:val="24"/>
          <w:szCs w:val="24"/>
          <w:highlight w:val="none"/>
        </w:rPr>
        <w:t>基础量回顾、</w:t>
      </w:r>
      <w:r>
        <w:rPr>
          <w:rFonts w:hint="eastAsia" w:ascii="宋体" w:hAnsi="宋体" w:eastAsia="宋体" w:cs="宋体"/>
          <w:spacing w:val="7"/>
          <w:sz w:val="24"/>
          <w:szCs w:val="24"/>
          <w:highlight w:val="none"/>
        </w:rPr>
        <w:t>大剂量回顾、排气回顾、报警回顾，且各类回顾次数</w:t>
      </w:r>
      <w:r>
        <w:rPr>
          <w:rFonts w:hint="eastAsia" w:ascii="宋体" w:hAnsi="宋体" w:eastAsia="宋体" w:cs="宋体"/>
          <w:sz w:val="24"/>
          <w:szCs w:val="24"/>
          <w:highlight w:val="none"/>
        </w:rPr>
        <w:t>≥50次。</w:t>
      </w:r>
    </w:p>
    <w:p w14:paraId="47AE72C9">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具有自动报警功能显示，能显示≥7项，可通过声音、振动进行报警。</w:t>
      </w:r>
    </w:p>
    <w:p w14:paraId="46C33D9F">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可用 3.0V锂电池或者 3.0V充电电池进行供电，电池市场可购买。</w:t>
      </w:r>
    </w:p>
    <w:p w14:paraId="699BAC25">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内部置入时钟，24小时制，可自行调整时间，有备用电池。</w:t>
      </w:r>
    </w:p>
    <w:p w14:paraId="063FF0A9">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rPr>
        <w:t>具有安全防护设定，具有自动锁键功能，密码保护的医生模式。</w:t>
      </w:r>
    </w:p>
    <w:p w14:paraId="29007860">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30CDCD9E">
      <w:pPr>
        <w:spacing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第</w:t>
      </w:r>
      <w:r>
        <w:rPr>
          <w:rFonts w:hint="eastAsia"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en-US" w:eastAsia="zh-CN"/>
        </w:rPr>
        <w:t>包产品参数要求</w:t>
      </w:r>
      <w:bookmarkEnd w:id="105"/>
    </w:p>
    <w:p w14:paraId="4EF40CFE">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无创心排监测仪</w:t>
      </w:r>
    </w:p>
    <w:p w14:paraId="7C1FB45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（一）硬件参数要求</w:t>
      </w:r>
    </w:p>
    <w:p w14:paraId="29264C9C">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采用胸电生物阻抗法原理，床旁无创血流动力学实时监测系统，能快速准确的为临床提供专业的血流动力学参数。</w:t>
      </w:r>
    </w:p>
    <w:p w14:paraId="55106794">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无创血流动力学监护系统专用一体机，非PC机、插件式、模块式。</w:t>
      </w:r>
    </w:p>
    <w:p w14:paraId="2684FB5A">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≥12英寸医用专用彩色显示器，可触控。</w:t>
      </w:r>
    </w:p>
    <w:p w14:paraId="5F8BFC56">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键盘设计应为一体化面板触摸式设计，非外接键盘。</w:t>
      </w:r>
    </w:p>
    <w:p w14:paraId="32F1BE52">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便携式设计，须有内置电池，待机时间≥2小时。</w:t>
      </w:r>
    </w:p>
    <w:p w14:paraId="61A8F8B8">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设备存储≥256G。</w:t>
      </w:r>
    </w:p>
    <w:p w14:paraId="7F07464F">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处理器≥X86四核1.7G。</w:t>
      </w:r>
    </w:p>
    <w:p w14:paraId="3F889879">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配有原厂提供的专用的台车和打印</w:t>
      </w:r>
      <w:r>
        <w:rPr>
          <w:rFonts w:hint="eastAsia" w:hAnsi="宋体" w:cs="宋体"/>
          <w:sz w:val="24"/>
          <w:szCs w:val="24"/>
          <w:highlight w:val="none"/>
          <w:lang w:val="en-US" w:eastAsia="zh-CN"/>
        </w:rPr>
        <w:t>机</w:t>
      </w:r>
      <w:r>
        <w:rPr>
          <w:rFonts w:hint="eastAsia" w:ascii="宋体" w:hAnsi="宋体" w:eastAsia="宋体" w:cs="宋体"/>
          <w:sz w:val="24"/>
          <w:szCs w:val="24"/>
          <w:highlight w:val="none"/>
        </w:rPr>
        <w:t>。</w:t>
      </w:r>
    </w:p>
    <w:p w14:paraId="77AEF3C3">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数据导联线</w:t>
      </w:r>
      <w:r>
        <w:rPr>
          <w:rFonts w:hint="eastAsia" w:ascii="宋体" w:hAnsi="宋体" w:eastAsia="宋体" w:cs="宋体"/>
          <w:sz w:val="24"/>
          <w:szCs w:val="24"/>
          <w:highlight w:val="none"/>
        </w:rPr>
        <w:t>为专用的数据采集线，而非采集器整合式导联线，采集器须整合在设备内部。</w:t>
      </w:r>
    </w:p>
    <w:p w14:paraId="3A8965B8">
      <w:pPr>
        <w:numPr>
          <w:ilvl w:val="0"/>
          <w:numId w:val="10"/>
        </w:numPr>
        <w:spacing w:line="360" w:lineRule="auto"/>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须有氧合参数监测缆线接口。</w:t>
      </w:r>
    </w:p>
    <w:p w14:paraId="179B33C5">
      <w:pPr>
        <w:numPr>
          <w:ilvl w:val="0"/>
          <w:numId w:val="11"/>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系统参数要求</w:t>
      </w:r>
    </w:p>
    <w:p w14:paraId="646F28D6">
      <w:pPr>
        <w:numPr>
          <w:ilvl w:val="0"/>
          <w:numId w:val="12"/>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信号测定须采用数字化阻抗信号处理技术（</w:t>
      </w:r>
      <w:r>
        <w:rPr>
          <w:rFonts w:hint="eastAsia" w:ascii="宋体" w:hAnsi="宋体" w:eastAsia="宋体" w:cs="宋体"/>
          <w:spacing w:val="10"/>
          <w:sz w:val="24"/>
          <w:szCs w:val="24"/>
          <w:highlight w:val="none"/>
        </w:rPr>
        <w:t>DISQ）。</w:t>
      </w:r>
    </w:p>
    <w:p w14:paraId="4736AAB3">
      <w:pPr>
        <w:numPr>
          <w:ilvl w:val="0"/>
          <w:numId w:val="12"/>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每搏输出量计算须采用自动调整主动脉顺应性计算方法</w:t>
      </w:r>
      <w:r>
        <w:rPr>
          <w:rFonts w:hint="eastAsia" w:ascii="宋体" w:hAnsi="宋体" w:eastAsia="宋体" w:cs="宋体"/>
          <w:spacing w:val="10"/>
          <w:sz w:val="24"/>
          <w:szCs w:val="24"/>
          <w:highlight w:val="none"/>
        </w:rPr>
        <w:t>（ZMARC）。</w:t>
      </w:r>
    </w:p>
    <w:p w14:paraId="580635F3">
      <w:pPr>
        <w:numPr>
          <w:ilvl w:val="0"/>
          <w:numId w:val="11"/>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功能参数要求</w:t>
      </w:r>
    </w:p>
    <w:p w14:paraId="7CBC5371">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须有心电波形显示功能。</w:t>
      </w:r>
    </w:p>
    <w:p w14:paraId="6CA6D59C">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可通过心电波形测量心率，而非脉搏率。</w:t>
      </w:r>
    </w:p>
    <w:p w14:paraId="49A8CE82">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须具有通过监测主动脉血流速度指标反映患者心肌收缩力（ACI\VI）的参数。</w:t>
      </w:r>
    </w:p>
    <w:p w14:paraId="7C568057">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bCs/>
          <w:sz w:val="24"/>
          <w:szCs w:val="24"/>
          <w:highlight w:val="none"/>
        </w:rPr>
        <w:t>具有</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3种独立监护模式；且可分屏显示；包括有监护功能、诊断屏分析功能、趋势分析功能。</w:t>
      </w:r>
    </w:p>
    <w:p w14:paraId="2EEEEA08">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监护功能软件可一个屏幕由5种数据显示单元和2种图形显示单位组成，实现连续实时监护。</w:t>
      </w:r>
    </w:p>
    <w:p w14:paraId="449EA386">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诊断分析功能软件：由6条条形图（含正常范围数值标识及颜色报警功能）及对应参数（含中、英文参数名称，计算单位，实测值四类指标）组成，显示正常与否，快速评估患者状态是否在设定范围之内。</w:t>
      </w:r>
    </w:p>
    <w:p w14:paraId="0B6D1E75">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趋势分析功能软件：持续显示二参数的变化趋势，反映患者病情进展及治疗效果。</w:t>
      </w:r>
    </w:p>
    <w:p w14:paraId="61F1612E">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报告功能：允许客户自选A4或B5打印纸的血流动力学报告，≥2</w:t>
      </w:r>
      <w:r>
        <w:rPr>
          <w:rFonts w:hint="eastAsia" w:ascii="宋体" w:hAnsi="宋体" w:eastAsia="宋体" w:cs="宋体"/>
          <w:bCs/>
          <w:sz w:val="24"/>
          <w:szCs w:val="24"/>
          <w:highlight w:val="none"/>
        </w:rPr>
        <w:t>种独立的血流动力学报告格式，包括状态报告、趋势报告。</w:t>
      </w:r>
    </w:p>
    <w:p w14:paraId="0DBAF5D0">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血流动力学状态报告含≥15条血流动力学条形图，反映正常值范围及测量数据是否正常。</w:t>
      </w:r>
    </w:p>
    <w:p w14:paraId="2CC97BA3">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提供多种体位的血流动力学状态报告，如端坐位、平卧位、半卧位、被动抬腿。</w:t>
      </w:r>
    </w:p>
    <w:p w14:paraId="482DEBAC">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具有智能化血流动力学状态报告分析功能。</w:t>
      </w:r>
    </w:p>
    <w:p w14:paraId="28A82413">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须有中文输入功能。</w:t>
      </w:r>
    </w:p>
    <w:p w14:paraId="22ED5561">
      <w:pPr>
        <w:numPr>
          <w:ilvl w:val="0"/>
          <w:numId w:val="13"/>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回顾功能：通过病人姓名和序列号及监测时间等多种方式回顾病人记录，须具有监测过程中实时回顾功能。</w:t>
      </w:r>
    </w:p>
    <w:p w14:paraId="3695FC71">
      <w:pPr>
        <w:numPr>
          <w:ilvl w:val="0"/>
          <w:numId w:val="1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可接入血流动力学数据分析处理工作站，负责与医院HIS系统对接。</w:t>
      </w:r>
    </w:p>
    <w:p w14:paraId="0057E19E">
      <w:pPr>
        <w:numPr>
          <w:ilvl w:val="0"/>
          <w:numId w:val="1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能够监测以下所有参数：心输出量 （CO）、心脏指数（CI）、每搏输出量（SV）、每搏指数 （SVI）、外周血管阻力（SVR）、外周血管阻力指数 （SVRI）、左心做功（LCW）、左心做功指数（LCWI）、胸液水平（TFC）（静态前负荷）、加速度指数（ACI）、速度指数（VI）、血压（NIBP）（SBP/DBP/MAP）、心率（HR）、每搏变异率（SVV）、体脂指数（BMI）、收缩时间比率（STR）、血氧饱和度（Sp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w:t>
      </w:r>
    </w:p>
    <w:p w14:paraId="4A51E7A8">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93A08CA">
      <w:pPr>
        <w:spacing w:line="360" w:lineRule="auto"/>
        <w:jc w:val="center"/>
        <w:outlineLvl w:val="1"/>
        <w:rPr>
          <w:rFonts w:hint="eastAsia" w:ascii="宋体" w:hAnsi="宋体" w:eastAsia="宋体" w:cs="宋体"/>
          <w:b/>
          <w:bCs/>
          <w:color w:val="auto"/>
          <w:sz w:val="32"/>
          <w:szCs w:val="32"/>
          <w:highlight w:val="none"/>
          <w:lang w:val="en-US" w:eastAsia="zh-CN"/>
        </w:rPr>
      </w:pPr>
      <w:bookmarkStart w:id="106" w:name="_Toc20697"/>
      <w:r>
        <w:rPr>
          <w:rFonts w:hint="eastAsia" w:ascii="宋体" w:hAnsi="宋体" w:eastAsia="宋体" w:cs="宋体"/>
          <w:b/>
          <w:bCs/>
          <w:color w:val="auto"/>
          <w:sz w:val="32"/>
          <w:szCs w:val="32"/>
          <w:highlight w:val="none"/>
          <w:lang w:eastAsia="zh-CN"/>
        </w:rPr>
        <w:t>第</w:t>
      </w:r>
      <w:r>
        <w:rPr>
          <w:rFonts w:hint="eastAsia"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包产品参数要求</w:t>
      </w:r>
      <w:bookmarkEnd w:id="106"/>
    </w:p>
    <w:p w14:paraId="04C55884">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超声肝硬化检测仪</w:t>
      </w:r>
    </w:p>
    <w:p w14:paraId="495A8348">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用途说明：应用于病毒性肝炎，非酒精性脂肪肝、酒精性肝病、药物性肝损伤、胆汁淤积性肝病等原因所导致引起的肝纤维化和肝硬化的准确诊断，肝硬化并发症的预测和健康人群的肝纤维化筛查以及辅助肝脏脂肪变程度诊断。</w:t>
      </w:r>
    </w:p>
    <w:p w14:paraId="6FFEA22C">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显示屏：≥21英寸</w:t>
      </w:r>
    </w:p>
    <w:p w14:paraId="16CFB0A4">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接口：USB3.0接口≥4个接口</w:t>
      </w:r>
    </w:p>
    <w:p w14:paraId="4B23DFD8">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DICOM功能：DICOM3.0标准图像和患者信息传输 </w:t>
      </w:r>
    </w:p>
    <w:p w14:paraId="1460852A">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内存≥4G</w:t>
      </w:r>
    </w:p>
    <w:p w14:paraId="402D0807">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数据容量≥1T</w:t>
      </w:r>
    </w:p>
    <w:p w14:paraId="563A000D">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可移动一体化台式机，原厂配备嵌入式键盘，无需第三方外接，满足参数调节、 按键输入、鼠标移动等功能需求</w:t>
      </w:r>
    </w:p>
    <w:p w14:paraId="61A7168D">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工作原理：利用瞬时弹性成像技术用于弹性检测，辅助肝脏纤维化诊断；利用肝脏声衰减参数检测，辅助肝脏脂肪变程度诊断。</w:t>
      </w:r>
    </w:p>
    <w:p w14:paraId="4659EF21">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纤维扫描探头：融合超声波及剪切波一体化探头</w:t>
      </w:r>
      <w:r>
        <w:rPr>
          <w:rFonts w:hint="eastAsia" w:hAnsi="宋体" w:cs="宋体"/>
          <w:sz w:val="24"/>
          <w:szCs w:val="24"/>
          <w:highlight w:val="none"/>
          <w:lang w:eastAsia="zh-CN"/>
        </w:rPr>
        <w:t>，</w:t>
      </w:r>
      <w:r>
        <w:rPr>
          <w:rFonts w:hint="eastAsia" w:hAnsi="宋体" w:cs="宋体"/>
          <w:sz w:val="24"/>
          <w:szCs w:val="24"/>
          <w:highlight w:val="none"/>
          <w:lang w:val="en-US" w:eastAsia="zh-CN"/>
        </w:rPr>
        <w:t>≥</w:t>
      </w:r>
      <w:r>
        <w:rPr>
          <w:rFonts w:hint="eastAsia" w:ascii="宋体" w:hAnsi="宋体" w:eastAsia="宋体" w:cs="宋体"/>
          <w:sz w:val="24"/>
          <w:szCs w:val="24"/>
          <w:highlight w:val="none"/>
        </w:rPr>
        <w:t>1个</w:t>
      </w:r>
    </w:p>
    <w:p w14:paraId="515593F7">
      <w:pPr>
        <w:numPr>
          <w:ilvl w:val="0"/>
          <w:numId w:val="14"/>
        </w:num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z w:val="24"/>
          <w:szCs w:val="24"/>
          <w:highlight w:val="none"/>
          <w:lang w:val="en-US" w:eastAsia="zh-CN"/>
        </w:rPr>
        <w:t>提供</w:t>
      </w:r>
      <w:r>
        <w:rPr>
          <w:rFonts w:hint="eastAsia" w:ascii="宋体" w:hAnsi="宋体" w:eastAsia="宋体" w:cs="宋体"/>
          <w:sz w:val="24"/>
          <w:szCs w:val="24"/>
          <w:highlight w:val="none"/>
        </w:rPr>
        <w:t>适用于全人群</w:t>
      </w:r>
      <w:r>
        <w:rPr>
          <w:rFonts w:hint="eastAsia" w:hAnsi="宋体" w:cs="宋体"/>
          <w:sz w:val="24"/>
          <w:szCs w:val="24"/>
          <w:highlight w:val="none"/>
          <w:lang w:val="en-US" w:eastAsia="zh-CN"/>
        </w:rPr>
        <w:t>检测</w:t>
      </w:r>
      <w:r>
        <w:rPr>
          <w:rFonts w:hint="eastAsia" w:ascii="宋体" w:hAnsi="宋体" w:eastAsia="宋体" w:cs="宋体"/>
          <w:sz w:val="24"/>
          <w:szCs w:val="24"/>
          <w:highlight w:val="none"/>
        </w:rPr>
        <w:t>的</w:t>
      </w:r>
      <w:r>
        <w:rPr>
          <w:rFonts w:hint="eastAsia" w:hAnsi="宋体" w:cs="宋体"/>
          <w:sz w:val="24"/>
          <w:szCs w:val="24"/>
          <w:highlight w:val="none"/>
          <w:lang w:val="en-US" w:eastAsia="zh-CN"/>
        </w:rPr>
        <w:t>肝</w:t>
      </w:r>
      <w:r>
        <w:rPr>
          <w:rFonts w:hint="eastAsia" w:ascii="宋体" w:hAnsi="宋体" w:eastAsia="宋体" w:cs="宋体"/>
          <w:sz w:val="24"/>
          <w:szCs w:val="24"/>
          <w:highlight w:val="none"/>
        </w:rPr>
        <w:t>纤维化探头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或适用于不同体型检测的</w:t>
      </w:r>
      <w:r>
        <w:rPr>
          <w:rFonts w:hint="eastAsia" w:hAnsi="宋体" w:cs="宋体"/>
          <w:sz w:val="24"/>
          <w:szCs w:val="24"/>
          <w:highlight w:val="none"/>
          <w:lang w:val="en-US" w:eastAsia="zh-CN"/>
        </w:rPr>
        <w:t>肝</w:t>
      </w:r>
      <w:r>
        <w:rPr>
          <w:rFonts w:hint="eastAsia" w:ascii="宋体" w:hAnsi="宋体" w:eastAsia="宋体" w:cs="宋体"/>
          <w:sz w:val="24"/>
          <w:szCs w:val="24"/>
          <w:highlight w:val="none"/>
        </w:rPr>
        <w:t>纤维化探头</w:t>
      </w:r>
    </w:p>
    <w:p w14:paraId="6A5CE79D">
      <w:pPr>
        <w:numPr>
          <w:ilvl w:val="0"/>
          <w:numId w:val="14"/>
        </w:num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具有</w:t>
      </w:r>
      <w:r>
        <w:rPr>
          <w:rFonts w:hint="eastAsia" w:ascii="宋体" w:hAnsi="宋体" w:eastAsia="宋体" w:cs="宋体"/>
          <w:color w:val="000000" w:themeColor="text1"/>
          <w:sz w:val="24"/>
          <w:szCs w:val="24"/>
          <w:highlight w:val="none"/>
          <w14:textFill>
            <w14:solidFill>
              <w14:schemeClr w14:val="tx1"/>
            </w14:solidFill>
          </w14:textFill>
        </w:rPr>
        <w:t>辅助定位</w:t>
      </w:r>
      <w:r>
        <w:rPr>
          <w:rFonts w:hint="eastAsia" w:hAnsi="宋体" w:cs="宋体"/>
          <w:color w:val="000000" w:themeColor="text1"/>
          <w:sz w:val="24"/>
          <w:szCs w:val="24"/>
          <w:highlight w:val="none"/>
          <w:lang w:val="en-US" w:eastAsia="zh-CN"/>
          <w14:textFill>
            <w14:solidFill>
              <w14:schemeClr w14:val="tx1"/>
            </w14:solidFill>
          </w14:textFill>
        </w:rPr>
        <w:t>功能</w:t>
      </w:r>
    </w:p>
    <w:p w14:paraId="180B3523">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A模式实时显示：具备A模式，支持实时超声信号幅度显示</w:t>
      </w:r>
    </w:p>
    <w:p w14:paraId="500037CD">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取样点定位：A超、M超自动同步显示确定取样点的位置 </w:t>
      </w:r>
    </w:p>
    <w:p w14:paraId="4D515392">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测量数值显示：患者信息、硬度值中位数、有效测量次数、IQR 、脂肪衰减参数值等</w:t>
      </w:r>
    </w:p>
    <w:p w14:paraId="665FBD01">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硬度量程：1.5kPa-70kPa</w:t>
      </w:r>
    </w:p>
    <w:p w14:paraId="022435D7">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硬度测量值误差：≤5%    </w:t>
      </w:r>
    </w:p>
    <w:p w14:paraId="495FC9DC">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脂肪变量程：</w:t>
      </w:r>
      <w:r>
        <w:rPr>
          <w:rFonts w:hint="eastAsia" w:hAnsi="宋体" w:cs="宋体"/>
          <w:sz w:val="24"/>
          <w:szCs w:val="24"/>
          <w:highlight w:val="none"/>
          <w:lang w:val="en-US" w:eastAsia="zh-CN"/>
        </w:rPr>
        <w:t>100</w:t>
      </w:r>
      <w:r>
        <w:rPr>
          <w:rFonts w:hint="eastAsia" w:ascii="宋体" w:hAnsi="宋体" w:eastAsia="宋体" w:cs="宋体"/>
          <w:sz w:val="24"/>
          <w:szCs w:val="24"/>
          <w:highlight w:val="none"/>
        </w:rPr>
        <w:t>dB/m-4</w:t>
      </w:r>
      <w:r>
        <w:rPr>
          <w:rFonts w:hint="eastAsia" w:hAnsi="宋体" w:cs="宋体"/>
          <w:sz w:val="24"/>
          <w:szCs w:val="24"/>
          <w:highlight w:val="none"/>
          <w:lang w:val="en-US" w:eastAsia="zh-CN"/>
        </w:rPr>
        <w:t>0</w:t>
      </w:r>
      <w:r>
        <w:rPr>
          <w:rFonts w:hint="eastAsia" w:ascii="宋体" w:hAnsi="宋体" w:eastAsia="宋体" w:cs="宋体"/>
          <w:sz w:val="24"/>
          <w:szCs w:val="24"/>
          <w:highlight w:val="none"/>
        </w:rPr>
        <w:t>0dB/m</w:t>
      </w:r>
    </w:p>
    <w:p w14:paraId="564BAFAC">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脂肪变值误差：≤5%</w:t>
      </w:r>
    </w:p>
    <w:p w14:paraId="2C5F88A0">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单一纤维扫描探头测量深度范围：≥85㎜</w:t>
      </w:r>
    </w:p>
    <w:p w14:paraId="31F9D18E">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纤维扫描探头频率自适应调节：自动检测皮肤表面到肝脏包膜的距离，并自动调节探头传感器频率</w:t>
      </w:r>
    </w:p>
    <w:p w14:paraId="03DB1770">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智能压力控制：实时监测纤维扫描探头承受压力状态，并具有压力过载自动保护功能，压力过载时自动提示并停止检测</w:t>
      </w:r>
    </w:p>
    <w:p w14:paraId="64008FAF">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纤维扫描探头超声传感器频率：频率范围</w:t>
      </w:r>
      <w:r>
        <w:rPr>
          <w:rFonts w:hint="eastAsia" w:hAnsi="宋体" w:cs="宋体"/>
          <w:sz w:val="24"/>
          <w:szCs w:val="24"/>
          <w:highlight w:val="none"/>
          <w:lang w:val="en-US" w:eastAsia="zh-CN"/>
        </w:rPr>
        <w:t>2.0</w:t>
      </w:r>
      <w:r>
        <w:rPr>
          <w:rFonts w:hint="eastAsia" w:ascii="宋体" w:hAnsi="宋体" w:eastAsia="宋体" w:cs="宋体"/>
          <w:sz w:val="24"/>
          <w:szCs w:val="24"/>
          <w:highlight w:val="none"/>
        </w:rPr>
        <w:t>MHz-5.0MHz</w:t>
      </w:r>
      <w:r>
        <w:rPr>
          <w:rFonts w:hint="eastAsia" w:hAnsi="宋体" w:cs="宋体"/>
          <w:sz w:val="24"/>
          <w:szCs w:val="24"/>
          <w:highlight w:val="none"/>
          <w:lang w:eastAsia="zh-CN"/>
        </w:rPr>
        <w:t>；</w:t>
      </w:r>
      <w:r>
        <w:rPr>
          <w:rFonts w:hint="eastAsia" w:hAnsi="宋体" w:cs="宋体"/>
          <w:sz w:val="24"/>
          <w:szCs w:val="24"/>
          <w:highlight w:val="none"/>
          <w:lang w:val="en-US" w:eastAsia="zh-CN"/>
        </w:rPr>
        <w:t>或定频波，需提供所有不同频率的检测探头。</w:t>
      </w:r>
    </w:p>
    <w:p w14:paraId="6AE1066D">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取样体积：≥3cm³</w:t>
      </w:r>
    </w:p>
    <w:p w14:paraId="2F1D04D7">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纤维扫描探头前端传感器为圆柱形且直径：≤9mm </w:t>
      </w:r>
    </w:p>
    <w:p w14:paraId="6412EAC5">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纤维扫描探头剪切波频率：50Hz</w:t>
      </w:r>
    </w:p>
    <w:p w14:paraId="7295218B">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病例批量管理：可以指定多种字段，例如时间，病案编号，性别，年龄等条件，支持从设备主机批量删除数据 </w:t>
      </w:r>
    </w:p>
    <w:p w14:paraId="34C7A1BD">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纤维扫描探头剪切波激发方式：脚踏开关和手动按键</w:t>
      </w:r>
    </w:p>
    <w:p w14:paraId="1F8AF134">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肝脏硬度和脂肪衰减数据采集模式：支持单次采集和多次连续采集</w:t>
      </w:r>
    </w:p>
    <w:p w14:paraId="4055E5D9">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设备使用寿命：≥8年</w:t>
      </w:r>
    </w:p>
    <w:p w14:paraId="75D1983C">
      <w:pPr>
        <w:numPr>
          <w:ilvl w:val="0"/>
          <w:numId w:val="14"/>
        </w:num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内置一体化工作站：支持设备直接对接医院系统，无需外接工作站。</w:t>
      </w:r>
    </w:p>
    <w:p w14:paraId="47FE938C">
      <w:pPr>
        <w:numPr>
          <w:ilvl w:val="0"/>
          <w:numId w:val="14"/>
        </w:num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设备使用无耗材及额外收费，</w:t>
      </w:r>
      <w:r>
        <w:rPr>
          <w:rFonts w:hint="eastAsia" w:hAnsi="宋体" w:cs="宋体"/>
          <w:color w:val="000000" w:themeColor="text1"/>
          <w:sz w:val="24"/>
          <w:szCs w:val="24"/>
          <w:highlight w:val="none"/>
          <w:lang w:val="en-US" w:eastAsia="zh-CN"/>
          <w14:textFill>
            <w14:solidFill>
              <w14:schemeClr w14:val="tx1"/>
            </w14:solidFill>
          </w14:textFill>
        </w:rPr>
        <w:t>负责</w:t>
      </w:r>
      <w:r>
        <w:rPr>
          <w:rFonts w:hint="eastAsia" w:ascii="宋体" w:hAnsi="宋体" w:eastAsia="宋体" w:cs="宋体"/>
          <w:color w:val="000000" w:themeColor="text1"/>
          <w:sz w:val="24"/>
          <w:szCs w:val="24"/>
          <w:highlight w:val="none"/>
          <w14:textFill>
            <w14:solidFill>
              <w14:schemeClr w14:val="tx1"/>
            </w14:solidFill>
          </w14:textFill>
        </w:rPr>
        <w:t>软件升级</w:t>
      </w:r>
    </w:p>
    <w:p w14:paraId="457EFC53">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5B57CA76">
      <w:pPr>
        <w:pStyle w:val="2"/>
        <w:jc w:val="center"/>
        <w:rPr>
          <w:rFonts w:hint="eastAsia" w:ascii="宋体" w:hAnsi="宋体" w:eastAsia="宋体" w:cs="宋体"/>
          <w:color w:val="auto"/>
          <w:highlight w:val="none"/>
        </w:rPr>
      </w:pPr>
      <w:bookmarkStart w:id="107" w:name="_Toc11153"/>
      <w:r>
        <w:rPr>
          <w:rFonts w:hint="eastAsia" w:ascii="宋体" w:hAnsi="宋体" w:eastAsia="宋体" w:cs="宋体"/>
          <w:color w:val="auto"/>
          <w:sz w:val="36"/>
          <w:szCs w:val="36"/>
          <w:highlight w:val="none"/>
        </w:rPr>
        <w:t>第五章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评标方法</w:t>
      </w:r>
      <w:bookmarkEnd w:id="107"/>
    </w:p>
    <w:p w14:paraId="71CD65E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108" w:name="_Toc363463332"/>
      <w:r>
        <w:rPr>
          <w:rFonts w:hint="eastAsia" w:ascii="宋体" w:hAnsi="宋体" w:eastAsia="宋体" w:cs="宋体"/>
          <w:b/>
          <w:color w:val="auto"/>
          <w:sz w:val="28"/>
          <w:szCs w:val="28"/>
          <w:highlight w:val="none"/>
        </w:rPr>
        <w:t>一、评标方法</w:t>
      </w:r>
      <w:bookmarkEnd w:id="108"/>
    </w:p>
    <w:p w14:paraId="31C66797">
      <w:pPr>
        <w:keepNext w:val="0"/>
        <w:keepLines w:val="0"/>
        <w:pageBreakBefore w:val="0"/>
        <w:widowControl w:val="0"/>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14:paraId="3C57A2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二、评审标准</w:t>
      </w:r>
    </w:p>
    <w:p w14:paraId="5A8369B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14:paraId="71E87E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14:paraId="336EF8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14:paraId="0AFF7E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06F02C4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14:paraId="46DE6D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14:paraId="02DDC4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（2）技术评审：见附件2评标因素及权重分值表。</w:t>
      </w:r>
    </w:p>
    <w:p w14:paraId="2022B08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（3）履约能力及服务承诺：见附件2评标因素及权重分值表。</w:t>
      </w:r>
    </w:p>
    <w:p w14:paraId="700CCB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109" w:name="_Toc363463333"/>
      <w:r>
        <w:rPr>
          <w:rFonts w:hint="eastAsia" w:ascii="宋体" w:hAnsi="宋体" w:eastAsia="宋体" w:cs="宋体"/>
          <w:b/>
          <w:color w:val="auto"/>
          <w:sz w:val="28"/>
          <w:szCs w:val="28"/>
          <w:highlight w:val="none"/>
        </w:rPr>
        <w:t>三、评标程序</w:t>
      </w:r>
      <w:bookmarkEnd w:id="109"/>
    </w:p>
    <w:p w14:paraId="224C9E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hAnsi="宋体" w:cs="宋体"/>
          <w:bCs/>
          <w:color w:val="auto"/>
          <w:sz w:val="24"/>
          <w:szCs w:val="24"/>
          <w:highlight w:val="none"/>
          <w:lang w:eastAsia="zh-CN"/>
        </w:rPr>
        <w:t>。</w:t>
      </w:r>
    </w:p>
    <w:p w14:paraId="6E6DEFB8">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12CC95E6">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52DA533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4C6AA7B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14:paraId="147A43ED">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14:paraId="427344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w:t>
      </w:r>
      <w:r>
        <w:rPr>
          <w:rFonts w:hint="eastAsia" w:ascii="宋体" w:hAnsi="宋体" w:eastAsia="宋体" w:cs="宋体"/>
          <w:b/>
          <w:bCs/>
          <w:color w:val="auto"/>
          <w:sz w:val="24"/>
          <w:szCs w:val="24"/>
          <w:highlight w:val="none"/>
          <w:lang w:val="en-US" w:eastAsia="zh-CN"/>
        </w:rPr>
        <w:t>由采购人及采购代理机构共同审查</w:t>
      </w:r>
      <w:r>
        <w:rPr>
          <w:rFonts w:hint="eastAsia" w:ascii="宋体" w:hAnsi="宋体" w:eastAsia="宋体" w:cs="宋体"/>
          <w:b/>
          <w:bCs/>
          <w:color w:val="auto"/>
          <w:sz w:val="24"/>
          <w:szCs w:val="24"/>
          <w:highlight w:val="none"/>
        </w:rPr>
        <w:t>，不符合文件要求的，不得进入符合性审查，在资格性审查和符合性审查时未通过的，不得进入后续评审环节。</w:t>
      </w:r>
    </w:p>
    <w:p w14:paraId="19CAE937">
      <w:pPr>
        <w:keepNext w:val="0"/>
        <w:keepLines w:val="0"/>
        <w:pageBreakBefore w:val="0"/>
        <w:widowControl w:val="0"/>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w:t>
      </w:r>
      <w:r>
        <w:rPr>
          <w:rFonts w:hint="eastAsia" w:ascii="宋体" w:hAnsi="宋体" w:eastAsia="宋体" w:cs="宋体"/>
          <w:b/>
          <w:bCs/>
          <w:color w:val="auto"/>
          <w:sz w:val="24"/>
          <w:szCs w:val="24"/>
          <w:highlight w:val="none"/>
          <w:lang w:val="en-US" w:eastAsia="zh-CN"/>
        </w:rPr>
        <w:t>符合性审查</w:t>
      </w:r>
      <w:r>
        <w:rPr>
          <w:rFonts w:hint="eastAsia" w:ascii="宋体" w:hAnsi="宋体" w:eastAsia="宋体" w:cs="宋体"/>
          <w:b/>
          <w:bCs/>
          <w:color w:val="auto"/>
          <w:sz w:val="24"/>
          <w:szCs w:val="24"/>
          <w:highlight w:val="none"/>
        </w:rPr>
        <w:t>。有一项不符合评审标准的，评标委员会应当否决其投标。</w:t>
      </w:r>
    </w:p>
    <w:p w14:paraId="42372F20">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14:paraId="7E2C84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14:paraId="1AB9D6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14:paraId="14D5CFF0">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AEB396B">
      <w:pPr>
        <w:keepNext w:val="0"/>
        <w:keepLines w:val="0"/>
        <w:pageBreakBefore w:val="0"/>
        <w:widowControl w:val="0"/>
        <w:kinsoku/>
        <w:wordWrap/>
        <w:overflowPunct/>
        <w:topLinePunct w:val="0"/>
        <w:autoSpaceDE/>
        <w:autoSpaceDN/>
        <w:bidi w:val="0"/>
        <w:spacing w:before="120" w:after="12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14:paraId="416E44BE">
      <w:pPr>
        <w:keepNext w:val="0"/>
        <w:keepLines w:val="0"/>
        <w:pageBreakBefore w:val="0"/>
        <w:widowControl w:val="0"/>
        <w:tabs>
          <w:tab w:val="left" w:pos="0"/>
        </w:tabs>
        <w:kinsoku/>
        <w:wordWrap/>
        <w:overflowPunct/>
        <w:topLinePunct w:val="0"/>
        <w:autoSpaceDE/>
        <w:autoSpaceDN/>
        <w:bidi w:val="0"/>
        <w:adjustRightInd w:val="0"/>
        <w:snapToGrid w:val="0"/>
        <w:spacing w:before="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14:paraId="3337CD3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14:paraId="3C0FA2D3">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216DAF7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40BEE9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698C38F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1D8B14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321D4A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6E244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7D6C0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6698642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http://www.ccgp.gov.cn/</w:t>
      </w:r>
      <w:r>
        <w:rPr>
          <w:rStyle w:val="2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17B6E2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http://www.ccgp.gov.cn/</w:t>
      </w:r>
      <w:r>
        <w:rPr>
          <w:rStyle w:val="2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3AF513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BC4A8E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0C782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259D99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%”进行扣减；</w:t>
      </w:r>
    </w:p>
    <w:p w14:paraId="68CEAC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2E44AC4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5CCA5C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14:paraId="36355B96">
      <w:pPr>
        <w:pStyle w:val="8"/>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4"/>
          <w:highlight w:val="none"/>
        </w:rPr>
        <w:t>附件1：</w:t>
      </w:r>
    </w:p>
    <w:p w14:paraId="1288BD1B">
      <w:pPr>
        <w:pStyle w:val="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初步审查要素表</w:t>
      </w:r>
    </w:p>
    <w:tbl>
      <w:tblPr>
        <w:tblStyle w:val="2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404"/>
        <w:gridCol w:w="5184"/>
      </w:tblGrid>
      <w:tr w14:paraId="2F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gridSpan w:val="2"/>
            <w:noWrap w:val="0"/>
            <w:vAlign w:val="center"/>
          </w:tcPr>
          <w:p w14:paraId="33F82636">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155" w:type="dxa"/>
            <w:gridSpan w:val="3"/>
            <w:noWrap w:val="0"/>
            <w:vAlign w:val="center"/>
          </w:tcPr>
          <w:p w14:paraId="1BAB2228">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E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gridSpan w:val="2"/>
            <w:noWrap w:val="0"/>
            <w:vAlign w:val="center"/>
          </w:tcPr>
          <w:p w14:paraId="58BA01B3">
            <w:pPr>
              <w:tabs>
                <w:tab w:val="left" w:pos="0"/>
              </w:tabs>
              <w:adjustRightInd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8155" w:type="dxa"/>
            <w:gridSpan w:val="3"/>
            <w:noWrap w:val="0"/>
            <w:vAlign w:val="center"/>
          </w:tcPr>
          <w:p w14:paraId="7E73D7B7">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1、提供合格有效的法人或者其他组织的营业执照等证明文件，自然人的身份证明；</w:t>
            </w:r>
          </w:p>
          <w:p w14:paraId="58605A75">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2、提供法定代表人授权书（附法定代表人、被授权人身份证复印件）及被授权人身份证原件（法定代表人直接参加投标，须提供法定代表人身份证明及身份证原件）；</w:t>
            </w:r>
          </w:p>
          <w:p w14:paraId="07B1E9EA">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3、财务状况：提供2024年度的财务审计报告（至少包括资产负债表和利润表，成立时间至提交投标文件截止时间不足一年的可提供成立后任意时段的资产负债表）或开标时间前六个月内银行出具的资信证明；</w:t>
            </w:r>
          </w:p>
          <w:p w14:paraId="04FEA6F7">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4、税收缴纳证明：提供投标截止日前近一年内任意一个月的纳税证明或完税证明（任意税种），依法免税的单位应提供相关证明材料；</w:t>
            </w:r>
          </w:p>
          <w:p w14:paraId="622496DD">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63AACC28">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6、供应商应在招标文件领取期至投标截止时间前通过“信用中国”网站(www.creditchina.gov.cn)、中国政府采购网(www.ccgp.gov.cn)查询相关主体信用记录；</w:t>
            </w:r>
          </w:p>
          <w:p w14:paraId="4A20164E">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7、参加政府采购活动前3年内，在经营活动中没有重大违法记录的书面声明；</w:t>
            </w:r>
          </w:p>
          <w:p w14:paraId="55A09C36">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8、提供具有履行合同所必需的设备和专业技术能力的书面承诺；</w:t>
            </w:r>
          </w:p>
          <w:p w14:paraId="2780B46C">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为代理商的，所投产品如属于医疗器械的须提供《医疗器械经营许可证》或《医疗器械经营备案凭证》及所投医疗器械产品在有效期内的《医疗器械注册证》或《医疗器械产品备案凭证》；投标人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p>
          <w:p w14:paraId="60BF8F44">
            <w:pPr>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10、本项目不接受联合体投标。</w:t>
            </w:r>
          </w:p>
        </w:tc>
      </w:tr>
      <w:tr w14:paraId="718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noWrap w:val="0"/>
            <w:vAlign w:val="center"/>
          </w:tcPr>
          <w:p w14:paraId="36771201">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600" w:type="dxa"/>
            <w:vMerge w:val="restart"/>
            <w:noWrap w:val="0"/>
            <w:vAlign w:val="center"/>
          </w:tcPr>
          <w:p w14:paraId="5F085546">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567" w:type="dxa"/>
            <w:vMerge w:val="restart"/>
            <w:noWrap w:val="0"/>
            <w:vAlign w:val="center"/>
          </w:tcPr>
          <w:p w14:paraId="0A2D018C">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2404" w:type="dxa"/>
            <w:noWrap w:val="0"/>
            <w:vAlign w:val="center"/>
          </w:tcPr>
          <w:p w14:paraId="64A7FED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5184" w:type="dxa"/>
            <w:noWrap w:val="0"/>
            <w:vAlign w:val="center"/>
          </w:tcPr>
          <w:p w14:paraId="48768EDF">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hAnsi="宋体" w:cs="宋体"/>
                <w:color w:val="auto"/>
                <w:sz w:val="24"/>
                <w:szCs w:val="24"/>
                <w:highlight w:val="none"/>
                <w:lang w:eastAsia="zh-CN"/>
              </w:rPr>
              <w:t>。</w:t>
            </w:r>
          </w:p>
        </w:tc>
      </w:tr>
      <w:tr w14:paraId="407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33CBCA3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352E907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50A7506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5637E4A5">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5184" w:type="dxa"/>
            <w:noWrap w:val="0"/>
            <w:vAlign w:val="center"/>
          </w:tcPr>
          <w:p w14:paraId="05016B07">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hAnsi="宋体" w:cs="宋体"/>
                <w:color w:val="auto"/>
                <w:sz w:val="24"/>
                <w:szCs w:val="24"/>
                <w:highlight w:val="none"/>
                <w:lang w:eastAsia="zh-CN"/>
              </w:rPr>
              <w:t>。</w:t>
            </w:r>
          </w:p>
        </w:tc>
      </w:tr>
      <w:tr w14:paraId="02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56F599B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4E0B3F0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7C38627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7FE7457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5184" w:type="dxa"/>
            <w:noWrap w:val="0"/>
            <w:vAlign w:val="center"/>
          </w:tcPr>
          <w:p w14:paraId="3603A4A9">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hAnsi="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012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14:paraId="7B35AF3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14:paraId="2DA3257B">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14:paraId="5A0D4610">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2404" w:type="dxa"/>
            <w:noWrap w:val="0"/>
            <w:vAlign w:val="center"/>
          </w:tcPr>
          <w:p w14:paraId="5FBAC8D8">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5184" w:type="dxa"/>
            <w:noWrap w:val="0"/>
            <w:vAlign w:val="center"/>
          </w:tcPr>
          <w:p w14:paraId="49995B8A">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hAnsi="宋体" w:cs="宋体"/>
                <w:color w:val="auto"/>
                <w:sz w:val="24"/>
                <w:szCs w:val="24"/>
                <w:highlight w:val="none"/>
                <w:lang w:eastAsia="zh-CN"/>
              </w:rPr>
              <w:t>。</w:t>
            </w:r>
          </w:p>
        </w:tc>
      </w:tr>
      <w:tr w14:paraId="2AD5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489DB48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C50161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C611AC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0D1EFB01">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5184" w:type="dxa"/>
            <w:noWrap w:val="0"/>
            <w:vAlign w:val="center"/>
          </w:tcPr>
          <w:p w14:paraId="213E76A5">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hAnsi="宋体" w:cs="宋体"/>
                <w:color w:val="auto"/>
                <w:sz w:val="24"/>
                <w:szCs w:val="24"/>
                <w:highlight w:val="none"/>
                <w:lang w:eastAsia="zh-CN"/>
              </w:rPr>
              <w:t>。</w:t>
            </w:r>
          </w:p>
        </w:tc>
      </w:tr>
      <w:tr w14:paraId="5BB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14:paraId="365089BE">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14:paraId="79A8B274">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14:paraId="24EF52A4">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2404" w:type="dxa"/>
            <w:noWrap w:val="0"/>
            <w:vAlign w:val="center"/>
          </w:tcPr>
          <w:p w14:paraId="64040746">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5184" w:type="dxa"/>
            <w:noWrap w:val="0"/>
            <w:vAlign w:val="center"/>
          </w:tcPr>
          <w:p w14:paraId="4F2C8650">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hAnsi="宋体" w:cs="宋体"/>
                <w:color w:val="auto"/>
                <w:sz w:val="24"/>
                <w:szCs w:val="24"/>
                <w:highlight w:val="none"/>
                <w:lang w:eastAsia="zh-CN"/>
              </w:rPr>
              <w:t>。</w:t>
            </w:r>
          </w:p>
        </w:tc>
      </w:tr>
      <w:tr w14:paraId="54FB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0C96759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494827A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37F71BD">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610B1448">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5184" w:type="dxa"/>
            <w:noWrap w:val="0"/>
            <w:vAlign w:val="center"/>
          </w:tcPr>
          <w:p w14:paraId="3377DB5C">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hAnsi="宋体" w:cs="宋体"/>
                <w:color w:val="auto"/>
                <w:sz w:val="24"/>
                <w:szCs w:val="24"/>
                <w:highlight w:val="none"/>
                <w:lang w:eastAsia="zh-CN"/>
              </w:rPr>
              <w:t>。</w:t>
            </w:r>
          </w:p>
        </w:tc>
      </w:tr>
      <w:tr w14:paraId="081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4C5665D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A326A2C">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2B99307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7E68E7B0">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5184" w:type="dxa"/>
            <w:noWrap w:val="0"/>
            <w:vAlign w:val="center"/>
          </w:tcPr>
          <w:p w14:paraId="2D5E9C43">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hAnsi="宋体" w:cs="宋体"/>
                <w:color w:val="auto"/>
                <w:sz w:val="24"/>
                <w:szCs w:val="24"/>
                <w:highlight w:val="none"/>
                <w:lang w:eastAsia="zh-CN"/>
              </w:rPr>
              <w:t>。</w:t>
            </w:r>
          </w:p>
        </w:tc>
      </w:tr>
      <w:tr w14:paraId="435F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14:paraId="5985012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14:paraId="060D932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14:paraId="582EE485">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14:paraId="5A66802E">
            <w:pPr>
              <w:tabs>
                <w:tab w:val="left" w:pos="0"/>
              </w:tabs>
              <w:adjustRightInd w:val="0"/>
              <w:snapToGrid w:val="0"/>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中小企业声明函</w:t>
            </w:r>
          </w:p>
        </w:tc>
        <w:tc>
          <w:tcPr>
            <w:tcW w:w="5184" w:type="dxa"/>
            <w:noWrap w:val="0"/>
            <w:vAlign w:val="center"/>
          </w:tcPr>
          <w:p w14:paraId="3356FA2E">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本项目合同包1、合同包2、合同包3、合同包5、合同包6专门面向中小企业采购；合同包4婴儿床车、气压治疗仪、胰岛素泵专门面向中小企业采购，有创监护仪、BIS监测模块（设备）非专门面向中小企业采购。</w:t>
            </w:r>
          </w:p>
          <w:p w14:paraId="54C18BEC">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专门面向中小企业采购的合同包及产品，参与投标的供应商须提供中小企业声明函，且所投产品的生产厂家企业类型属于中型、小型或微型企业。</w:t>
            </w:r>
          </w:p>
        </w:tc>
      </w:tr>
    </w:tbl>
    <w:p w14:paraId="4C159053">
      <w:pPr>
        <w:spacing w:line="5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14:paraId="21C95E7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评标因素及权重分值表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760"/>
        <w:gridCol w:w="7599"/>
      </w:tblGrid>
      <w:tr w14:paraId="1BAB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35D2E0A2">
            <w:pPr>
              <w:pStyle w:val="9"/>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类别</w:t>
            </w:r>
          </w:p>
        </w:tc>
        <w:tc>
          <w:tcPr>
            <w:tcW w:w="409" w:type="pct"/>
            <w:vAlign w:val="center"/>
          </w:tcPr>
          <w:p w14:paraId="5F11A18B">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总分</w:t>
            </w:r>
          </w:p>
        </w:tc>
        <w:tc>
          <w:tcPr>
            <w:tcW w:w="4091" w:type="pct"/>
            <w:vAlign w:val="center"/>
          </w:tcPr>
          <w:p w14:paraId="5ACC15F7">
            <w:pPr>
              <w:spacing w:line="360" w:lineRule="auto"/>
              <w:ind w:firstLine="562"/>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评标因素</w:t>
            </w:r>
          </w:p>
        </w:tc>
      </w:tr>
      <w:tr w14:paraId="6E84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2D455B95">
            <w:pPr>
              <w:spacing w:line="276"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价格</w:t>
            </w:r>
          </w:p>
          <w:p w14:paraId="02389276">
            <w:pPr>
              <w:spacing w:line="276" w:lineRule="auto"/>
              <w:jc w:val="center"/>
              <w:rPr>
                <w:rFonts w:hint="eastAsia" w:ascii="宋体" w:hAnsi="宋体" w:eastAsia="宋体" w:cs="宋体"/>
                <w:b/>
                <w:bCs/>
                <w:color w:val="auto"/>
                <w:szCs w:val="24"/>
                <w:highlight w:val="none"/>
              </w:rPr>
            </w:pPr>
            <w:r>
              <w:rPr>
                <w:rFonts w:hint="eastAsia" w:ascii="宋体" w:hAnsi="宋体" w:eastAsia="宋体" w:cs="宋体"/>
                <w:b/>
                <w:color w:val="auto"/>
                <w:szCs w:val="24"/>
                <w:highlight w:val="none"/>
              </w:rPr>
              <w:t>评审</w:t>
            </w:r>
          </w:p>
        </w:tc>
        <w:tc>
          <w:tcPr>
            <w:tcW w:w="409" w:type="pct"/>
            <w:vAlign w:val="center"/>
          </w:tcPr>
          <w:p w14:paraId="2550E05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30分</w:t>
            </w:r>
          </w:p>
        </w:tc>
        <w:tc>
          <w:tcPr>
            <w:tcW w:w="4091" w:type="pct"/>
            <w:vAlign w:val="center"/>
          </w:tcPr>
          <w:p w14:paraId="0C13DEF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1.经初审合格的</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文件，其</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报价为有效</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rPr>
              <w:t>报价，对符合政策性扣减的供应商的有效</w:t>
            </w:r>
            <w:r>
              <w:rPr>
                <w:rFonts w:hint="eastAsia" w:ascii="宋体" w:hAnsi="宋体" w:eastAsia="宋体" w:cs="宋体"/>
                <w:color w:val="auto"/>
                <w:szCs w:val="24"/>
                <w:highlight w:val="none"/>
                <w:lang w:eastAsia="zh-CN"/>
              </w:rPr>
              <w:t>投标报价</w:t>
            </w:r>
            <w:r>
              <w:rPr>
                <w:rFonts w:hint="eastAsia" w:ascii="宋体" w:hAnsi="宋体" w:eastAsia="宋体" w:cs="宋体"/>
                <w:color w:val="auto"/>
                <w:szCs w:val="24"/>
                <w:highlight w:val="none"/>
              </w:rPr>
              <w:t>进行政策性扣减，并依据扣减后的价格（评审价格）进行价格评审。</w:t>
            </w:r>
          </w:p>
          <w:p w14:paraId="1CEDEA4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2.满足</w:t>
            </w: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rPr>
              <w:t>文件实质性要求且</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报价最低的供应商的价格为</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基准价，其价格分为满分30分。</w:t>
            </w:r>
          </w:p>
          <w:p w14:paraId="1ED3571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3.价格分统一采用低价优先法，即满足</w:t>
            </w: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rPr>
              <w:t>文件要求且</w:t>
            </w:r>
            <w:r>
              <w:rPr>
                <w:rFonts w:hint="eastAsia" w:ascii="宋体" w:hAnsi="宋体" w:eastAsia="宋体" w:cs="宋体"/>
                <w:color w:val="auto"/>
                <w:szCs w:val="24"/>
                <w:highlight w:val="none"/>
                <w:lang w:eastAsia="zh-CN"/>
              </w:rPr>
              <w:t>投标报价</w:t>
            </w:r>
            <w:r>
              <w:rPr>
                <w:rFonts w:hint="eastAsia" w:ascii="宋体" w:hAnsi="宋体" w:eastAsia="宋体" w:cs="宋体"/>
                <w:color w:val="auto"/>
                <w:szCs w:val="24"/>
                <w:highlight w:val="none"/>
              </w:rPr>
              <w:t>最低的为</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基准价，其价格分为满分。其他供应商的价格分统一按照下列公式计算：</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报价得分=(</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基准价／</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报价)×30，计算分数时四舍五入取小数点后两位；</w:t>
            </w:r>
          </w:p>
        </w:tc>
      </w:tr>
      <w:tr w14:paraId="5779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1F5E9F81">
            <w:pPr>
              <w:spacing w:line="276" w:lineRule="auto"/>
              <w:jc w:val="center"/>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rPr>
              <w:t>产品参数</w:t>
            </w:r>
          </w:p>
        </w:tc>
        <w:tc>
          <w:tcPr>
            <w:tcW w:w="409" w:type="pct"/>
            <w:vAlign w:val="center"/>
          </w:tcPr>
          <w:p w14:paraId="3FC3E4AD">
            <w:pPr>
              <w:spacing w:line="560" w:lineRule="exact"/>
              <w:jc w:val="center"/>
              <w:rPr>
                <w:rFonts w:hint="eastAsia" w:ascii="宋体" w:hAnsi="宋体" w:eastAsia="宋体" w:cs="宋体"/>
                <w:b/>
                <w:bCs/>
                <w:color w:val="auto"/>
                <w:szCs w:val="24"/>
                <w:highlight w:val="none"/>
              </w:rPr>
            </w:pPr>
            <w:r>
              <w:rPr>
                <w:rFonts w:hint="eastAsia" w:ascii="宋体" w:hAnsi="宋体" w:eastAsia="宋体" w:cs="宋体"/>
                <w:b/>
                <w:color w:val="auto"/>
                <w:szCs w:val="24"/>
                <w:highlight w:val="none"/>
                <w:lang w:val="en-US" w:eastAsia="zh-CN"/>
              </w:rPr>
              <w:t>20</w:t>
            </w:r>
            <w:r>
              <w:rPr>
                <w:rFonts w:hint="eastAsia" w:ascii="宋体" w:hAnsi="宋体" w:eastAsia="宋体" w:cs="宋体"/>
                <w:b/>
                <w:color w:val="auto"/>
                <w:szCs w:val="24"/>
                <w:highlight w:val="none"/>
              </w:rPr>
              <w:t>分</w:t>
            </w:r>
          </w:p>
        </w:tc>
        <w:tc>
          <w:tcPr>
            <w:tcW w:w="4091" w:type="pct"/>
            <w:vAlign w:val="center"/>
          </w:tcPr>
          <w:p w14:paraId="2B2AADE8">
            <w:pPr>
              <w:spacing w:line="360" w:lineRule="auto"/>
              <w:ind w:left="-108" w:leftChars="-45"/>
              <w:jc w:val="left"/>
              <w:rPr>
                <w:rFonts w:hint="default" w:ascii="宋体" w:hAnsi="宋体" w:eastAsia="宋体" w:cs="宋体"/>
                <w:color w:val="auto"/>
                <w:highlight w:val="none"/>
                <w:lang w:val="en-US" w:eastAsia="zh-CN"/>
              </w:rPr>
            </w:pPr>
            <w:r>
              <w:rPr>
                <w:rFonts w:hint="eastAsia" w:ascii="宋体" w:hAnsi="宋体" w:eastAsia="宋体" w:cs="宋体"/>
                <w:color w:val="auto"/>
                <w:szCs w:val="24"/>
                <w:highlight w:val="none"/>
              </w:rPr>
              <w:t>所投设备选型明确，技术指标清晰，符合国际、国家的标准和有关规定，技术资料齐全，技术参数</w:t>
            </w:r>
            <w:r>
              <w:rPr>
                <w:rFonts w:hint="eastAsia" w:ascii="宋体" w:hAnsi="宋体" w:eastAsia="宋体" w:cs="宋体"/>
                <w:color w:val="auto"/>
                <w:szCs w:val="24"/>
                <w:highlight w:val="none"/>
                <w:lang w:val="en-US" w:eastAsia="zh-CN"/>
              </w:rPr>
              <w:t>逐条</w:t>
            </w:r>
            <w:r>
              <w:rPr>
                <w:rFonts w:hint="eastAsia" w:ascii="宋体" w:hAnsi="宋体" w:eastAsia="宋体" w:cs="宋体"/>
                <w:color w:val="auto"/>
                <w:szCs w:val="24"/>
                <w:highlight w:val="none"/>
              </w:rPr>
              <w:t>响应符合招标文件要求计</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rPr>
              <w:t>分</w:t>
            </w:r>
            <w:r>
              <w:rPr>
                <w:rFonts w:hint="eastAsia" w:hAnsi="宋体" w:cs="宋体"/>
                <w:color w:val="auto"/>
                <w:szCs w:val="24"/>
                <w:highlight w:val="none"/>
                <w:lang w:eastAsia="zh-CN"/>
              </w:rPr>
              <w:t>，</w:t>
            </w:r>
            <w:r>
              <w:rPr>
                <w:rFonts w:hint="eastAsia" w:ascii="宋体" w:hAnsi="宋体" w:eastAsia="宋体" w:cs="宋体"/>
                <w:color w:val="auto"/>
                <w:szCs w:val="24"/>
                <w:highlight w:val="none"/>
              </w:rPr>
              <w:t>技术指标负偏离1项扣</w:t>
            </w:r>
            <w:r>
              <w:rPr>
                <w:rFonts w:hint="eastAsia" w:hAnsi="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hAnsi="宋体" w:cs="宋体"/>
                <w:color w:val="auto"/>
                <w:szCs w:val="24"/>
                <w:highlight w:val="none"/>
                <w:lang w:eastAsia="zh-CN"/>
              </w:rPr>
              <w:t>，</w:t>
            </w:r>
            <w:r>
              <w:rPr>
                <w:rFonts w:hint="eastAsia" w:ascii="宋体" w:hAnsi="宋体" w:eastAsia="宋体" w:cs="宋体"/>
                <w:color w:val="auto"/>
                <w:szCs w:val="24"/>
                <w:highlight w:val="none"/>
              </w:rPr>
              <w:t>扣完为止</w:t>
            </w:r>
            <w:r>
              <w:rPr>
                <w:rFonts w:hint="eastAsia" w:ascii="宋体" w:hAnsi="宋体" w:eastAsia="宋体" w:cs="宋体"/>
                <w:color w:val="auto"/>
                <w:szCs w:val="24"/>
                <w:highlight w:val="none"/>
                <w:lang w:eastAsia="zh-CN"/>
              </w:rPr>
              <w:t>。</w:t>
            </w:r>
            <w:r>
              <w:rPr>
                <w:rFonts w:hint="eastAsia" w:hAnsi="宋体" w:cs="宋体"/>
                <w:b/>
                <w:bCs/>
                <w:color w:val="auto"/>
                <w:szCs w:val="24"/>
                <w:highlight w:val="none"/>
                <w:lang w:val="en-US" w:eastAsia="zh-CN"/>
              </w:rPr>
              <w:t>注：参数须提供证明材料（佐证材料不限于产品说明书或产品彩页或第三方检测报告或官网功能截图等）</w:t>
            </w:r>
            <w:bookmarkStart w:id="299" w:name="_GoBack"/>
            <w:bookmarkEnd w:id="299"/>
          </w:p>
        </w:tc>
      </w:tr>
      <w:tr w14:paraId="3F98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05079015">
            <w:pPr>
              <w:spacing w:line="276" w:lineRule="auto"/>
              <w:jc w:val="center"/>
              <w:rPr>
                <w:rFonts w:hint="eastAsia" w:ascii="宋体" w:hAnsi="宋体" w:eastAsia="宋体" w:cs="宋体"/>
                <w:b/>
                <w:color w:val="auto"/>
                <w:szCs w:val="24"/>
                <w:highlight w:val="none"/>
              </w:rPr>
            </w:pPr>
            <w:r>
              <w:rPr>
                <w:rFonts w:hint="eastAsia" w:hAnsi="宋体" w:cs="宋体"/>
                <w:b/>
                <w:bCs/>
                <w:color w:val="auto"/>
                <w:szCs w:val="24"/>
                <w:highlight w:val="none"/>
                <w:lang w:val="en-US" w:eastAsia="zh-CN"/>
              </w:rPr>
              <w:t>项目</w:t>
            </w:r>
            <w:r>
              <w:rPr>
                <w:rFonts w:hint="eastAsia" w:ascii="宋体" w:hAnsi="宋体" w:eastAsia="宋体" w:cs="宋体"/>
                <w:b/>
                <w:bCs/>
                <w:color w:val="auto"/>
                <w:szCs w:val="24"/>
                <w:highlight w:val="none"/>
              </w:rPr>
              <w:t>实施方案</w:t>
            </w:r>
          </w:p>
        </w:tc>
        <w:tc>
          <w:tcPr>
            <w:tcW w:w="409" w:type="pct"/>
            <w:vAlign w:val="center"/>
          </w:tcPr>
          <w:p w14:paraId="3C0A031E">
            <w:pPr>
              <w:spacing w:line="560" w:lineRule="exact"/>
              <w:jc w:val="center"/>
              <w:rPr>
                <w:rFonts w:hint="default" w:ascii="宋体" w:hAnsi="宋体" w:eastAsia="宋体" w:cs="宋体"/>
                <w:b/>
                <w:color w:val="auto"/>
                <w:szCs w:val="24"/>
                <w:highlight w:val="none"/>
                <w:lang w:val="en-US" w:eastAsia="zh-CN"/>
              </w:rPr>
            </w:pPr>
            <w:r>
              <w:rPr>
                <w:rFonts w:hint="eastAsia" w:hAnsi="宋体" w:cs="宋体"/>
                <w:b/>
                <w:color w:val="auto"/>
                <w:szCs w:val="24"/>
                <w:highlight w:val="none"/>
                <w:lang w:val="en-US" w:eastAsia="zh-CN"/>
              </w:rPr>
              <w:t>18分</w:t>
            </w:r>
          </w:p>
        </w:tc>
        <w:tc>
          <w:tcPr>
            <w:tcW w:w="4091" w:type="pct"/>
            <w:vAlign w:val="center"/>
          </w:tcPr>
          <w:p w14:paraId="4CE7F5AE">
            <w:pPr>
              <w:spacing w:line="360" w:lineRule="auto"/>
              <w:ind w:left="-108" w:leftChars="-45"/>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一、评审内容</w:t>
            </w:r>
          </w:p>
          <w:p w14:paraId="09F69A15">
            <w:pPr>
              <w:spacing w:line="360" w:lineRule="auto"/>
              <w:ind w:left="-108" w:leftChars="-45"/>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投标人针对本项目需求提供整体实施方案。内容包含：</w:t>
            </w:r>
          </w:p>
          <w:p w14:paraId="7BD94465">
            <w:pPr>
              <w:spacing w:line="360" w:lineRule="auto"/>
              <w:ind w:left="-108" w:leftChars="-45"/>
              <w:jc w:val="left"/>
              <w:rPr>
                <w:rFonts w:hint="eastAsia" w:hAnsi="宋体" w:cs="宋体"/>
                <w:color w:val="auto"/>
                <w:szCs w:val="24"/>
                <w:highlight w:val="none"/>
                <w:lang w:eastAsia="zh-CN"/>
              </w:rPr>
            </w:pPr>
            <w:r>
              <w:rPr>
                <w:rFonts w:hint="eastAsia" w:ascii="宋体" w:hAnsi="宋体" w:eastAsia="宋体" w:cs="宋体"/>
                <w:color w:val="auto"/>
                <w:szCs w:val="24"/>
                <w:highlight w:val="none"/>
              </w:rPr>
              <w:t>①供货运输方案、进度</w:t>
            </w:r>
            <w:r>
              <w:rPr>
                <w:rFonts w:hint="eastAsia" w:hAnsi="宋体" w:cs="宋体"/>
                <w:color w:val="auto"/>
                <w:szCs w:val="24"/>
                <w:highlight w:val="none"/>
                <w:lang w:val="en-US" w:eastAsia="zh-CN"/>
              </w:rPr>
              <w:t>计划</w:t>
            </w:r>
            <w:r>
              <w:rPr>
                <w:rFonts w:hint="eastAsia" w:hAnsi="宋体" w:cs="宋体"/>
                <w:color w:val="auto"/>
                <w:szCs w:val="24"/>
                <w:highlight w:val="none"/>
                <w:lang w:eastAsia="zh-CN"/>
              </w:rPr>
              <w:t>；</w:t>
            </w:r>
          </w:p>
          <w:p w14:paraId="338E7549">
            <w:pPr>
              <w:spacing w:line="360" w:lineRule="auto"/>
              <w:ind w:left="-108" w:leftChars="-45"/>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②物力调配及保障措施；</w:t>
            </w:r>
          </w:p>
          <w:p w14:paraId="61A93685">
            <w:pPr>
              <w:spacing w:line="360" w:lineRule="auto"/>
              <w:ind w:left="-108" w:leftChars="-45"/>
              <w:jc w:val="left"/>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③</w:t>
            </w:r>
            <w:r>
              <w:rPr>
                <w:rFonts w:hint="eastAsia" w:ascii="宋体" w:hAnsi="宋体" w:eastAsia="宋体" w:cs="宋体"/>
                <w:color w:val="auto"/>
                <w:szCs w:val="24"/>
                <w:highlight w:val="none"/>
              </w:rPr>
              <w:t>安装调试验收方案</w:t>
            </w:r>
            <w:r>
              <w:rPr>
                <w:rFonts w:hint="eastAsia" w:hAnsi="宋体" w:cs="宋体"/>
                <w:color w:val="auto"/>
                <w:szCs w:val="24"/>
                <w:highlight w:val="none"/>
                <w:lang w:eastAsia="zh-CN"/>
              </w:rPr>
              <w:t>。</w:t>
            </w:r>
          </w:p>
          <w:p w14:paraId="313A90EB">
            <w:pPr>
              <w:spacing w:line="360" w:lineRule="auto"/>
              <w:ind w:left="-108" w:leftChars="-45"/>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二、评审标准</w:t>
            </w:r>
          </w:p>
          <w:p w14:paraId="05B238C7">
            <w:pPr>
              <w:spacing w:line="360" w:lineRule="auto"/>
              <w:ind w:left="-108" w:leftChars="-45"/>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1、完整性：方案须全面，对评审内容中的各项要求描述详细；</w:t>
            </w:r>
          </w:p>
          <w:p w14:paraId="4595C579">
            <w:pPr>
              <w:spacing w:line="360" w:lineRule="auto"/>
              <w:ind w:left="-108" w:leftChars="-45"/>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2、可实施性：切合本项目实际情况，实施步骤清晰、合理；</w:t>
            </w:r>
          </w:p>
          <w:p w14:paraId="66F1137C">
            <w:pPr>
              <w:spacing w:line="360" w:lineRule="auto"/>
              <w:ind w:left="-108" w:leftChars="-45"/>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3、针对性：方案能够紧扣项目实际情况，内容科学合理。</w:t>
            </w:r>
          </w:p>
          <w:p w14:paraId="6A483D2C">
            <w:pPr>
              <w:spacing w:line="360" w:lineRule="auto"/>
              <w:ind w:left="-108" w:leftChars="-45"/>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三、赋分依据（满分</w:t>
            </w:r>
            <w:r>
              <w:rPr>
                <w:rFonts w:hint="eastAsia" w:hAnsi="宋体" w:cs="宋体"/>
                <w:b/>
                <w:bCs/>
                <w:color w:val="auto"/>
                <w:szCs w:val="24"/>
                <w:highlight w:val="none"/>
                <w:lang w:val="en-US" w:eastAsia="zh-CN"/>
              </w:rPr>
              <w:t>18</w:t>
            </w:r>
            <w:r>
              <w:rPr>
                <w:rFonts w:hint="eastAsia" w:ascii="宋体" w:hAnsi="宋体" w:eastAsia="宋体" w:cs="宋体"/>
                <w:b/>
                <w:bCs/>
                <w:color w:val="auto"/>
                <w:szCs w:val="24"/>
                <w:highlight w:val="none"/>
              </w:rPr>
              <w:t>分）</w:t>
            </w:r>
          </w:p>
          <w:p w14:paraId="6BB6A79A">
            <w:pPr>
              <w:spacing w:line="360" w:lineRule="auto"/>
              <w:ind w:left="-108" w:leftChars="-45"/>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①供货运输方案、进度计划：每完全满足一个评审标准得</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分，满分</w:t>
            </w:r>
            <w:r>
              <w:rPr>
                <w:rFonts w:hint="eastAsia" w:hAnsi="宋体" w:cs="宋体"/>
                <w:color w:val="auto"/>
                <w:szCs w:val="24"/>
                <w:highlight w:val="none"/>
                <w:lang w:val="en-US" w:eastAsia="zh-CN"/>
              </w:rPr>
              <w:t>6</w:t>
            </w:r>
            <w:r>
              <w:rPr>
                <w:rFonts w:hint="eastAsia" w:ascii="宋体" w:hAnsi="宋体" w:eastAsia="宋体" w:cs="宋体"/>
                <w:color w:val="auto"/>
                <w:szCs w:val="24"/>
                <w:highlight w:val="none"/>
              </w:rPr>
              <w:t>分；未提供不得分；</w:t>
            </w:r>
          </w:p>
          <w:p w14:paraId="327D0DE2">
            <w:pPr>
              <w:spacing w:line="360" w:lineRule="auto"/>
              <w:ind w:left="-108" w:leftChars="-45"/>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②物力调配及保障措施：</w:t>
            </w:r>
            <w:r>
              <w:rPr>
                <w:rFonts w:hint="eastAsia" w:ascii="宋体" w:hAnsi="宋体" w:eastAsia="宋体" w:cs="宋体"/>
                <w:color w:val="auto"/>
                <w:szCs w:val="24"/>
                <w:highlight w:val="none"/>
              </w:rPr>
              <w:t>每完全满足一个评审标准得</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分，满分</w:t>
            </w:r>
            <w:r>
              <w:rPr>
                <w:rFonts w:hint="eastAsia" w:hAnsi="宋体" w:cs="宋体"/>
                <w:color w:val="auto"/>
                <w:szCs w:val="24"/>
                <w:highlight w:val="none"/>
                <w:lang w:val="en-US" w:eastAsia="zh-CN"/>
              </w:rPr>
              <w:t>6</w:t>
            </w:r>
            <w:r>
              <w:rPr>
                <w:rFonts w:hint="eastAsia" w:ascii="宋体" w:hAnsi="宋体" w:eastAsia="宋体" w:cs="宋体"/>
                <w:color w:val="auto"/>
                <w:szCs w:val="24"/>
                <w:highlight w:val="none"/>
              </w:rPr>
              <w:t>分；未提供不得分；</w:t>
            </w:r>
          </w:p>
          <w:p w14:paraId="023BAFAA">
            <w:pPr>
              <w:spacing w:line="360" w:lineRule="auto"/>
              <w:ind w:left="-108" w:leftChars="-45"/>
              <w:jc w:val="left"/>
              <w:rPr>
                <w:rFonts w:hint="eastAsia" w:hAnsi="宋体" w:eastAsia="宋体" w:cs="宋体"/>
                <w:b w:val="0"/>
                <w:bCs w:val="0"/>
                <w:color w:val="auto"/>
                <w:highlight w:val="none"/>
                <w:lang w:eastAsia="zh-CN"/>
              </w:rPr>
            </w:pPr>
            <w:r>
              <w:rPr>
                <w:rFonts w:hint="eastAsia" w:hAnsi="宋体" w:cs="宋体"/>
                <w:color w:val="auto"/>
                <w:szCs w:val="24"/>
                <w:highlight w:val="none"/>
                <w:lang w:val="en-US" w:eastAsia="zh-CN"/>
              </w:rPr>
              <w:t>③</w:t>
            </w:r>
            <w:r>
              <w:rPr>
                <w:rFonts w:hint="eastAsia" w:ascii="宋体" w:hAnsi="宋体" w:eastAsia="宋体" w:cs="宋体"/>
                <w:color w:val="auto"/>
                <w:szCs w:val="24"/>
                <w:highlight w:val="none"/>
              </w:rPr>
              <w:t>安装调试验收方案：每完全满足一个评审标准得</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分，满分</w:t>
            </w:r>
            <w:r>
              <w:rPr>
                <w:rFonts w:hint="eastAsia" w:hAnsi="宋体" w:cs="宋体"/>
                <w:color w:val="auto"/>
                <w:szCs w:val="24"/>
                <w:highlight w:val="none"/>
                <w:lang w:val="en-US" w:eastAsia="zh-CN"/>
              </w:rPr>
              <w:t>6</w:t>
            </w:r>
            <w:r>
              <w:rPr>
                <w:rFonts w:hint="eastAsia" w:ascii="宋体" w:hAnsi="宋体" w:eastAsia="宋体" w:cs="宋体"/>
                <w:color w:val="auto"/>
                <w:szCs w:val="24"/>
                <w:highlight w:val="none"/>
              </w:rPr>
              <w:t>分；未提供不得分。</w:t>
            </w:r>
          </w:p>
        </w:tc>
      </w:tr>
      <w:tr w14:paraId="4D5D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3A86B1A5">
            <w:pPr>
              <w:spacing w:line="276" w:lineRule="auto"/>
              <w:jc w:val="center"/>
              <w:rPr>
                <w:rFonts w:hint="eastAsia" w:ascii="宋体" w:hAnsi="宋体" w:eastAsia="宋体" w:cs="宋体"/>
                <w:b/>
                <w:color w:val="auto"/>
                <w:szCs w:val="24"/>
                <w:highlight w:val="none"/>
                <w:lang w:val="en-US" w:eastAsia="zh-CN"/>
              </w:rPr>
            </w:pPr>
            <w:r>
              <w:rPr>
                <w:rFonts w:hint="eastAsia" w:ascii="宋体" w:hAnsi="宋体" w:eastAsia="宋体" w:cs="宋体"/>
                <w:b/>
                <w:bCs/>
                <w:color w:val="auto"/>
                <w:highlight w:val="none"/>
              </w:rPr>
              <w:t>质量保证</w:t>
            </w:r>
            <w:r>
              <w:rPr>
                <w:rFonts w:hint="eastAsia" w:hAnsi="宋体" w:cs="宋体"/>
                <w:b/>
                <w:bCs/>
                <w:color w:val="auto"/>
                <w:highlight w:val="none"/>
                <w:lang w:val="en-US" w:eastAsia="zh-CN"/>
              </w:rPr>
              <w:t>方案</w:t>
            </w:r>
          </w:p>
        </w:tc>
        <w:tc>
          <w:tcPr>
            <w:tcW w:w="409" w:type="pct"/>
            <w:vAlign w:val="center"/>
          </w:tcPr>
          <w:p w14:paraId="013EB0E5">
            <w:pPr>
              <w:spacing w:line="560" w:lineRule="exact"/>
              <w:jc w:val="center"/>
              <w:rPr>
                <w:rFonts w:hint="default" w:ascii="宋体" w:hAnsi="宋体" w:eastAsia="宋体" w:cs="宋体"/>
                <w:b/>
                <w:color w:val="auto"/>
                <w:szCs w:val="24"/>
                <w:highlight w:val="none"/>
                <w:lang w:val="en-US" w:eastAsia="zh-CN"/>
              </w:rPr>
            </w:pPr>
            <w:r>
              <w:rPr>
                <w:rFonts w:hint="eastAsia" w:hAnsi="宋体" w:cs="宋体"/>
                <w:b/>
                <w:color w:val="auto"/>
                <w:szCs w:val="24"/>
                <w:highlight w:val="none"/>
                <w:lang w:val="en-US" w:eastAsia="zh-CN"/>
              </w:rPr>
              <w:t>9分</w:t>
            </w:r>
          </w:p>
        </w:tc>
        <w:tc>
          <w:tcPr>
            <w:tcW w:w="4091" w:type="pct"/>
            <w:vAlign w:val="center"/>
          </w:tcPr>
          <w:p w14:paraId="6C6FDA26">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一、评审内容</w:t>
            </w:r>
          </w:p>
          <w:p w14:paraId="06F0C6A9">
            <w:pPr>
              <w:spacing w:line="360" w:lineRule="auto"/>
              <w:ind w:left="-108" w:leftChars="-45"/>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根据项目实际需求，提供质量保证方案。内容包含：</w:t>
            </w:r>
          </w:p>
          <w:p w14:paraId="7C1D9B50">
            <w:pPr>
              <w:spacing w:line="360" w:lineRule="auto"/>
              <w:ind w:left="-108" w:leftChars="-45"/>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①产品性能、设备选型、产品使用寿命及效果</w:t>
            </w:r>
            <w:r>
              <w:rPr>
                <w:rFonts w:hint="eastAsia" w:hAnsi="宋体" w:cs="宋体"/>
                <w:b w:val="0"/>
                <w:bCs w:val="0"/>
                <w:color w:val="auto"/>
                <w:highlight w:val="none"/>
                <w:lang w:eastAsia="zh-CN"/>
              </w:rPr>
              <w:t>；</w:t>
            </w:r>
          </w:p>
          <w:p w14:paraId="082189EC">
            <w:pPr>
              <w:spacing w:line="360" w:lineRule="auto"/>
              <w:ind w:left="-108" w:leftChars="-45"/>
              <w:jc w:val="left"/>
              <w:rPr>
                <w:rFonts w:hint="eastAsia" w:hAnsi="宋体" w:cs="宋体"/>
                <w:b w:val="0"/>
                <w:bCs w:val="0"/>
                <w:color w:val="auto"/>
                <w:highlight w:val="none"/>
                <w:lang w:eastAsia="zh-CN"/>
              </w:rPr>
            </w:pPr>
            <w:r>
              <w:rPr>
                <w:rFonts w:hint="eastAsia" w:ascii="宋体" w:hAnsi="宋体" w:eastAsia="宋体" w:cs="宋体"/>
                <w:b w:val="0"/>
                <w:bCs w:val="0"/>
                <w:color w:val="auto"/>
                <w:highlight w:val="none"/>
              </w:rPr>
              <w:t>②质量控制措施</w:t>
            </w:r>
            <w:r>
              <w:rPr>
                <w:rFonts w:hint="eastAsia" w:hAnsi="宋体" w:cs="宋体"/>
                <w:b w:val="0"/>
                <w:bCs w:val="0"/>
                <w:color w:val="auto"/>
                <w:highlight w:val="none"/>
                <w:lang w:eastAsia="zh-CN"/>
              </w:rPr>
              <w:t>；</w:t>
            </w:r>
          </w:p>
          <w:p w14:paraId="375EAB57">
            <w:pPr>
              <w:spacing w:line="360" w:lineRule="auto"/>
              <w:ind w:left="-108" w:leftChars="-45"/>
              <w:jc w:val="left"/>
              <w:rPr>
                <w:rFonts w:hint="default" w:hAnsi="宋体" w:cs="宋体"/>
                <w:b w:val="0"/>
                <w:bCs w:val="0"/>
                <w:color w:val="auto"/>
                <w:highlight w:val="none"/>
                <w:lang w:val="en-US" w:eastAsia="zh-CN"/>
              </w:rPr>
            </w:pPr>
            <w:r>
              <w:rPr>
                <w:rFonts w:hint="eastAsia" w:hAnsi="宋体" w:cs="宋体"/>
                <w:b w:val="0"/>
                <w:bCs w:val="0"/>
                <w:color w:val="auto"/>
                <w:highlight w:val="none"/>
                <w:lang w:val="en-US" w:eastAsia="zh-CN"/>
              </w:rPr>
              <w:t>③产品安全保障措施。</w:t>
            </w:r>
          </w:p>
          <w:p w14:paraId="2E89D40A">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二、评审标准</w:t>
            </w:r>
          </w:p>
          <w:p w14:paraId="0D4D75CD">
            <w:pPr>
              <w:spacing w:line="360" w:lineRule="auto"/>
              <w:ind w:left="-108" w:leftChars="-45"/>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1、完整性：方案须全面，对评审内容中的各项要求有详细描述；</w:t>
            </w:r>
          </w:p>
          <w:p w14:paraId="0065DAB3">
            <w:pPr>
              <w:spacing w:line="360" w:lineRule="auto"/>
              <w:ind w:left="-108" w:leftChars="-45"/>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2、可实施性：切合本项目实际情况，实施步骤清晰、合理；</w:t>
            </w:r>
          </w:p>
          <w:p w14:paraId="735BE8B9">
            <w:pPr>
              <w:spacing w:line="360" w:lineRule="auto"/>
              <w:ind w:left="-108" w:leftChars="-45"/>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3、针对性：方案能够紧扣项目实际情况，内容科学合理。</w:t>
            </w:r>
          </w:p>
          <w:p w14:paraId="64C98F44">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三、赋分依据（满分</w:t>
            </w:r>
            <w:r>
              <w:rPr>
                <w:rFonts w:hint="eastAsia" w:hAnsi="宋体" w:cs="宋体"/>
                <w:b/>
                <w:bCs/>
                <w:color w:val="auto"/>
                <w:highlight w:val="none"/>
                <w:lang w:val="en-US" w:eastAsia="zh-CN"/>
              </w:rPr>
              <w:t>9</w:t>
            </w:r>
            <w:r>
              <w:rPr>
                <w:rFonts w:hint="eastAsia" w:ascii="宋体" w:hAnsi="宋体" w:eastAsia="宋体" w:cs="宋体"/>
                <w:b/>
                <w:bCs/>
                <w:color w:val="auto"/>
                <w:highlight w:val="none"/>
              </w:rPr>
              <w:t>分）</w:t>
            </w:r>
          </w:p>
          <w:p w14:paraId="4E0C459C">
            <w:pPr>
              <w:spacing w:line="360" w:lineRule="auto"/>
              <w:ind w:left="-108" w:leftChars="-45"/>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①产品性能、设备选型、产品使用寿命及效果：每完全满足一个评审标准得</w:t>
            </w:r>
            <w:r>
              <w:rPr>
                <w:rFonts w:hint="eastAsia" w:hAnsi="宋体" w:cs="宋体"/>
                <w:b w:val="0"/>
                <w:bCs w:val="0"/>
                <w:color w:val="auto"/>
                <w:highlight w:val="none"/>
                <w:lang w:val="en-US" w:eastAsia="zh-CN"/>
              </w:rPr>
              <w:t>1</w:t>
            </w:r>
            <w:r>
              <w:rPr>
                <w:rFonts w:hint="eastAsia" w:ascii="宋体" w:hAnsi="宋体" w:eastAsia="宋体" w:cs="宋体"/>
                <w:b w:val="0"/>
                <w:bCs w:val="0"/>
                <w:color w:val="auto"/>
                <w:highlight w:val="none"/>
              </w:rPr>
              <w:t>分，满分</w:t>
            </w:r>
            <w:r>
              <w:rPr>
                <w:rFonts w:hint="eastAsia" w:hAnsi="宋体" w:cs="宋体"/>
                <w:b w:val="0"/>
                <w:bCs w:val="0"/>
                <w:color w:val="auto"/>
                <w:highlight w:val="none"/>
                <w:lang w:val="en-US" w:eastAsia="zh-CN"/>
              </w:rPr>
              <w:t>3</w:t>
            </w:r>
            <w:r>
              <w:rPr>
                <w:rFonts w:hint="eastAsia" w:ascii="宋体" w:hAnsi="宋体" w:eastAsia="宋体" w:cs="宋体"/>
                <w:b w:val="0"/>
                <w:bCs w:val="0"/>
                <w:color w:val="auto"/>
                <w:highlight w:val="none"/>
              </w:rPr>
              <w:t>分；未提供不得分；</w:t>
            </w:r>
          </w:p>
          <w:p w14:paraId="1547E13D">
            <w:pPr>
              <w:spacing w:line="360" w:lineRule="auto"/>
              <w:ind w:left="-108" w:leftChars="-45"/>
              <w:jc w:val="left"/>
              <w:rPr>
                <w:rFonts w:hint="eastAsia" w:hAnsi="宋体" w:cs="宋体"/>
                <w:b w:val="0"/>
                <w:bCs w:val="0"/>
                <w:color w:val="auto"/>
                <w:highlight w:val="none"/>
                <w:lang w:eastAsia="zh-CN"/>
              </w:rPr>
            </w:pPr>
            <w:r>
              <w:rPr>
                <w:rFonts w:hint="eastAsia" w:ascii="宋体" w:hAnsi="宋体" w:eastAsia="宋体" w:cs="宋体"/>
                <w:b w:val="0"/>
                <w:bCs w:val="0"/>
                <w:color w:val="auto"/>
                <w:highlight w:val="none"/>
              </w:rPr>
              <w:t>②质量控制措施：每完全满足一个评审标准得</w:t>
            </w:r>
            <w:r>
              <w:rPr>
                <w:rFonts w:hint="eastAsia" w:hAnsi="宋体" w:cs="宋体"/>
                <w:b w:val="0"/>
                <w:bCs w:val="0"/>
                <w:color w:val="auto"/>
                <w:highlight w:val="none"/>
                <w:lang w:val="en-US" w:eastAsia="zh-CN"/>
              </w:rPr>
              <w:t>1</w:t>
            </w:r>
            <w:r>
              <w:rPr>
                <w:rFonts w:hint="eastAsia" w:ascii="宋体" w:hAnsi="宋体" w:eastAsia="宋体" w:cs="宋体"/>
                <w:b w:val="0"/>
                <w:bCs w:val="0"/>
                <w:color w:val="auto"/>
                <w:highlight w:val="none"/>
              </w:rPr>
              <w:t>分，满分</w:t>
            </w:r>
            <w:r>
              <w:rPr>
                <w:rFonts w:hint="eastAsia" w:hAnsi="宋体" w:cs="宋体"/>
                <w:b w:val="0"/>
                <w:bCs w:val="0"/>
                <w:color w:val="auto"/>
                <w:highlight w:val="none"/>
                <w:lang w:val="en-US" w:eastAsia="zh-CN"/>
              </w:rPr>
              <w:t>3</w:t>
            </w:r>
            <w:r>
              <w:rPr>
                <w:rFonts w:hint="eastAsia" w:ascii="宋体" w:hAnsi="宋体" w:eastAsia="宋体" w:cs="宋体"/>
                <w:b w:val="0"/>
                <w:bCs w:val="0"/>
                <w:color w:val="auto"/>
                <w:highlight w:val="none"/>
              </w:rPr>
              <w:t>分；未提供不得分</w:t>
            </w:r>
            <w:r>
              <w:rPr>
                <w:rFonts w:hint="eastAsia" w:hAnsi="宋体" w:cs="宋体"/>
                <w:b w:val="0"/>
                <w:bCs w:val="0"/>
                <w:color w:val="auto"/>
                <w:highlight w:val="none"/>
                <w:lang w:eastAsia="zh-CN"/>
              </w:rPr>
              <w:t>；</w:t>
            </w:r>
          </w:p>
          <w:p w14:paraId="754F6F6B">
            <w:pPr>
              <w:spacing w:line="360" w:lineRule="auto"/>
              <w:ind w:left="-108" w:leftChars="-45"/>
              <w:jc w:val="left"/>
              <w:rPr>
                <w:rFonts w:hint="eastAsia" w:ascii="宋体" w:hAnsi="宋体" w:eastAsia="宋体" w:cs="宋体"/>
                <w:color w:val="auto"/>
                <w:szCs w:val="24"/>
                <w:highlight w:val="none"/>
              </w:rPr>
            </w:pPr>
            <w:r>
              <w:rPr>
                <w:rFonts w:hint="eastAsia" w:hAnsi="宋体" w:cs="宋体"/>
                <w:b w:val="0"/>
                <w:bCs w:val="0"/>
                <w:color w:val="auto"/>
                <w:highlight w:val="none"/>
                <w:lang w:val="en-US" w:eastAsia="zh-CN"/>
              </w:rPr>
              <w:t>③产品安全保障措施：</w:t>
            </w:r>
            <w:r>
              <w:rPr>
                <w:rFonts w:hint="eastAsia" w:ascii="宋体" w:hAnsi="宋体" w:eastAsia="宋体" w:cs="宋体"/>
                <w:b w:val="0"/>
                <w:bCs w:val="0"/>
                <w:color w:val="auto"/>
                <w:highlight w:val="none"/>
              </w:rPr>
              <w:t>每完全满足一个评审标准得</w:t>
            </w:r>
            <w:r>
              <w:rPr>
                <w:rFonts w:hint="eastAsia" w:hAnsi="宋体" w:cs="宋体"/>
                <w:b w:val="0"/>
                <w:bCs w:val="0"/>
                <w:color w:val="auto"/>
                <w:highlight w:val="none"/>
                <w:lang w:val="en-US" w:eastAsia="zh-CN"/>
              </w:rPr>
              <w:t>1</w:t>
            </w:r>
            <w:r>
              <w:rPr>
                <w:rFonts w:hint="eastAsia" w:ascii="宋体" w:hAnsi="宋体" w:eastAsia="宋体" w:cs="宋体"/>
                <w:b w:val="0"/>
                <w:bCs w:val="0"/>
                <w:color w:val="auto"/>
                <w:highlight w:val="none"/>
              </w:rPr>
              <w:t>分，满分</w:t>
            </w:r>
            <w:r>
              <w:rPr>
                <w:rFonts w:hint="eastAsia" w:hAnsi="宋体" w:cs="宋体"/>
                <w:b w:val="0"/>
                <w:bCs w:val="0"/>
                <w:color w:val="auto"/>
                <w:highlight w:val="none"/>
                <w:lang w:val="en-US" w:eastAsia="zh-CN"/>
              </w:rPr>
              <w:t>3</w:t>
            </w:r>
            <w:r>
              <w:rPr>
                <w:rFonts w:hint="eastAsia" w:ascii="宋体" w:hAnsi="宋体" w:eastAsia="宋体" w:cs="宋体"/>
                <w:b w:val="0"/>
                <w:bCs w:val="0"/>
                <w:color w:val="auto"/>
                <w:highlight w:val="none"/>
              </w:rPr>
              <w:t>分；未提供不得分</w:t>
            </w:r>
            <w:r>
              <w:rPr>
                <w:rFonts w:hint="eastAsia" w:ascii="宋体" w:hAnsi="宋体" w:eastAsia="宋体" w:cs="宋体"/>
                <w:b w:val="0"/>
                <w:bCs w:val="0"/>
                <w:color w:val="auto"/>
                <w:highlight w:val="none"/>
                <w:lang w:eastAsia="zh-CN"/>
              </w:rPr>
              <w:t>。</w:t>
            </w:r>
          </w:p>
        </w:tc>
      </w:tr>
      <w:tr w14:paraId="4488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1C01366C">
            <w:pPr>
              <w:spacing w:line="360" w:lineRule="auto"/>
              <w:jc w:val="center"/>
              <w:rPr>
                <w:rFonts w:hint="eastAsia" w:ascii="宋体" w:hAnsi="宋体" w:eastAsia="宋体" w:cs="宋体"/>
                <w:color w:val="auto"/>
                <w:szCs w:val="24"/>
                <w:highlight w:val="none"/>
              </w:rPr>
            </w:pPr>
            <w:r>
              <w:rPr>
                <w:rFonts w:hint="eastAsia" w:ascii="宋体" w:hAnsi="宋体" w:eastAsia="宋体" w:cs="宋体"/>
                <w:b/>
                <w:bCs/>
                <w:color w:val="auto"/>
                <w:highlight w:val="none"/>
              </w:rPr>
              <w:t>售后</w:t>
            </w:r>
            <w:r>
              <w:rPr>
                <w:rFonts w:hint="eastAsia" w:hAnsi="宋体" w:cs="宋体"/>
                <w:b/>
                <w:bCs/>
                <w:color w:val="auto"/>
                <w:highlight w:val="none"/>
                <w:lang w:val="en-US" w:eastAsia="zh-CN"/>
              </w:rPr>
              <w:t>服务</w:t>
            </w:r>
            <w:r>
              <w:rPr>
                <w:rFonts w:hint="eastAsia" w:ascii="宋体" w:hAnsi="宋体" w:eastAsia="宋体" w:cs="宋体"/>
                <w:b/>
                <w:bCs/>
                <w:color w:val="auto"/>
                <w:highlight w:val="none"/>
              </w:rPr>
              <w:t>方案</w:t>
            </w:r>
          </w:p>
        </w:tc>
        <w:tc>
          <w:tcPr>
            <w:tcW w:w="409" w:type="pct"/>
            <w:vAlign w:val="center"/>
          </w:tcPr>
          <w:p w14:paraId="7E4293AC">
            <w:pPr>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6分</w:t>
            </w:r>
          </w:p>
        </w:tc>
        <w:tc>
          <w:tcPr>
            <w:tcW w:w="4091" w:type="pct"/>
            <w:vAlign w:val="center"/>
          </w:tcPr>
          <w:p w14:paraId="14DB7B06">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一、评审内容</w:t>
            </w:r>
          </w:p>
          <w:p w14:paraId="6D567C5F">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根据项目实际需求提供售后服务方案。内容包含：</w:t>
            </w:r>
          </w:p>
          <w:p w14:paraId="38755645">
            <w:pPr>
              <w:spacing w:line="360" w:lineRule="auto"/>
              <w:ind w:left="-108" w:leftChars="-4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①</w:t>
            </w:r>
            <w:r>
              <w:rPr>
                <w:rFonts w:ascii="宋体" w:hAnsi="宋体" w:eastAsia="宋体" w:cs="宋体"/>
                <w:color w:val="auto"/>
                <w:sz w:val="24"/>
                <w:szCs w:val="24"/>
                <w:highlight w:val="none"/>
              </w:rPr>
              <w:t>售后服务内容及保障措施</w:t>
            </w:r>
            <w:r>
              <w:rPr>
                <w:rFonts w:hint="eastAsia" w:ascii="宋体" w:hAnsi="宋体" w:eastAsia="宋体" w:cs="宋体"/>
                <w:color w:val="auto"/>
                <w:highlight w:val="none"/>
              </w:rPr>
              <w:t>、响应时间</w:t>
            </w:r>
            <w:r>
              <w:rPr>
                <w:rFonts w:hint="eastAsia" w:ascii="宋体" w:hAnsi="宋体" w:eastAsia="宋体" w:cs="宋体"/>
                <w:color w:val="auto"/>
                <w:highlight w:val="none"/>
                <w:lang w:eastAsia="zh-CN"/>
              </w:rPr>
              <w:t>；</w:t>
            </w:r>
          </w:p>
          <w:p w14:paraId="5DED76E3">
            <w:pPr>
              <w:spacing w:line="360" w:lineRule="auto"/>
              <w:ind w:left="-108" w:leftChars="-4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②</w:t>
            </w:r>
            <w:r>
              <w:rPr>
                <w:rFonts w:ascii="宋体" w:hAnsi="宋体" w:eastAsia="宋体" w:cs="宋体"/>
                <w:color w:val="auto"/>
                <w:sz w:val="24"/>
                <w:szCs w:val="24"/>
                <w:highlight w:val="none"/>
              </w:rPr>
              <w:t>故障处理及补救措施</w:t>
            </w:r>
            <w:r>
              <w:rPr>
                <w:rFonts w:hint="eastAsia" w:ascii="宋体" w:hAnsi="宋体" w:eastAsia="宋体" w:cs="宋体"/>
                <w:color w:val="auto"/>
                <w:highlight w:val="none"/>
                <w:lang w:eastAsia="zh-CN"/>
              </w:rPr>
              <w:t>。</w:t>
            </w:r>
          </w:p>
          <w:p w14:paraId="61AD884E">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二、评审标准</w:t>
            </w:r>
          </w:p>
          <w:p w14:paraId="5281DB4B">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1、完整性：方案须全面，对评审内容中的各项要求有详细描述；</w:t>
            </w:r>
          </w:p>
          <w:p w14:paraId="6B947FFC">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2、可实施性：切合本项目实际情况，提出步骤清晰、合理的方案；</w:t>
            </w:r>
          </w:p>
          <w:p w14:paraId="7DC2EAA4">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3、针对性：方案能够紧扣项目实际情况，内容科学合理。</w:t>
            </w:r>
          </w:p>
          <w:p w14:paraId="06C44349">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三、赋分依据（满分</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分）</w:t>
            </w:r>
          </w:p>
          <w:p w14:paraId="1C5346C6">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①</w:t>
            </w:r>
            <w:r>
              <w:rPr>
                <w:rFonts w:ascii="宋体" w:hAnsi="宋体" w:eastAsia="宋体" w:cs="宋体"/>
                <w:color w:val="auto"/>
                <w:sz w:val="24"/>
                <w:szCs w:val="24"/>
                <w:highlight w:val="none"/>
              </w:rPr>
              <w:t>售后服务内容及保障措施</w:t>
            </w:r>
            <w:r>
              <w:rPr>
                <w:rFonts w:hint="eastAsia" w:ascii="宋体" w:hAnsi="宋体" w:eastAsia="宋体" w:cs="宋体"/>
                <w:color w:val="auto"/>
                <w:highlight w:val="none"/>
              </w:rPr>
              <w:t>、响应时间：每完全满足一个评审标准得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分；未提供不得分；</w:t>
            </w:r>
          </w:p>
          <w:p w14:paraId="1BC417CC">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color w:val="auto"/>
                <w:highlight w:val="none"/>
              </w:rPr>
              <w:t>②</w:t>
            </w:r>
            <w:r>
              <w:rPr>
                <w:rFonts w:ascii="宋体" w:hAnsi="宋体" w:eastAsia="宋体" w:cs="宋体"/>
                <w:color w:val="auto"/>
                <w:sz w:val="24"/>
                <w:szCs w:val="24"/>
                <w:highlight w:val="none"/>
              </w:rPr>
              <w:t>故障处理及补救措施</w:t>
            </w:r>
            <w:r>
              <w:rPr>
                <w:rFonts w:hint="eastAsia" w:ascii="宋体" w:hAnsi="宋体" w:eastAsia="宋体" w:cs="宋体"/>
                <w:color w:val="auto"/>
                <w:highlight w:val="none"/>
              </w:rPr>
              <w:t>：每完全满足一个评审标准得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分；未提供不得分。</w:t>
            </w:r>
          </w:p>
        </w:tc>
      </w:tr>
      <w:tr w14:paraId="36E3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38292333">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培训方案</w:t>
            </w:r>
          </w:p>
        </w:tc>
        <w:tc>
          <w:tcPr>
            <w:tcW w:w="409" w:type="pct"/>
            <w:vAlign w:val="center"/>
          </w:tcPr>
          <w:p w14:paraId="4411DE66">
            <w:pPr>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6分</w:t>
            </w:r>
          </w:p>
        </w:tc>
        <w:tc>
          <w:tcPr>
            <w:tcW w:w="4091" w:type="pct"/>
            <w:vAlign w:val="center"/>
          </w:tcPr>
          <w:p w14:paraId="0EE52981">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一、评审内容</w:t>
            </w:r>
          </w:p>
          <w:p w14:paraId="2FC10347">
            <w:pPr>
              <w:spacing w:line="360" w:lineRule="auto"/>
              <w:ind w:left="-108" w:leftChars="-4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针对本项目具有可行的技术培训方案。</w:t>
            </w:r>
            <w:r>
              <w:rPr>
                <w:rFonts w:hint="eastAsia" w:hAnsi="宋体" w:cs="宋体"/>
                <w:color w:val="auto"/>
                <w:highlight w:val="none"/>
                <w:lang w:val="en-US" w:eastAsia="zh-CN"/>
              </w:rPr>
              <w:t>内容</w:t>
            </w:r>
            <w:r>
              <w:rPr>
                <w:rFonts w:hint="eastAsia" w:ascii="宋体" w:hAnsi="宋体" w:eastAsia="宋体" w:cs="宋体"/>
                <w:color w:val="auto"/>
                <w:highlight w:val="none"/>
              </w:rPr>
              <w:t>包括</w:t>
            </w:r>
            <w:r>
              <w:rPr>
                <w:rFonts w:hint="eastAsia" w:hAnsi="宋体" w:cs="宋体"/>
                <w:color w:val="auto"/>
                <w:highlight w:val="none"/>
                <w:lang w:eastAsia="zh-CN"/>
              </w:rPr>
              <w:t>：</w:t>
            </w:r>
          </w:p>
          <w:p w14:paraId="54055C0B">
            <w:pPr>
              <w:spacing w:line="360" w:lineRule="auto"/>
              <w:ind w:left="-108" w:leftChars="-4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①培训计划（含培训计划表、地点、时间及培训对象人数等）、培训内容（含所提供产品的原理和技术性能、操作维护方法、安装调试、排除故障等）</w:t>
            </w:r>
            <w:r>
              <w:rPr>
                <w:rFonts w:hint="eastAsia" w:hAnsi="宋体" w:cs="宋体"/>
                <w:color w:val="auto"/>
                <w:highlight w:val="none"/>
                <w:lang w:eastAsia="zh-CN"/>
              </w:rPr>
              <w:t>；</w:t>
            </w:r>
          </w:p>
          <w:p w14:paraId="1D884F1E">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②</w:t>
            </w:r>
            <w:r>
              <w:rPr>
                <w:rFonts w:ascii="宋体" w:hAnsi="宋体" w:eastAsia="宋体" w:cs="宋体"/>
                <w:color w:val="auto"/>
                <w:sz w:val="24"/>
                <w:szCs w:val="24"/>
                <w:highlight w:val="none"/>
              </w:rPr>
              <w:t>培训成果考核目标</w:t>
            </w:r>
            <w:r>
              <w:rPr>
                <w:rFonts w:hint="eastAsia" w:ascii="宋体" w:hAnsi="宋体" w:eastAsia="宋体" w:cs="宋体"/>
                <w:color w:val="auto"/>
                <w:highlight w:val="none"/>
              </w:rPr>
              <w:t>。</w:t>
            </w:r>
          </w:p>
          <w:p w14:paraId="5E537A88">
            <w:pPr>
              <w:spacing w:line="360" w:lineRule="auto"/>
              <w:ind w:left="-108" w:leftChars="-4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二、评审标准</w:t>
            </w:r>
          </w:p>
          <w:p w14:paraId="0066D52A">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1、完整性：方案须全面，对评审内容中的各项要求描述详细；</w:t>
            </w:r>
          </w:p>
          <w:p w14:paraId="6323BDD4">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2、可实施性：切合本项目实际情况，实施步骤清晰、合理；</w:t>
            </w:r>
          </w:p>
          <w:p w14:paraId="01328F48">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3、针对性：方案能够紧扣项目实际情况，内容科学合理。</w:t>
            </w:r>
          </w:p>
          <w:p w14:paraId="5B9CCA66">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三、赋分依据（满分</w:t>
            </w:r>
            <w:r>
              <w:rPr>
                <w:rFonts w:hint="eastAsia" w:hAnsi="宋体" w:cs="宋体"/>
                <w:color w:val="auto"/>
                <w:highlight w:val="none"/>
                <w:lang w:val="en-US" w:eastAsia="zh-CN"/>
              </w:rPr>
              <w:t>6</w:t>
            </w:r>
            <w:r>
              <w:rPr>
                <w:rFonts w:hint="eastAsia" w:ascii="宋体" w:hAnsi="宋体" w:eastAsia="宋体" w:cs="宋体"/>
                <w:color w:val="auto"/>
                <w:highlight w:val="none"/>
              </w:rPr>
              <w:t>分）</w:t>
            </w:r>
          </w:p>
          <w:p w14:paraId="6D14F5F8">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①培训计划、培训内容：每完全满足一个评审标准得</w:t>
            </w:r>
            <w:r>
              <w:rPr>
                <w:rFonts w:hint="eastAsia" w:hAnsi="宋体" w:cs="宋体"/>
                <w:color w:val="auto"/>
                <w:highlight w:val="none"/>
                <w:lang w:val="en-US" w:eastAsia="zh-CN"/>
              </w:rPr>
              <w:t>1</w:t>
            </w:r>
            <w:r>
              <w:rPr>
                <w:rFonts w:hint="eastAsia" w:ascii="宋体" w:hAnsi="宋体" w:eastAsia="宋体" w:cs="宋体"/>
                <w:color w:val="auto"/>
                <w:highlight w:val="none"/>
              </w:rPr>
              <w:t>分，满分</w:t>
            </w:r>
            <w:r>
              <w:rPr>
                <w:rFonts w:hint="eastAsia" w:hAnsi="宋体" w:cs="宋体"/>
                <w:color w:val="auto"/>
                <w:highlight w:val="none"/>
                <w:lang w:val="en-US" w:eastAsia="zh-CN"/>
              </w:rPr>
              <w:t>3</w:t>
            </w:r>
            <w:r>
              <w:rPr>
                <w:rFonts w:hint="eastAsia" w:ascii="宋体" w:hAnsi="宋体" w:eastAsia="宋体" w:cs="宋体"/>
                <w:color w:val="auto"/>
                <w:highlight w:val="none"/>
              </w:rPr>
              <w:t>分；未提供不得分；</w:t>
            </w:r>
          </w:p>
          <w:p w14:paraId="0A214D9D">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②培训效果：每完全满足一个评审标准得</w:t>
            </w:r>
            <w:r>
              <w:rPr>
                <w:rFonts w:hint="eastAsia" w:hAnsi="宋体" w:cs="宋体"/>
                <w:color w:val="auto"/>
                <w:highlight w:val="none"/>
                <w:lang w:val="en-US" w:eastAsia="zh-CN"/>
              </w:rPr>
              <w:t>1</w:t>
            </w:r>
            <w:r>
              <w:rPr>
                <w:rFonts w:hint="eastAsia" w:ascii="宋体" w:hAnsi="宋体" w:eastAsia="宋体" w:cs="宋体"/>
                <w:color w:val="auto"/>
                <w:highlight w:val="none"/>
              </w:rPr>
              <w:t>分，满分</w:t>
            </w:r>
            <w:r>
              <w:rPr>
                <w:rFonts w:hint="eastAsia" w:hAnsi="宋体" w:cs="宋体"/>
                <w:color w:val="auto"/>
                <w:highlight w:val="none"/>
                <w:lang w:val="en-US" w:eastAsia="zh-CN"/>
              </w:rPr>
              <w:t>3</w:t>
            </w:r>
            <w:r>
              <w:rPr>
                <w:rFonts w:hint="eastAsia" w:ascii="宋体" w:hAnsi="宋体" w:eastAsia="宋体" w:cs="宋体"/>
                <w:color w:val="auto"/>
                <w:highlight w:val="none"/>
              </w:rPr>
              <w:t>分；未提供不得分。</w:t>
            </w:r>
          </w:p>
        </w:tc>
      </w:tr>
      <w:tr w14:paraId="4294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52D00A59">
            <w:pPr>
              <w:spacing w:line="360" w:lineRule="auto"/>
              <w:jc w:val="center"/>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应急保障方案</w:t>
            </w:r>
          </w:p>
        </w:tc>
        <w:tc>
          <w:tcPr>
            <w:tcW w:w="409" w:type="pct"/>
            <w:vAlign w:val="center"/>
          </w:tcPr>
          <w:p w14:paraId="3B4CDC03">
            <w:pPr>
              <w:spacing w:line="360" w:lineRule="auto"/>
              <w:jc w:val="center"/>
              <w:rPr>
                <w:rFonts w:hint="default" w:hAnsi="宋体" w:cs="宋体"/>
                <w:b/>
                <w:bCs/>
                <w:color w:val="auto"/>
                <w:szCs w:val="24"/>
                <w:highlight w:val="none"/>
                <w:lang w:val="en-US" w:eastAsia="zh-CN"/>
              </w:rPr>
            </w:pPr>
            <w:r>
              <w:rPr>
                <w:rFonts w:hint="eastAsia" w:hAnsi="宋体" w:cs="宋体"/>
                <w:b/>
                <w:bCs/>
                <w:color w:val="auto"/>
                <w:szCs w:val="24"/>
                <w:highlight w:val="none"/>
                <w:lang w:val="en-US" w:eastAsia="zh-CN"/>
              </w:rPr>
              <w:t>6分</w:t>
            </w:r>
          </w:p>
        </w:tc>
        <w:tc>
          <w:tcPr>
            <w:tcW w:w="4091" w:type="pct"/>
            <w:vAlign w:val="center"/>
          </w:tcPr>
          <w:p w14:paraId="7DEA17C6">
            <w:pPr>
              <w:spacing w:line="360" w:lineRule="auto"/>
              <w:ind w:left="-108" w:leftChars="-45"/>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一、评审内容</w:t>
            </w:r>
          </w:p>
          <w:p w14:paraId="0E4E5EA9">
            <w:pPr>
              <w:spacing w:line="360" w:lineRule="auto"/>
              <w:ind w:left="-108" w:leftChars="-45"/>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根据项目实际需要，提供应急保障方案。方案内容包含：</w:t>
            </w:r>
          </w:p>
          <w:p w14:paraId="16C80026">
            <w:pPr>
              <w:spacing w:line="360" w:lineRule="auto"/>
              <w:ind w:left="-108" w:leftChars="-45"/>
              <w:jc w:val="lef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①进度延误应急预案</w:t>
            </w:r>
            <w:r>
              <w:rPr>
                <w:rFonts w:hint="eastAsia" w:ascii="宋体" w:hAnsi="宋体" w:eastAsia="宋体" w:cs="宋体"/>
                <w:color w:val="auto"/>
                <w:sz w:val="24"/>
                <w:szCs w:val="24"/>
                <w:highlight w:val="none"/>
                <w:lang w:eastAsia="zh-CN"/>
              </w:rPr>
              <w:t>；</w:t>
            </w:r>
          </w:p>
          <w:p w14:paraId="0450F089">
            <w:pPr>
              <w:spacing w:line="360" w:lineRule="auto"/>
              <w:ind w:left="-108" w:leftChars="-45"/>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②产品质量问题补救预案。</w:t>
            </w:r>
          </w:p>
          <w:p w14:paraId="1654D616">
            <w:pPr>
              <w:spacing w:line="360" w:lineRule="auto"/>
              <w:ind w:left="-108" w:leftChars="-45"/>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二、评审标准</w:t>
            </w:r>
          </w:p>
          <w:p w14:paraId="52C60096">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1、完整性：方案须全面，对评审内容中的各项要求描述详细；</w:t>
            </w:r>
          </w:p>
          <w:p w14:paraId="3E744E7C">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2、可实施性：切合本项目实际情况，实施步骤清晰、合理；</w:t>
            </w:r>
          </w:p>
          <w:p w14:paraId="0575C8CE">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3、针对性：方案能够紧扣项目实际情况，内容科学合理。</w:t>
            </w:r>
          </w:p>
          <w:p w14:paraId="4A7B4828">
            <w:pPr>
              <w:spacing w:line="360" w:lineRule="auto"/>
              <w:ind w:left="-108" w:leftChars="-45"/>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三、赋分标准（满分6分）</w:t>
            </w:r>
          </w:p>
          <w:p w14:paraId="69FDAA03">
            <w:pPr>
              <w:spacing w:line="360" w:lineRule="auto"/>
              <w:ind w:left="-108" w:leftChars="-45"/>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①进度延误应急预案：每完全满足一个评审标准得1分，满分3分；</w:t>
            </w:r>
          </w:p>
          <w:p w14:paraId="0A475F73">
            <w:pPr>
              <w:spacing w:line="360" w:lineRule="auto"/>
              <w:ind w:left="-108" w:leftChars="-45"/>
              <w:jc w:val="left"/>
              <w:rPr>
                <w:rFonts w:hint="eastAsia" w:ascii="宋体" w:hAnsi="宋体" w:eastAsia="宋体" w:cs="宋体"/>
                <w:color w:val="auto"/>
                <w:highlight w:val="none"/>
              </w:rPr>
            </w:pPr>
            <w:r>
              <w:rPr>
                <w:rFonts w:ascii="宋体" w:hAnsi="宋体" w:eastAsia="宋体" w:cs="宋体"/>
                <w:color w:val="auto"/>
                <w:sz w:val="24"/>
                <w:szCs w:val="24"/>
                <w:highlight w:val="none"/>
              </w:rPr>
              <w:t>②产品质量问题补救预案：每完全满足一个评审标准得1分，满分3分。</w:t>
            </w:r>
          </w:p>
        </w:tc>
      </w:tr>
      <w:tr w14:paraId="2652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9" w:type="pct"/>
            <w:vAlign w:val="center"/>
          </w:tcPr>
          <w:p w14:paraId="402F80B6">
            <w:pPr>
              <w:spacing w:line="276"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业绩</w:t>
            </w:r>
          </w:p>
        </w:tc>
        <w:tc>
          <w:tcPr>
            <w:tcW w:w="409" w:type="pct"/>
            <w:vAlign w:val="center"/>
          </w:tcPr>
          <w:p w14:paraId="6D15B1BD">
            <w:pPr>
              <w:spacing w:line="360" w:lineRule="auto"/>
              <w:jc w:val="center"/>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5</w:t>
            </w:r>
            <w:r>
              <w:rPr>
                <w:rFonts w:hint="eastAsia" w:ascii="宋体" w:hAnsi="宋体" w:eastAsia="宋体" w:cs="宋体"/>
                <w:b/>
                <w:bCs/>
                <w:color w:val="auto"/>
                <w:szCs w:val="24"/>
                <w:highlight w:val="none"/>
              </w:rPr>
              <w:t>分</w:t>
            </w:r>
          </w:p>
        </w:tc>
        <w:tc>
          <w:tcPr>
            <w:tcW w:w="4091" w:type="pct"/>
            <w:vAlign w:val="center"/>
          </w:tcPr>
          <w:p w14:paraId="51FA4058">
            <w:pPr>
              <w:spacing w:line="360" w:lineRule="auto"/>
              <w:ind w:left="-108" w:leftChars="-45"/>
              <w:jc w:val="left"/>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hAnsi="宋体" w:cs="宋体"/>
                <w:color w:val="auto"/>
                <w:highlight w:val="none"/>
                <w:lang w:val="en-US" w:eastAsia="zh-CN"/>
              </w:rPr>
              <w:t>投标</w:t>
            </w:r>
            <w:r>
              <w:rPr>
                <w:rFonts w:hint="eastAsia" w:ascii="宋体" w:hAnsi="宋体" w:eastAsia="宋体" w:cs="宋体"/>
                <w:color w:val="auto"/>
                <w:highlight w:val="none"/>
                <w:lang w:val="en-US" w:eastAsia="zh-CN"/>
              </w:rPr>
              <w:t>供应商或投标产品生产</w:t>
            </w:r>
            <w:r>
              <w:rPr>
                <w:rFonts w:hint="eastAsia" w:hAnsi="宋体" w:cs="宋体"/>
                <w:color w:val="auto"/>
                <w:highlight w:val="none"/>
                <w:lang w:val="en-US" w:eastAsia="zh-CN"/>
              </w:rPr>
              <w:t>厂家</w:t>
            </w:r>
            <w:r>
              <w:rPr>
                <w:rFonts w:hint="eastAsia" w:ascii="宋体" w:hAnsi="宋体" w:eastAsia="宋体" w:cs="宋体"/>
                <w:color w:val="auto"/>
                <w:highlight w:val="none"/>
                <w:lang w:val="en-US" w:eastAsia="zh-CN"/>
              </w:rPr>
              <w:t>202</w:t>
            </w:r>
            <w:r>
              <w:rPr>
                <w:rFonts w:hint="eastAsia" w:hAnsi="宋体" w:cs="宋体"/>
                <w:color w:val="auto"/>
                <w:highlight w:val="none"/>
                <w:lang w:val="en-US" w:eastAsia="zh-CN"/>
              </w:rPr>
              <w:t>2</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10</w:t>
            </w:r>
            <w:r>
              <w:rPr>
                <w:rFonts w:hint="eastAsia" w:hAnsi="宋体" w:cs="宋体"/>
                <w:color w:val="auto"/>
                <w:highlight w:val="none"/>
                <w:lang w:val="en-US" w:eastAsia="zh-CN"/>
              </w:rPr>
              <w:t>月</w:t>
            </w:r>
            <w:r>
              <w:rPr>
                <w:rFonts w:hint="eastAsia" w:ascii="宋体" w:hAnsi="宋体" w:eastAsia="宋体" w:cs="宋体"/>
                <w:color w:val="auto"/>
                <w:highlight w:val="none"/>
              </w:rPr>
              <w:t>至今</w:t>
            </w:r>
            <w:r>
              <w:rPr>
                <w:rFonts w:hint="eastAsia" w:hAnsi="宋体" w:cs="宋体"/>
                <w:color w:val="auto"/>
                <w:highlight w:val="none"/>
                <w:lang w:val="en-US" w:eastAsia="zh-CN"/>
              </w:rPr>
              <w:t>类似</w:t>
            </w:r>
            <w:r>
              <w:rPr>
                <w:rFonts w:hint="eastAsia" w:ascii="宋体" w:hAnsi="宋体" w:eastAsia="宋体" w:cs="宋体"/>
                <w:color w:val="auto"/>
                <w:highlight w:val="none"/>
              </w:rPr>
              <w:t>项目的业绩，每提供一份计</w:t>
            </w:r>
            <w:r>
              <w:rPr>
                <w:rFonts w:hint="eastAsia" w:hAnsi="宋体" w:cs="宋体"/>
                <w:color w:val="auto"/>
                <w:highlight w:val="none"/>
                <w:lang w:val="en-US" w:eastAsia="zh-CN"/>
              </w:rPr>
              <w:t>1</w:t>
            </w:r>
            <w:r>
              <w:rPr>
                <w:rFonts w:hint="eastAsia" w:ascii="宋体" w:hAnsi="宋体" w:eastAsia="宋体" w:cs="宋体"/>
                <w:color w:val="auto"/>
                <w:highlight w:val="none"/>
              </w:rPr>
              <w:t>分，满分</w:t>
            </w:r>
            <w:r>
              <w:rPr>
                <w:rFonts w:hint="eastAsia" w:hAnsi="宋体" w:cs="宋体"/>
                <w:color w:val="auto"/>
                <w:highlight w:val="none"/>
                <w:lang w:val="en-US" w:eastAsia="zh-CN"/>
              </w:rPr>
              <w:t>5</w:t>
            </w:r>
            <w:r>
              <w:rPr>
                <w:rFonts w:hint="eastAsia" w:ascii="宋体" w:hAnsi="宋体" w:eastAsia="宋体" w:cs="宋体"/>
                <w:color w:val="auto"/>
                <w:highlight w:val="none"/>
              </w:rPr>
              <w:t>分。（提供业绩合同的扫描件并加盖单位公章）</w:t>
            </w:r>
          </w:p>
        </w:tc>
      </w:tr>
    </w:tbl>
    <w:p w14:paraId="02DDE7A1">
      <w:pPr>
        <w:rPr>
          <w:rFonts w:hint="eastAsia" w:ascii="宋体" w:hAnsi="宋体" w:eastAsia="宋体" w:cs="宋体"/>
          <w:color w:val="auto"/>
          <w:highlight w:val="none"/>
          <w:lang w:eastAsia="zh-CN"/>
        </w:rPr>
      </w:pPr>
    </w:p>
    <w:p w14:paraId="62B04244">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1046B40">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ascii="宋体" w:hAnsi="宋体" w:eastAsia="宋体" w:cs="宋体"/>
          <w:color w:val="auto"/>
          <w:szCs w:val="24"/>
          <w:highlight w:val="none"/>
        </w:rPr>
        <w:t>评标委员会</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6E5B928">
      <w:pPr>
        <w:spacing w:line="460" w:lineRule="exact"/>
        <w:ind w:firstLine="496" w:firstLineChars="200"/>
        <w:rPr>
          <w:rFonts w:hint="eastAsia" w:ascii="宋体" w:hAnsi="宋体" w:eastAsia="宋体" w:cs="宋体"/>
          <w:bCs/>
          <w:color w:val="auto"/>
          <w:sz w:val="36"/>
          <w:szCs w:val="36"/>
          <w:highlight w:val="none"/>
        </w:rPr>
      </w:pPr>
      <w:r>
        <w:rPr>
          <w:rFonts w:hint="eastAsia" w:ascii="宋体" w:hAnsi="宋体" w:eastAsia="宋体" w:cs="宋体"/>
          <w:color w:val="auto"/>
          <w:spacing w:val="4"/>
          <w:szCs w:val="24"/>
          <w:highlight w:val="none"/>
        </w:rPr>
        <w:t>2、采购人根据评标报告中推荐的中标候选人排列顺序确定投标人，以复函通知招标代理机构。</w:t>
      </w:r>
    </w:p>
    <w:p w14:paraId="08E7674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017A412E">
      <w:pPr>
        <w:pStyle w:val="2"/>
        <w:spacing w:line="360" w:lineRule="auto"/>
        <w:jc w:val="center"/>
        <w:rPr>
          <w:rFonts w:hint="eastAsia" w:ascii="宋体" w:hAnsi="宋体" w:eastAsia="宋体" w:cs="宋体"/>
          <w:bCs/>
          <w:color w:val="auto"/>
          <w:sz w:val="36"/>
          <w:szCs w:val="36"/>
          <w:highlight w:val="none"/>
        </w:rPr>
      </w:pPr>
      <w:bookmarkStart w:id="110" w:name="_Toc2195"/>
      <w:r>
        <w:rPr>
          <w:rFonts w:hint="eastAsia" w:ascii="宋体" w:hAnsi="宋体" w:eastAsia="宋体" w:cs="宋体"/>
          <w:bCs/>
          <w:color w:val="auto"/>
          <w:sz w:val="36"/>
          <w:szCs w:val="36"/>
          <w:highlight w:val="none"/>
        </w:rPr>
        <w:t>第六章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投标文件构成及格式</w:t>
      </w:r>
      <w:bookmarkEnd w:id="98"/>
      <w:bookmarkEnd w:id="99"/>
      <w:bookmarkEnd w:id="100"/>
      <w:bookmarkEnd w:id="101"/>
      <w:bookmarkEnd w:id="102"/>
      <w:bookmarkEnd w:id="103"/>
      <w:bookmarkEnd w:id="110"/>
    </w:p>
    <w:p w14:paraId="6A9C966A">
      <w:pPr>
        <w:rPr>
          <w:rFonts w:hint="eastAsia" w:ascii="宋体" w:hAnsi="宋体" w:eastAsia="宋体" w:cs="宋体"/>
          <w:color w:val="auto"/>
          <w:highlight w:val="none"/>
        </w:rPr>
      </w:pPr>
    </w:p>
    <w:p w14:paraId="1B869215">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SXZCZB2025-ZCGK-1043</w:t>
      </w:r>
    </w:p>
    <w:p w14:paraId="65A1A26F">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2631FD18">
      <w:pPr>
        <w:jc w:val="center"/>
        <w:rPr>
          <w:rFonts w:hint="eastAsia" w:ascii="宋体" w:hAnsi="宋体" w:eastAsia="宋体" w:cs="宋体"/>
          <w:b/>
          <w:color w:val="auto"/>
          <w:sz w:val="36"/>
          <w:szCs w:val="36"/>
          <w:highlight w:val="none"/>
        </w:rPr>
      </w:pPr>
    </w:p>
    <w:p w14:paraId="296537C9">
      <w:pPr>
        <w:rPr>
          <w:rFonts w:hint="eastAsia" w:ascii="宋体" w:hAnsi="宋体" w:eastAsia="宋体" w:cs="宋体"/>
          <w:b/>
          <w:color w:val="auto"/>
          <w:sz w:val="52"/>
          <w:szCs w:val="52"/>
          <w:highlight w:val="none"/>
        </w:rPr>
      </w:pPr>
    </w:p>
    <w:p w14:paraId="67AEA611">
      <w:pPr>
        <w:jc w:val="center"/>
        <w:rPr>
          <w:rFonts w:hint="eastAsia" w:ascii="宋体" w:hAnsi="宋体" w:eastAsia="宋体" w:cs="宋体"/>
          <w:b/>
          <w:color w:val="auto"/>
          <w:sz w:val="56"/>
          <w:szCs w:val="56"/>
          <w:highlight w:val="none"/>
          <w:lang w:eastAsia="zh-CN"/>
        </w:rPr>
      </w:pPr>
      <w:r>
        <w:rPr>
          <w:rFonts w:hint="eastAsia" w:hAnsi="宋体" w:cs="宋体"/>
          <w:b/>
          <w:color w:val="auto"/>
          <w:sz w:val="60"/>
          <w:szCs w:val="60"/>
          <w:highlight w:val="none"/>
          <w:lang w:eastAsia="zh-CN"/>
        </w:rPr>
        <w:t>超声肝硬化检测仪等一批设备的采购项目</w:t>
      </w:r>
    </w:p>
    <w:p w14:paraId="0C41F5C7">
      <w:pPr>
        <w:jc w:val="center"/>
        <w:rPr>
          <w:rFonts w:hint="eastAsia" w:ascii="宋体" w:hAnsi="宋体" w:eastAsia="宋体" w:cs="宋体"/>
          <w:b/>
          <w:color w:val="auto"/>
          <w:sz w:val="48"/>
          <w:szCs w:val="48"/>
          <w:highlight w:val="none"/>
          <w:u w:val="none"/>
          <w:lang w:val="en-US" w:eastAsia="zh-CN"/>
        </w:rPr>
      </w:pPr>
      <w:r>
        <w:rPr>
          <w:rFonts w:hint="eastAsia" w:ascii="宋体" w:hAnsi="宋体" w:eastAsia="宋体" w:cs="宋体"/>
          <w:b/>
          <w:color w:val="auto"/>
          <w:sz w:val="52"/>
          <w:szCs w:val="52"/>
          <w:highlight w:val="none"/>
          <w:lang w:eastAsia="zh-CN"/>
        </w:rPr>
        <w:t>第</w:t>
      </w:r>
      <w:r>
        <w:rPr>
          <w:rFonts w:hint="eastAsia" w:ascii="宋体" w:hAnsi="宋体" w:eastAsia="宋体" w:cs="宋体"/>
          <w:b/>
          <w:color w:val="auto"/>
          <w:sz w:val="52"/>
          <w:szCs w:val="52"/>
          <w:highlight w:val="none"/>
          <w:u w:val="single"/>
          <w:lang w:val="en-US" w:eastAsia="zh-CN"/>
        </w:rPr>
        <w:t xml:space="preserve">    </w:t>
      </w:r>
      <w:r>
        <w:rPr>
          <w:rFonts w:hint="eastAsia" w:ascii="宋体" w:hAnsi="宋体" w:eastAsia="宋体" w:cs="宋体"/>
          <w:b/>
          <w:color w:val="auto"/>
          <w:sz w:val="52"/>
          <w:szCs w:val="52"/>
          <w:highlight w:val="none"/>
          <w:u w:val="none"/>
          <w:lang w:val="en-US" w:eastAsia="zh-CN"/>
        </w:rPr>
        <w:t>包</w:t>
      </w:r>
    </w:p>
    <w:p w14:paraId="4496A305">
      <w:pPr>
        <w:rPr>
          <w:rFonts w:hint="eastAsia" w:ascii="宋体" w:hAnsi="宋体" w:eastAsia="宋体" w:cs="宋体"/>
          <w:b/>
          <w:color w:val="auto"/>
          <w:sz w:val="48"/>
          <w:szCs w:val="48"/>
          <w:highlight w:val="none"/>
        </w:rPr>
      </w:pPr>
    </w:p>
    <w:p w14:paraId="51C9F04E">
      <w:pPr>
        <w:jc w:val="center"/>
        <w:rPr>
          <w:rFonts w:hint="eastAsia" w:ascii="宋体" w:hAnsi="宋体" w:eastAsia="宋体" w:cs="宋体"/>
          <w:b/>
          <w:color w:val="auto"/>
          <w:sz w:val="72"/>
          <w:szCs w:val="72"/>
          <w:highlight w:val="none"/>
        </w:rPr>
      </w:pPr>
    </w:p>
    <w:p w14:paraId="65C87E9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0AAE9754">
      <w:pPr>
        <w:rPr>
          <w:rFonts w:hint="eastAsia" w:ascii="宋体" w:hAnsi="宋体" w:eastAsia="宋体" w:cs="宋体"/>
          <w:b/>
          <w:color w:val="auto"/>
          <w:sz w:val="36"/>
          <w:szCs w:val="36"/>
          <w:highlight w:val="none"/>
        </w:rPr>
      </w:pPr>
    </w:p>
    <w:p w14:paraId="76530E87">
      <w:pPr>
        <w:tabs>
          <w:tab w:val="center" w:pos="5346"/>
        </w:tabs>
        <w:spacing w:line="720" w:lineRule="auto"/>
        <w:jc w:val="center"/>
        <w:rPr>
          <w:rFonts w:hint="eastAsia" w:ascii="宋体" w:hAnsi="宋体" w:eastAsia="宋体" w:cs="宋体"/>
          <w:b/>
          <w:color w:val="auto"/>
          <w:sz w:val="32"/>
          <w:szCs w:val="32"/>
          <w:highlight w:val="none"/>
        </w:rPr>
      </w:pPr>
    </w:p>
    <w:p w14:paraId="2A1DC25B">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2535C8A3">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11" w:name="_Toc30983"/>
      <w:bookmarkStart w:id="112" w:name="_Toc23850"/>
      <w:bookmarkStart w:id="113" w:name="_Toc22537"/>
      <w:bookmarkStart w:id="114" w:name="_Toc17702"/>
      <w:bookmarkStart w:id="115" w:name="_Toc426457699"/>
      <w:bookmarkStart w:id="116" w:name="_Toc23267"/>
      <w:bookmarkStart w:id="117" w:name="_Toc363474026"/>
      <w:bookmarkStart w:id="118" w:name="_Toc403077647"/>
      <w:r>
        <w:rPr>
          <w:rFonts w:hint="eastAsia" w:ascii="宋体" w:hAnsi="宋体" w:eastAsia="宋体" w:cs="宋体"/>
          <w:color w:val="auto"/>
          <w:sz w:val="36"/>
          <w:szCs w:val="36"/>
          <w:highlight w:val="none"/>
        </w:rPr>
        <w:t>目    录</w:t>
      </w:r>
      <w:bookmarkEnd w:id="111"/>
      <w:bookmarkEnd w:id="112"/>
      <w:bookmarkEnd w:id="113"/>
      <w:bookmarkEnd w:id="114"/>
      <w:bookmarkEnd w:id="115"/>
      <w:bookmarkEnd w:id="116"/>
      <w:bookmarkEnd w:id="117"/>
      <w:bookmarkEnd w:id="118"/>
    </w:p>
    <w:p w14:paraId="74F275F2">
      <w:pPr>
        <w:rPr>
          <w:rFonts w:hint="eastAsia" w:ascii="宋体" w:hAnsi="宋体" w:eastAsia="宋体" w:cs="宋体"/>
          <w:color w:val="auto"/>
          <w:highlight w:val="none"/>
        </w:rPr>
      </w:pPr>
    </w:p>
    <w:p w14:paraId="353D96E9">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571FEE55">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投标报价表</w:t>
      </w:r>
    </w:p>
    <w:p w14:paraId="144BD490">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2AE93D8F">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477FAE7D">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陕西省政府采购供应商拒绝政府采购领域商业贿赂承诺书</w:t>
      </w:r>
    </w:p>
    <w:p w14:paraId="4EC2FAAA">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p w14:paraId="7908F5F4">
      <w:pPr>
        <w:keepNext w:val="0"/>
        <w:keepLines w:val="0"/>
        <w:pageBreakBefore w:val="0"/>
        <w:widowControl w:val="0"/>
        <w:numPr>
          <w:ilvl w:val="0"/>
          <w:numId w:val="15"/>
        </w:numPr>
        <w:tabs>
          <w:tab w:val="left" w:pos="1418"/>
        </w:tabs>
        <w:kinsoku/>
        <w:wordWrap/>
        <w:overflowPunct/>
        <w:topLinePunct w:val="0"/>
        <w:autoSpaceDE/>
        <w:autoSpaceDN/>
        <w:bidi w:val="0"/>
        <w:adjustRightInd/>
        <w:snapToGrid/>
        <w:spacing w:line="720" w:lineRule="auto"/>
        <w:ind w:left="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w:t>
      </w:r>
    </w:p>
    <w:p w14:paraId="6F05842F">
      <w:pPr>
        <w:spacing w:line="480" w:lineRule="auto"/>
        <w:ind w:left="105"/>
        <w:rPr>
          <w:rFonts w:hint="eastAsia" w:ascii="宋体" w:hAnsi="宋体" w:eastAsia="宋体" w:cs="宋体"/>
          <w:color w:val="auto"/>
          <w:spacing w:val="4"/>
          <w:szCs w:val="24"/>
          <w:highlight w:val="none"/>
        </w:rPr>
      </w:pPr>
    </w:p>
    <w:p w14:paraId="7CF60087">
      <w:pPr>
        <w:pStyle w:val="4"/>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119" w:name="_Toc363474027"/>
      <w:bookmarkStart w:id="120" w:name="_Toc403077648"/>
      <w:bookmarkStart w:id="121" w:name="_Toc24564"/>
      <w:bookmarkStart w:id="122" w:name="_Toc28404"/>
      <w:bookmarkStart w:id="123" w:name="_Toc24231"/>
      <w:bookmarkStart w:id="124" w:name="_Toc4930"/>
      <w:bookmarkStart w:id="125" w:name="_Toc20960"/>
      <w:bookmarkStart w:id="126" w:name="_Toc6397"/>
      <w:bookmarkStart w:id="127" w:name="_Toc14057"/>
      <w:bookmarkStart w:id="128" w:name="_Toc3826"/>
      <w:bookmarkStart w:id="129" w:name="_Toc23702"/>
      <w:bookmarkStart w:id="130" w:name="_Toc26301"/>
      <w:bookmarkStart w:id="131" w:name="_Toc22682"/>
      <w:bookmarkStart w:id="132" w:name="_Toc5908"/>
      <w:bookmarkStart w:id="133" w:name="_Toc426457700"/>
      <w:bookmarkStart w:id="134" w:name="_Toc25485"/>
      <w:r>
        <w:rPr>
          <w:rFonts w:hint="eastAsia" w:ascii="宋体" w:hAnsi="宋体" w:eastAsia="宋体" w:cs="宋体"/>
          <w:color w:val="auto"/>
          <w:sz w:val="32"/>
          <w:szCs w:val="32"/>
          <w:highlight w:val="none"/>
        </w:rPr>
        <w:t>一、投标</w:t>
      </w:r>
      <w:bookmarkEnd w:id="119"/>
      <w:bookmarkEnd w:id="120"/>
      <w:r>
        <w:rPr>
          <w:rFonts w:hint="eastAsia" w:ascii="宋体" w:hAnsi="宋体" w:eastAsia="宋体" w:cs="宋体"/>
          <w:color w:val="auto"/>
          <w:sz w:val="32"/>
          <w:szCs w:val="32"/>
          <w:highlight w:val="none"/>
        </w:rPr>
        <w:t>函</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CC164DB">
      <w:pPr>
        <w:rPr>
          <w:rFonts w:hint="eastAsia" w:ascii="宋体" w:hAnsi="宋体" w:eastAsia="宋体" w:cs="宋体"/>
          <w:color w:val="auto"/>
          <w:highlight w:val="none"/>
        </w:rPr>
      </w:pPr>
    </w:p>
    <w:p w14:paraId="5817003B">
      <w:pP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w:t>
      </w:r>
      <w:r>
        <w:rPr>
          <w:rFonts w:hint="eastAsia" w:ascii="宋体" w:hAnsi="宋体" w:eastAsia="宋体" w:cs="宋体"/>
          <w:b/>
          <w:color w:val="auto"/>
          <w:spacing w:val="4"/>
          <w:szCs w:val="24"/>
          <w:highlight w:val="none"/>
          <w:u w:val="single"/>
          <w:lang w:eastAsia="zh-CN"/>
        </w:rPr>
        <w:t>陕西至诚项目管理集团有限公司</w:t>
      </w:r>
    </w:p>
    <w:p w14:paraId="4465F8CC">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”项目的投标邀请</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u w:val="single"/>
          <w:lang w:eastAsia="zh-CN"/>
        </w:rPr>
        <w:t>编号、包号</w:t>
      </w:r>
      <w:r>
        <w:rPr>
          <w:rFonts w:hint="eastAsia" w:ascii="宋体" w:hAnsi="宋体" w:eastAsia="宋体" w:cs="宋体"/>
          <w:color w:val="auto"/>
          <w:spacing w:val="4"/>
          <w:highlight w:val="none"/>
          <w:u w:val="single"/>
        </w:rPr>
        <w:t>：        )</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提交投标文件正本壹份、副本一式</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份、电子版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份、开标一览表</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w:t>
      </w:r>
    </w:p>
    <w:p w14:paraId="49F8A746">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126623E4">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25BE48F">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14:paraId="55D28C8D">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14:paraId="32DBDAA9">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14:paraId="3619E277">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14:paraId="0AA7C453">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w:t>
      </w:r>
      <w:r>
        <w:rPr>
          <w:rFonts w:hint="eastAsia" w:ascii="宋体" w:hAnsi="宋体" w:eastAsia="宋体" w:cs="宋体"/>
          <w:color w:val="auto"/>
          <w:spacing w:val="4"/>
          <w:sz w:val="24"/>
          <w:szCs w:val="24"/>
          <w:highlight w:val="none"/>
          <w:lang w:eastAsia="zh-CN"/>
        </w:rPr>
        <w:t>陕西至诚项目管理集团有限公司</w:t>
      </w:r>
      <w:r>
        <w:rPr>
          <w:rFonts w:hint="eastAsia" w:ascii="宋体" w:hAnsi="宋体" w:eastAsia="宋体" w:cs="宋体"/>
          <w:color w:val="auto"/>
          <w:spacing w:val="4"/>
          <w:sz w:val="24"/>
          <w:szCs w:val="24"/>
          <w:highlight w:val="none"/>
        </w:rPr>
        <w:t>交纳招标代理服务费。</w:t>
      </w:r>
    </w:p>
    <w:p w14:paraId="08C1BD6E">
      <w:pPr>
        <w:numPr>
          <w:ilvl w:val="0"/>
          <w:numId w:val="1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14:paraId="2339700B">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341995D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584B0D7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BBB1C6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176AAD2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供应商名称（盖章）：</w:t>
      </w:r>
    </w:p>
    <w:p w14:paraId="286BEC57">
      <w:pPr>
        <w:spacing w:line="500" w:lineRule="exact"/>
        <w:ind w:firstLine="1200" w:firstLineChars="500"/>
        <w:jc w:val="left"/>
        <w:rPr>
          <w:rFonts w:hint="eastAsia" w:ascii="宋体" w:hAnsi="宋体" w:eastAsia="宋体" w:cs="宋体"/>
          <w:color w:val="auto"/>
          <w:spacing w:val="4"/>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4"/>
          <w:highlight w:val="none"/>
        </w:rPr>
        <w:t>被授权人签字或盖章</w:t>
      </w:r>
      <w:r>
        <w:rPr>
          <w:rFonts w:hint="eastAsia" w:ascii="宋体" w:hAnsi="宋体" w:eastAsia="宋体" w:cs="宋体"/>
          <w:color w:val="auto"/>
          <w:spacing w:val="4"/>
          <w:highlight w:val="none"/>
        </w:rPr>
        <w:t>：</w:t>
      </w:r>
    </w:p>
    <w:p w14:paraId="5AA7A41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p>
    <w:p w14:paraId="7076EBCE">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135" w:name="_Toc25217"/>
      <w:bookmarkStart w:id="136" w:name="_Toc403077651"/>
      <w:bookmarkStart w:id="137" w:name="_Toc19867"/>
      <w:bookmarkStart w:id="138" w:name="_Toc17802"/>
      <w:bookmarkStart w:id="139" w:name="_Toc29025"/>
      <w:bookmarkStart w:id="140" w:name="_Toc13665"/>
      <w:bookmarkStart w:id="141" w:name="_Toc8223"/>
      <w:bookmarkStart w:id="142" w:name="_Toc27599"/>
      <w:bookmarkStart w:id="143" w:name="_Toc19026"/>
      <w:bookmarkStart w:id="144" w:name="_Toc21319"/>
      <w:bookmarkStart w:id="145" w:name="_Toc26697"/>
      <w:bookmarkStart w:id="146" w:name="_Toc363474030"/>
      <w:bookmarkStart w:id="147" w:name="_Toc9867"/>
      <w:bookmarkStart w:id="148" w:name="_Toc2675"/>
      <w:bookmarkStart w:id="149" w:name="_Toc426457703"/>
      <w:bookmarkStart w:id="150" w:name="_Toc4332"/>
      <w:r>
        <w:rPr>
          <w:rFonts w:hint="eastAsia" w:ascii="宋体" w:hAnsi="宋体" w:eastAsia="宋体" w:cs="宋体"/>
          <w:b/>
          <w:bCs/>
          <w:color w:val="auto"/>
          <w:sz w:val="32"/>
          <w:szCs w:val="32"/>
          <w:highlight w:val="none"/>
        </w:rPr>
        <w:t>二、投标报价表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2A129A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14:paraId="774BB266">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39723903">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w:t>
      </w:r>
      <w:r>
        <w:rPr>
          <w:rFonts w:hint="eastAsia" w:ascii="宋体" w:hAnsi="宋体" w:eastAsia="宋体" w:cs="宋体"/>
          <w:bCs/>
          <w:color w:val="auto"/>
          <w:szCs w:val="24"/>
          <w:highlight w:val="none"/>
          <w:lang w:eastAsia="zh-CN"/>
        </w:rPr>
        <w:t>编号、包号</w:t>
      </w:r>
      <w:r>
        <w:rPr>
          <w:rFonts w:hint="eastAsia" w:ascii="宋体" w:hAnsi="宋体" w:eastAsia="宋体" w:cs="宋体"/>
          <w:bCs/>
          <w:color w:val="auto"/>
          <w:szCs w:val="24"/>
          <w:highlight w:val="none"/>
        </w:rPr>
        <w:t>：</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3133"/>
        <w:gridCol w:w="1852"/>
        <w:gridCol w:w="1863"/>
      </w:tblGrid>
      <w:tr w14:paraId="7B5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1" w:type="pct"/>
            <w:noWrap w:val="0"/>
            <w:vAlign w:val="center"/>
          </w:tcPr>
          <w:p w14:paraId="2FB880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314280B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688" w:type="pct"/>
            <w:noWrap w:val="0"/>
            <w:vAlign w:val="center"/>
          </w:tcPr>
          <w:p w14:paraId="6255C61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交货期</w:t>
            </w:r>
          </w:p>
        </w:tc>
        <w:tc>
          <w:tcPr>
            <w:tcW w:w="998" w:type="pct"/>
            <w:noWrap w:val="0"/>
            <w:vAlign w:val="center"/>
          </w:tcPr>
          <w:p w14:paraId="5284777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1001" w:type="pct"/>
            <w:noWrap w:val="0"/>
            <w:vAlign w:val="center"/>
          </w:tcPr>
          <w:p w14:paraId="09BAFC2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90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1" w:type="pct"/>
            <w:noWrap w:val="0"/>
            <w:vAlign w:val="center"/>
          </w:tcPr>
          <w:p w14:paraId="7C60BCAB">
            <w:pPr>
              <w:jc w:val="center"/>
              <w:rPr>
                <w:rFonts w:hint="eastAsia" w:ascii="宋体" w:hAnsi="宋体" w:eastAsia="宋体" w:cs="宋体"/>
                <w:color w:val="auto"/>
                <w:szCs w:val="24"/>
                <w:highlight w:val="none"/>
              </w:rPr>
            </w:pPr>
          </w:p>
        </w:tc>
        <w:tc>
          <w:tcPr>
            <w:tcW w:w="1688" w:type="pct"/>
            <w:noWrap w:val="0"/>
            <w:vAlign w:val="center"/>
          </w:tcPr>
          <w:p w14:paraId="5692E050">
            <w:pPr>
              <w:jc w:val="center"/>
              <w:rPr>
                <w:rFonts w:hint="eastAsia" w:ascii="宋体" w:hAnsi="宋体" w:eastAsia="宋体" w:cs="宋体"/>
                <w:color w:val="auto"/>
                <w:szCs w:val="24"/>
                <w:highlight w:val="none"/>
              </w:rPr>
            </w:pPr>
          </w:p>
        </w:tc>
        <w:tc>
          <w:tcPr>
            <w:tcW w:w="998" w:type="pct"/>
            <w:noWrap w:val="0"/>
            <w:vAlign w:val="top"/>
          </w:tcPr>
          <w:p w14:paraId="12CBA7CC">
            <w:pPr>
              <w:jc w:val="center"/>
              <w:rPr>
                <w:rFonts w:hint="eastAsia" w:ascii="宋体" w:hAnsi="宋体" w:eastAsia="宋体" w:cs="宋体"/>
                <w:color w:val="auto"/>
                <w:szCs w:val="24"/>
                <w:highlight w:val="none"/>
              </w:rPr>
            </w:pPr>
          </w:p>
        </w:tc>
        <w:tc>
          <w:tcPr>
            <w:tcW w:w="1001" w:type="pct"/>
            <w:noWrap w:val="0"/>
            <w:vAlign w:val="top"/>
          </w:tcPr>
          <w:p w14:paraId="7035B48B">
            <w:pPr>
              <w:jc w:val="center"/>
              <w:rPr>
                <w:rFonts w:hint="eastAsia" w:ascii="宋体" w:hAnsi="宋体" w:eastAsia="宋体" w:cs="宋体"/>
                <w:color w:val="auto"/>
                <w:szCs w:val="24"/>
                <w:highlight w:val="none"/>
              </w:rPr>
            </w:pPr>
          </w:p>
        </w:tc>
      </w:tr>
      <w:tr w14:paraId="65A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4FA07D6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4C0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568AFB5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备注：表内报价内容以元为单位，保留小数点后两位。</w:t>
            </w:r>
          </w:p>
        </w:tc>
      </w:tr>
    </w:tbl>
    <w:p w14:paraId="3631820B">
      <w:pPr>
        <w:tabs>
          <w:tab w:val="left" w:pos="7200"/>
          <w:tab w:val="left" w:pos="8504"/>
        </w:tabs>
        <w:spacing w:line="360" w:lineRule="auto"/>
        <w:ind w:right="-1"/>
        <w:rPr>
          <w:rFonts w:hint="eastAsia" w:ascii="宋体" w:hAnsi="宋体" w:eastAsia="宋体" w:cs="宋体"/>
          <w:color w:val="auto"/>
          <w:highlight w:val="none"/>
        </w:rPr>
      </w:pPr>
    </w:p>
    <w:p w14:paraId="41135EC0">
      <w:pPr>
        <w:spacing w:line="120" w:lineRule="exact"/>
        <w:rPr>
          <w:rFonts w:hint="eastAsia" w:ascii="宋体" w:hAnsi="宋体" w:eastAsia="宋体" w:cs="宋体"/>
          <w:color w:val="auto"/>
          <w:highlight w:val="none"/>
        </w:rPr>
      </w:pPr>
    </w:p>
    <w:p w14:paraId="7BBD8A40">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（加盖单位公章）      </w:t>
      </w:r>
    </w:p>
    <w:p w14:paraId="40709E64">
      <w:pPr>
        <w:spacing w:line="480" w:lineRule="auto"/>
        <w:ind w:right="617" w:rightChars="257"/>
        <w:jc w:val="left"/>
        <w:rPr>
          <w:rFonts w:hint="eastAsia" w:ascii="宋体" w:hAnsi="宋体" w:eastAsia="宋体" w:cs="宋体"/>
          <w:color w:val="auto"/>
          <w:highlight w:val="none"/>
        </w:rPr>
      </w:pPr>
    </w:p>
    <w:p w14:paraId="2D03B327">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法定代表人/被授权人签字或盖章：</w:t>
      </w:r>
    </w:p>
    <w:p w14:paraId="207EDE0A">
      <w:pPr>
        <w:pStyle w:val="11"/>
        <w:ind w:left="0" w:leftChars="0" w:firstLine="0" w:firstLineChars="0"/>
        <w:rPr>
          <w:rFonts w:hint="eastAsia" w:ascii="宋体" w:hAnsi="宋体" w:eastAsia="宋体" w:cs="宋体"/>
          <w:color w:val="auto"/>
          <w:highlight w:val="none"/>
        </w:rPr>
      </w:pPr>
    </w:p>
    <w:p w14:paraId="51AB9BC0">
      <w:pPr>
        <w:spacing w:line="480" w:lineRule="auto"/>
        <w:ind w:right="617" w:rightChars="257"/>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C5C0355">
      <w:pPr>
        <w:spacing w:before="166" w:beforeLines="50" w:after="166" w:afterLines="50" w:line="48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本表应按“供应商须知”的规定密封单独提交。若有折扣声明，请与本表一并装订和密封。</w:t>
      </w:r>
    </w:p>
    <w:p w14:paraId="747974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D0E100">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65BB7E6B">
      <w:pPr>
        <w:jc w:val="center"/>
        <w:rPr>
          <w:rFonts w:hint="eastAsia" w:ascii="宋体" w:hAnsi="宋体" w:eastAsia="宋体" w:cs="宋体"/>
          <w:color w:val="auto"/>
          <w:highlight w:val="none"/>
        </w:rPr>
      </w:pPr>
    </w:p>
    <w:tbl>
      <w:tblPr>
        <w:tblStyle w:val="22"/>
        <w:tblW w:w="8899" w:type="dxa"/>
        <w:jc w:val="center"/>
        <w:tblLayout w:type="fixed"/>
        <w:tblCellMar>
          <w:top w:w="0" w:type="dxa"/>
          <w:left w:w="28" w:type="dxa"/>
          <w:bottom w:w="0" w:type="dxa"/>
          <w:right w:w="28" w:type="dxa"/>
        </w:tblCellMar>
      </w:tblPr>
      <w:tblGrid>
        <w:gridCol w:w="875"/>
        <w:gridCol w:w="681"/>
        <w:gridCol w:w="1290"/>
        <w:gridCol w:w="1185"/>
        <w:gridCol w:w="1380"/>
        <w:gridCol w:w="1230"/>
        <w:gridCol w:w="1125"/>
        <w:gridCol w:w="1133"/>
      </w:tblGrid>
      <w:tr w14:paraId="40F9AB62">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7A67C41D">
            <w:pP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1CE7EB7A">
            <w:pP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14:paraId="005B892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B2512E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88814F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14:paraId="2830FB6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8BFC51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25" w:type="dxa"/>
            <w:tcBorders>
              <w:top w:val="single" w:color="auto" w:sz="6" w:space="0"/>
              <w:left w:val="single" w:color="auto" w:sz="6" w:space="0"/>
              <w:bottom w:val="single" w:color="auto" w:sz="6" w:space="0"/>
              <w:right w:val="single" w:color="auto" w:sz="6" w:space="0"/>
            </w:tcBorders>
            <w:noWrap w:val="0"/>
            <w:vAlign w:val="center"/>
          </w:tcPr>
          <w:p w14:paraId="7612D28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22D45405">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14:paraId="3091941B">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943207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37C854C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63A516A3">
            <w:pPr>
              <w:spacing w:before="333" w:beforeLines="100"/>
              <w:jc w:val="center"/>
              <w:rPr>
                <w:rFonts w:hint="eastAsia" w:ascii="宋体" w:hAnsi="宋体" w:eastAsia="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14:paraId="1E1D1071">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14:paraId="5C2403F5">
            <w:pPr>
              <w:spacing w:before="166" w:beforeLines="50"/>
              <w:jc w:val="center"/>
              <w:rPr>
                <w:rFonts w:hint="eastAsia" w:ascii="宋体" w:hAnsi="宋体" w:eastAsia="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14:paraId="1EA21DC3">
            <w:pPr>
              <w:spacing w:before="166" w:beforeLines="50"/>
              <w:jc w:val="center"/>
              <w:rPr>
                <w:rFonts w:hint="eastAsia" w:ascii="宋体" w:hAnsi="宋体" w:eastAsia="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14:paraId="561572D4">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6574066E">
            <w:pPr>
              <w:spacing w:before="166" w:beforeLines="50"/>
              <w:jc w:val="center"/>
              <w:rPr>
                <w:rFonts w:hint="eastAsia" w:ascii="宋体" w:hAnsi="宋体" w:eastAsia="宋体" w:cs="宋体"/>
                <w:color w:val="auto"/>
                <w:highlight w:val="none"/>
              </w:rPr>
            </w:pPr>
          </w:p>
        </w:tc>
        <w:tc>
          <w:tcPr>
            <w:tcW w:w="1125" w:type="dxa"/>
            <w:tcBorders>
              <w:top w:val="single" w:color="auto" w:sz="6" w:space="0"/>
              <w:left w:val="single" w:color="auto" w:sz="6" w:space="0"/>
              <w:bottom w:val="single" w:color="auto" w:sz="4" w:space="0"/>
              <w:right w:val="single" w:color="auto" w:sz="6" w:space="0"/>
            </w:tcBorders>
            <w:noWrap w:val="0"/>
            <w:vAlign w:val="center"/>
          </w:tcPr>
          <w:p w14:paraId="2D643FFD">
            <w:pPr>
              <w:spacing w:before="166" w:beforeLines="50"/>
              <w:jc w:val="center"/>
              <w:rPr>
                <w:rFonts w:hint="eastAsia" w:ascii="宋体" w:hAnsi="宋体" w:eastAsia="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14:paraId="09A718B6">
            <w:pPr>
              <w:spacing w:before="166" w:beforeLines="50"/>
              <w:jc w:val="center"/>
              <w:rPr>
                <w:rFonts w:hint="eastAsia" w:ascii="宋体" w:hAnsi="宋体" w:eastAsia="宋体" w:cs="宋体"/>
                <w:color w:val="auto"/>
                <w:highlight w:val="none"/>
              </w:rPr>
            </w:pPr>
          </w:p>
        </w:tc>
      </w:tr>
      <w:tr w14:paraId="32329626">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220AFABD">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38AC9B0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6F741AEB">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7D893D5A">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7CF4571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8736FD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0CCF7C73">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7028F5F9">
            <w:pPr>
              <w:spacing w:before="166" w:beforeLines="50"/>
              <w:jc w:val="center"/>
              <w:rPr>
                <w:rFonts w:hint="eastAsia" w:ascii="宋体" w:hAnsi="宋体" w:eastAsia="宋体" w:cs="宋体"/>
                <w:color w:val="auto"/>
                <w:highlight w:val="none"/>
              </w:rPr>
            </w:pPr>
          </w:p>
        </w:tc>
      </w:tr>
      <w:tr w14:paraId="7FA48E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E2CCD2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22C7D8E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774BF592">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2B87F5DD">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4E00E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039AEC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EF5200">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D03FCA7">
            <w:pPr>
              <w:spacing w:before="166" w:beforeLines="50"/>
              <w:jc w:val="center"/>
              <w:rPr>
                <w:rFonts w:hint="eastAsia" w:ascii="宋体" w:hAnsi="宋体" w:eastAsia="宋体" w:cs="宋体"/>
                <w:color w:val="auto"/>
                <w:highlight w:val="none"/>
              </w:rPr>
            </w:pPr>
          </w:p>
        </w:tc>
      </w:tr>
      <w:tr w14:paraId="0989C72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12843C6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0D6A5490">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20B3401A">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14FA4767">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1A439B">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C2A2837">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0810B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A45866B">
            <w:pPr>
              <w:spacing w:before="166" w:beforeLines="50"/>
              <w:jc w:val="center"/>
              <w:rPr>
                <w:rFonts w:hint="eastAsia" w:ascii="宋体" w:hAnsi="宋体" w:eastAsia="宋体" w:cs="宋体"/>
                <w:color w:val="auto"/>
                <w:highlight w:val="none"/>
              </w:rPr>
            </w:pPr>
          </w:p>
        </w:tc>
      </w:tr>
      <w:tr w14:paraId="6DC813A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3C911774">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774376F3">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5DA25EFD">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4016F224">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3A9110D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2A872B08">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64CAA4F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C9AFAD8">
            <w:pPr>
              <w:spacing w:before="166" w:beforeLines="50"/>
              <w:jc w:val="center"/>
              <w:rPr>
                <w:rFonts w:hint="eastAsia" w:ascii="宋体" w:hAnsi="宋体" w:eastAsia="宋体" w:cs="宋体"/>
                <w:color w:val="auto"/>
                <w:highlight w:val="none"/>
              </w:rPr>
            </w:pPr>
          </w:p>
        </w:tc>
      </w:tr>
      <w:tr w14:paraId="096EA97B">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243080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08A6FF5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r>
      <w:tr w14:paraId="248AF528">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6A862F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289BAED5">
            <w:pP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r>
    </w:tbl>
    <w:p w14:paraId="5115FCFC">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注：1.如果按单价计算的结果与总价不一致，以单价为准修正总价。</w:t>
      </w:r>
    </w:p>
    <w:p w14:paraId="76DD45DE">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p>
    <w:p w14:paraId="094F9CC3">
      <w:pPr>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3.供应商可适当调整该表格式，但不得减少信息内容。</w:t>
      </w:r>
    </w:p>
    <w:p w14:paraId="77C059C6">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单位：元，保留小数点后两位。</w:t>
      </w:r>
    </w:p>
    <w:p w14:paraId="53EC1BCE">
      <w:pPr>
        <w:rPr>
          <w:rFonts w:hint="eastAsia" w:ascii="宋体" w:hAnsi="宋体" w:eastAsia="宋体" w:cs="宋体"/>
          <w:color w:val="auto"/>
          <w:highlight w:val="none"/>
        </w:rPr>
      </w:pPr>
    </w:p>
    <w:p w14:paraId="5F35CEC0">
      <w:pPr>
        <w:pStyle w:val="4"/>
        <w:spacing w:before="333" w:beforeLines="100"/>
        <w:rPr>
          <w:rFonts w:hint="eastAsia" w:ascii="宋体" w:hAnsi="宋体" w:eastAsia="宋体" w:cs="宋体"/>
          <w:b w:val="0"/>
          <w:color w:val="auto"/>
          <w:highlight w:val="none"/>
        </w:rPr>
      </w:pPr>
      <w:bookmarkStart w:id="151" w:name="_Toc14384"/>
      <w:bookmarkStart w:id="152" w:name="_Toc8367"/>
      <w:bookmarkStart w:id="153" w:name="_Toc19152"/>
      <w:bookmarkStart w:id="154" w:name="_Toc31326"/>
      <w:bookmarkStart w:id="155" w:name="_Toc3617"/>
      <w:bookmarkStart w:id="156" w:name="_Toc2184"/>
      <w:bookmarkStart w:id="157" w:name="_Toc4085"/>
      <w:bookmarkStart w:id="158" w:name="_Toc16715"/>
      <w:r>
        <w:rPr>
          <w:rFonts w:hint="eastAsia" w:ascii="宋体" w:hAnsi="宋体" w:eastAsia="宋体" w:cs="宋体"/>
          <w:color w:val="auto"/>
          <w:sz w:val="32"/>
          <w:szCs w:val="32"/>
          <w:highlight w:val="none"/>
        </w:rPr>
        <w:br w:type="page"/>
      </w:r>
      <w:bookmarkStart w:id="159" w:name="_Toc18339"/>
      <w:bookmarkStart w:id="160" w:name="_Toc29887"/>
      <w:bookmarkStart w:id="161" w:name="_Toc9216"/>
      <w:bookmarkStart w:id="162" w:name="_Toc2105"/>
      <w:bookmarkStart w:id="163" w:name="_Toc17891"/>
      <w:r>
        <w:rPr>
          <w:rFonts w:hint="eastAsia" w:ascii="宋体" w:hAnsi="宋体" w:eastAsia="宋体" w:cs="宋体"/>
          <w:color w:val="auto"/>
          <w:sz w:val="32"/>
          <w:szCs w:val="32"/>
          <w:highlight w:val="none"/>
        </w:rPr>
        <w:t>三、投标方案说明书</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42D67C6F">
      <w:pPr>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14:paraId="31E7880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DB0DDCF">
      <w:pPr>
        <w:spacing w:after="12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6EC74984">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681692A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4CE1DF7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tbl>
      <w:tblPr>
        <w:tblStyle w:val="22"/>
        <w:tblW w:w="92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1025"/>
      </w:tblGrid>
      <w:tr w14:paraId="6152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152ADB6B">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6" w:type="dxa"/>
            <w:tcBorders>
              <w:bottom w:val="nil"/>
            </w:tcBorders>
            <w:noWrap w:val="0"/>
            <w:vAlign w:val="top"/>
          </w:tcPr>
          <w:p w14:paraId="361C6E6C">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2268" w:type="dxa"/>
            <w:tcBorders>
              <w:bottom w:val="nil"/>
            </w:tcBorders>
            <w:noWrap w:val="0"/>
            <w:vAlign w:val="top"/>
          </w:tcPr>
          <w:p w14:paraId="0E70C125">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781" w:type="dxa"/>
            <w:tcBorders>
              <w:bottom w:val="nil"/>
            </w:tcBorders>
            <w:noWrap w:val="0"/>
            <w:vAlign w:val="top"/>
          </w:tcPr>
          <w:p w14:paraId="10DCB89A">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188" w:type="dxa"/>
            <w:tcBorders>
              <w:bottom w:val="nil"/>
            </w:tcBorders>
            <w:noWrap w:val="0"/>
            <w:vAlign w:val="top"/>
          </w:tcPr>
          <w:p w14:paraId="43A320F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1025" w:type="dxa"/>
            <w:tcBorders>
              <w:bottom w:val="nil"/>
            </w:tcBorders>
            <w:noWrap w:val="0"/>
            <w:vAlign w:val="top"/>
          </w:tcPr>
          <w:p w14:paraId="5E6310F6">
            <w:pPr>
              <w:spacing w:before="166" w:beforeLines="50"/>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佐证材料页码</w:t>
            </w:r>
          </w:p>
        </w:tc>
      </w:tr>
      <w:tr w14:paraId="69472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0A3A1C1F">
            <w:pPr>
              <w:rPr>
                <w:rFonts w:hint="eastAsia" w:ascii="宋体" w:hAnsi="宋体" w:eastAsia="宋体" w:cs="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13D1DE60">
            <w:pPr>
              <w:rPr>
                <w:rFonts w:hint="eastAsia" w:ascii="宋体" w:hAnsi="宋体" w:eastAsia="宋体" w:cs="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170EA015">
            <w:pPr>
              <w:rPr>
                <w:rFonts w:hint="eastAsia" w:ascii="宋体" w:hAnsi="宋体" w:eastAsia="宋体" w:cs="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545D6527">
            <w:pPr>
              <w:rPr>
                <w:rFonts w:hint="eastAsia" w:ascii="宋体" w:hAnsi="宋体" w:eastAsia="宋体" w:cs="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431EB428">
            <w:pPr>
              <w:rPr>
                <w:rFonts w:hint="eastAsia" w:ascii="宋体" w:hAnsi="宋体" w:eastAsia="宋体" w:cs="宋体"/>
                <w:color w:val="auto"/>
                <w:szCs w:val="24"/>
                <w:highlight w:val="none"/>
              </w:rPr>
            </w:pPr>
          </w:p>
        </w:tc>
        <w:tc>
          <w:tcPr>
            <w:tcW w:w="1025" w:type="dxa"/>
            <w:tcBorders>
              <w:top w:val="single" w:color="auto" w:sz="12" w:space="0"/>
              <w:left w:val="single" w:color="auto" w:sz="6" w:space="0"/>
              <w:bottom w:val="nil"/>
              <w:right w:val="single" w:color="auto" w:sz="12" w:space="0"/>
            </w:tcBorders>
            <w:noWrap w:val="0"/>
            <w:vAlign w:val="top"/>
          </w:tcPr>
          <w:p w14:paraId="61C760D0">
            <w:pPr>
              <w:rPr>
                <w:rFonts w:hint="eastAsia" w:ascii="宋体" w:hAnsi="宋体" w:eastAsia="宋体" w:cs="宋体"/>
                <w:color w:val="auto"/>
                <w:szCs w:val="24"/>
                <w:highlight w:val="none"/>
              </w:rPr>
            </w:pPr>
          </w:p>
        </w:tc>
      </w:tr>
      <w:tr w14:paraId="11180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4CFCF7CE">
            <w:pPr>
              <w:rPr>
                <w:rFonts w:hint="eastAsia" w:ascii="宋体" w:hAnsi="宋体" w:eastAsia="宋体" w:cs="宋体"/>
                <w:color w:val="auto"/>
                <w:szCs w:val="24"/>
                <w:highlight w:val="none"/>
              </w:rPr>
            </w:pPr>
          </w:p>
        </w:tc>
        <w:tc>
          <w:tcPr>
            <w:tcW w:w="1276" w:type="dxa"/>
            <w:tcBorders>
              <w:top w:val="nil"/>
            </w:tcBorders>
            <w:noWrap w:val="0"/>
            <w:vAlign w:val="top"/>
          </w:tcPr>
          <w:p w14:paraId="3F125B62">
            <w:pPr>
              <w:rPr>
                <w:rFonts w:hint="eastAsia" w:ascii="宋体" w:hAnsi="宋体" w:eastAsia="宋体" w:cs="宋体"/>
                <w:color w:val="auto"/>
                <w:szCs w:val="24"/>
                <w:highlight w:val="none"/>
              </w:rPr>
            </w:pPr>
          </w:p>
        </w:tc>
        <w:tc>
          <w:tcPr>
            <w:tcW w:w="2268" w:type="dxa"/>
            <w:tcBorders>
              <w:top w:val="nil"/>
            </w:tcBorders>
            <w:noWrap w:val="0"/>
            <w:vAlign w:val="top"/>
          </w:tcPr>
          <w:p w14:paraId="74781769">
            <w:pPr>
              <w:rPr>
                <w:rFonts w:hint="eastAsia" w:ascii="宋体" w:hAnsi="宋体" w:eastAsia="宋体" w:cs="宋体"/>
                <w:color w:val="auto"/>
                <w:szCs w:val="24"/>
                <w:highlight w:val="none"/>
              </w:rPr>
            </w:pPr>
          </w:p>
        </w:tc>
        <w:tc>
          <w:tcPr>
            <w:tcW w:w="2781" w:type="dxa"/>
            <w:tcBorders>
              <w:top w:val="nil"/>
            </w:tcBorders>
            <w:noWrap w:val="0"/>
            <w:vAlign w:val="top"/>
          </w:tcPr>
          <w:p w14:paraId="11925E2D">
            <w:pPr>
              <w:rPr>
                <w:rFonts w:hint="eastAsia" w:ascii="宋体" w:hAnsi="宋体" w:eastAsia="宋体" w:cs="宋体"/>
                <w:color w:val="auto"/>
                <w:szCs w:val="24"/>
                <w:highlight w:val="none"/>
              </w:rPr>
            </w:pPr>
          </w:p>
        </w:tc>
        <w:tc>
          <w:tcPr>
            <w:tcW w:w="1188" w:type="dxa"/>
            <w:tcBorders>
              <w:top w:val="nil"/>
            </w:tcBorders>
            <w:noWrap w:val="0"/>
            <w:vAlign w:val="top"/>
          </w:tcPr>
          <w:p w14:paraId="710050E7">
            <w:pPr>
              <w:rPr>
                <w:rFonts w:hint="eastAsia" w:ascii="宋体" w:hAnsi="宋体" w:eastAsia="宋体" w:cs="宋体"/>
                <w:color w:val="auto"/>
                <w:szCs w:val="24"/>
                <w:highlight w:val="none"/>
              </w:rPr>
            </w:pPr>
          </w:p>
        </w:tc>
        <w:tc>
          <w:tcPr>
            <w:tcW w:w="1025" w:type="dxa"/>
            <w:tcBorders>
              <w:top w:val="nil"/>
            </w:tcBorders>
            <w:noWrap w:val="0"/>
            <w:vAlign w:val="top"/>
          </w:tcPr>
          <w:p w14:paraId="2D58B9C2">
            <w:pPr>
              <w:rPr>
                <w:rFonts w:hint="eastAsia" w:ascii="宋体" w:hAnsi="宋体" w:eastAsia="宋体" w:cs="宋体"/>
                <w:color w:val="auto"/>
                <w:szCs w:val="24"/>
                <w:highlight w:val="none"/>
              </w:rPr>
            </w:pPr>
          </w:p>
        </w:tc>
      </w:tr>
    </w:tbl>
    <w:p w14:paraId="77113863">
      <w:pPr>
        <w:rPr>
          <w:rFonts w:hint="eastAsia" w:ascii="宋体" w:hAnsi="宋体" w:eastAsia="宋体" w:cs="宋体"/>
          <w:color w:val="auto"/>
          <w:szCs w:val="24"/>
          <w:highlight w:val="none"/>
        </w:rPr>
      </w:pPr>
    </w:p>
    <w:p w14:paraId="7CB2794B">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9CE9C79">
      <w:pPr>
        <w:tabs>
          <w:tab w:val="left" w:pos="3045"/>
        </w:tabs>
        <w:spacing w:line="280" w:lineRule="exact"/>
        <w:rPr>
          <w:rFonts w:hint="eastAsia" w:ascii="宋体" w:hAnsi="宋体" w:eastAsia="宋体" w:cs="宋体"/>
          <w:color w:val="auto"/>
          <w:szCs w:val="24"/>
          <w:highlight w:val="none"/>
        </w:rPr>
      </w:pPr>
    </w:p>
    <w:p w14:paraId="5F7EDE66">
      <w:pPr>
        <w:spacing w:line="280" w:lineRule="exact"/>
        <w:rPr>
          <w:rFonts w:hint="eastAsia" w:ascii="宋体" w:hAnsi="宋体" w:eastAsia="宋体" w:cs="宋体"/>
          <w:color w:val="auto"/>
          <w:szCs w:val="24"/>
          <w:highlight w:val="none"/>
        </w:rPr>
      </w:pPr>
    </w:p>
    <w:p w14:paraId="2243EEAC">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26257E83">
      <w:pPr>
        <w:rPr>
          <w:rFonts w:hint="eastAsia" w:ascii="宋体" w:hAnsi="宋体" w:eastAsia="宋体" w:cs="宋体"/>
          <w:color w:val="auto"/>
          <w:szCs w:val="24"/>
          <w:highlight w:val="none"/>
        </w:rPr>
      </w:pPr>
    </w:p>
    <w:p w14:paraId="37A3DFA0">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☆1指招标文件中的技术规格(参数),供应商应按照招标文件中的内容逐条抄写。</w:t>
      </w:r>
    </w:p>
    <w:p w14:paraId="6EF74531">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☆2指供应商拟提供的招标产品的功能及技术规格(参数),供应商应逐条如实填写并提供相应的支持文件。 </w:t>
      </w:r>
    </w:p>
    <w:p w14:paraId="582D1A3F">
      <w:pPr>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3.     偏离说明填写：优于、满足或低于。</w:t>
      </w:r>
    </w:p>
    <w:p w14:paraId="46CCC80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55C1A6">
      <w:pPr>
        <w:spacing w:after="120"/>
        <w:jc w:val="left"/>
        <w:rPr>
          <w:rFonts w:hint="eastAsia" w:ascii="宋体" w:hAnsi="宋体" w:eastAsia="宋体" w:cs="宋体"/>
          <w:b/>
          <w:color w:val="auto"/>
          <w:sz w:val="32"/>
          <w:szCs w:val="32"/>
          <w:highlight w:val="none"/>
        </w:rPr>
      </w:pPr>
      <w:r>
        <w:rPr>
          <w:rFonts w:hint="eastAsia" w:ascii="宋体" w:hAnsi="宋体" w:eastAsia="宋体" w:cs="宋体"/>
          <w:b/>
          <w:color w:val="auto"/>
          <w:szCs w:val="24"/>
          <w:highlight w:val="none"/>
        </w:rPr>
        <w:t>附表2：</w:t>
      </w:r>
    </w:p>
    <w:p w14:paraId="22BF20D7">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供货一览表</w:t>
      </w:r>
    </w:p>
    <w:p w14:paraId="09C060B1">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62A5E7BD">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718"/>
        <w:gridCol w:w="1513"/>
        <w:gridCol w:w="1378"/>
        <w:gridCol w:w="1031"/>
        <w:gridCol w:w="1035"/>
        <w:gridCol w:w="1093"/>
        <w:gridCol w:w="1222"/>
      </w:tblGrid>
      <w:tr w14:paraId="2F93F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center"/>
          </w:tcPr>
          <w:p w14:paraId="5348EDD0">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718" w:type="dxa"/>
            <w:noWrap w:val="0"/>
            <w:vAlign w:val="center"/>
          </w:tcPr>
          <w:p w14:paraId="5BCA9DBC">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513" w:type="dxa"/>
            <w:tcBorders>
              <w:right w:val="single" w:color="auto" w:sz="4" w:space="0"/>
            </w:tcBorders>
            <w:noWrap w:val="0"/>
            <w:vAlign w:val="center"/>
          </w:tcPr>
          <w:p w14:paraId="73D8176A">
            <w:pPr>
              <w:pStyle w:val="3"/>
              <w:adjustRightInd w:val="0"/>
              <w:snapToGrid w:val="0"/>
              <w:ind w:left="0"/>
              <w:jc w:val="center"/>
              <w:rPr>
                <w:rFonts w:hint="eastAsia" w:ascii="宋体" w:hAnsi="宋体" w:eastAsia="宋体" w:cs="宋体"/>
                <w:color w:val="auto"/>
                <w:sz w:val="24"/>
                <w:szCs w:val="24"/>
                <w:highlight w:val="none"/>
              </w:rPr>
            </w:pPr>
            <w:bookmarkStart w:id="164" w:name="_Toc628"/>
            <w:bookmarkStart w:id="165" w:name="_Toc28060"/>
            <w:bookmarkStart w:id="166" w:name="_Toc24582"/>
            <w:bookmarkStart w:id="167" w:name="_Toc20931"/>
            <w:bookmarkStart w:id="168" w:name="_Toc32014"/>
            <w:bookmarkStart w:id="169" w:name="_Toc30065"/>
            <w:bookmarkStart w:id="170" w:name="_Toc8403"/>
            <w:bookmarkStart w:id="171" w:name="_Toc32309"/>
            <w:bookmarkStart w:id="172" w:name="_Toc15750"/>
            <w:bookmarkStart w:id="173" w:name="_Toc24009"/>
            <w:bookmarkStart w:id="174" w:name="_Toc29617"/>
            <w:bookmarkStart w:id="175" w:name="_Toc25980"/>
            <w:bookmarkStart w:id="176" w:name="_Toc27923"/>
            <w:r>
              <w:rPr>
                <w:rFonts w:hint="eastAsia" w:ascii="宋体" w:hAnsi="宋体" w:eastAsia="宋体" w:cs="宋体"/>
                <w:color w:val="auto"/>
                <w:sz w:val="24"/>
                <w:szCs w:val="24"/>
                <w:highlight w:val="none"/>
              </w:rPr>
              <w:t>品牌、规格及型号</w:t>
            </w:r>
            <w:bookmarkEnd w:id="164"/>
            <w:bookmarkEnd w:id="165"/>
            <w:bookmarkEnd w:id="166"/>
            <w:bookmarkEnd w:id="167"/>
            <w:bookmarkEnd w:id="168"/>
            <w:bookmarkEnd w:id="169"/>
            <w:bookmarkEnd w:id="170"/>
            <w:bookmarkEnd w:id="171"/>
            <w:bookmarkEnd w:id="172"/>
            <w:bookmarkEnd w:id="173"/>
            <w:bookmarkEnd w:id="174"/>
            <w:bookmarkEnd w:id="175"/>
            <w:bookmarkEnd w:id="176"/>
          </w:p>
        </w:tc>
        <w:tc>
          <w:tcPr>
            <w:tcW w:w="1378" w:type="dxa"/>
            <w:tcBorders>
              <w:left w:val="single" w:color="auto" w:sz="4" w:space="0"/>
            </w:tcBorders>
            <w:noWrap w:val="0"/>
            <w:vAlign w:val="center"/>
          </w:tcPr>
          <w:p w14:paraId="520E809E">
            <w:pPr>
              <w:pStyle w:val="3"/>
              <w:adjustRightInd w:val="0"/>
              <w:snapToGrid w:val="0"/>
              <w:ind w:left="0"/>
              <w:jc w:val="center"/>
              <w:rPr>
                <w:rFonts w:hint="eastAsia" w:ascii="宋体" w:hAnsi="宋体" w:eastAsia="宋体" w:cs="宋体"/>
                <w:color w:val="auto"/>
                <w:sz w:val="24"/>
                <w:szCs w:val="24"/>
                <w:highlight w:val="none"/>
              </w:rPr>
            </w:pPr>
            <w:bookmarkStart w:id="177" w:name="_Toc6823"/>
            <w:bookmarkStart w:id="178" w:name="_Toc6970"/>
            <w:bookmarkStart w:id="179" w:name="_Toc13511"/>
            <w:bookmarkStart w:id="180" w:name="_Toc8331"/>
            <w:bookmarkStart w:id="181" w:name="_Toc10047"/>
            <w:bookmarkStart w:id="182" w:name="_Toc16441"/>
            <w:bookmarkStart w:id="183" w:name="_Toc23855"/>
            <w:bookmarkStart w:id="184" w:name="_Toc4360"/>
            <w:bookmarkStart w:id="185" w:name="_Toc13693"/>
            <w:bookmarkStart w:id="186" w:name="_Toc5039"/>
            <w:bookmarkStart w:id="187" w:name="_Toc10695"/>
            <w:bookmarkStart w:id="188" w:name="_Toc5023"/>
            <w:bookmarkStart w:id="189" w:name="_Toc17740"/>
            <w:bookmarkStart w:id="190" w:name="_Toc426457706"/>
            <w:r>
              <w:rPr>
                <w:rFonts w:hint="eastAsia" w:ascii="宋体" w:hAnsi="宋体" w:eastAsia="宋体" w:cs="宋体"/>
                <w:color w:val="auto"/>
                <w:sz w:val="24"/>
                <w:szCs w:val="24"/>
                <w:highlight w:val="none"/>
              </w:rPr>
              <w:t>原产地及 制造厂名</w:t>
            </w:r>
            <w:bookmarkEnd w:id="177"/>
            <w:bookmarkEnd w:id="178"/>
            <w:bookmarkEnd w:id="179"/>
            <w:bookmarkEnd w:id="180"/>
            <w:bookmarkEnd w:id="181"/>
            <w:bookmarkEnd w:id="182"/>
            <w:bookmarkEnd w:id="183"/>
            <w:bookmarkEnd w:id="184"/>
            <w:bookmarkEnd w:id="185"/>
            <w:bookmarkEnd w:id="186"/>
            <w:bookmarkEnd w:id="187"/>
            <w:bookmarkEnd w:id="188"/>
            <w:bookmarkEnd w:id="189"/>
          </w:p>
        </w:tc>
        <w:tc>
          <w:tcPr>
            <w:tcW w:w="1031" w:type="dxa"/>
            <w:tcBorders>
              <w:right w:val="single" w:color="auto" w:sz="4" w:space="0"/>
            </w:tcBorders>
            <w:noWrap w:val="0"/>
            <w:vAlign w:val="center"/>
          </w:tcPr>
          <w:p w14:paraId="15108566">
            <w:pPr>
              <w:pStyle w:val="3"/>
              <w:adjustRightInd w:val="0"/>
              <w:snapToGrid w:val="0"/>
              <w:ind w:left="0"/>
              <w:jc w:val="center"/>
              <w:rPr>
                <w:rFonts w:hint="eastAsia" w:ascii="宋体" w:hAnsi="宋体" w:eastAsia="宋体" w:cs="宋体"/>
                <w:color w:val="auto"/>
                <w:sz w:val="24"/>
                <w:szCs w:val="24"/>
                <w:highlight w:val="none"/>
              </w:rPr>
            </w:pPr>
            <w:bookmarkStart w:id="191" w:name="_Toc32261"/>
            <w:bookmarkStart w:id="192" w:name="_Toc6864"/>
            <w:bookmarkStart w:id="193" w:name="_Toc25367"/>
            <w:bookmarkStart w:id="194" w:name="_Toc22669"/>
            <w:bookmarkStart w:id="195" w:name="_Toc2218"/>
            <w:bookmarkStart w:id="196" w:name="_Toc5449"/>
            <w:bookmarkStart w:id="197" w:name="_Toc5186"/>
            <w:bookmarkStart w:id="198" w:name="_Toc15304"/>
            <w:bookmarkStart w:id="199" w:name="_Toc17092"/>
            <w:bookmarkStart w:id="200" w:name="_Toc24194"/>
            <w:bookmarkStart w:id="201" w:name="_Toc13853"/>
            <w:bookmarkStart w:id="202" w:name="_Toc17442"/>
            <w:bookmarkStart w:id="203" w:name="_Toc29415"/>
            <w:r>
              <w:rPr>
                <w:rFonts w:hint="eastAsia" w:ascii="宋体" w:hAnsi="宋体" w:eastAsia="宋体" w:cs="宋体"/>
                <w:color w:val="auto"/>
                <w:sz w:val="24"/>
                <w:szCs w:val="24"/>
                <w:highlight w:val="none"/>
              </w:rPr>
              <w:t>数量</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tc>
        <w:tc>
          <w:tcPr>
            <w:tcW w:w="1035" w:type="dxa"/>
            <w:tcBorders>
              <w:left w:val="single" w:color="auto" w:sz="4" w:space="0"/>
            </w:tcBorders>
            <w:noWrap w:val="0"/>
            <w:vAlign w:val="center"/>
          </w:tcPr>
          <w:p w14:paraId="1C39D1AF">
            <w:pPr>
              <w:pStyle w:val="3"/>
              <w:ind w:left="0"/>
              <w:jc w:val="center"/>
              <w:rPr>
                <w:rFonts w:hint="eastAsia" w:ascii="宋体" w:hAnsi="宋体" w:eastAsia="宋体" w:cs="宋体"/>
                <w:color w:val="auto"/>
                <w:sz w:val="24"/>
                <w:szCs w:val="24"/>
                <w:highlight w:val="none"/>
              </w:rPr>
            </w:pPr>
            <w:bookmarkStart w:id="204" w:name="_Toc21073"/>
            <w:bookmarkStart w:id="205" w:name="_Toc25212"/>
            <w:bookmarkStart w:id="206" w:name="_Toc6310"/>
            <w:bookmarkStart w:id="207" w:name="_Toc32606"/>
            <w:bookmarkStart w:id="208" w:name="_Toc20788"/>
            <w:bookmarkStart w:id="209" w:name="_Toc6713"/>
            <w:bookmarkStart w:id="210" w:name="_Toc1503"/>
            <w:bookmarkStart w:id="211" w:name="_Toc426457707"/>
            <w:bookmarkStart w:id="212" w:name="_Toc2426"/>
            <w:bookmarkStart w:id="213" w:name="_Toc10474"/>
            <w:bookmarkStart w:id="214" w:name="_Toc10545"/>
            <w:bookmarkStart w:id="215" w:name="_Toc6926"/>
            <w:bookmarkStart w:id="216" w:name="_Toc5343"/>
            <w:bookmarkStart w:id="217" w:name="_Toc8971"/>
            <w:r>
              <w:rPr>
                <w:rFonts w:hint="eastAsia" w:ascii="宋体" w:hAnsi="宋体" w:eastAsia="宋体" w:cs="宋体"/>
                <w:color w:val="auto"/>
                <w:sz w:val="24"/>
                <w:szCs w:val="24"/>
                <w:highlight w:val="none"/>
              </w:rPr>
              <w:t>交付地点</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tc>
        <w:tc>
          <w:tcPr>
            <w:tcW w:w="1093" w:type="dxa"/>
            <w:tcBorders>
              <w:right w:val="single" w:color="auto" w:sz="4" w:space="0"/>
            </w:tcBorders>
            <w:noWrap w:val="0"/>
            <w:vAlign w:val="center"/>
          </w:tcPr>
          <w:p w14:paraId="07E043E7">
            <w:pPr>
              <w:pStyle w:val="3"/>
              <w:ind w:left="0"/>
              <w:jc w:val="center"/>
              <w:rPr>
                <w:rFonts w:hint="eastAsia" w:ascii="宋体" w:hAnsi="宋体" w:eastAsia="宋体" w:cs="宋体"/>
                <w:color w:val="auto"/>
                <w:sz w:val="24"/>
                <w:szCs w:val="24"/>
                <w:highlight w:val="none"/>
              </w:rPr>
            </w:pPr>
            <w:bookmarkStart w:id="218" w:name="_Toc14545"/>
            <w:bookmarkStart w:id="219" w:name="_Toc426457708"/>
            <w:bookmarkStart w:id="220" w:name="_Toc24743"/>
            <w:bookmarkStart w:id="221" w:name="_Toc5026"/>
            <w:bookmarkStart w:id="222" w:name="_Toc4618"/>
            <w:bookmarkStart w:id="223" w:name="_Toc23582"/>
            <w:bookmarkStart w:id="224" w:name="_Toc12618"/>
            <w:bookmarkStart w:id="225" w:name="_Toc5960"/>
            <w:bookmarkStart w:id="226" w:name="_Toc28407"/>
            <w:bookmarkStart w:id="227" w:name="_Toc19803"/>
            <w:bookmarkStart w:id="228" w:name="_Toc31537"/>
            <w:bookmarkStart w:id="229" w:name="_Toc32459"/>
            <w:bookmarkStart w:id="230" w:name="_Toc25626"/>
            <w:bookmarkStart w:id="231" w:name="_Toc25012"/>
            <w:r>
              <w:rPr>
                <w:rFonts w:hint="eastAsia" w:ascii="宋体" w:hAnsi="宋体" w:eastAsia="宋体" w:cs="宋体"/>
                <w:color w:val="auto"/>
                <w:sz w:val="24"/>
                <w:szCs w:val="24"/>
                <w:highlight w:val="none"/>
              </w:rPr>
              <w:t>交付时间</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c>
        <w:tc>
          <w:tcPr>
            <w:tcW w:w="1222" w:type="dxa"/>
            <w:tcBorders>
              <w:right w:val="single" w:color="auto" w:sz="4" w:space="0"/>
            </w:tcBorders>
            <w:noWrap w:val="0"/>
            <w:vAlign w:val="center"/>
          </w:tcPr>
          <w:p w14:paraId="2569E698">
            <w:pPr>
              <w:pStyle w:val="3"/>
              <w:ind w:left="0"/>
              <w:jc w:val="center"/>
              <w:rPr>
                <w:rFonts w:hint="eastAsia" w:ascii="宋体" w:hAnsi="宋体" w:eastAsia="宋体" w:cs="宋体"/>
                <w:color w:val="auto"/>
                <w:sz w:val="24"/>
                <w:szCs w:val="24"/>
                <w:highlight w:val="none"/>
              </w:rPr>
            </w:pPr>
            <w:bookmarkStart w:id="232" w:name="_Toc3059"/>
            <w:bookmarkStart w:id="233" w:name="_Toc24445"/>
            <w:bookmarkStart w:id="234" w:name="_Toc16567"/>
            <w:bookmarkStart w:id="235" w:name="_Toc22789"/>
            <w:bookmarkStart w:id="236" w:name="_Toc14093"/>
            <w:bookmarkStart w:id="237" w:name="_Toc6139"/>
            <w:bookmarkStart w:id="238" w:name="_Toc426457709"/>
            <w:bookmarkStart w:id="239" w:name="_Toc12830"/>
            <w:bookmarkStart w:id="240" w:name="_Toc15321"/>
            <w:bookmarkStart w:id="241" w:name="_Toc18685"/>
            <w:bookmarkStart w:id="242" w:name="_Toc1768"/>
            <w:bookmarkStart w:id="243" w:name="_Toc18428"/>
            <w:bookmarkStart w:id="244" w:name="_Toc8990"/>
            <w:bookmarkStart w:id="245" w:name="_Toc22386"/>
            <w:r>
              <w:rPr>
                <w:rFonts w:hint="eastAsia" w:ascii="宋体" w:hAnsi="宋体" w:eastAsia="宋体" w:cs="宋体"/>
                <w:color w:val="auto"/>
                <w:sz w:val="24"/>
                <w:szCs w:val="24"/>
                <w:highlight w:val="none"/>
              </w:rPr>
              <w:t>备注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c>
      </w:tr>
      <w:tr w14:paraId="370F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285D9F42">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43B06B13">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3111EC85">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7878E3FE">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196B69AC">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A74CA6B">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E4D0A6D">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9923BA3">
            <w:pPr>
              <w:spacing w:before="166" w:beforeLines="50" w:line="360" w:lineRule="auto"/>
              <w:jc w:val="center"/>
              <w:rPr>
                <w:rFonts w:hint="eastAsia" w:ascii="宋体" w:hAnsi="宋体" w:eastAsia="宋体" w:cs="宋体"/>
                <w:color w:val="auto"/>
                <w:szCs w:val="24"/>
                <w:highlight w:val="none"/>
              </w:rPr>
            </w:pPr>
          </w:p>
        </w:tc>
      </w:tr>
      <w:tr w14:paraId="01BCA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26C2F235">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A2A4EDF">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3048BFF7">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0D661D4C">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30E3A290">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059B62BE">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38FE1F3">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3DD336B6">
            <w:pPr>
              <w:spacing w:before="166" w:beforeLines="50" w:line="360" w:lineRule="auto"/>
              <w:jc w:val="center"/>
              <w:rPr>
                <w:rFonts w:hint="eastAsia" w:ascii="宋体" w:hAnsi="宋体" w:eastAsia="宋体" w:cs="宋体"/>
                <w:color w:val="auto"/>
                <w:szCs w:val="24"/>
                <w:highlight w:val="none"/>
              </w:rPr>
            </w:pPr>
          </w:p>
        </w:tc>
      </w:tr>
      <w:tr w14:paraId="5084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03F21EFB">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184B12E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2095623">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0CD7DA26">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0FF32535">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0DCA45DC">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E3E09F0">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A3A17F5">
            <w:pPr>
              <w:spacing w:before="166" w:beforeLines="50" w:line="360" w:lineRule="auto"/>
              <w:jc w:val="center"/>
              <w:rPr>
                <w:rFonts w:hint="eastAsia" w:ascii="宋体" w:hAnsi="宋体" w:eastAsia="宋体" w:cs="宋体"/>
                <w:color w:val="auto"/>
                <w:szCs w:val="24"/>
                <w:highlight w:val="none"/>
              </w:rPr>
            </w:pPr>
          </w:p>
        </w:tc>
      </w:tr>
      <w:tr w14:paraId="418C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468C39FA">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2755DB7">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237A4F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2D2982D8">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39FA8219">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72850822">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D2DBF4E">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1A8D99A5">
            <w:pPr>
              <w:spacing w:before="166" w:beforeLines="50" w:line="360" w:lineRule="auto"/>
              <w:jc w:val="center"/>
              <w:rPr>
                <w:rFonts w:hint="eastAsia" w:ascii="宋体" w:hAnsi="宋体" w:eastAsia="宋体" w:cs="宋体"/>
                <w:color w:val="auto"/>
                <w:szCs w:val="24"/>
                <w:highlight w:val="none"/>
              </w:rPr>
            </w:pPr>
          </w:p>
        </w:tc>
      </w:tr>
      <w:tr w14:paraId="1919A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98EC5D6">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231CF5D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1761631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1166FAA2">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2AD854F5">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5A8DB620">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04168855">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5D111AF3">
            <w:pPr>
              <w:spacing w:before="166" w:beforeLines="50" w:line="360" w:lineRule="auto"/>
              <w:jc w:val="center"/>
              <w:rPr>
                <w:rFonts w:hint="eastAsia" w:ascii="宋体" w:hAnsi="宋体" w:eastAsia="宋体" w:cs="宋体"/>
                <w:color w:val="auto"/>
                <w:szCs w:val="24"/>
                <w:highlight w:val="none"/>
              </w:rPr>
            </w:pPr>
          </w:p>
        </w:tc>
      </w:tr>
      <w:tr w14:paraId="756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5804B081">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12C4300F">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01EF0AD9">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38CEF969">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29B49302">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5A556AC9">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0F82B3DE">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14F800F1">
            <w:pPr>
              <w:spacing w:before="166" w:beforeLines="50" w:line="360" w:lineRule="auto"/>
              <w:jc w:val="center"/>
              <w:rPr>
                <w:rFonts w:hint="eastAsia" w:ascii="宋体" w:hAnsi="宋体" w:eastAsia="宋体" w:cs="宋体"/>
                <w:color w:val="auto"/>
                <w:szCs w:val="24"/>
                <w:highlight w:val="none"/>
              </w:rPr>
            </w:pPr>
          </w:p>
        </w:tc>
      </w:tr>
      <w:tr w14:paraId="03BF9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5ABDB27">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6DADB498">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7D8F3213">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3CC240D3">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51201282">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D249F41">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2959C64">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5888EE7D">
            <w:pPr>
              <w:spacing w:before="166" w:beforeLines="50" w:line="360" w:lineRule="auto"/>
              <w:jc w:val="center"/>
              <w:rPr>
                <w:rFonts w:hint="eastAsia" w:ascii="宋体" w:hAnsi="宋体" w:eastAsia="宋体" w:cs="宋体"/>
                <w:color w:val="auto"/>
                <w:szCs w:val="24"/>
                <w:highlight w:val="none"/>
              </w:rPr>
            </w:pPr>
          </w:p>
        </w:tc>
      </w:tr>
      <w:tr w14:paraId="7BC07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64AAFC89">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46A7A4DD">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7B4311CF">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5F08F0AF">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4DBA06CC">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21190098">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4F3E3B84">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4049F88F">
            <w:pPr>
              <w:spacing w:before="166" w:beforeLines="50" w:line="360" w:lineRule="auto"/>
              <w:jc w:val="center"/>
              <w:rPr>
                <w:rFonts w:hint="eastAsia" w:ascii="宋体" w:hAnsi="宋体" w:eastAsia="宋体" w:cs="宋体"/>
                <w:color w:val="auto"/>
                <w:szCs w:val="24"/>
                <w:highlight w:val="none"/>
              </w:rPr>
            </w:pPr>
          </w:p>
        </w:tc>
      </w:tr>
      <w:tr w14:paraId="67B9C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14:paraId="017C332B">
            <w:pPr>
              <w:spacing w:before="166" w:beforeLines="50" w:line="360" w:lineRule="auto"/>
              <w:jc w:val="center"/>
              <w:rPr>
                <w:rFonts w:hint="eastAsia" w:ascii="宋体" w:hAnsi="宋体" w:eastAsia="宋体" w:cs="宋体"/>
                <w:color w:val="auto"/>
                <w:szCs w:val="24"/>
                <w:highlight w:val="none"/>
              </w:rPr>
            </w:pPr>
          </w:p>
        </w:tc>
        <w:tc>
          <w:tcPr>
            <w:tcW w:w="1718" w:type="dxa"/>
            <w:noWrap w:val="0"/>
            <w:vAlign w:val="top"/>
          </w:tcPr>
          <w:p w14:paraId="0FC3889B">
            <w:pPr>
              <w:spacing w:before="166" w:beforeLines="50" w:line="360" w:lineRule="auto"/>
              <w:jc w:val="center"/>
              <w:rPr>
                <w:rFonts w:hint="eastAsia" w:ascii="宋体" w:hAnsi="宋体" w:eastAsia="宋体" w:cs="宋体"/>
                <w:color w:val="auto"/>
                <w:szCs w:val="24"/>
                <w:highlight w:val="none"/>
              </w:rPr>
            </w:pPr>
          </w:p>
        </w:tc>
        <w:tc>
          <w:tcPr>
            <w:tcW w:w="1513" w:type="dxa"/>
            <w:tcBorders>
              <w:right w:val="single" w:color="auto" w:sz="4" w:space="0"/>
            </w:tcBorders>
            <w:noWrap w:val="0"/>
            <w:vAlign w:val="top"/>
          </w:tcPr>
          <w:p w14:paraId="59ADABB1">
            <w:pPr>
              <w:spacing w:before="166" w:beforeLines="50" w:line="360" w:lineRule="auto"/>
              <w:jc w:val="center"/>
              <w:rPr>
                <w:rFonts w:hint="eastAsia" w:ascii="宋体" w:hAnsi="宋体" w:eastAsia="宋体" w:cs="宋体"/>
                <w:color w:val="auto"/>
                <w:szCs w:val="24"/>
                <w:highlight w:val="none"/>
              </w:rPr>
            </w:pPr>
          </w:p>
        </w:tc>
        <w:tc>
          <w:tcPr>
            <w:tcW w:w="1378" w:type="dxa"/>
            <w:tcBorders>
              <w:left w:val="single" w:color="auto" w:sz="4" w:space="0"/>
            </w:tcBorders>
            <w:noWrap w:val="0"/>
            <w:vAlign w:val="top"/>
          </w:tcPr>
          <w:p w14:paraId="2A420B73">
            <w:pPr>
              <w:spacing w:before="166" w:beforeLines="50" w:line="360" w:lineRule="auto"/>
              <w:jc w:val="center"/>
              <w:rPr>
                <w:rFonts w:hint="eastAsia" w:ascii="宋体" w:hAnsi="宋体" w:eastAsia="宋体" w:cs="宋体"/>
                <w:color w:val="auto"/>
                <w:szCs w:val="24"/>
                <w:highlight w:val="none"/>
              </w:rPr>
            </w:pPr>
          </w:p>
        </w:tc>
        <w:tc>
          <w:tcPr>
            <w:tcW w:w="1031" w:type="dxa"/>
            <w:tcBorders>
              <w:right w:val="single" w:color="auto" w:sz="4" w:space="0"/>
            </w:tcBorders>
            <w:noWrap w:val="0"/>
            <w:vAlign w:val="top"/>
          </w:tcPr>
          <w:p w14:paraId="083DA5E6">
            <w:pPr>
              <w:spacing w:before="166" w:beforeLines="50" w:line="360" w:lineRule="auto"/>
              <w:jc w:val="center"/>
              <w:rPr>
                <w:rFonts w:hint="eastAsia" w:ascii="宋体" w:hAnsi="宋体" w:eastAsia="宋体" w:cs="宋体"/>
                <w:color w:val="auto"/>
                <w:szCs w:val="24"/>
                <w:highlight w:val="none"/>
              </w:rPr>
            </w:pPr>
          </w:p>
        </w:tc>
        <w:tc>
          <w:tcPr>
            <w:tcW w:w="1035" w:type="dxa"/>
            <w:tcBorders>
              <w:left w:val="single" w:color="auto" w:sz="4" w:space="0"/>
            </w:tcBorders>
            <w:noWrap w:val="0"/>
            <w:vAlign w:val="top"/>
          </w:tcPr>
          <w:p w14:paraId="329A4A66">
            <w:pPr>
              <w:spacing w:before="166" w:beforeLines="50" w:line="360" w:lineRule="auto"/>
              <w:jc w:val="center"/>
              <w:rPr>
                <w:rFonts w:hint="eastAsia" w:ascii="宋体" w:hAnsi="宋体" w:eastAsia="宋体" w:cs="宋体"/>
                <w:color w:val="auto"/>
                <w:szCs w:val="24"/>
                <w:highlight w:val="none"/>
              </w:rPr>
            </w:pPr>
          </w:p>
        </w:tc>
        <w:tc>
          <w:tcPr>
            <w:tcW w:w="1093" w:type="dxa"/>
            <w:tcBorders>
              <w:right w:val="single" w:color="auto" w:sz="4" w:space="0"/>
            </w:tcBorders>
            <w:noWrap w:val="0"/>
            <w:vAlign w:val="top"/>
          </w:tcPr>
          <w:p w14:paraId="2EBDF63A">
            <w:pPr>
              <w:spacing w:before="166" w:beforeLines="50" w:line="360" w:lineRule="auto"/>
              <w:jc w:val="center"/>
              <w:rPr>
                <w:rFonts w:hint="eastAsia" w:ascii="宋体" w:hAnsi="宋体" w:eastAsia="宋体" w:cs="宋体"/>
                <w:color w:val="auto"/>
                <w:szCs w:val="24"/>
                <w:highlight w:val="none"/>
              </w:rPr>
            </w:pPr>
          </w:p>
        </w:tc>
        <w:tc>
          <w:tcPr>
            <w:tcW w:w="1222" w:type="dxa"/>
            <w:tcBorders>
              <w:right w:val="single" w:color="auto" w:sz="4" w:space="0"/>
            </w:tcBorders>
            <w:noWrap w:val="0"/>
            <w:vAlign w:val="top"/>
          </w:tcPr>
          <w:p w14:paraId="32173AB3">
            <w:pPr>
              <w:spacing w:before="166" w:beforeLines="50" w:line="360" w:lineRule="auto"/>
              <w:jc w:val="center"/>
              <w:rPr>
                <w:rFonts w:hint="eastAsia" w:ascii="宋体" w:hAnsi="宋体" w:eastAsia="宋体" w:cs="宋体"/>
                <w:color w:val="auto"/>
                <w:szCs w:val="24"/>
                <w:highlight w:val="none"/>
              </w:rPr>
            </w:pPr>
          </w:p>
        </w:tc>
      </w:tr>
    </w:tbl>
    <w:p w14:paraId="309ACD14">
      <w:pPr>
        <w:rPr>
          <w:rFonts w:hint="eastAsia" w:ascii="宋体" w:hAnsi="宋体" w:eastAsia="宋体" w:cs="宋体"/>
          <w:color w:val="auto"/>
          <w:highlight w:val="none"/>
        </w:rPr>
      </w:pPr>
    </w:p>
    <w:p w14:paraId="78356592">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F9389E2">
      <w:pPr>
        <w:tabs>
          <w:tab w:val="left" w:pos="3045"/>
        </w:tabs>
        <w:rPr>
          <w:rFonts w:hint="eastAsia" w:ascii="宋体" w:hAnsi="宋体" w:eastAsia="宋体" w:cs="宋体"/>
          <w:color w:val="auto"/>
          <w:szCs w:val="24"/>
          <w:highlight w:val="none"/>
        </w:rPr>
      </w:pPr>
    </w:p>
    <w:p w14:paraId="3DFC0E3E">
      <w:pPr>
        <w:rPr>
          <w:rFonts w:hint="eastAsia" w:ascii="宋体" w:hAnsi="宋体" w:eastAsia="宋体" w:cs="宋体"/>
          <w:color w:val="auto"/>
          <w:szCs w:val="24"/>
          <w:highlight w:val="none"/>
        </w:rPr>
      </w:pPr>
    </w:p>
    <w:p w14:paraId="36DEF159">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D2ABF42">
      <w:pPr>
        <w:pStyle w:val="29"/>
        <w:tabs>
          <w:tab w:val="left" w:pos="2040"/>
        </w:tabs>
        <w:spacing w:beforeLines="0" w:line="400" w:lineRule="exact"/>
        <w:ind w:left="0" w:firstLine="964" w:firstLineChars="400"/>
        <w:rPr>
          <w:rFonts w:hint="eastAsia" w:ascii="宋体" w:hAnsi="宋体" w:eastAsia="宋体" w:cs="宋体"/>
          <w:color w:val="auto"/>
          <w:szCs w:val="21"/>
          <w:highlight w:val="none"/>
        </w:rPr>
      </w:pPr>
      <w:r>
        <w:rPr>
          <w:rFonts w:hint="eastAsia" w:ascii="宋体" w:hAnsi="宋体" w:eastAsia="宋体" w:cs="宋体"/>
          <w:b/>
          <w:color w:val="auto"/>
          <w:szCs w:val="24"/>
          <w:highlight w:val="none"/>
        </w:rPr>
        <w:br w:type="page"/>
      </w:r>
    </w:p>
    <w:p w14:paraId="5D505831">
      <w:pPr>
        <w:pStyle w:val="4"/>
        <w:spacing w:before="333" w:beforeLines="100"/>
        <w:rPr>
          <w:rFonts w:hint="eastAsia" w:ascii="宋体" w:hAnsi="宋体" w:eastAsia="宋体" w:cs="宋体"/>
          <w:color w:val="auto"/>
          <w:sz w:val="32"/>
          <w:szCs w:val="32"/>
          <w:highlight w:val="none"/>
        </w:rPr>
      </w:pPr>
      <w:bookmarkStart w:id="246" w:name="_Toc403077655"/>
      <w:bookmarkStart w:id="247" w:name="_Toc363474032"/>
      <w:bookmarkStart w:id="248" w:name="_Toc23455"/>
      <w:bookmarkStart w:id="249" w:name="_Toc426457713"/>
      <w:bookmarkStart w:id="250" w:name="_Toc9218"/>
      <w:bookmarkStart w:id="251" w:name="_Toc1379"/>
      <w:bookmarkStart w:id="252" w:name="_Toc2621"/>
      <w:bookmarkStart w:id="253" w:name="_Toc21284"/>
      <w:bookmarkStart w:id="254" w:name="_Toc17364"/>
      <w:bookmarkStart w:id="255" w:name="_Toc19142"/>
      <w:bookmarkStart w:id="256" w:name="_Toc8320"/>
      <w:bookmarkStart w:id="257" w:name="_Toc13421"/>
      <w:bookmarkStart w:id="258" w:name="_Toc4633"/>
      <w:bookmarkStart w:id="259" w:name="_Toc2700"/>
      <w:bookmarkStart w:id="260" w:name="_Toc19497"/>
      <w:r>
        <w:rPr>
          <w:rFonts w:hint="eastAsia" w:ascii="宋体" w:hAnsi="宋体" w:eastAsia="宋体" w:cs="宋体"/>
          <w:color w:val="auto"/>
          <w:sz w:val="32"/>
          <w:szCs w:val="32"/>
          <w:highlight w:val="none"/>
        </w:rPr>
        <w:t>四、</w:t>
      </w:r>
      <w:bookmarkEnd w:id="246"/>
      <w:bookmarkEnd w:id="247"/>
      <w:bookmarkEnd w:id="248"/>
      <w:bookmarkEnd w:id="249"/>
      <w:bookmarkEnd w:id="250"/>
      <w:bookmarkEnd w:id="251"/>
      <w:bookmarkEnd w:id="252"/>
      <w:bookmarkEnd w:id="253"/>
      <w:r>
        <w:rPr>
          <w:rFonts w:hint="eastAsia" w:ascii="宋体" w:hAnsi="宋体" w:eastAsia="宋体" w:cs="宋体"/>
          <w:color w:val="auto"/>
          <w:sz w:val="32"/>
          <w:szCs w:val="32"/>
          <w:highlight w:val="none"/>
        </w:rPr>
        <w:t>商务条款偏离表</w:t>
      </w:r>
      <w:bookmarkEnd w:id="254"/>
      <w:bookmarkEnd w:id="255"/>
      <w:bookmarkEnd w:id="256"/>
      <w:bookmarkEnd w:id="257"/>
      <w:bookmarkEnd w:id="258"/>
      <w:bookmarkEnd w:id="259"/>
      <w:bookmarkEnd w:id="260"/>
    </w:p>
    <w:p w14:paraId="0AF39CCD">
      <w:pPr>
        <w:pStyle w:val="19"/>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F5B3106">
      <w:pPr>
        <w:pStyle w:val="19"/>
        <w:widowControl w:val="0"/>
        <w:spacing w:before="166" w:beforeLines="50" w:beforeAutospacing="0" w:after="166" w:afterLines="50" w:afterAutospacing="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编号、包号</w:t>
      </w:r>
      <w:r>
        <w:rPr>
          <w:rFonts w:hint="eastAsia" w:ascii="宋体" w:hAnsi="宋体" w:eastAsia="宋体" w:cs="宋体"/>
          <w:color w:val="auto"/>
          <w:highlight w:val="none"/>
        </w:rPr>
        <w:t>：</w:t>
      </w:r>
    </w:p>
    <w:p w14:paraId="3473898E">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2"/>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F3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55C6AF">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031509">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BF80E9">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6AC5970">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976F0E">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1AB72DF">
            <w:pPr>
              <w:pStyle w:val="19"/>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7EB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937C5AB">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3B87C0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1F72D9">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52FA97B">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15D81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A560D2">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589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FD54C8">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B71D10">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6B01D3">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D1C375">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52BC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3A780B">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28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5A95175">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909AD8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5073E7">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EF1D020">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26FC3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B2CE09">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4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49ABB">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5043AE4">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32E8C4">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D0990D">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01463">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1E7A30">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64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F0E30B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B73777">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0570F0D">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EB5F67">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26F14">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4FF4D5">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E5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856DE9">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1C4FC48">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762B232">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EDDB6E">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27B9CC">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D8D43">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C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F3F7976">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A0ADA3">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3B6565">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A6AFC5C">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4398C">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10FE02">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38F79E89">
      <w:pPr>
        <w:pStyle w:val="19"/>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AE591A0">
      <w:pPr>
        <w:pStyle w:val="19"/>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14:paraId="4EB89863">
      <w:pPr>
        <w:pStyle w:val="19"/>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14:paraId="7C5F55B7">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90614AD">
      <w:pPr>
        <w:pStyle w:val="19"/>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（单位公章）</w:t>
      </w:r>
    </w:p>
    <w:p w14:paraId="093E1D29">
      <w:pPr>
        <w:pStyle w:val="19"/>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876B9">
      <w:pPr>
        <w:pStyle w:val="19"/>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法定代表人或被授权人（签字或盖章）：                 </w:t>
      </w:r>
    </w:p>
    <w:p w14:paraId="66FD32F2">
      <w:pPr>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61" w:name="_Toc426457714"/>
      <w:bookmarkStart w:id="262" w:name="_Toc10058"/>
      <w:bookmarkStart w:id="263" w:name="_Toc6432"/>
      <w:bookmarkStart w:id="264" w:name="_Toc22990"/>
      <w:bookmarkStart w:id="265" w:name="_Toc6862"/>
      <w:bookmarkStart w:id="266" w:name="_Toc403077656"/>
      <w:bookmarkStart w:id="267" w:name="_Toc363474033"/>
      <w:bookmarkStart w:id="268" w:name="_Toc8692"/>
      <w:bookmarkStart w:id="269" w:name="_Toc10179"/>
      <w:bookmarkStart w:id="270" w:name="_Toc19168"/>
      <w:bookmarkStart w:id="271" w:name="_Toc13133"/>
      <w:bookmarkStart w:id="272" w:name="_Toc8659"/>
      <w:bookmarkStart w:id="273" w:name="_Toc8857"/>
      <w:bookmarkStart w:id="274" w:name="_Toc26290"/>
      <w:bookmarkStart w:id="275" w:name="_Toc24011"/>
      <w:r>
        <w:rPr>
          <w:rStyle w:val="30"/>
          <w:rFonts w:hint="eastAsia" w:ascii="宋体" w:hAnsi="宋体" w:eastAsia="宋体" w:cs="宋体"/>
          <w:color w:val="auto"/>
          <w:sz w:val="32"/>
          <w:szCs w:val="32"/>
          <w:highlight w:val="none"/>
        </w:rPr>
        <w:t>五、</w:t>
      </w:r>
      <w:bookmarkEnd w:id="261"/>
      <w:bookmarkEnd w:id="262"/>
      <w:bookmarkEnd w:id="263"/>
      <w:bookmarkEnd w:id="264"/>
      <w:bookmarkEnd w:id="265"/>
      <w:bookmarkEnd w:id="266"/>
      <w:bookmarkEnd w:id="267"/>
      <w:bookmarkEnd w:id="268"/>
      <w:bookmarkEnd w:id="269"/>
      <w:r>
        <w:rPr>
          <w:rStyle w:val="30"/>
          <w:rFonts w:hint="eastAsia" w:ascii="宋体" w:hAnsi="宋体" w:eastAsia="宋体" w:cs="宋体"/>
          <w:color w:val="auto"/>
          <w:sz w:val="32"/>
          <w:szCs w:val="32"/>
          <w:highlight w:val="none"/>
        </w:rPr>
        <w:t>陕西省政府采购供应商拒绝政府采购领域商业贿赂承诺书</w:t>
      </w:r>
      <w:bookmarkEnd w:id="270"/>
      <w:bookmarkEnd w:id="271"/>
      <w:bookmarkEnd w:id="272"/>
      <w:bookmarkEnd w:id="273"/>
      <w:bookmarkEnd w:id="274"/>
      <w:bookmarkEnd w:id="275"/>
    </w:p>
    <w:p w14:paraId="627E4BC1">
      <w:pPr>
        <w:widowControl/>
        <w:spacing w:line="408"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1、在参与政府采购活动中遵纪守法、诚信经营、公平竞标。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2、不向政府采购人、采购代理机构和政府采购评审专家进行任何形式的商业贿赂以谋取交易机会。</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3、不向政府采购代理机构和采购人提供虚假资质文件或采用虚假应标方式参与政府采购市场竞争并谋取中标、成交。</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4、不采取“围标、陪标”等商业欺诈手段获得政府采购定单。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5、不采取不正当手段诋毁、排挤其他供应商。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6、不在提供商品和服务时“偷梁换柱、以次充好”损害采购人的合法权益。</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7、不与采购人、采购代理机构政府采购评审专家或其它供应商恶意串通，进行质疑和投诉，维护政府采购市场秩序。</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9、不发生其他有悖于政府采购公开、公平、公正和诚信原则的行为。</w:t>
      </w:r>
      <w:r>
        <w:rPr>
          <w:rFonts w:hint="eastAsia" w:ascii="宋体" w:hAnsi="宋体" w:eastAsia="宋体" w:cs="宋体"/>
          <w:color w:val="auto"/>
          <w:highlight w:val="none"/>
        </w:rPr>
        <w:br w:type="textWrapping"/>
      </w:r>
    </w:p>
    <w:p w14:paraId="75585C9B">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全权代表：（</w:t>
      </w:r>
      <w:r>
        <w:rPr>
          <w:rFonts w:hint="eastAsia" w:ascii="宋体" w:hAnsi="宋体" w:eastAsia="宋体" w:cs="宋体"/>
          <w:color w:val="auto"/>
          <w:szCs w:val="24"/>
          <w:highlight w:val="none"/>
        </w:rPr>
        <w:t>签字</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地  址：                        </w:t>
      </w:r>
    </w:p>
    <w:p w14:paraId="78BDEA40">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电  话：                                                                   年  月  日</w:t>
      </w:r>
    </w:p>
    <w:p w14:paraId="15D58B67">
      <w:pPr>
        <w:rPr>
          <w:rFonts w:hint="eastAsia" w:ascii="宋体" w:hAnsi="宋体" w:eastAsia="宋体" w:cs="宋体"/>
          <w:color w:val="auto"/>
          <w:sz w:val="32"/>
          <w:szCs w:val="32"/>
          <w:highlight w:val="none"/>
        </w:rPr>
      </w:pPr>
      <w:bookmarkStart w:id="276" w:name="_Toc22335"/>
      <w:bookmarkStart w:id="277" w:name="_Toc28113"/>
      <w:bookmarkStart w:id="278" w:name="_Toc8066"/>
      <w:bookmarkStart w:id="279" w:name="_Toc491"/>
      <w:bookmarkStart w:id="280" w:name="_Toc32617"/>
      <w:bookmarkStart w:id="281" w:name="_Toc363474034"/>
      <w:bookmarkStart w:id="282" w:name="_Toc27947"/>
      <w:bookmarkStart w:id="283" w:name="_Toc21171"/>
      <w:bookmarkStart w:id="284" w:name="_Toc155"/>
      <w:bookmarkStart w:id="285" w:name="_Toc403077657"/>
      <w:bookmarkStart w:id="286" w:name="_Toc20139"/>
      <w:bookmarkStart w:id="287" w:name="_Toc3206"/>
      <w:bookmarkStart w:id="288" w:name="_Toc426457715"/>
      <w:bookmarkStart w:id="289" w:name="_Toc5679"/>
      <w:bookmarkStart w:id="290" w:name="_Toc7550"/>
      <w:r>
        <w:rPr>
          <w:rFonts w:hint="eastAsia" w:ascii="宋体" w:hAnsi="宋体" w:eastAsia="宋体" w:cs="宋体"/>
          <w:color w:val="auto"/>
          <w:sz w:val="32"/>
          <w:szCs w:val="32"/>
          <w:highlight w:val="none"/>
        </w:rPr>
        <w:br w:type="page"/>
      </w:r>
    </w:p>
    <w:p w14:paraId="2F85EF87">
      <w:pPr>
        <w:pStyle w:val="4"/>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六、资格证明文件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E5BB18">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14:paraId="322FEE3A">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14:paraId="24DC2B0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3、财务状况：提供2024年度的财务审计报告（至少包括资产负债表和利润表，成立时间至提交投标文件截止时间不足一年的可提供成立后任意时段的资产负债表）或开标时间前六个月内银行出具的资信证明；</w:t>
      </w:r>
    </w:p>
    <w:p w14:paraId="073229B0">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4、税收缴纳证明：提供投标截止日前近一年内任意一个月的纳税证明或完税证明（任意税种），依法免税的单位应提供相关证明材料；</w:t>
      </w:r>
    </w:p>
    <w:p w14:paraId="4E4E60F1">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495AA930">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6、供应商应在招标文件领取期至投标截止时间前通过“信用中国”网站(www.creditchina.gov.cn)、中国政府采购网(www.ccgp.gov.cn)查询相关主体信用记录；</w:t>
      </w:r>
    </w:p>
    <w:p w14:paraId="4F088FB1">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14:paraId="30F7F1C4">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8、提供具有履行合同所必需的设备和专业技术能力的书面承诺；</w:t>
      </w:r>
    </w:p>
    <w:p w14:paraId="08B94130">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投标人为代理商的，所投产品如属于医疗器械的须提供《医疗器械经营许可证》或《医疗器械经营备案凭证》及所投医疗器械产品在有效期内的《医疗器械注册证》或《医疗器械产品备案凭证》；投标人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p>
    <w:p w14:paraId="0EB417FF">
      <w:pPr>
        <w:spacing w:line="520" w:lineRule="exact"/>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10、本项目不接受联合体投标。</w:t>
      </w:r>
    </w:p>
    <w:p w14:paraId="31DFB98C">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5D9F42C8">
      <w:pPr>
        <w:jc w:val="center"/>
        <w:outlineLvl w:val="2"/>
        <w:rPr>
          <w:rFonts w:hint="eastAsia" w:ascii="宋体" w:hAnsi="宋体" w:eastAsia="宋体" w:cs="宋体"/>
          <w:b/>
          <w:bCs/>
          <w:color w:val="auto"/>
          <w:sz w:val="30"/>
          <w:szCs w:val="30"/>
          <w:highlight w:val="none"/>
        </w:rPr>
      </w:pPr>
      <w:bookmarkStart w:id="291" w:name="_Toc30099"/>
      <w:bookmarkStart w:id="292" w:name="_Toc7508"/>
      <w:bookmarkStart w:id="293" w:name="_Toc25505"/>
      <w:bookmarkStart w:id="294" w:name="_Toc6274"/>
      <w:bookmarkStart w:id="295" w:name="_Toc1056"/>
      <w:r>
        <w:rPr>
          <w:rFonts w:hint="eastAsia" w:ascii="宋体" w:hAnsi="宋体" w:eastAsia="宋体" w:cs="宋体"/>
          <w:b/>
          <w:bCs/>
          <w:color w:val="auto"/>
          <w:sz w:val="30"/>
          <w:szCs w:val="30"/>
          <w:highlight w:val="none"/>
        </w:rPr>
        <w:t>七、其他</w:t>
      </w:r>
      <w:bookmarkEnd w:id="291"/>
      <w:bookmarkEnd w:id="292"/>
      <w:bookmarkEnd w:id="293"/>
      <w:bookmarkEnd w:id="294"/>
      <w:bookmarkEnd w:id="295"/>
    </w:p>
    <w:p w14:paraId="760FE9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14:paraId="4BCBA1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14:paraId="387E79C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044EB">
      <w:pPr>
        <w:pStyle w:val="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7BA83EAA">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14:paraId="6C272A80">
      <w:pPr>
        <w:pStyle w:val="8"/>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3"/>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Cs w:val="21"/>
                <w:highlight w:val="none"/>
              </w:rPr>
            </w:pPr>
          </w:p>
          <w:p w14:paraId="3531D4DA">
            <w:pPr>
              <w:snapToGrid w:val="0"/>
              <w:spacing w:line="480" w:lineRule="auto"/>
              <w:jc w:val="center"/>
              <w:rPr>
                <w:rFonts w:hint="eastAsia" w:ascii="宋体" w:hAnsi="宋体" w:eastAsia="宋体" w:cs="宋体"/>
                <w:color w:val="auto"/>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754461A4">
            <w:pPr>
              <w:pStyle w:val="8"/>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14:paraId="08EA7506">
            <w:pPr>
              <w:snapToGrid w:val="0"/>
              <w:spacing w:line="480" w:lineRule="auto"/>
              <w:jc w:val="center"/>
              <w:rPr>
                <w:rFonts w:hint="eastAsia" w:ascii="宋体" w:hAnsi="宋体" w:eastAsia="宋体" w:cs="宋体"/>
                <w:color w:val="auto"/>
                <w:szCs w:val="21"/>
                <w:highlight w:val="none"/>
              </w:rPr>
            </w:pPr>
          </w:p>
          <w:p w14:paraId="632F52F4">
            <w:pPr>
              <w:snapToGrid w:val="0"/>
              <w:spacing w:line="480" w:lineRule="auto"/>
              <w:jc w:val="center"/>
              <w:rPr>
                <w:rFonts w:hint="eastAsia" w:ascii="宋体" w:hAnsi="宋体" w:eastAsia="宋体" w:cs="宋体"/>
                <w:color w:val="auto"/>
                <w:szCs w:val="21"/>
                <w:highlight w:val="none"/>
              </w:rPr>
            </w:pPr>
          </w:p>
        </w:tc>
      </w:tr>
    </w:tbl>
    <w:p w14:paraId="5A74AAB5">
      <w:pPr>
        <w:snapToGrid w:val="0"/>
        <w:spacing w:line="480" w:lineRule="auto"/>
        <w:rPr>
          <w:rFonts w:hint="eastAsia" w:ascii="宋体" w:hAnsi="宋体" w:eastAsia="宋体" w:cs="宋体"/>
          <w:color w:val="auto"/>
          <w:szCs w:val="21"/>
          <w:highlight w:val="none"/>
        </w:rPr>
      </w:pPr>
    </w:p>
    <w:p w14:paraId="2B859CF3">
      <w:pPr>
        <w:snapToGrid w:val="0"/>
        <w:rPr>
          <w:rFonts w:hint="eastAsia" w:ascii="宋体" w:hAnsi="宋体" w:eastAsia="宋体" w:cs="宋体"/>
          <w:color w:val="auto"/>
          <w:szCs w:val="21"/>
          <w:highlight w:val="none"/>
        </w:rPr>
      </w:pPr>
    </w:p>
    <w:p w14:paraId="7F5F0F38">
      <w:pPr>
        <w:snapToGrid w:val="0"/>
        <w:rPr>
          <w:rFonts w:hint="eastAsia" w:ascii="宋体" w:hAnsi="宋体" w:eastAsia="宋体" w:cs="宋体"/>
          <w:color w:val="auto"/>
          <w:szCs w:val="21"/>
          <w:highlight w:val="none"/>
        </w:rPr>
      </w:pPr>
    </w:p>
    <w:p w14:paraId="0341B463">
      <w:pPr>
        <w:snapToGrid w:val="0"/>
        <w:rPr>
          <w:rFonts w:hint="eastAsia" w:ascii="宋体" w:hAnsi="宋体" w:eastAsia="宋体" w:cs="宋体"/>
          <w:color w:val="auto"/>
          <w:szCs w:val="21"/>
          <w:highlight w:val="none"/>
        </w:rPr>
      </w:pPr>
    </w:p>
    <w:p w14:paraId="2850B66D">
      <w:pPr>
        <w:snapToGrid w:val="0"/>
        <w:rPr>
          <w:rFonts w:hint="eastAsia" w:ascii="宋体" w:hAnsi="宋体" w:eastAsia="宋体" w:cs="宋体"/>
          <w:color w:val="auto"/>
          <w:szCs w:val="21"/>
          <w:highlight w:val="none"/>
        </w:rPr>
      </w:pPr>
    </w:p>
    <w:p w14:paraId="1B6E3548">
      <w:pPr>
        <w:adjustRightInd w:val="0"/>
        <w:snapToGrid w:val="0"/>
        <w:spacing w:line="360" w:lineRule="auto"/>
        <w:rPr>
          <w:rFonts w:hint="eastAsia" w:ascii="宋体" w:hAnsi="宋体" w:eastAsia="宋体" w:cs="宋体"/>
          <w:color w:val="auto"/>
          <w:highlight w:val="none"/>
        </w:rPr>
      </w:pPr>
    </w:p>
    <w:p w14:paraId="5EF6EBDB">
      <w:pPr>
        <w:adjustRightInd w:val="0"/>
        <w:snapToGrid w:val="0"/>
        <w:spacing w:line="360" w:lineRule="auto"/>
        <w:ind w:right="420"/>
        <w:rPr>
          <w:rFonts w:hint="eastAsia" w:ascii="宋体" w:hAnsi="宋体" w:eastAsia="宋体" w:cs="宋体"/>
          <w:color w:val="auto"/>
          <w:highlight w:val="none"/>
        </w:rPr>
      </w:pPr>
    </w:p>
    <w:p w14:paraId="72B33039">
      <w:pPr>
        <w:adjustRightInd w:val="0"/>
        <w:snapToGrid w:val="0"/>
        <w:spacing w:line="360" w:lineRule="auto"/>
        <w:ind w:right="420"/>
        <w:rPr>
          <w:rFonts w:hint="eastAsia" w:ascii="宋体" w:hAnsi="宋体" w:eastAsia="宋体" w:cs="宋体"/>
          <w:color w:val="auto"/>
          <w:highlight w:val="none"/>
        </w:rPr>
      </w:pPr>
    </w:p>
    <w:p w14:paraId="2EFFD497">
      <w:pPr>
        <w:adjustRightInd w:val="0"/>
        <w:snapToGrid w:val="0"/>
        <w:spacing w:line="360" w:lineRule="auto"/>
        <w:ind w:right="420"/>
        <w:rPr>
          <w:rFonts w:hint="eastAsia" w:ascii="宋体" w:hAnsi="宋体" w:eastAsia="宋体" w:cs="宋体"/>
          <w:color w:val="auto"/>
          <w:highlight w:val="none"/>
        </w:rPr>
      </w:pPr>
    </w:p>
    <w:p w14:paraId="00A213D7">
      <w:pPr>
        <w:adjustRightInd w:val="0"/>
        <w:snapToGrid w:val="0"/>
        <w:spacing w:line="360" w:lineRule="auto"/>
        <w:ind w:right="420"/>
        <w:rPr>
          <w:rFonts w:hint="eastAsia" w:ascii="宋体" w:hAnsi="宋体" w:eastAsia="宋体" w:cs="宋体"/>
          <w:color w:val="auto"/>
          <w:highlight w:val="none"/>
        </w:rPr>
      </w:pPr>
    </w:p>
    <w:p w14:paraId="63A80780">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34909DB9">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C391DEB">
      <w:pPr>
        <w:adjustRightInd w:val="0"/>
        <w:snapToGrid w:val="0"/>
        <w:spacing w:line="360" w:lineRule="auto"/>
        <w:ind w:right="420"/>
        <w:rPr>
          <w:rFonts w:hint="eastAsia" w:ascii="宋体" w:hAnsi="宋体" w:eastAsia="宋体" w:cs="宋体"/>
          <w:color w:val="auto"/>
          <w:highlight w:val="none"/>
        </w:rPr>
      </w:pPr>
    </w:p>
    <w:p w14:paraId="6E0E308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CB5D8AE">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14:paraId="3FE3067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50FB30A6">
      <w:pPr>
        <w:spacing w:line="560" w:lineRule="exact"/>
        <w:jc w:val="left"/>
        <w:rPr>
          <w:rFonts w:hint="eastAsia" w:ascii="宋体" w:hAnsi="宋体" w:eastAsia="宋体" w:cs="宋体"/>
          <w:color w:val="auto"/>
          <w:spacing w:val="4"/>
          <w:szCs w:val="24"/>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lang w:eastAsia="zh-CN"/>
        </w:rPr>
        <w:t>陕西至诚项目管理集团有限公司</w:t>
      </w:r>
    </w:p>
    <w:p w14:paraId="23F7C18C">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（项目名称、项目编号</w:t>
      </w:r>
      <w:r>
        <w:rPr>
          <w:rFonts w:hint="eastAsia" w:ascii="宋体" w:hAnsi="宋体" w:eastAsia="宋体" w:cs="宋体"/>
          <w:color w:val="auto"/>
          <w:spacing w:val="4"/>
          <w:szCs w:val="24"/>
          <w:highlight w:val="none"/>
          <w:u w:val="single"/>
          <w:lang w:eastAsia="zh-CN"/>
        </w:rPr>
        <w:t>、包号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投标、谈判、签约等具体工作，并签署全部有关的文件、协议及合同。</w:t>
      </w:r>
    </w:p>
    <w:p w14:paraId="6EC05CF2">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06278610">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14:paraId="05362356">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22"/>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14:paraId="433E3FA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14:paraId="094EFC6F">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14:paraId="01E209F7">
            <w:pPr>
              <w:spacing w:line="520" w:lineRule="exact"/>
              <w:jc w:val="left"/>
              <w:rPr>
                <w:rFonts w:hint="eastAsia" w:ascii="宋体" w:hAnsi="宋体" w:eastAsia="宋体" w:cs="宋体"/>
                <w:color w:val="auto"/>
                <w:spacing w:val="4"/>
                <w:szCs w:val="24"/>
                <w:highlight w:val="none"/>
              </w:rPr>
            </w:pPr>
          </w:p>
        </w:tc>
      </w:tr>
    </w:tbl>
    <w:p w14:paraId="379C516F">
      <w:pPr>
        <w:spacing w:line="520" w:lineRule="exact"/>
        <w:ind w:firstLine="496" w:firstLineChars="200"/>
        <w:jc w:val="left"/>
        <w:rPr>
          <w:rFonts w:hint="eastAsia" w:ascii="宋体" w:hAnsi="宋体" w:eastAsia="宋体" w:cs="宋体"/>
          <w:color w:val="auto"/>
          <w:spacing w:val="4"/>
          <w:szCs w:val="24"/>
          <w:highlight w:val="none"/>
        </w:rPr>
      </w:pPr>
    </w:p>
    <w:p w14:paraId="1C5F9BCB">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22"/>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0159BBB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14:paraId="620678EB">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14:paraId="4161D72F">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14:paraId="44D71C72">
      <w:pPr>
        <w:ind w:firstLine="482" w:firstLineChars="200"/>
        <w:rPr>
          <w:rFonts w:hint="eastAsia" w:ascii="宋体" w:hAnsi="宋体" w:eastAsia="宋体" w:cs="宋体"/>
          <w:b/>
          <w:bCs/>
          <w:color w:val="auto"/>
          <w:highlight w:val="none"/>
          <w:lang w:val="zh-CN"/>
        </w:rPr>
      </w:pPr>
    </w:p>
    <w:p w14:paraId="246672A7">
      <w:pPr>
        <w:bidi w:val="0"/>
        <w:ind w:firstLine="496" w:firstLineChars="200"/>
        <w:rPr>
          <w:rFonts w:hint="eastAsia" w:ascii="宋体" w:hAnsi="宋体" w:eastAsia="宋体" w:cs="宋体"/>
          <w:color w:val="auto"/>
          <w:highlight w:val="none"/>
        </w:rPr>
      </w:pPr>
      <w:bookmarkStart w:id="296" w:name="_Toc25905"/>
      <w:r>
        <w:rPr>
          <w:rFonts w:hint="eastAsia" w:ascii="宋体" w:hAnsi="宋体" w:eastAsia="宋体" w:cs="宋体"/>
          <w:color w:val="auto"/>
          <w:spacing w:val="4"/>
          <w:szCs w:val="30"/>
          <w:highlight w:val="none"/>
        </w:rPr>
        <w:br w:type="page"/>
      </w:r>
      <w:bookmarkEnd w:id="296"/>
    </w:p>
    <w:p w14:paraId="03A14171">
      <w:pPr>
        <w:spacing w:line="240" w:lineRule="auto"/>
        <w:jc w:val="both"/>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14:paraId="01C62AD3">
      <w:pPr>
        <w:widowControl/>
        <w:spacing w:line="360" w:lineRule="auto"/>
        <w:ind w:left="1" w:firstLine="281" w:firstLineChars="100"/>
        <w:rPr>
          <w:rFonts w:hint="eastAsia" w:ascii="宋体" w:hAnsi="宋体" w:eastAsia="宋体" w:cs="宋体"/>
          <w:b/>
          <w:color w:val="auto"/>
          <w:kern w:val="0"/>
          <w:sz w:val="28"/>
          <w:szCs w:val="28"/>
          <w:highlight w:val="none"/>
        </w:rPr>
      </w:pPr>
    </w:p>
    <w:p w14:paraId="7A70862E">
      <w:pPr>
        <w:widowControl/>
        <w:spacing w:line="360" w:lineRule="auto"/>
        <w:ind w:left="1" w:firstLine="281" w:firstLineChars="100"/>
        <w:jc w:val="center"/>
        <w:rPr>
          <w:rFonts w:hint="eastAsia" w:ascii="宋体" w:hAnsi="宋体" w:eastAsia="宋体" w:cs="宋体"/>
          <w:b/>
          <w:color w:val="auto"/>
          <w:kern w:val="0"/>
          <w:sz w:val="28"/>
          <w:szCs w:val="28"/>
          <w:highlight w:val="none"/>
        </w:rPr>
      </w:pPr>
    </w:p>
    <w:p w14:paraId="00883FA8">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5A087326">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528F5885">
      <w:pPr>
        <w:pStyle w:val="19"/>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7DCC781B">
      <w:pPr>
        <w:pStyle w:val="19"/>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color w:val="auto"/>
          <w:highlight w:val="none"/>
          <w:shd w:val="clear" w:color="auto" w:fill="FFFFFF"/>
          <w:lang w:eastAsia="zh-CN"/>
        </w:rPr>
        <w:t>、包号</w:t>
      </w:r>
      <w:r>
        <w:rPr>
          <w:rFonts w:hint="eastAsia" w:ascii="宋体" w:hAnsi="宋体" w:eastAsia="宋体" w:cs="宋体"/>
          <w:color w:val="auto"/>
          <w:highlight w:val="none"/>
          <w:shd w:val="clear" w:color="auto" w:fill="FFFFFF"/>
        </w:rPr>
        <w:t>：</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258D41D4">
      <w:pPr>
        <w:pStyle w:val="19"/>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（填“没有”或“有”）重大违法记录。供应商在参加政府采购活动前3年内因违法经营被禁止在一定期限内参加政府采购活动，期限届满的，可以参加政府采购活动，但应提供期限届满的证明材料</w:t>
      </w:r>
    </w:p>
    <w:p w14:paraId="120C02A0">
      <w:pPr>
        <w:pStyle w:val="19"/>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14:paraId="3D558BDE">
      <w:pPr>
        <w:pStyle w:val="19"/>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2447BD9E">
      <w:pPr>
        <w:pStyle w:val="19"/>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27A6D40">
      <w:pPr>
        <w:spacing w:line="480" w:lineRule="auto"/>
        <w:ind w:firstLine="3360" w:firstLineChars="1400"/>
        <w:rPr>
          <w:rFonts w:hint="eastAsia" w:ascii="宋体" w:hAnsi="宋体" w:eastAsia="宋体" w:cs="宋体"/>
          <w:color w:val="auto"/>
          <w:sz w:val="24"/>
          <w:highlight w:val="none"/>
          <w:lang w:val="en-US" w:eastAsia="zh-CN"/>
        </w:rPr>
      </w:pPr>
    </w:p>
    <w:p w14:paraId="4F585B91">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72256A">
      <w:pPr>
        <w:pStyle w:val="31"/>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D4E865">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FB8F7F">
      <w:pPr>
        <w:adjustRightInd w:val="0"/>
        <w:snapToGrid w:val="0"/>
        <w:spacing w:line="360" w:lineRule="auto"/>
        <w:jc w:val="center"/>
        <w:rPr>
          <w:rFonts w:hint="eastAsia" w:ascii="宋体" w:hAnsi="宋体" w:eastAsia="宋体" w:cs="宋体"/>
          <w:b/>
          <w:color w:val="auto"/>
          <w:sz w:val="28"/>
          <w:szCs w:val="28"/>
          <w:highlight w:val="none"/>
        </w:rPr>
      </w:pPr>
    </w:p>
    <w:p w14:paraId="6B2C415E">
      <w:pPr>
        <w:adjustRightInd w:val="0"/>
        <w:snapToGrid w:val="0"/>
        <w:spacing w:line="360" w:lineRule="auto"/>
        <w:jc w:val="center"/>
        <w:rPr>
          <w:rFonts w:hint="eastAsia" w:ascii="宋体" w:hAnsi="宋体" w:eastAsia="宋体" w:cs="宋体"/>
          <w:b/>
          <w:color w:val="auto"/>
          <w:sz w:val="28"/>
          <w:szCs w:val="28"/>
          <w:highlight w:val="none"/>
        </w:rPr>
      </w:pPr>
    </w:p>
    <w:p w14:paraId="290F1CA3">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2131521E">
      <w:pPr>
        <w:bidi w:val="0"/>
        <w:rPr>
          <w:rFonts w:hint="eastAsia" w:ascii="宋体" w:hAnsi="宋体" w:eastAsia="宋体" w:cs="宋体"/>
          <w:color w:val="auto"/>
          <w:highlight w:val="none"/>
        </w:rPr>
      </w:pPr>
    </w:p>
    <w:p w14:paraId="0A0C6D00">
      <w:pPr>
        <w:pStyle w:val="13"/>
        <w:adjustRightInd w:val="0"/>
        <w:snapToGrid w:val="0"/>
        <w:spacing w:line="720" w:lineRule="exact"/>
        <w:jc w:val="center"/>
        <w:rPr>
          <w:rFonts w:hint="eastAsia" w:ascii="宋体" w:hAnsi="宋体" w:eastAsia="宋体" w:cs="宋体"/>
          <w:b/>
          <w:color w:val="auto"/>
          <w:sz w:val="28"/>
          <w:szCs w:val="28"/>
          <w:highlight w:val="none"/>
        </w:rPr>
      </w:pPr>
    </w:p>
    <w:p w14:paraId="3443D2BE">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5D259EB2">
      <w:pPr>
        <w:pStyle w:val="13"/>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14:paraId="2C8EE64B">
      <w:pPr>
        <w:pStyle w:val="13"/>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6A210BCB">
      <w:pPr>
        <w:pStyle w:val="13"/>
        <w:adjustRightInd w:val="0"/>
        <w:snapToGrid w:val="0"/>
        <w:spacing w:line="720" w:lineRule="exact"/>
        <w:rPr>
          <w:rFonts w:hint="eastAsia" w:ascii="宋体" w:hAnsi="宋体" w:eastAsia="宋体" w:cs="宋体"/>
          <w:color w:val="auto"/>
          <w:spacing w:val="4"/>
          <w:sz w:val="24"/>
          <w:szCs w:val="24"/>
          <w:highlight w:val="none"/>
        </w:rPr>
      </w:pPr>
    </w:p>
    <w:p w14:paraId="44B2B89E">
      <w:pPr>
        <w:pStyle w:val="13"/>
        <w:adjustRightInd w:val="0"/>
        <w:snapToGrid w:val="0"/>
        <w:spacing w:line="720" w:lineRule="exact"/>
        <w:rPr>
          <w:rFonts w:hint="eastAsia" w:ascii="宋体" w:hAnsi="宋体" w:eastAsia="宋体" w:cs="宋体"/>
          <w:color w:val="auto"/>
          <w:spacing w:val="4"/>
          <w:sz w:val="24"/>
          <w:szCs w:val="24"/>
          <w:highlight w:val="none"/>
        </w:rPr>
      </w:pPr>
    </w:p>
    <w:p w14:paraId="5DF7D4DB">
      <w:pPr>
        <w:pStyle w:val="13"/>
        <w:adjustRightInd w:val="0"/>
        <w:snapToGrid w:val="0"/>
        <w:spacing w:line="720" w:lineRule="exact"/>
        <w:rPr>
          <w:rFonts w:hint="eastAsia" w:ascii="宋体" w:hAnsi="宋体" w:eastAsia="宋体" w:cs="宋体"/>
          <w:color w:val="auto"/>
          <w:spacing w:val="4"/>
          <w:sz w:val="24"/>
          <w:szCs w:val="24"/>
          <w:highlight w:val="none"/>
        </w:rPr>
      </w:pPr>
    </w:p>
    <w:p w14:paraId="4E868F70">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112AAA1">
      <w:pPr>
        <w:pStyle w:val="31"/>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59F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9EC87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3（如有）</w:t>
      </w:r>
      <w:r>
        <w:rPr>
          <w:rFonts w:hint="eastAsia" w:ascii="宋体" w:hAnsi="宋体" w:eastAsia="宋体" w:cs="宋体"/>
          <w:b/>
          <w:color w:val="auto"/>
          <w:sz w:val="28"/>
          <w:szCs w:val="28"/>
          <w:highlight w:val="none"/>
        </w:rPr>
        <w:t>：</w:t>
      </w:r>
    </w:p>
    <w:p w14:paraId="7D90CD35">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14:paraId="552523FE">
      <w:pPr>
        <w:pStyle w:val="8"/>
        <w:spacing w:before="2"/>
        <w:rPr>
          <w:rFonts w:hint="eastAsia" w:ascii="宋体" w:hAnsi="宋体" w:eastAsia="宋体" w:cs="宋体"/>
          <w:b/>
          <w:color w:val="auto"/>
          <w:sz w:val="24"/>
          <w:highlight w:val="none"/>
        </w:rPr>
      </w:pPr>
    </w:p>
    <w:p w14:paraId="7C84D79D">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1E437D36">
      <w:pPr>
        <w:pStyle w:val="28"/>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74D51F0A">
      <w:pPr>
        <w:pStyle w:val="28"/>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14553271">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BDF75D8">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B967AA3">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978B886">
      <w:pPr>
        <w:pStyle w:val="8"/>
        <w:spacing w:before="35" w:line="316" w:lineRule="auto"/>
        <w:ind w:left="4060" w:right="2166"/>
        <w:rPr>
          <w:rFonts w:hint="eastAsia" w:ascii="宋体" w:hAnsi="宋体" w:eastAsia="宋体" w:cs="宋体"/>
          <w:color w:val="auto"/>
          <w:spacing w:val="6"/>
          <w:sz w:val="24"/>
          <w:szCs w:val="24"/>
          <w:highlight w:val="none"/>
        </w:rPr>
      </w:pPr>
    </w:p>
    <w:p w14:paraId="26AF1A9A">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CC38067">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3F6AB34E">
      <w:pPr>
        <w:spacing w:line="360" w:lineRule="auto"/>
        <w:ind w:firstLine="504" w:firstLineChars="200"/>
        <w:rPr>
          <w:rFonts w:hint="eastAsia" w:ascii="宋体" w:hAnsi="宋体" w:eastAsia="宋体" w:cs="宋体"/>
          <w:color w:val="auto"/>
          <w:spacing w:val="6"/>
          <w:sz w:val="24"/>
          <w:highlight w:val="none"/>
        </w:rPr>
      </w:pPr>
    </w:p>
    <w:p w14:paraId="74787767">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备注：1.从业人员、营业收入、资产总额填报上一年度数据，无上一年度数据的新成立企业可不填报。</w:t>
      </w:r>
    </w:p>
    <w:p w14:paraId="15B95E72">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2.填写前请认真阅读《工业和信息化部　国家统计局　国家发展和改革委员会财政部关于印发中小企业划型标准规定的通知》(工信部联企业〔2011〕300号)和《财政部、工业和信息化部关于印发〈政府采购促进中小企业发展管理办法〉的通知》（财库﹝2020﹞46 号）相关规定。</w:t>
      </w:r>
    </w:p>
    <w:p w14:paraId="0D57A0A7">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29F82209">
      <w:pPr>
        <w:spacing w:before="312" w:beforeLines="100" w:after="156" w:afterLines="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（如有）：</w:t>
      </w:r>
    </w:p>
    <w:p w14:paraId="1459866C">
      <w:pPr>
        <w:spacing w:before="312" w:beforeLines="10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产品属节能、环境标志产品列表</w:t>
      </w:r>
    </w:p>
    <w:p w14:paraId="5A1D3D33">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70DD6D5C">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0D944CB5">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1B8138A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28F2D08D">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7126A288">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E41DFC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1F96F8CD">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38304330">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0AF31B6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7480668E">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017C9A0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2517FD19">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790FBE26">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02DE95AF">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713FCA6">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3CB0445F">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1CC8C0F3">
            <w:pPr>
              <w:spacing w:before="156" w:beforeLines="50"/>
              <w:jc w:val="center"/>
              <w:rPr>
                <w:rFonts w:hint="eastAsia" w:ascii="宋体" w:hAnsi="宋体" w:eastAsia="宋体" w:cs="宋体"/>
                <w:color w:val="auto"/>
                <w:highlight w:val="none"/>
              </w:rPr>
            </w:pPr>
          </w:p>
        </w:tc>
      </w:tr>
      <w:tr w14:paraId="179AA82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99B0615">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48E3C9E1">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6CEE7A8">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7539889">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89DE70B">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66C62797">
            <w:pPr>
              <w:spacing w:before="156" w:beforeLines="50"/>
              <w:jc w:val="center"/>
              <w:rPr>
                <w:rFonts w:hint="eastAsia" w:ascii="宋体" w:hAnsi="宋体" w:eastAsia="宋体" w:cs="宋体"/>
                <w:color w:val="auto"/>
                <w:highlight w:val="none"/>
              </w:rPr>
            </w:pPr>
          </w:p>
        </w:tc>
      </w:tr>
      <w:tr w14:paraId="14FA2CB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B9C64F4">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ABB22FD">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041947DC">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5524F7A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139D059">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275466AB">
            <w:pPr>
              <w:spacing w:before="156" w:beforeLines="50"/>
              <w:jc w:val="center"/>
              <w:rPr>
                <w:rFonts w:hint="eastAsia" w:ascii="宋体" w:hAnsi="宋体" w:eastAsia="宋体" w:cs="宋体"/>
                <w:color w:val="auto"/>
                <w:highlight w:val="none"/>
              </w:rPr>
            </w:pPr>
          </w:p>
        </w:tc>
      </w:tr>
      <w:tr w14:paraId="28385E9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777FEF7">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0F94BA8D">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5202ED6">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1FD8C3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E8D8A91">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7F7788EA">
            <w:pPr>
              <w:spacing w:before="156" w:beforeLines="50"/>
              <w:jc w:val="center"/>
              <w:rPr>
                <w:rFonts w:hint="eastAsia" w:ascii="宋体" w:hAnsi="宋体" w:eastAsia="宋体" w:cs="宋体"/>
                <w:color w:val="auto"/>
                <w:highlight w:val="none"/>
              </w:rPr>
            </w:pPr>
          </w:p>
        </w:tc>
      </w:tr>
      <w:tr w14:paraId="23BBEA2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2CEA479">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19D2AB1E">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8A7DFAB">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45F31672">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19A720F">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1A26620E">
            <w:pPr>
              <w:spacing w:before="156" w:beforeLines="50"/>
              <w:jc w:val="center"/>
              <w:rPr>
                <w:rFonts w:hint="eastAsia" w:ascii="宋体" w:hAnsi="宋体" w:eastAsia="宋体" w:cs="宋体"/>
                <w:color w:val="auto"/>
                <w:highlight w:val="none"/>
              </w:rPr>
            </w:pPr>
          </w:p>
        </w:tc>
      </w:tr>
      <w:tr w14:paraId="6B66FFA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4B71563">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4BB5EDB9">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14:paraId="4927AB3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9C0AF3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1B8727E1">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14:paraId="36931D3E">
      <w:pPr>
        <w:adjustRightInd w:val="0"/>
        <w:snapToGrid w:val="0"/>
        <w:spacing w:line="360" w:lineRule="auto"/>
        <w:rPr>
          <w:rFonts w:hint="eastAsia" w:ascii="宋体" w:hAnsi="宋体" w:eastAsia="宋体" w:cs="宋体"/>
          <w:color w:val="auto"/>
          <w:szCs w:val="21"/>
          <w:highlight w:val="none"/>
        </w:rPr>
      </w:pPr>
    </w:p>
    <w:p w14:paraId="0C1C02CF">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文件要求提供相关证明材料。</w:t>
      </w:r>
    </w:p>
    <w:p w14:paraId="536EFD70">
      <w:pPr>
        <w:pStyle w:val="32"/>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14:paraId="6EF480EF">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5</w:t>
      </w:r>
      <w:r>
        <w:rPr>
          <w:rFonts w:hint="eastAsia" w:ascii="宋体" w:hAnsi="宋体" w:eastAsia="宋体" w:cs="宋体"/>
          <w:b/>
          <w:bCs/>
          <w:color w:val="auto"/>
          <w:spacing w:val="6"/>
          <w:sz w:val="30"/>
          <w:szCs w:val="30"/>
          <w:highlight w:val="none"/>
        </w:rPr>
        <w:t>（如有）：</w:t>
      </w:r>
    </w:p>
    <w:p w14:paraId="2DC22902">
      <w:pPr>
        <w:spacing w:line="588" w:lineRule="exact"/>
        <w:jc w:val="center"/>
        <w:rPr>
          <w:rFonts w:hint="eastAsia" w:ascii="宋体" w:hAnsi="宋体" w:eastAsia="宋体" w:cs="宋体"/>
          <w:b/>
          <w:color w:val="auto"/>
          <w:spacing w:val="6"/>
          <w:sz w:val="32"/>
          <w:szCs w:val="32"/>
          <w:highlight w:val="none"/>
        </w:rPr>
      </w:pPr>
      <w:bookmarkStart w:id="297" w:name="OLE_LINK13"/>
      <w:bookmarkStart w:id="298" w:name="OLE_LINK14"/>
      <w:r>
        <w:rPr>
          <w:rFonts w:hint="eastAsia" w:ascii="宋体" w:hAnsi="宋体" w:eastAsia="宋体" w:cs="宋体"/>
          <w:b/>
          <w:color w:val="auto"/>
          <w:spacing w:val="6"/>
          <w:sz w:val="32"/>
          <w:szCs w:val="32"/>
          <w:highlight w:val="none"/>
        </w:rPr>
        <w:t>残疾人福利性单位声明函</w:t>
      </w:r>
    </w:p>
    <w:bookmarkEnd w:id="297"/>
    <w:bookmarkEnd w:id="298"/>
    <w:p w14:paraId="40B15BB4">
      <w:pPr>
        <w:spacing w:line="588" w:lineRule="exact"/>
        <w:rPr>
          <w:rFonts w:hint="eastAsia" w:ascii="宋体" w:hAnsi="宋体" w:eastAsia="宋体" w:cs="宋体"/>
          <w:b/>
          <w:color w:val="auto"/>
          <w:spacing w:val="6"/>
          <w:sz w:val="30"/>
          <w:szCs w:val="30"/>
          <w:highlight w:val="none"/>
        </w:rPr>
      </w:pPr>
    </w:p>
    <w:p w14:paraId="5BA221C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71D22">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8C2F2BB">
      <w:pPr>
        <w:spacing w:line="588" w:lineRule="exact"/>
        <w:ind w:firstLine="504" w:firstLineChars="200"/>
        <w:rPr>
          <w:rFonts w:hint="eastAsia" w:ascii="宋体" w:hAnsi="宋体" w:eastAsia="宋体" w:cs="宋体"/>
          <w:color w:val="auto"/>
          <w:spacing w:val="6"/>
          <w:szCs w:val="24"/>
          <w:highlight w:val="none"/>
        </w:rPr>
      </w:pPr>
    </w:p>
    <w:p w14:paraId="1DF82376">
      <w:pPr>
        <w:spacing w:line="588" w:lineRule="exact"/>
        <w:ind w:firstLine="504" w:firstLineChars="200"/>
        <w:rPr>
          <w:rFonts w:hint="eastAsia" w:ascii="宋体" w:hAnsi="宋体" w:eastAsia="宋体" w:cs="宋体"/>
          <w:color w:val="auto"/>
          <w:spacing w:val="6"/>
          <w:szCs w:val="24"/>
          <w:highlight w:val="none"/>
        </w:rPr>
      </w:pPr>
    </w:p>
    <w:p w14:paraId="571222A4">
      <w:pPr>
        <w:spacing w:line="588" w:lineRule="exact"/>
        <w:ind w:firstLine="504" w:firstLineChars="200"/>
        <w:rPr>
          <w:rFonts w:hint="eastAsia" w:ascii="宋体" w:hAnsi="宋体" w:eastAsia="宋体" w:cs="宋体"/>
          <w:color w:val="auto"/>
          <w:spacing w:val="6"/>
          <w:szCs w:val="24"/>
          <w:highlight w:val="none"/>
        </w:rPr>
      </w:pPr>
    </w:p>
    <w:p w14:paraId="735A7C03">
      <w:pPr>
        <w:spacing w:line="588" w:lineRule="exact"/>
        <w:ind w:firstLine="504" w:firstLineChars="200"/>
        <w:rPr>
          <w:rFonts w:hint="eastAsia" w:ascii="宋体" w:hAnsi="宋体" w:eastAsia="宋体" w:cs="宋体"/>
          <w:color w:val="auto"/>
          <w:spacing w:val="6"/>
          <w:szCs w:val="24"/>
          <w:highlight w:val="none"/>
        </w:rPr>
      </w:pPr>
    </w:p>
    <w:p w14:paraId="38950E3A">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08EC56A8">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17A610A3">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19071E08">
      <w:pPr>
        <w:jc w:val="center"/>
        <w:rPr>
          <w:rFonts w:hAnsi="宋体" w:cs="宋体"/>
          <w:b/>
          <w:bCs/>
          <w:sz w:val="44"/>
          <w:szCs w:val="44"/>
          <w:highlight w:val="none"/>
        </w:rPr>
      </w:pPr>
      <w:r>
        <w:rPr>
          <w:rFonts w:hint="eastAsia" w:hAnsi="宋体" w:cs="宋体"/>
          <w:b/>
          <w:bCs/>
          <w:sz w:val="44"/>
          <w:szCs w:val="44"/>
          <w:highlight w:val="none"/>
        </w:rPr>
        <w:t>质疑函范本</w:t>
      </w:r>
    </w:p>
    <w:p w14:paraId="13BF90FA">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704A8848">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7A93E74">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B62600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5FFDF7FC">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7A922A09">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4DAA3BC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217B116">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610898A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6183D28C">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0FF02A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3F6DA2C1">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66D4DA8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1B509BA">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4E076D64">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2E5193E2">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377DB69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1AF7BA35">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440FDEE">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6CFC1B59">
      <w:pPr>
        <w:adjustRightInd w:val="0"/>
        <w:snapToGrid w:val="0"/>
        <w:spacing w:line="360" w:lineRule="auto"/>
        <w:rPr>
          <w:rFonts w:hAnsi="宋体" w:cs="宋体"/>
          <w:szCs w:val="24"/>
          <w:highlight w:val="none"/>
        </w:rPr>
      </w:pPr>
      <w:r>
        <w:rPr>
          <w:rFonts w:hint="eastAsia" w:hAnsi="宋体" w:cs="宋体"/>
          <w:szCs w:val="24"/>
          <w:highlight w:val="none"/>
        </w:rPr>
        <w:t>……</w:t>
      </w:r>
    </w:p>
    <w:p w14:paraId="4BD9A5C9">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43077DAF">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656284DE">
      <w:pPr>
        <w:rPr>
          <w:rFonts w:hAnsi="宋体" w:cs="宋体"/>
          <w:szCs w:val="24"/>
          <w:highlight w:val="none"/>
        </w:rPr>
      </w:pPr>
      <w:r>
        <w:rPr>
          <w:rFonts w:hint="eastAsia" w:hAnsi="宋体" w:cs="宋体"/>
          <w:szCs w:val="24"/>
          <w:highlight w:val="none"/>
        </w:rPr>
        <w:t xml:space="preserve">签字(签章)：                   公章：                      </w:t>
      </w:r>
    </w:p>
    <w:p w14:paraId="523C8B1B">
      <w:pPr>
        <w:rPr>
          <w:rFonts w:hAnsi="宋体" w:cs="宋体"/>
          <w:szCs w:val="24"/>
          <w:highlight w:val="none"/>
        </w:rPr>
      </w:pPr>
      <w:r>
        <w:rPr>
          <w:rFonts w:hint="eastAsia" w:hAnsi="宋体" w:cs="宋体"/>
          <w:szCs w:val="24"/>
          <w:highlight w:val="none"/>
        </w:rPr>
        <w:t xml:space="preserve">日期：    </w:t>
      </w:r>
    </w:p>
    <w:p w14:paraId="0935FDD2">
      <w:pPr>
        <w:jc w:val="center"/>
        <w:rPr>
          <w:rFonts w:hAnsi="宋体" w:cs="宋体"/>
          <w:b/>
          <w:sz w:val="44"/>
          <w:szCs w:val="44"/>
          <w:highlight w:val="none"/>
        </w:rPr>
      </w:pPr>
    </w:p>
    <w:p w14:paraId="4F3F981E">
      <w:pPr>
        <w:rPr>
          <w:rFonts w:hint="eastAsia" w:hAnsi="宋体" w:cs="宋体"/>
          <w:b/>
          <w:sz w:val="44"/>
          <w:szCs w:val="44"/>
          <w:highlight w:val="none"/>
        </w:rPr>
      </w:pPr>
      <w:r>
        <w:rPr>
          <w:rFonts w:hint="eastAsia" w:hAnsi="宋体" w:cs="宋体"/>
          <w:b/>
          <w:sz w:val="44"/>
          <w:szCs w:val="44"/>
          <w:highlight w:val="none"/>
        </w:rPr>
        <w:br w:type="page"/>
      </w:r>
    </w:p>
    <w:p w14:paraId="5121865F">
      <w:pPr>
        <w:jc w:val="center"/>
        <w:rPr>
          <w:rFonts w:hAnsi="宋体" w:cs="宋体"/>
          <w:b/>
          <w:sz w:val="44"/>
          <w:szCs w:val="44"/>
          <w:highlight w:val="none"/>
        </w:rPr>
      </w:pPr>
      <w:r>
        <w:rPr>
          <w:rFonts w:hint="eastAsia" w:hAnsi="宋体" w:cs="宋体"/>
          <w:b/>
          <w:sz w:val="44"/>
          <w:szCs w:val="44"/>
          <w:highlight w:val="none"/>
        </w:rPr>
        <w:t>投诉书范本</w:t>
      </w:r>
    </w:p>
    <w:p w14:paraId="034B85DA">
      <w:pPr>
        <w:rPr>
          <w:rFonts w:hAnsi="宋体" w:cs="宋体"/>
          <w:szCs w:val="24"/>
          <w:highlight w:val="none"/>
        </w:rPr>
      </w:pPr>
      <w:r>
        <w:rPr>
          <w:rFonts w:hint="eastAsia" w:hAnsi="宋体" w:cs="宋体"/>
          <w:szCs w:val="24"/>
          <w:highlight w:val="none"/>
        </w:rPr>
        <w:t>一、投诉相关主体基本情况</w:t>
      </w:r>
    </w:p>
    <w:p w14:paraId="4C668860">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2F337BC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65D63CE">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A9A0F85">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107CAD">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4AAFF91">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B2FE7C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9EFC966">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DA2180D">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8517EA">
      <w:pPr>
        <w:rPr>
          <w:rFonts w:hAnsi="宋体" w:cs="宋体"/>
          <w:szCs w:val="24"/>
          <w:highlight w:val="none"/>
        </w:rPr>
      </w:pPr>
      <w:r>
        <w:rPr>
          <w:rFonts w:hint="eastAsia" w:hAnsi="宋体" w:cs="宋体"/>
          <w:szCs w:val="24"/>
          <w:highlight w:val="none"/>
        </w:rPr>
        <w:t>被投诉人2</w:t>
      </w:r>
    </w:p>
    <w:p w14:paraId="723C0E2E">
      <w:pPr>
        <w:rPr>
          <w:rFonts w:hAnsi="宋体" w:cs="宋体"/>
          <w:szCs w:val="24"/>
          <w:highlight w:val="none"/>
          <w:u w:val="dotted"/>
        </w:rPr>
      </w:pPr>
      <w:r>
        <w:rPr>
          <w:rFonts w:hint="eastAsia" w:hAnsi="宋体" w:cs="宋体"/>
          <w:szCs w:val="24"/>
          <w:highlight w:val="none"/>
        </w:rPr>
        <w:t>……</w:t>
      </w:r>
    </w:p>
    <w:p w14:paraId="2D7876EE">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C859F2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ECD78F4">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D8586F">
      <w:pPr>
        <w:rPr>
          <w:rFonts w:hAnsi="宋体" w:cs="宋体"/>
          <w:szCs w:val="24"/>
          <w:highlight w:val="none"/>
        </w:rPr>
      </w:pPr>
      <w:r>
        <w:rPr>
          <w:rFonts w:hint="eastAsia" w:hAnsi="宋体" w:cs="宋体"/>
          <w:szCs w:val="24"/>
          <w:highlight w:val="none"/>
        </w:rPr>
        <w:t>二、投诉项目基本情况</w:t>
      </w:r>
    </w:p>
    <w:p w14:paraId="1F743FAF">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B111A62">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4B18DF13">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8C94E40">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74A8AADA">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850DADB">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2EC7D42">
      <w:pPr>
        <w:rPr>
          <w:rFonts w:hAnsi="宋体" w:cs="宋体"/>
          <w:szCs w:val="24"/>
          <w:highlight w:val="none"/>
        </w:rPr>
      </w:pPr>
      <w:r>
        <w:rPr>
          <w:rFonts w:hint="eastAsia" w:hAnsi="宋体" w:cs="宋体"/>
          <w:szCs w:val="24"/>
          <w:highlight w:val="none"/>
        </w:rPr>
        <w:t>三、质疑基本情况</w:t>
      </w:r>
    </w:p>
    <w:p w14:paraId="7E551B66">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1C030C2F">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3A4744B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40DDFA2">
      <w:pPr>
        <w:rPr>
          <w:rFonts w:hAnsi="宋体" w:cs="宋体"/>
          <w:szCs w:val="24"/>
          <w:highlight w:val="none"/>
        </w:rPr>
      </w:pPr>
      <w:r>
        <w:rPr>
          <w:rFonts w:hint="eastAsia" w:hAnsi="宋体" w:cs="宋体"/>
          <w:szCs w:val="24"/>
          <w:highlight w:val="none"/>
        </w:rPr>
        <w:t>四、投诉事项具体内容</w:t>
      </w:r>
    </w:p>
    <w:p w14:paraId="33C1F6F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4E4133AE">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3D988135">
      <w:pPr>
        <w:rPr>
          <w:rFonts w:hAnsi="宋体" w:cs="宋体"/>
          <w:szCs w:val="24"/>
          <w:highlight w:val="none"/>
          <w:u w:val="dotted"/>
        </w:rPr>
      </w:pPr>
      <w:r>
        <w:rPr>
          <w:rFonts w:hint="eastAsia" w:hAnsi="宋体" w:cs="宋体"/>
          <w:szCs w:val="24"/>
          <w:highlight w:val="none"/>
          <w:u w:val="dotted"/>
        </w:rPr>
        <w:t xml:space="preserve">                                                      </w:t>
      </w:r>
    </w:p>
    <w:p w14:paraId="10B48E94">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66B03D50">
      <w:pPr>
        <w:rPr>
          <w:rFonts w:hAnsi="宋体" w:cs="宋体"/>
          <w:szCs w:val="24"/>
          <w:highlight w:val="none"/>
          <w:u w:val="dotted"/>
        </w:rPr>
      </w:pPr>
      <w:r>
        <w:rPr>
          <w:rFonts w:hint="eastAsia" w:hAnsi="宋体" w:cs="宋体"/>
          <w:szCs w:val="24"/>
          <w:highlight w:val="none"/>
          <w:u w:val="dotted"/>
        </w:rPr>
        <w:t xml:space="preserve">                                                      </w:t>
      </w:r>
    </w:p>
    <w:p w14:paraId="596C1CD5">
      <w:pPr>
        <w:rPr>
          <w:rFonts w:hAnsi="宋体" w:cs="宋体"/>
          <w:szCs w:val="24"/>
          <w:highlight w:val="none"/>
        </w:rPr>
      </w:pPr>
      <w:r>
        <w:rPr>
          <w:rFonts w:hint="eastAsia" w:hAnsi="宋体" w:cs="宋体"/>
          <w:szCs w:val="24"/>
          <w:highlight w:val="none"/>
        </w:rPr>
        <w:t>投诉事项2</w:t>
      </w:r>
    </w:p>
    <w:p w14:paraId="0548041F">
      <w:pPr>
        <w:rPr>
          <w:rFonts w:hAnsi="宋体" w:cs="宋体"/>
          <w:szCs w:val="24"/>
          <w:highlight w:val="none"/>
          <w:u w:val="dotted"/>
        </w:rPr>
      </w:pPr>
      <w:r>
        <w:rPr>
          <w:rFonts w:hint="eastAsia" w:hAnsi="宋体" w:cs="宋体"/>
          <w:szCs w:val="24"/>
          <w:highlight w:val="none"/>
        </w:rPr>
        <w:t>……</w:t>
      </w:r>
    </w:p>
    <w:p w14:paraId="38811AFF">
      <w:pPr>
        <w:rPr>
          <w:rFonts w:hAnsi="宋体" w:cs="宋体"/>
          <w:szCs w:val="24"/>
          <w:highlight w:val="none"/>
        </w:rPr>
      </w:pPr>
      <w:r>
        <w:rPr>
          <w:rFonts w:hint="eastAsia" w:hAnsi="宋体" w:cs="宋体"/>
          <w:szCs w:val="24"/>
          <w:highlight w:val="none"/>
        </w:rPr>
        <w:t>五、与投诉事项相关的投诉请求</w:t>
      </w:r>
    </w:p>
    <w:p w14:paraId="2048179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D58D8C0">
      <w:pPr>
        <w:rPr>
          <w:rFonts w:hAnsi="宋体" w:cs="宋体"/>
          <w:szCs w:val="24"/>
          <w:highlight w:val="none"/>
          <w:u w:val="single"/>
        </w:rPr>
      </w:pPr>
      <w:r>
        <w:rPr>
          <w:rFonts w:hint="eastAsia" w:hAnsi="宋体" w:cs="宋体"/>
          <w:szCs w:val="24"/>
          <w:highlight w:val="none"/>
        </w:rPr>
        <w:t xml:space="preserve">                                                                                                    </w:t>
      </w:r>
    </w:p>
    <w:p w14:paraId="4877AB52">
      <w:pPr>
        <w:rPr>
          <w:rFonts w:hAnsi="宋体" w:cs="宋体"/>
          <w:szCs w:val="24"/>
          <w:highlight w:val="none"/>
        </w:rPr>
      </w:pPr>
      <w:r>
        <w:rPr>
          <w:rFonts w:hint="eastAsia" w:hAnsi="宋体" w:cs="宋体"/>
          <w:szCs w:val="24"/>
          <w:highlight w:val="none"/>
        </w:rPr>
        <w:t xml:space="preserve">签字(签章)：                   公章：                      </w:t>
      </w:r>
    </w:p>
    <w:p w14:paraId="034FFF71">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2F9D770E">
      <w:pPr>
        <w:rPr>
          <w:highlight w:val="none"/>
        </w:rPr>
      </w:pPr>
    </w:p>
    <w:sectPr>
      <w:headerReference r:id="rId14" w:type="default"/>
      <w:footerReference r:id="rId15" w:type="default"/>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7A"/>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A1E">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961FA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76961FA5">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385A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53A385A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4F0B4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264F0B44">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8313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63F8313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FAB1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BCFAB11">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DF87">
    <w:pPr>
      <w:tabs>
        <w:tab w:val="left" w:pos="5646"/>
      </w:tabs>
    </w:pPr>
    <w:r>
      <w:rPr>
        <w:sz w:val="18"/>
        <w:szCs w:val="18"/>
      </w:rPr>
      <mc:AlternateContent>
        <mc:Choice Requires="wps">
          <w:drawing>
            <wp:anchor distT="0" distB="0" distL="114300" distR="114300" simplePos="0" relativeHeight="25166745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5FAA6">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745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51A5FAA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A772">
    <w:pPr>
      <w:tabs>
        <w:tab w:val="left" w:pos="5646"/>
      </w:tabs>
      <w:rPr>
        <w:rFonts w:hint="eastAsia" w:eastAsia="宋体"/>
        <w:sz w:val="18"/>
        <w:szCs w:val="18"/>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D1364">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28D1364">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761CA">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6B8761CA">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C6EE">
    <w:pPr>
      <w:tabs>
        <w:tab w:val="left" w:pos="5646"/>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8C98C4">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jp6U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jp6UzAgAAZQQAAA4AAAAAAAAAAQAgAAAAHwEAAGRycy9lMm9Eb2MueG1sUEsF&#10;BgAAAAAGAAYAWQEAAMQFAAAAAA==&#10;">
              <v:fill on="f" focussize="0,0"/>
              <v:stroke on="f" weight="0.5pt"/>
              <v:imagedata o:title=""/>
              <o:lock v:ext="edit" aspectratio="f"/>
              <v:textbox inset="0mm,0mm,0mm,0mm" style="mso-fit-shape-to-text:t;">
                <w:txbxContent>
                  <w:p w14:paraId="068C98C4">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048F9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78048F97">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802">
    <w:pPr>
      <w:tabs>
        <w:tab w:val="left" w:pos="5646"/>
      </w:tabs>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C0AB18">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14:paraId="71C0AB18">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FD72">
    <w:pPr>
      <w:tabs>
        <w:tab w:val="left" w:pos="5646"/>
      </w:tabs>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AB2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7AAB2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3B4A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783B4A3">
                    <w:pPr>
                      <w:snapToGrid w:val="0"/>
                      <w:rPr>
                        <w:sz w:val="18"/>
                      </w:rPr>
                    </w:pPr>
                  </w:p>
                </w:txbxContent>
              </v:textbox>
            </v:shape>
          </w:pict>
        </mc:Fallback>
      </mc:AlternateContent>
    </w:r>
    <w:r>
      <w:rPr>
        <w:rFonts w:hint="eastAsia"/>
        <w:sz w:val="18"/>
        <w:szCs w:val="18"/>
        <w:lang w:eastAsia="zh-CN"/>
      </w:rPr>
      <w:t>陕西至诚项目管理集团有限公司</w:t>
    </w:r>
    <w:r>
      <w:rPr>
        <w:rFonts w:hint="eastAsia"/>
        <w:sz w:val="18"/>
        <w:szCs w:val="18"/>
      </w:rPr>
      <w:t xml:space="preserve">                                     地址：</w:t>
    </w:r>
    <w:r>
      <w:rPr>
        <w:rFonts w:hint="eastAsia"/>
        <w:sz w:val="18"/>
        <w:szCs w:val="18"/>
        <w:lang w:eastAsia="zh-CN"/>
      </w:rPr>
      <w:t>陕西省西安市经济技术开发区未央路171-1号银池道拉斯财富中心21楼</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BE4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DD50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737DD50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904">
    <w:pPr>
      <w:pStyle w:val="15"/>
      <w:pBdr>
        <w:bottom w:val="single" w:color="auto" w:sz="4" w:space="1"/>
      </w:pBdr>
      <w:tabs>
        <w:tab w:val="left" w:pos="2307"/>
        <w:tab w:val="clear" w:pos="4153"/>
      </w:tabs>
      <w:jc w:val="left"/>
      <w:rPr>
        <w:sz w:val="16"/>
        <w:szCs w:val="16"/>
      </w:rPr>
    </w:pPr>
    <w:r>
      <w:rPr>
        <w:rFonts w:hint="eastAsia" w:hAnsi="宋体"/>
        <w:sz w:val="16"/>
        <w:szCs w:val="16"/>
        <w:lang w:eastAsia="zh-CN"/>
      </w:rPr>
      <w:t>超声肝硬化检测仪等一批设备的采购项目</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B5A">
    <w:pPr>
      <w:pStyle w:val="1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E259">
    <w:pPr>
      <w:pStyle w:val="15"/>
      <w:pBdr>
        <w:bottom w:val="single" w:color="auto" w:sz="4" w:space="1"/>
      </w:pBdr>
      <w:tabs>
        <w:tab w:val="left" w:pos="2307"/>
        <w:tab w:val="clear" w:pos="4153"/>
      </w:tabs>
      <w:jc w:val="left"/>
      <w:rPr>
        <w:rFonts w:hint="eastAsia" w:eastAsia="宋体"/>
        <w:sz w:val="16"/>
        <w:szCs w:val="16"/>
        <w:lang w:eastAsia="zh-CN"/>
      </w:rPr>
    </w:pPr>
    <w:r>
      <w:rPr>
        <w:rFonts w:hint="eastAsia" w:ascii="宋体" w:hAnsi="宋体" w:cs="宋体"/>
        <w:sz w:val="18"/>
        <w:szCs w:val="18"/>
        <w:lang w:eastAsia="zh-CN"/>
      </w:rPr>
      <w:t>超声肝硬化检测仪等一批设备的采购项目</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F45D">
    <w:pPr>
      <w:pStyle w:val="15"/>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102B">
    <w:pPr>
      <w:pStyle w:val="15"/>
      <w:pBdr>
        <w:bottom w:val="single" w:color="auto" w:sz="4" w:space="1"/>
      </w:pBdr>
      <w:jc w:val="left"/>
      <w:rPr>
        <w:sz w:val="16"/>
        <w:szCs w:val="16"/>
      </w:rPr>
    </w:pPr>
    <w:r>
      <w:rPr>
        <w:rFonts w:hint="eastAsia"/>
        <w:sz w:val="16"/>
        <w:szCs w:val="16"/>
        <w:lang w:eastAsia="zh-CN"/>
      </w:rPr>
      <w:t>超声肝硬化检测仪等一批设备的采购项目</w:t>
    </w:r>
    <w:r>
      <w:rPr>
        <w:rFonts w:hint="eastAsia"/>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D17">
    <w:pPr>
      <w:pStyle w:val="15"/>
      <w:pBdr>
        <w:bottom w:val="single" w:color="auto" w:sz="4" w:space="1"/>
      </w:pBdr>
      <w:tabs>
        <w:tab w:val="left" w:pos="2307"/>
        <w:tab w:val="clear" w:pos="4153"/>
      </w:tabs>
      <w:jc w:val="left"/>
      <w:rPr>
        <w:rFonts w:hint="eastAsia" w:eastAsia="宋体"/>
        <w:sz w:val="16"/>
        <w:szCs w:val="16"/>
        <w:lang w:eastAsia="zh-CN"/>
      </w:rPr>
    </w:pPr>
    <w:r>
      <w:rPr>
        <w:rFonts w:hint="eastAsia" w:ascii="宋体" w:hAnsi="宋体" w:cs="宋体"/>
        <w:sz w:val="18"/>
        <w:szCs w:val="18"/>
        <w:lang w:eastAsia="zh-CN"/>
      </w:rPr>
      <w:t>超声肝硬化检测仪等一批设备的采购项目</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14473"/>
    <w:multiLevelType w:val="singleLevel"/>
    <w:tmpl w:val="96414473"/>
    <w:lvl w:ilvl="0" w:tentative="0">
      <w:start w:val="1"/>
      <w:numFmt w:val="decimal"/>
      <w:lvlText w:val="%1."/>
      <w:lvlJc w:val="left"/>
      <w:pPr>
        <w:tabs>
          <w:tab w:val="left" w:pos="312"/>
        </w:tabs>
      </w:pPr>
    </w:lvl>
  </w:abstractNum>
  <w:abstractNum w:abstractNumId="1">
    <w:nsid w:val="BB4ACE02"/>
    <w:multiLevelType w:val="singleLevel"/>
    <w:tmpl w:val="BB4ACE02"/>
    <w:lvl w:ilvl="0" w:tentative="0">
      <w:start w:val="1"/>
      <w:numFmt w:val="decimal"/>
      <w:suff w:val="nothing"/>
      <w:lvlText w:val="%1."/>
      <w:lvlJc w:val="left"/>
      <w:pPr>
        <w:ind w:left="0" w:firstLine="0"/>
      </w:pPr>
    </w:lvl>
  </w:abstractNum>
  <w:abstractNum w:abstractNumId="2">
    <w:nsid w:val="D5405875"/>
    <w:multiLevelType w:val="singleLevel"/>
    <w:tmpl w:val="D5405875"/>
    <w:lvl w:ilvl="0" w:tentative="0">
      <w:start w:val="1"/>
      <w:numFmt w:val="decimal"/>
      <w:suff w:val="nothing"/>
      <w:lvlText w:val="%1."/>
      <w:lvlJc w:val="left"/>
      <w:pPr>
        <w:ind w:left="0" w:firstLine="0"/>
      </w:pPr>
    </w:lvl>
  </w:abstractNum>
  <w:abstractNum w:abstractNumId="3">
    <w:nsid w:val="E7DB10F3"/>
    <w:multiLevelType w:val="multilevel"/>
    <w:tmpl w:val="E7DB10F3"/>
    <w:lvl w:ilvl="0" w:tentative="0">
      <w:start w:val="1"/>
      <w:numFmt w:val="decimal"/>
      <w:suff w:val="nothing"/>
      <w:lvlText w:val="%1."/>
      <w:lvlJc w:val="left"/>
      <w:pPr>
        <w:ind w:left="420" w:hanging="420"/>
      </w:pPr>
      <w:rPr>
        <w:rFonts w:hint="default"/>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E96852DD"/>
    <w:multiLevelType w:val="singleLevel"/>
    <w:tmpl w:val="E96852DD"/>
    <w:lvl w:ilvl="0" w:tentative="0">
      <w:start w:val="1"/>
      <w:numFmt w:val="decimal"/>
      <w:suff w:val="space"/>
      <w:lvlText w:val="%1."/>
      <w:lvlJc w:val="left"/>
    </w:lvl>
  </w:abstractNum>
  <w:abstractNum w:abstractNumId="5">
    <w:nsid w:val="F91F8888"/>
    <w:multiLevelType w:val="singleLevel"/>
    <w:tmpl w:val="F91F8888"/>
    <w:lvl w:ilvl="0" w:tentative="0">
      <w:start w:val="1"/>
      <w:numFmt w:val="decimal"/>
      <w:suff w:val="nothing"/>
      <w:lvlText w:val="%1."/>
      <w:lvlJc w:val="left"/>
    </w:lvl>
  </w:abstractNum>
  <w:abstractNum w:abstractNumId="6">
    <w:nsid w:val="00000001"/>
    <w:multiLevelType w:val="multilevel"/>
    <w:tmpl w:val="00000001"/>
    <w:lvl w:ilvl="0" w:tentative="0">
      <w:start w:val="1"/>
      <w:numFmt w:val="decimal"/>
      <w:pStyle w:val="38"/>
      <w:lvlText w:val="第%1章"/>
      <w:lvlJc w:val="left"/>
      <w:pPr>
        <w:tabs>
          <w:tab w:val="left" w:pos="3134"/>
        </w:tabs>
        <w:ind w:left="31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14B66CD3"/>
    <w:multiLevelType w:val="singleLevel"/>
    <w:tmpl w:val="14B66CD3"/>
    <w:lvl w:ilvl="0" w:tentative="0">
      <w:start w:val="1"/>
      <w:numFmt w:val="chineseCounting"/>
      <w:suff w:val="nothing"/>
      <w:lvlText w:val="%1、"/>
      <w:lvlJc w:val="left"/>
      <w:rPr>
        <w:rFonts w:hint="eastAsia"/>
      </w:rPr>
    </w:lvl>
  </w:abstractNum>
  <w:abstractNum w:abstractNumId="8">
    <w:nsid w:val="1F06BB25"/>
    <w:multiLevelType w:val="singleLevel"/>
    <w:tmpl w:val="1F06BB25"/>
    <w:lvl w:ilvl="0" w:tentative="0">
      <w:start w:val="1"/>
      <w:numFmt w:val="decimal"/>
      <w:suff w:val="nothing"/>
      <w:lvlText w:val="%1."/>
      <w:lvlJc w:val="left"/>
      <w:pPr>
        <w:ind w:left="0" w:firstLine="0"/>
      </w:pPr>
    </w:lvl>
  </w:abstractNum>
  <w:abstractNum w:abstractNumId="9">
    <w:nsid w:val="32B0CE48"/>
    <w:multiLevelType w:val="singleLevel"/>
    <w:tmpl w:val="32B0CE48"/>
    <w:lvl w:ilvl="0" w:tentative="0">
      <w:start w:val="1"/>
      <w:numFmt w:val="decimal"/>
      <w:suff w:val="space"/>
      <w:lvlText w:val="%1."/>
      <w:lvlJc w:val="left"/>
    </w:lvl>
  </w:abstractNum>
  <w:abstractNum w:abstractNumId="10">
    <w:nsid w:val="45E8036B"/>
    <w:multiLevelType w:val="singleLevel"/>
    <w:tmpl w:val="45E8036B"/>
    <w:lvl w:ilvl="0" w:tentative="0">
      <w:start w:val="1"/>
      <w:numFmt w:val="decimal"/>
      <w:lvlText w:val="%1."/>
      <w:lvlJc w:val="left"/>
      <w:pPr>
        <w:tabs>
          <w:tab w:val="left" w:pos="312"/>
        </w:tabs>
      </w:pPr>
    </w:lvl>
  </w:abstractNum>
  <w:abstractNum w:abstractNumId="11">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12">
    <w:nsid w:val="541209CF"/>
    <w:multiLevelType w:val="singleLevel"/>
    <w:tmpl w:val="541209CF"/>
    <w:lvl w:ilvl="0" w:tentative="0">
      <w:start w:val="2"/>
      <w:numFmt w:val="chineseCounting"/>
      <w:suff w:val="nothing"/>
      <w:lvlText w:val="（%1）"/>
      <w:lvlJc w:val="left"/>
      <w:rPr>
        <w:rFonts w:hint="eastAsia"/>
      </w:rPr>
    </w:lvl>
  </w:abstractNum>
  <w:abstractNum w:abstractNumId="13">
    <w:nsid w:val="59B2460E"/>
    <w:multiLevelType w:val="singleLevel"/>
    <w:tmpl w:val="59B2460E"/>
    <w:lvl w:ilvl="0" w:tentative="0">
      <w:start w:val="2"/>
      <w:numFmt w:val="decimal"/>
      <w:suff w:val="nothing"/>
      <w:lvlText w:val="%1."/>
      <w:lvlJc w:val="left"/>
    </w:lvl>
  </w:abstractNum>
  <w:abstractNum w:abstractNumId="14">
    <w:nsid w:val="59B25AF4"/>
    <w:multiLevelType w:val="singleLevel"/>
    <w:tmpl w:val="59B25AF4"/>
    <w:lvl w:ilvl="0" w:tentative="0">
      <w:start w:val="1"/>
      <w:numFmt w:val="decimal"/>
      <w:suff w:val="nothing"/>
      <w:lvlText w:val="（%1）"/>
      <w:lvlJc w:val="left"/>
    </w:lvl>
  </w:abstractNum>
  <w:abstractNum w:abstractNumId="15">
    <w:nsid w:val="59B64AF0"/>
    <w:multiLevelType w:val="singleLevel"/>
    <w:tmpl w:val="59B64AF0"/>
    <w:lvl w:ilvl="0" w:tentative="0">
      <w:start w:val="16"/>
      <w:numFmt w:val="decimal"/>
      <w:suff w:val="nothing"/>
      <w:lvlText w:val="%1."/>
      <w:lvlJc w:val="left"/>
    </w:lvl>
  </w:abstractNum>
  <w:num w:numId="1">
    <w:abstractNumId w:val="6"/>
  </w:num>
  <w:num w:numId="2">
    <w:abstractNumId w:val="13"/>
  </w:num>
  <w:num w:numId="3">
    <w:abstractNumId w:val="15"/>
  </w:num>
  <w:num w:numId="4">
    <w:abstractNumId w:val="14"/>
  </w:num>
  <w:num w:numId="5">
    <w:abstractNumId w:val="9"/>
  </w:num>
  <w:num w:numId="6">
    <w:abstractNumId w:val="4"/>
  </w:num>
  <w:num w:numId="7">
    <w:abstractNumId w:val="3"/>
  </w:num>
  <w:num w:numId="8">
    <w:abstractNumId w:val="1"/>
  </w:num>
  <w:num w:numId="9">
    <w:abstractNumId w:val="8"/>
  </w:num>
  <w:num w:numId="10">
    <w:abstractNumId w:val="0"/>
  </w:num>
  <w:num w:numId="11">
    <w:abstractNumId w:val="12"/>
  </w:num>
  <w:num w:numId="12">
    <w:abstractNumId w:val="10"/>
  </w:num>
  <w:num w:numId="13">
    <w:abstractNumId w:val="5"/>
  </w:num>
  <w:num w:numId="14">
    <w:abstractNumId w:val="2"/>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19E13AAC"/>
    <w:rsid w:val="023870D5"/>
    <w:rsid w:val="02DF21EF"/>
    <w:rsid w:val="03F45A7C"/>
    <w:rsid w:val="077A10F2"/>
    <w:rsid w:val="09CF47C3"/>
    <w:rsid w:val="0BC11EE9"/>
    <w:rsid w:val="0C2030B4"/>
    <w:rsid w:val="11AA3420"/>
    <w:rsid w:val="139C1093"/>
    <w:rsid w:val="14586ED9"/>
    <w:rsid w:val="15AB60E4"/>
    <w:rsid w:val="16FB4BEB"/>
    <w:rsid w:val="18694035"/>
    <w:rsid w:val="19CA4142"/>
    <w:rsid w:val="19E13AAC"/>
    <w:rsid w:val="19F53DD2"/>
    <w:rsid w:val="1E55553A"/>
    <w:rsid w:val="217266F3"/>
    <w:rsid w:val="23A81EB5"/>
    <w:rsid w:val="23F53CFB"/>
    <w:rsid w:val="249266C1"/>
    <w:rsid w:val="25B759C0"/>
    <w:rsid w:val="264E27A0"/>
    <w:rsid w:val="267267AA"/>
    <w:rsid w:val="297D5B72"/>
    <w:rsid w:val="2A010F24"/>
    <w:rsid w:val="2CBE1179"/>
    <w:rsid w:val="2EFD6799"/>
    <w:rsid w:val="2EFE177E"/>
    <w:rsid w:val="3033604F"/>
    <w:rsid w:val="30615BF8"/>
    <w:rsid w:val="31434FCB"/>
    <w:rsid w:val="31AB342D"/>
    <w:rsid w:val="33F75158"/>
    <w:rsid w:val="39581830"/>
    <w:rsid w:val="39B34CB8"/>
    <w:rsid w:val="3E622809"/>
    <w:rsid w:val="41F67E38"/>
    <w:rsid w:val="42F2451C"/>
    <w:rsid w:val="46AF233A"/>
    <w:rsid w:val="4A291B83"/>
    <w:rsid w:val="4AB52F0F"/>
    <w:rsid w:val="4AC30C42"/>
    <w:rsid w:val="4CA7245A"/>
    <w:rsid w:val="4E347D1E"/>
    <w:rsid w:val="4F247D92"/>
    <w:rsid w:val="4F35067F"/>
    <w:rsid w:val="508A1E77"/>
    <w:rsid w:val="52281705"/>
    <w:rsid w:val="52C5798C"/>
    <w:rsid w:val="531B5950"/>
    <w:rsid w:val="54D43BE6"/>
    <w:rsid w:val="553F0BA9"/>
    <w:rsid w:val="55FD758F"/>
    <w:rsid w:val="57165BC0"/>
    <w:rsid w:val="598C4E1B"/>
    <w:rsid w:val="5C3C0573"/>
    <w:rsid w:val="5F0E2DE6"/>
    <w:rsid w:val="61184FA9"/>
    <w:rsid w:val="64225835"/>
    <w:rsid w:val="671309C0"/>
    <w:rsid w:val="690802CD"/>
    <w:rsid w:val="695059C0"/>
    <w:rsid w:val="697A1E0A"/>
    <w:rsid w:val="6AEB45C8"/>
    <w:rsid w:val="6B715CB5"/>
    <w:rsid w:val="6EFC4430"/>
    <w:rsid w:val="70757DAD"/>
    <w:rsid w:val="713A129B"/>
    <w:rsid w:val="71BB2380"/>
    <w:rsid w:val="71D46F9E"/>
    <w:rsid w:val="725D6FC8"/>
    <w:rsid w:val="73783A2B"/>
    <w:rsid w:val="754B7577"/>
    <w:rsid w:val="787119EB"/>
    <w:rsid w:val="79920D95"/>
    <w:rsid w:val="7A5E256D"/>
    <w:rsid w:val="7E2E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7"/>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30"/>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8">
    <w:name w:val="Body Text"/>
    <w:basedOn w:val="1"/>
    <w:next w:val="9"/>
    <w:qFormat/>
    <w:uiPriority w:val="0"/>
    <w:pPr>
      <w:spacing w:after="120"/>
    </w:pPr>
    <w:rPr>
      <w:rFonts w:ascii="Times New Roman"/>
      <w:kern w:val="2"/>
      <w:sz w:val="21"/>
    </w:rPr>
  </w:style>
  <w:style w:type="paragraph" w:styleId="9">
    <w:name w:val="Date"/>
    <w:basedOn w:val="1"/>
    <w:next w:val="1"/>
    <w:qFormat/>
    <w:uiPriority w:val="0"/>
    <w:rPr>
      <w:rFonts w:ascii="Times New Roman"/>
      <w:kern w:val="2"/>
      <w:sz w:val="28"/>
    </w:rPr>
  </w:style>
  <w:style w:type="paragraph" w:styleId="10">
    <w:name w:val="Body Text Indent"/>
    <w:basedOn w:val="1"/>
    <w:qFormat/>
    <w:uiPriority w:val="0"/>
    <w:pPr>
      <w:widowControl/>
      <w:ind w:firstLine="652" w:firstLineChars="233"/>
    </w:pPr>
    <w:rPr>
      <w:rFonts w:ascii="Times New Roman"/>
      <w:sz w:val="28"/>
    </w:rPr>
  </w:style>
  <w:style w:type="paragraph" w:styleId="11">
    <w:name w:val="index 4"/>
    <w:basedOn w:val="1"/>
    <w:next w:val="1"/>
    <w:unhideWhenUsed/>
    <w:qFormat/>
    <w:uiPriority w:val="99"/>
    <w:pPr>
      <w:ind w:left="428" w:firstLine="140"/>
    </w:p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footer"/>
    <w:basedOn w:val="1"/>
    <w:qFormat/>
    <w:uiPriority w:val="99"/>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39"/>
    <w:pPr>
      <w:tabs>
        <w:tab w:val="left" w:pos="1418"/>
        <w:tab w:val="right" w:leader="dot" w:pos="8302"/>
      </w:tabs>
      <w:spacing w:line="960" w:lineRule="auto"/>
    </w:pPr>
  </w:style>
  <w:style w:type="paragraph" w:styleId="17">
    <w:name w:val="Subtitle"/>
    <w:basedOn w:val="1"/>
    <w:next w:val="1"/>
    <w:qFormat/>
    <w:uiPriority w:val="0"/>
    <w:pPr>
      <w:adjustRightInd w:val="0"/>
      <w:snapToGrid w:val="0"/>
      <w:spacing w:line="360" w:lineRule="auto"/>
      <w:jc w:val="left"/>
      <w:outlineLvl w:val="1"/>
    </w:pPr>
    <w:rPr>
      <w:rFonts w:ascii="等线 Light" w:hAnsi="等线 Light"/>
      <w:b/>
      <w:bCs/>
      <w:kern w:val="28"/>
      <w:sz w:val="24"/>
      <w:szCs w:val="32"/>
    </w:rPr>
  </w:style>
  <w:style w:type="paragraph" w:styleId="18">
    <w:name w:val="toc 2"/>
    <w:basedOn w:val="1"/>
    <w:next w:val="1"/>
    <w:unhideWhenUsed/>
    <w:qFormat/>
    <w:uiPriority w:val="39"/>
    <w:pPr>
      <w:tabs>
        <w:tab w:val="right" w:leader="dot" w:pos="8302"/>
      </w:tabs>
      <w:spacing w:line="960" w:lineRule="auto"/>
      <w:ind w:left="420" w:leftChars="200"/>
    </w:pPr>
  </w:style>
  <w:style w:type="paragraph" w:styleId="19">
    <w:name w:val="Normal (Web)"/>
    <w:basedOn w:val="1"/>
    <w:qFormat/>
    <w:uiPriority w:val="99"/>
    <w:pPr>
      <w:widowControl/>
      <w:spacing w:before="100" w:beforeAutospacing="1" w:after="100" w:afterAutospacing="1"/>
      <w:jc w:val="left"/>
    </w:pPr>
    <w:rPr>
      <w:rFonts w:hAnsi="宋体"/>
      <w:szCs w:val="24"/>
    </w:rPr>
  </w:style>
  <w:style w:type="paragraph" w:styleId="20">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2"/>
    <w:basedOn w:val="10"/>
    <w:qFormat/>
    <w:uiPriority w:val="99"/>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qFormat/>
    <w:uiPriority w:val="99"/>
    <w:rPr>
      <w:rFonts w:hint="eastAsia" w:ascii="宋体" w:hAnsi="宋体" w:eastAsia="宋体" w:cs="宋体"/>
      <w:color w:val="000000"/>
      <w:sz w:val="18"/>
      <w:szCs w:val="18"/>
      <w:u w:val="none"/>
    </w:rPr>
  </w:style>
  <w:style w:type="character" w:customStyle="1" w:styleId="27">
    <w:name w:val="标题 1 Char"/>
    <w:link w:val="2"/>
    <w:qFormat/>
    <w:uiPriority w:val="0"/>
    <w:rPr>
      <w:rFonts w:ascii="仿宋_GB2312" w:hAnsi="宋体" w:eastAsia="仿宋_GB2312"/>
      <w:b/>
      <w:kern w:val="2"/>
      <w:sz w:val="32"/>
    </w:rPr>
  </w:style>
  <w:style w:type="paragraph" w:customStyle="1" w:styleId="28">
    <w:name w:val="列出段落1"/>
    <w:basedOn w:val="1"/>
    <w:qFormat/>
    <w:uiPriority w:val="34"/>
    <w:pPr>
      <w:ind w:firstLine="420" w:firstLineChars="200"/>
    </w:pPr>
  </w:style>
  <w:style w:type="paragraph" w:customStyle="1" w:styleId="2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30">
    <w:name w:val="标题 3 Char"/>
    <w:link w:val="4"/>
    <w:qFormat/>
    <w:uiPriority w:val="0"/>
    <w:rPr>
      <w:rFonts w:ascii="Times New Roman"/>
      <w:b/>
      <w:bCs/>
      <w:kern w:val="2"/>
      <w:szCs w:val="24"/>
    </w:rPr>
  </w:style>
  <w:style w:type="paragraph" w:customStyle="1" w:styleId="31">
    <w:name w:val="列出段落11"/>
    <w:basedOn w:val="1"/>
    <w:qFormat/>
    <w:uiPriority w:val="34"/>
    <w:pPr>
      <w:ind w:firstLine="420" w:firstLineChars="200"/>
    </w:pPr>
    <w:rPr>
      <w:rFonts w:ascii="Calibri" w:hAnsi="Calibri"/>
      <w:szCs w:val="22"/>
    </w:rPr>
  </w:style>
  <w:style w:type="paragraph" w:customStyle="1" w:styleId="32">
    <w:name w:val="Char1"/>
    <w:basedOn w:val="1"/>
    <w:qFormat/>
    <w:uiPriority w:val="0"/>
    <w:pPr>
      <w:tabs>
        <w:tab w:val="left" w:pos="360"/>
      </w:tabs>
      <w:ind w:left="360" w:hanging="360" w:hangingChars="200"/>
    </w:pPr>
    <w:rPr>
      <w:szCs w:val="24"/>
    </w:rPr>
  </w:style>
  <w:style w:type="paragraph" w:styleId="33">
    <w:name w:val="List Paragraph"/>
    <w:basedOn w:val="1"/>
    <w:qFormat/>
    <w:uiPriority w:val="34"/>
    <w:pPr>
      <w:ind w:firstLine="420" w:firstLineChars="200"/>
    </w:pPr>
    <w:rPr>
      <w:rFonts w:ascii="Calibri" w:hAnsi="Calibri" w:eastAsia="宋体" w:cs="Times New Roman"/>
      <w:sz w:val="21"/>
      <w:szCs w:val="22"/>
    </w:rPr>
  </w:style>
  <w:style w:type="character" w:customStyle="1" w:styleId="34">
    <w:name w:val="NormalCharacter"/>
    <w:semiHidden/>
    <w:qFormat/>
    <w:uiPriority w:val="0"/>
  </w:style>
  <w:style w:type="paragraph" w:customStyle="1" w:styleId="35">
    <w:name w:val="179"/>
    <w:basedOn w:val="1"/>
    <w:qFormat/>
    <w:uiPriority w:val="0"/>
    <w:pPr>
      <w:ind w:firstLine="420" w:firstLineChars="200"/>
    </w:pPr>
    <w:rPr>
      <w:szCs w:val="22"/>
    </w:rPr>
  </w:style>
  <w:style w:type="paragraph" w:customStyle="1" w:styleId="36">
    <w:name w:val="AnnotationText"/>
    <w:basedOn w:val="1"/>
    <w:qFormat/>
    <w:uiPriority w:val="0"/>
    <w:pPr>
      <w:jc w:val="left"/>
    </w:pPr>
  </w:style>
  <w:style w:type="character" w:customStyle="1" w:styleId="37">
    <w:name w:val="UserStyle_28"/>
    <w:semiHidden/>
    <w:qFormat/>
    <w:uiPriority w:val="0"/>
    <w:rPr>
      <w:rFonts w:ascii="Calibri" w:hAnsi="Calibri" w:eastAsia="宋体"/>
      <w:kern w:val="2"/>
      <w:sz w:val="21"/>
      <w:szCs w:val="24"/>
      <w:lang w:val="en-US" w:eastAsia="zh-CN" w:bidi="ar-SA"/>
    </w:rPr>
  </w:style>
  <w:style w:type="paragraph" w:customStyle="1" w:styleId="38">
    <w:name w:val="图"/>
    <w:basedOn w:val="1"/>
    <w:next w:val="1"/>
    <w:qFormat/>
    <w:uiPriority w:val="0"/>
    <w:pPr>
      <w:numPr>
        <w:ilvl w:val="0"/>
        <w:numId w:val="1"/>
      </w:numPr>
      <w:tabs>
        <w:tab w:val="left" w:pos="1755"/>
      </w:tabs>
      <w:adjustRightInd w:val="0"/>
      <w:spacing w:before="60" w:after="60" w:line="360" w:lineRule="atLeast"/>
      <w:jc w:val="center"/>
    </w:pPr>
    <w:rPr>
      <w:rFonts w:ascii="Calibri" w:hAnsi="Calibri" w:eastAsia="黑体" w:cs="Times New Roman"/>
      <w:b/>
      <w:kern w:val="0"/>
      <w:sz w:val="24"/>
      <w:szCs w:val="20"/>
    </w:rPr>
  </w:style>
  <w:style w:type="paragraph" w:customStyle="1" w:styleId="39">
    <w:name w:val="1"/>
    <w:basedOn w:val="1"/>
    <w:next w:val="1"/>
    <w:autoRedefine/>
    <w:qFormat/>
    <w:uiPriority w:val="0"/>
    <w:pPr>
      <w:keepNext/>
      <w:keepLines/>
      <w:spacing w:line="360" w:lineRule="auto"/>
      <w:outlineLvl w:val="5"/>
    </w:pPr>
    <w:rPr>
      <w:rFonts w:ascii="思源黑体 CN Heavy" w:hAnsi="思源黑体 CN Heavy" w:eastAsia="思源黑体 CN Heavy"/>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3686</Words>
  <Characters>4306</Characters>
  <Lines>0</Lines>
  <Paragraphs>0</Paragraphs>
  <TotalTime>0</TotalTime>
  <ScaleCrop>false</ScaleCrop>
  <LinksUpToDate>false</LinksUpToDate>
  <CharactersWithSpaces>4377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2024-09-25T01:03:00Z</dcterms:created>
  <dc:creator>至诚商洛分公司</dc:creator>
  <cp:lastModifiedBy>救赎</cp:lastModifiedBy>
  <dcterms:modified xsi:type="dcterms:W3CDTF">2025-11-26T02:28:58Z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D3D1745B7E724F2AB095AD765DD51374_13</vt:lpwstr>
  </property>
  <property fmtid="{D5CDD505-2E9C-101B-9397-08002B2CF9AE}" pid="4" name="KSOTemplateDocerSaveRecord">
    <vt:lpwstr>eyJoZGlkIjoiOTMxMjYxMTc2YmNmM2ZiYzM3MzRiYzBiMTAxOWMxMDciLCJ1c2VySWQiOiIxNTU5MDg0MTUyIn0=</vt:lpwstr>
  </property>
</Properties>
</file>