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6"/>
        <w:gridCol w:w="671"/>
        <w:gridCol w:w="7205"/>
      </w:tblGrid>
      <w:tr w14:paraId="2B12D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dxa"/>
          </w:tcPr>
          <w:p w14:paraId="6F2326A2">
            <w:pPr>
              <w:pStyle w:val="15"/>
              <w:rPr>
                <w:rFonts w:hint="default" w:ascii="仿宋" w:hAnsi="仿宋" w:eastAsia="仿宋" w:cs="仿宋"/>
                <w:color w:val="auto"/>
                <w:highlight w:val="none"/>
              </w:rPr>
            </w:pPr>
            <w:r>
              <w:rPr>
                <w:rFonts w:ascii="仿宋" w:hAnsi="仿宋" w:eastAsia="仿宋" w:cs="仿宋"/>
                <w:color w:val="auto"/>
                <w:highlight w:val="none"/>
              </w:rPr>
              <w:t>序号</w:t>
            </w:r>
          </w:p>
        </w:tc>
        <w:tc>
          <w:tcPr>
            <w:tcW w:w="671" w:type="dxa"/>
          </w:tcPr>
          <w:p w14:paraId="7CA07D6F">
            <w:pPr>
              <w:pStyle w:val="15"/>
              <w:rPr>
                <w:rFonts w:hint="default" w:ascii="仿宋" w:hAnsi="仿宋" w:eastAsia="仿宋" w:cs="仿宋"/>
                <w:color w:val="auto"/>
                <w:highlight w:val="none"/>
              </w:rPr>
            </w:pPr>
            <w:r>
              <w:rPr>
                <w:rFonts w:ascii="仿宋" w:hAnsi="仿宋" w:eastAsia="仿宋" w:cs="仿宋"/>
                <w:color w:val="auto"/>
                <w:highlight w:val="none"/>
              </w:rPr>
              <w:t>参数性质</w:t>
            </w:r>
          </w:p>
        </w:tc>
        <w:tc>
          <w:tcPr>
            <w:tcW w:w="7205" w:type="dxa"/>
          </w:tcPr>
          <w:p w14:paraId="732FA983">
            <w:pPr>
              <w:pStyle w:val="15"/>
              <w:rPr>
                <w:rFonts w:hint="default" w:ascii="仿宋" w:hAnsi="仿宋" w:eastAsia="仿宋" w:cs="仿宋"/>
                <w:color w:val="auto"/>
                <w:highlight w:val="none"/>
              </w:rPr>
            </w:pPr>
            <w:r>
              <w:rPr>
                <w:rFonts w:ascii="仿宋" w:hAnsi="仿宋" w:eastAsia="仿宋" w:cs="仿宋"/>
                <w:color w:val="auto"/>
                <w:highlight w:val="none"/>
              </w:rPr>
              <w:t>技术参数与性能指标</w:t>
            </w:r>
          </w:p>
        </w:tc>
      </w:tr>
      <w:tr w14:paraId="4592C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dxa"/>
          </w:tcPr>
          <w:p w14:paraId="5E0887AB">
            <w:pPr>
              <w:pStyle w:val="15"/>
              <w:rPr>
                <w:rFonts w:hint="default" w:ascii="仿宋" w:hAnsi="仿宋" w:eastAsia="仿宋" w:cs="仿宋"/>
                <w:color w:val="auto"/>
                <w:highlight w:val="none"/>
                <w:lang w:eastAsia="zh-CN"/>
              </w:rPr>
            </w:pPr>
            <w:r>
              <w:rPr>
                <w:rFonts w:ascii="仿宋" w:hAnsi="仿宋" w:eastAsia="仿宋" w:cs="仿宋"/>
                <w:color w:val="auto"/>
                <w:highlight w:val="none"/>
                <w:lang w:eastAsia="zh-CN"/>
              </w:rPr>
              <w:t>1</w:t>
            </w:r>
          </w:p>
        </w:tc>
        <w:tc>
          <w:tcPr>
            <w:tcW w:w="671" w:type="dxa"/>
          </w:tcPr>
          <w:p w14:paraId="7D2C32F8">
            <w:pPr>
              <w:pStyle w:val="15"/>
              <w:rPr>
                <w:rFonts w:hint="default" w:ascii="仿宋" w:hAnsi="仿宋" w:eastAsia="仿宋" w:cs="仿宋"/>
                <w:color w:val="auto"/>
                <w:highlight w:val="none"/>
              </w:rPr>
            </w:pPr>
          </w:p>
        </w:tc>
        <w:tc>
          <w:tcPr>
            <w:tcW w:w="7205" w:type="dxa"/>
          </w:tcPr>
          <w:p w14:paraId="3F7ADA19">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光纤通信与信号传递测试系统包括光纤通信与信号传递设备、光谱仪、铯原子钟、相噪仪、光纤双向放大器、光纤色散补偿器、缠绕光纤盘和高精度数字万用表等设备，其中：</w:t>
            </w:r>
          </w:p>
          <w:p w14:paraId="62D8AB6B">
            <w:pPr>
              <w:pStyle w:val="15"/>
              <w:ind w:left="21" w:leftChars="10"/>
              <w:rPr>
                <w:rFonts w:hint="default" w:ascii="仿宋" w:hAnsi="仿宋" w:eastAsia="仿宋" w:cs="仿宋"/>
                <w:b/>
                <w:bCs/>
                <w:color w:val="auto"/>
                <w:highlight w:val="none"/>
                <w:lang w:eastAsia="zh-CN"/>
              </w:rPr>
            </w:pPr>
            <w:r>
              <w:rPr>
                <w:rFonts w:ascii="仿宋" w:hAnsi="仿宋" w:eastAsia="仿宋" w:cs="仿宋"/>
                <w:b/>
                <w:bCs/>
                <w:color w:val="auto"/>
                <w:highlight w:val="none"/>
                <w:lang w:eastAsia="zh-CN"/>
              </w:rPr>
              <w:t>1、光纤通信与信号传递设备（1套）参数（核心产品）：</w:t>
            </w:r>
          </w:p>
          <w:p w14:paraId="51A1688B">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1.1具备光纤通信功能，传输速率≥100Mbps，误码率≤1E-9；</w:t>
            </w:r>
          </w:p>
          <w:p w14:paraId="54B2F746">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1.2通信带宽≥100MHz；</w:t>
            </w:r>
          </w:p>
          <w:p w14:paraId="3197960F">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1.3支持10MHz、1PPS信号传递，具有抑制光纤色散导致的双向传输不对称的能力，同时具有抑制电光调制噪声的能力；</w:t>
            </w:r>
          </w:p>
          <w:p w14:paraId="07244AF6">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1.4输入信号：10MHz，100MHz和4GHz正弦波，1PPS（TTL电平）；</w:t>
            </w:r>
          </w:p>
          <w:p w14:paraId="5F7BFAA6">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1.5输出信号：10MHz、100MHz、5GHz正弦波，1PPS（TTL信号）；</w:t>
            </w:r>
          </w:p>
          <w:p w14:paraId="5A5EE1F7">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1.6传输距离：≥100km；</w:t>
            </w:r>
          </w:p>
          <w:p w14:paraId="588D7FBF">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1.7频率传递模块具备外接链路噪声测量及补偿模块的功能；</w:t>
            </w:r>
          </w:p>
          <w:p w14:paraId="1897377A">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1.8频率传递所用波长/信道：至少支持前向1550.9±0.2nm/ C33，至少支持反向1551.7±0.2nm/ C32、1550.1±0.2nm/ C34；</w:t>
            </w:r>
          </w:p>
          <w:p w14:paraId="1A983176">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1.9频率传递稳定度：≤5E-15@1s，≤1E-17@1d；</w:t>
            </w:r>
          </w:p>
          <w:p w14:paraId="4796EEAE">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1.10时间传递不确定度：≤40ps（标准差）；</w:t>
            </w:r>
          </w:p>
          <w:p w14:paraId="2B35C6EA">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1.11光纤接口：FC；</w:t>
            </w:r>
          </w:p>
          <w:p w14:paraId="75ABE115">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1.12射频信号接口：SMA或BNC；</w:t>
            </w:r>
          </w:p>
          <w:p w14:paraId="3AFADEC4">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1.13网络接口：RJ45</w:t>
            </w:r>
          </w:p>
          <w:p w14:paraId="02111C60">
            <w:pPr>
              <w:pStyle w:val="15"/>
              <w:ind w:left="21" w:leftChars="10"/>
              <w:rPr>
                <w:rFonts w:hint="default" w:ascii="仿宋" w:hAnsi="仿宋" w:eastAsia="仿宋" w:cs="仿宋"/>
                <w:b/>
                <w:bCs/>
                <w:color w:val="auto"/>
                <w:highlight w:val="none"/>
                <w:lang w:eastAsia="zh-CN"/>
              </w:rPr>
            </w:pPr>
            <w:r>
              <w:rPr>
                <w:rFonts w:ascii="仿宋" w:hAnsi="仿宋" w:eastAsia="仿宋" w:cs="仿宋"/>
                <w:b/>
                <w:bCs/>
                <w:color w:val="auto"/>
                <w:highlight w:val="none"/>
                <w:lang w:eastAsia="zh-CN"/>
              </w:rPr>
              <w:t>2、光谱仪（1台）参数：</w:t>
            </w:r>
          </w:p>
          <w:p w14:paraId="06CD8435">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2.1光谱范围：600nm～1700nm；</w:t>
            </w:r>
          </w:p>
          <w:p w14:paraId="42C2614C">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2.2波长精度：±0.02nm（1520 ～ 1620nm）；±0.04nm（1450 ～ 1520nm）；±0.10nm（全波长范围）；</w:t>
            </w:r>
          </w:p>
          <w:p w14:paraId="706AEC78">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2.3采样分辨率≤0.001nm；</w:t>
            </w:r>
          </w:p>
          <w:p w14:paraId="0C0CA0B8">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2.4功率灵敏度：≤-90dBm（1300～1620nm）；</w:t>
            </w:r>
          </w:p>
          <w:p w14:paraId="562224CD">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2.5最大功率：≥20dBm（每通道、全波长范围）</w:t>
            </w:r>
          </w:p>
          <w:p w14:paraId="0B528431">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2.6光纤接口：FC；</w:t>
            </w:r>
          </w:p>
          <w:p w14:paraId="214E96F2">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2.7射频信号接口：SMA或BNC；</w:t>
            </w:r>
          </w:p>
          <w:p w14:paraId="2DACF694">
            <w:pPr>
              <w:pStyle w:val="15"/>
              <w:ind w:left="21" w:leftChars="10"/>
              <w:rPr>
                <w:rFonts w:hint="default" w:ascii="仿宋" w:hAnsi="仿宋" w:eastAsia="仿宋" w:cs="仿宋"/>
                <w:b/>
                <w:bCs/>
                <w:color w:val="auto"/>
                <w:highlight w:val="none"/>
                <w:lang w:eastAsia="zh-CN"/>
              </w:rPr>
            </w:pPr>
            <w:r>
              <w:rPr>
                <w:rFonts w:ascii="仿宋" w:hAnsi="仿宋" w:eastAsia="仿宋" w:cs="仿宋"/>
                <w:b/>
                <w:bCs/>
                <w:color w:val="auto"/>
                <w:highlight w:val="none"/>
                <w:lang w:eastAsia="zh-CN"/>
              </w:rPr>
              <w:t>3、铯原子钟（1台）参数：</w:t>
            </w:r>
          </w:p>
          <w:p w14:paraId="63CE5F32">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3.1相位噪声：≤-100dBc@1Hz，≤-130dBc@10Hz；</w:t>
            </w:r>
          </w:p>
          <w:p w14:paraId="58A47A2F">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3.2相对频偏≤5.0E-13；</w:t>
            </w:r>
          </w:p>
          <w:p w14:paraId="6E4FCAC1">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3.3频率稳定度：≤5.0E-12@1s，≤3E-14@100000s</w:t>
            </w:r>
          </w:p>
          <w:p w14:paraId="0D8A2125">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3.4 1PPS信号幅度≥2.4V；</w:t>
            </w:r>
          </w:p>
          <w:p w14:paraId="0D732232">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3.5 1PPS信号上升沿上升时间≤10ns；</w:t>
            </w:r>
          </w:p>
          <w:p w14:paraId="39A8BE44">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3.6 1PPS信号抖动≤1ns；</w:t>
            </w:r>
          </w:p>
          <w:p w14:paraId="7B00CBF2">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3.7 1PPS信号同步精度≤20ns；</w:t>
            </w:r>
          </w:p>
          <w:p w14:paraId="2FD1F8C5">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3.8射频信号接口：SMA或BNC；</w:t>
            </w:r>
          </w:p>
          <w:p w14:paraId="2766792C">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3.9网络接口：RJ45</w:t>
            </w:r>
          </w:p>
          <w:p w14:paraId="69C1F84C">
            <w:pPr>
              <w:pStyle w:val="15"/>
              <w:ind w:left="21" w:leftChars="10"/>
              <w:rPr>
                <w:rFonts w:hint="default" w:ascii="仿宋" w:hAnsi="仿宋" w:eastAsia="仿宋" w:cs="仿宋"/>
                <w:b/>
                <w:bCs/>
                <w:color w:val="auto"/>
                <w:highlight w:val="none"/>
                <w:lang w:eastAsia="zh-CN"/>
              </w:rPr>
            </w:pPr>
            <w:r>
              <w:rPr>
                <w:rFonts w:ascii="仿宋" w:hAnsi="仿宋" w:eastAsia="仿宋" w:cs="仿宋"/>
                <w:b/>
                <w:bCs/>
                <w:color w:val="auto"/>
                <w:highlight w:val="none"/>
                <w:lang w:eastAsia="zh-CN"/>
              </w:rPr>
              <w:t>4、相噪仪（1台）参数：</w:t>
            </w:r>
          </w:p>
          <w:p w14:paraId="4FD9C5E5">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4.1测量范围至少覆盖5MHz～7GHz；</w:t>
            </w:r>
          </w:p>
          <w:p w14:paraId="0C40ECD2">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4.2输入功率范围至少覆盖-15 dBm ～ +20 dBm；</w:t>
            </w:r>
          </w:p>
          <w:p w14:paraId="3840C940">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4.3相噪测量灵敏度（10MHz）：≤-115dBc/Hz@1Hz, ≤-155dBc/Hz@100Hz, ≤-172dBc/Hz@10kHz, ≤-175dBc/Hz@1MHz；</w:t>
            </w:r>
          </w:p>
          <w:p w14:paraId="75ED52AC">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4.4射频信号接口：SMA或BNC；</w:t>
            </w:r>
          </w:p>
          <w:p w14:paraId="44C83EC8">
            <w:pPr>
              <w:pStyle w:val="15"/>
              <w:ind w:left="21" w:leftChars="10"/>
              <w:rPr>
                <w:rFonts w:hint="default" w:ascii="仿宋" w:hAnsi="仿宋" w:eastAsia="仿宋" w:cs="仿宋"/>
                <w:b/>
                <w:bCs/>
                <w:color w:val="auto"/>
                <w:highlight w:val="none"/>
                <w:lang w:eastAsia="zh-CN"/>
              </w:rPr>
            </w:pPr>
            <w:r>
              <w:rPr>
                <w:rFonts w:ascii="仿宋" w:hAnsi="仿宋" w:eastAsia="仿宋" w:cs="仿宋"/>
                <w:b/>
                <w:bCs/>
                <w:color w:val="auto"/>
                <w:highlight w:val="none"/>
                <w:lang w:eastAsia="zh-CN"/>
              </w:rPr>
              <w:t>5、光纤双向放大器（5台）参数：</w:t>
            </w:r>
          </w:p>
          <w:p w14:paraId="5EE77CAE">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5.1输入光功率：至少覆盖-40～-15 dBm；</w:t>
            </w:r>
          </w:p>
          <w:p w14:paraId="107C3311">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5.2输出光功率：至少覆盖-10～5 dBm；</w:t>
            </w:r>
          </w:p>
          <w:p w14:paraId="6AB3BA46">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5.3噪声系数≤5.5dB；</w:t>
            </w:r>
          </w:p>
          <w:p w14:paraId="382E5F77">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5.4前向激光波长/信道：至少支持1550.9±0.2nm/ C33；</w:t>
            </w:r>
          </w:p>
          <w:p w14:paraId="4F1FB0B6">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5.5反向激光波长/信道：至少支持1551.7±0.2nm/ C32、1550.1±0.2nm/ C34；</w:t>
            </w:r>
          </w:p>
          <w:p w14:paraId="03774B41">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5.6光纤接口：FC；</w:t>
            </w:r>
          </w:p>
          <w:p w14:paraId="1698401C">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5.7串口：RS232</w:t>
            </w:r>
          </w:p>
          <w:p w14:paraId="10D1E8F3">
            <w:pPr>
              <w:pStyle w:val="15"/>
              <w:ind w:left="21" w:leftChars="10"/>
              <w:rPr>
                <w:rFonts w:hint="default" w:ascii="仿宋" w:hAnsi="仿宋" w:eastAsia="仿宋" w:cs="仿宋"/>
                <w:b/>
                <w:bCs/>
                <w:color w:val="auto"/>
                <w:highlight w:val="none"/>
                <w:lang w:eastAsia="zh-CN"/>
              </w:rPr>
            </w:pPr>
            <w:r>
              <w:rPr>
                <w:rFonts w:ascii="仿宋" w:hAnsi="仿宋" w:eastAsia="仿宋" w:cs="仿宋"/>
                <w:b/>
                <w:bCs/>
                <w:color w:val="auto"/>
                <w:highlight w:val="none"/>
                <w:lang w:eastAsia="zh-CN"/>
              </w:rPr>
              <w:t>6、光纤色散补偿器（5台）参数：</w:t>
            </w:r>
          </w:p>
          <w:p w14:paraId="79E0A5EE">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6.1色散值：-1680ps/nm（典型值）；</w:t>
            </w:r>
          </w:p>
          <w:p w14:paraId="66CBAE97">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6.2中心波长：1550.1±0.2nm；</w:t>
            </w:r>
          </w:p>
          <w:p w14:paraId="572939D9">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6.3插损≤9.5dB；</w:t>
            </w:r>
          </w:p>
          <w:p w14:paraId="44ABD378">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6.4波长稳定性≤0.07nm；</w:t>
            </w:r>
          </w:p>
          <w:p w14:paraId="08DF0743">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6.5光纤接口：FC</w:t>
            </w:r>
          </w:p>
          <w:p w14:paraId="6183FF51">
            <w:pPr>
              <w:pStyle w:val="15"/>
              <w:ind w:left="21" w:leftChars="10"/>
              <w:rPr>
                <w:rFonts w:hint="default" w:ascii="仿宋" w:hAnsi="仿宋" w:eastAsia="仿宋" w:cs="仿宋"/>
                <w:b/>
                <w:bCs/>
                <w:color w:val="auto"/>
                <w:highlight w:val="none"/>
                <w:lang w:eastAsia="zh-CN"/>
              </w:rPr>
            </w:pPr>
            <w:r>
              <w:rPr>
                <w:rFonts w:ascii="仿宋" w:hAnsi="仿宋" w:eastAsia="仿宋" w:cs="仿宋"/>
                <w:b/>
                <w:bCs/>
                <w:color w:val="auto"/>
                <w:highlight w:val="none"/>
                <w:lang w:eastAsia="zh-CN"/>
              </w:rPr>
              <w:t>7、缠绕光纤盘（10盘）参数：</w:t>
            </w:r>
          </w:p>
          <w:p w14:paraId="3B3E5147">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7.1单模光纤G652；</w:t>
            </w:r>
          </w:p>
          <w:p w14:paraId="6F429EA7">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7.2光纤接头FC/APC，包层直径：125±1μm；</w:t>
            </w:r>
          </w:p>
          <w:p w14:paraId="6E92D4B9">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7.3光纤长度≥50km；</w:t>
            </w:r>
          </w:p>
          <w:p w14:paraId="3F50C0D5">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7.4光纤损耗≤0.25dB/km</w:t>
            </w:r>
          </w:p>
          <w:p w14:paraId="5796DA19">
            <w:pPr>
              <w:pStyle w:val="15"/>
              <w:ind w:left="21" w:leftChars="10"/>
              <w:rPr>
                <w:rFonts w:hint="default" w:ascii="仿宋" w:hAnsi="仿宋" w:eastAsia="仿宋" w:cs="仿宋"/>
                <w:b/>
                <w:bCs/>
                <w:color w:val="auto"/>
                <w:highlight w:val="none"/>
                <w:lang w:eastAsia="zh-CN"/>
              </w:rPr>
            </w:pPr>
            <w:r>
              <w:rPr>
                <w:rFonts w:ascii="仿宋" w:hAnsi="仿宋" w:eastAsia="仿宋" w:cs="仿宋"/>
                <w:b/>
                <w:bCs/>
                <w:color w:val="auto"/>
                <w:highlight w:val="none"/>
                <w:lang w:eastAsia="zh-CN"/>
              </w:rPr>
              <w:t>8、高精度数字万用表（1台）参数：</w:t>
            </w:r>
          </w:p>
          <w:p w14:paraId="752D6B71">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8.1分辨率位数≥6位半；</w:t>
            </w:r>
          </w:p>
          <w:p w14:paraId="6A65CD4E">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8.2 DCV基本精度≤30ppm；</w:t>
            </w:r>
          </w:p>
          <w:p w14:paraId="39503E56">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8.3读数速率≥5,000 个读数/秒；</w:t>
            </w:r>
          </w:p>
          <w:p w14:paraId="2B951099">
            <w:pPr>
              <w:pStyle w:val="15"/>
              <w:ind w:left="21" w:leftChars="10"/>
              <w:rPr>
                <w:rFonts w:ascii="仿宋" w:hAnsi="仿宋" w:eastAsia="仿宋" w:cs="仿宋"/>
                <w:color w:val="auto"/>
                <w:highlight w:val="none"/>
                <w:lang w:eastAsia="zh-CN"/>
              </w:rPr>
            </w:pPr>
            <w:r>
              <w:rPr>
                <w:rFonts w:ascii="仿宋" w:hAnsi="仿宋" w:eastAsia="仿宋" w:cs="仿宋"/>
                <w:color w:val="auto"/>
                <w:highlight w:val="none"/>
                <w:lang w:eastAsia="zh-CN"/>
              </w:rPr>
              <w:t>8.4测量范围至少覆盖：100mV～1,000 V（DCV, ACV），1μA～10A（DCI），100Ω～1,000MΩ（2线和4线电阻）</w:t>
            </w:r>
          </w:p>
          <w:p w14:paraId="06299CDA">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注:带“★”的参数需求为实质性要求，供应商必须响应并满足的参数需求，并提供佐证材料（包含但不限于第三方检测报告或官网截图或使用说明书或产品彩页等）</w:t>
            </w:r>
          </w:p>
        </w:tc>
      </w:tr>
      <w:tr w14:paraId="5E850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dxa"/>
          </w:tcPr>
          <w:p w14:paraId="48CB5720">
            <w:pPr>
              <w:pStyle w:val="15"/>
              <w:rPr>
                <w:rFonts w:hint="default" w:ascii="仿宋" w:hAnsi="仿宋" w:eastAsia="仿宋" w:cs="仿宋"/>
                <w:color w:val="auto"/>
                <w:highlight w:val="none"/>
                <w:lang w:eastAsia="zh-CN"/>
              </w:rPr>
            </w:pPr>
            <w:r>
              <w:rPr>
                <w:rFonts w:ascii="仿宋" w:hAnsi="仿宋" w:eastAsia="仿宋" w:cs="仿宋"/>
                <w:color w:val="auto"/>
                <w:highlight w:val="none"/>
                <w:lang w:eastAsia="zh-CN"/>
              </w:rPr>
              <w:t>2</w:t>
            </w:r>
          </w:p>
        </w:tc>
        <w:tc>
          <w:tcPr>
            <w:tcW w:w="671" w:type="dxa"/>
          </w:tcPr>
          <w:p w14:paraId="2C0717C5">
            <w:pPr>
              <w:rPr>
                <w:rFonts w:ascii="仿宋" w:hAnsi="仿宋" w:eastAsia="仿宋" w:cs="仿宋"/>
                <w:color w:val="auto"/>
                <w:sz w:val="20"/>
                <w:szCs w:val="20"/>
                <w:highlight w:val="none"/>
              </w:rPr>
            </w:pPr>
          </w:p>
        </w:tc>
        <w:tc>
          <w:tcPr>
            <w:tcW w:w="7205" w:type="dxa"/>
          </w:tcPr>
          <w:p w14:paraId="15B70E85">
            <w:pPr>
              <w:pStyle w:val="15"/>
              <w:jc w:val="both"/>
              <w:rPr>
                <w:rFonts w:hint="default"/>
                <w:color w:val="auto"/>
                <w:highlight w:val="none"/>
              </w:rPr>
            </w:pPr>
            <w:r>
              <w:rPr>
                <w:rFonts w:ascii="仿宋_GB2312" w:hAnsi="仿宋_GB2312" w:eastAsia="仿宋_GB2312" w:cs="仿宋_GB2312"/>
                <w:b/>
                <w:color w:val="auto"/>
                <w:highlight w:val="none"/>
              </w:rPr>
              <w:t>1、培训</w:t>
            </w:r>
          </w:p>
          <w:p w14:paraId="252858FF">
            <w:pPr>
              <w:pStyle w:val="15"/>
              <w:rPr>
                <w:rFonts w:hint="default"/>
                <w:color w:val="auto"/>
                <w:highlight w:val="none"/>
              </w:rPr>
            </w:pPr>
            <w:r>
              <w:rPr>
                <w:rFonts w:ascii="仿宋_GB2312" w:hAnsi="仿宋_GB2312" w:eastAsia="仿宋_GB2312" w:cs="仿宋_GB2312"/>
                <w:color w:val="auto"/>
                <w:highlight w:val="none"/>
              </w:rPr>
              <w:t>1.1设备安装调试完成后，</w:t>
            </w:r>
            <w:r>
              <w:rPr>
                <w:rFonts w:ascii="仿宋_GB2312" w:hAnsi="仿宋_GB2312" w:eastAsia="仿宋_GB2312" w:cs="仿宋_GB2312"/>
                <w:color w:val="auto"/>
                <w:highlight w:val="none"/>
                <w:lang w:eastAsia="zh-CN"/>
              </w:rPr>
              <w:t>供应商</w:t>
            </w:r>
            <w:r>
              <w:rPr>
                <w:rFonts w:ascii="仿宋_GB2312" w:hAnsi="仿宋_GB2312" w:eastAsia="仿宋_GB2312" w:cs="仿宋_GB2312"/>
                <w:color w:val="auto"/>
                <w:highlight w:val="none"/>
              </w:rPr>
              <w:t>须在</w:t>
            </w:r>
            <w:r>
              <w:rPr>
                <w:rFonts w:ascii="仿宋_GB2312" w:hAnsi="仿宋_GB2312" w:eastAsia="仿宋_GB2312" w:cs="仿宋_GB2312"/>
                <w:color w:val="auto"/>
                <w:highlight w:val="none"/>
                <w:lang w:eastAsia="zh-CN"/>
              </w:rPr>
              <w:t>采购方</w:t>
            </w:r>
            <w:r>
              <w:rPr>
                <w:rFonts w:ascii="仿宋_GB2312" w:hAnsi="仿宋_GB2312" w:eastAsia="仿宋_GB2312" w:cs="仿宋_GB2312"/>
                <w:color w:val="auto"/>
                <w:highlight w:val="none"/>
              </w:rPr>
              <w:t>现场为指定人员提供全面的操作与维护培训。培训目标为确保</w:t>
            </w:r>
            <w:r>
              <w:rPr>
                <w:rFonts w:ascii="仿宋_GB2312" w:hAnsi="仿宋_GB2312" w:eastAsia="仿宋_GB2312" w:cs="仿宋_GB2312"/>
                <w:color w:val="auto"/>
                <w:highlight w:val="none"/>
                <w:lang w:eastAsia="zh-CN"/>
              </w:rPr>
              <w:t>采购方</w:t>
            </w:r>
            <w:r>
              <w:rPr>
                <w:rFonts w:ascii="仿宋_GB2312" w:hAnsi="仿宋_GB2312" w:eastAsia="仿宋_GB2312" w:cs="仿宋_GB2312"/>
                <w:color w:val="auto"/>
                <w:highlight w:val="none"/>
              </w:rPr>
              <w:t>至少两名相关人员能够：</w:t>
            </w:r>
            <w:r>
              <w:rPr>
                <w:rFonts w:ascii="仿宋_GB2312" w:hAnsi="仿宋_GB2312" w:eastAsia="仿宋_GB2312" w:cs="仿宋_GB2312"/>
                <w:color w:val="auto"/>
                <w:highlight w:val="none"/>
                <w:lang w:eastAsia="zh-CN"/>
              </w:rPr>
              <w:t>①</w:t>
            </w:r>
            <w:r>
              <w:rPr>
                <w:rFonts w:ascii="仿宋_GB2312" w:hAnsi="仿宋_GB2312" w:eastAsia="仿宋_GB2312" w:cs="仿宋_GB2312"/>
                <w:color w:val="auto"/>
                <w:highlight w:val="none"/>
              </w:rPr>
              <w:t>独立、规范、安全地操作设备完成常规实验任务</w:t>
            </w:r>
            <w:r>
              <w:rPr>
                <w:rFonts w:ascii="仿宋_GB2312" w:hAnsi="仿宋_GB2312" w:eastAsia="仿宋_GB2312" w:cs="仿宋_GB2312"/>
                <w:color w:val="auto"/>
                <w:highlight w:val="none"/>
                <w:lang w:eastAsia="zh-CN"/>
              </w:rPr>
              <w:t>；②</w:t>
            </w:r>
            <w:r>
              <w:rPr>
                <w:rFonts w:ascii="仿宋_GB2312" w:hAnsi="仿宋_GB2312" w:eastAsia="仿宋_GB2312" w:cs="仿宋_GB2312"/>
                <w:color w:val="auto"/>
                <w:highlight w:val="none"/>
              </w:rPr>
              <w:t>熟练掌握设备的日常、定期维护保养规程</w:t>
            </w:r>
            <w:r>
              <w:rPr>
                <w:rFonts w:ascii="仿宋_GB2312" w:hAnsi="仿宋_GB2312" w:eastAsia="仿宋_GB2312" w:cs="仿宋_GB2312"/>
                <w:color w:val="auto"/>
                <w:highlight w:val="none"/>
                <w:lang w:eastAsia="zh-CN"/>
              </w:rPr>
              <w:t>；③</w:t>
            </w:r>
            <w:r>
              <w:rPr>
                <w:rFonts w:ascii="仿宋_GB2312" w:hAnsi="仿宋_GB2312" w:eastAsia="仿宋_GB2312" w:cs="仿宋_GB2312"/>
                <w:color w:val="auto"/>
                <w:highlight w:val="none"/>
              </w:rPr>
              <w:t>深刻理解设备基本原理，具备基础故障的诊断、排查与应急处理能力</w:t>
            </w:r>
            <w:r>
              <w:rPr>
                <w:rFonts w:ascii="仿宋_GB2312" w:hAnsi="仿宋_GB2312" w:eastAsia="仿宋_GB2312" w:cs="仿宋_GB2312"/>
                <w:color w:val="auto"/>
                <w:highlight w:val="none"/>
                <w:lang w:eastAsia="zh-CN"/>
              </w:rPr>
              <w:t>；④</w:t>
            </w:r>
            <w:r>
              <w:rPr>
                <w:rFonts w:ascii="仿宋_GB2312" w:hAnsi="仿宋_GB2312" w:eastAsia="仿宋_GB2312" w:cs="仿宋_GB2312"/>
                <w:color w:val="auto"/>
                <w:highlight w:val="none"/>
              </w:rPr>
              <w:t>通过培训，实质性提升</w:t>
            </w:r>
            <w:r>
              <w:rPr>
                <w:rFonts w:ascii="仿宋_GB2312" w:hAnsi="仿宋_GB2312" w:eastAsia="仿宋_GB2312" w:cs="仿宋_GB2312"/>
                <w:color w:val="auto"/>
                <w:highlight w:val="none"/>
                <w:lang w:eastAsia="zh-CN"/>
              </w:rPr>
              <w:t>采购方</w:t>
            </w:r>
            <w:r>
              <w:rPr>
                <w:rFonts w:ascii="仿宋_GB2312" w:hAnsi="仿宋_GB2312" w:eastAsia="仿宋_GB2312" w:cs="仿宋_GB2312"/>
                <w:color w:val="auto"/>
                <w:highlight w:val="none"/>
              </w:rPr>
              <w:t>的自主运维水平，降低对</w:t>
            </w:r>
            <w:r>
              <w:rPr>
                <w:rFonts w:ascii="仿宋_GB2312" w:hAnsi="仿宋_GB2312" w:eastAsia="仿宋_GB2312" w:cs="仿宋_GB2312"/>
                <w:color w:val="auto"/>
                <w:highlight w:val="none"/>
                <w:lang w:eastAsia="zh-CN"/>
              </w:rPr>
              <w:t>供应商</w:t>
            </w:r>
            <w:r>
              <w:rPr>
                <w:rFonts w:ascii="仿宋_GB2312" w:hAnsi="仿宋_GB2312" w:eastAsia="仿宋_GB2312" w:cs="仿宋_GB2312"/>
                <w:color w:val="auto"/>
                <w:highlight w:val="none"/>
              </w:rPr>
              <w:t>的技术依赖。培训费用由供应商承担。</w:t>
            </w:r>
          </w:p>
          <w:p w14:paraId="652B4BE1">
            <w:pPr>
              <w:pStyle w:val="15"/>
              <w:jc w:val="both"/>
              <w:rPr>
                <w:rFonts w:hint="default"/>
                <w:color w:val="auto"/>
                <w:highlight w:val="none"/>
              </w:rPr>
            </w:pPr>
            <w:r>
              <w:rPr>
                <w:rFonts w:ascii="仿宋_GB2312" w:hAnsi="仿宋_GB2312" w:eastAsia="仿宋_GB2312" w:cs="仿宋_GB2312"/>
                <w:color w:val="auto"/>
                <w:highlight w:val="none"/>
              </w:rPr>
              <w:t>1.2仪器使用培训的内容包括：仪器的使用操作、日常的维护保养及简单的故障维修，使用户能够独立使用和获取正确的数据。培训完成后，供应商需提供仪器的使用手册和常规故障排</w:t>
            </w:r>
            <w:bookmarkStart w:id="0" w:name="_GoBack"/>
            <w:bookmarkEnd w:id="0"/>
            <w:r>
              <w:rPr>
                <w:rFonts w:ascii="仿宋_GB2312" w:hAnsi="仿宋_GB2312" w:eastAsia="仿宋_GB2312" w:cs="仿宋_GB2312"/>
                <w:color w:val="auto"/>
                <w:highlight w:val="none"/>
              </w:rPr>
              <w:t>除说</w:t>
            </w:r>
            <w:r>
              <w:rPr>
                <w:rFonts w:ascii="仿宋_GB2312" w:hAnsi="仿宋_GB2312" w:eastAsia="仿宋_GB2312" w:cs="仿宋_GB2312"/>
                <w:color w:val="auto"/>
                <w:highlight w:val="none"/>
                <w:lang w:eastAsia="zh-CN"/>
              </w:rPr>
              <w:t>明。（</w:t>
            </w:r>
            <w:r>
              <w:rPr>
                <w:rFonts w:ascii="仿宋_GB2312" w:hAnsi="仿宋_GB2312" w:eastAsia="仿宋_GB2312" w:cs="仿宋_GB2312"/>
                <w:color w:val="auto"/>
                <w:highlight w:val="none"/>
              </w:rPr>
              <w:t>应用培训的内容需根据用户具体情况安排有针对性的应用培训。</w:t>
            </w:r>
            <w:r>
              <w:rPr>
                <w:rFonts w:ascii="仿宋_GB2312" w:hAnsi="仿宋_GB2312" w:eastAsia="仿宋_GB2312" w:cs="仿宋_GB2312"/>
                <w:color w:val="auto"/>
                <w:highlight w:val="none"/>
                <w:lang w:eastAsia="zh-CN"/>
              </w:rPr>
              <w:t>）</w:t>
            </w:r>
          </w:p>
          <w:p w14:paraId="7B966785">
            <w:pPr>
              <w:pStyle w:val="10"/>
              <w:jc w:val="both"/>
              <w:rPr>
                <w:rFonts w:ascii="仿宋" w:hAnsi="仿宋" w:eastAsia="仿宋" w:cs="仿宋"/>
                <w:color w:val="auto"/>
                <w:spacing w:val="-3"/>
                <w:sz w:val="20"/>
                <w:szCs w:val="20"/>
                <w:highlight w:val="none"/>
                <w:lang w:eastAsia="zh-Hans"/>
              </w:rPr>
            </w:pPr>
            <w:r>
              <w:rPr>
                <w:rFonts w:ascii="仿宋_GB2312" w:hAnsi="仿宋_GB2312" w:eastAsia="仿宋_GB2312" w:cs="仿宋_GB2312"/>
                <w:b/>
                <w:color w:val="auto"/>
                <w:sz w:val="20"/>
                <w:szCs w:val="20"/>
                <w:highlight w:val="none"/>
                <w:lang w:eastAsia="zh-CN"/>
              </w:rPr>
              <w:t>2、其他要求：供应商为用户提供至少一次免费设备移机服务</w:t>
            </w:r>
          </w:p>
        </w:tc>
      </w:tr>
    </w:tbl>
    <w:p w14:paraId="7A037F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462AD"/>
    <w:multiLevelType w:val="multilevel"/>
    <w:tmpl w:val="55D462AD"/>
    <w:lvl w:ilvl="0" w:tentative="0">
      <w:start w:val="1"/>
      <w:numFmt w:val="decimal"/>
      <w:pStyle w:val="2"/>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shadow w:val="0"/>
        <w:emboss w:val="0"/>
        <w:imprint w:val="0"/>
        <w:vanish w:val="0"/>
        <w:vertAlign w:val="baseline"/>
      </w:rPr>
    </w:lvl>
    <w:lvl w:ilvl="3" w:tentative="0">
      <w:start w:val="1"/>
      <w:numFmt w:val="decimal"/>
      <w:lvlText w:val="%1.%2.%3.%4."/>
      <w:lvlJc w:val="left"/>
      <w:pPr>
        <w:tabs>
          <w:tab w:val="left" w:pos="851"/>
        </w:tabs>
        <w:ind w:left="851" w:hanging="851"/>
      </w:pPr>
      <w:rPr>
        <w:rFonts w:hint="eastAsia" w:ascii="宋体" w:hAnsi="宋体" w:eastAsia="宋体"/>
        <w:b/>
        <w:sz w:val="24"/>
        <w:szCs w:val="24"/>
      </w:rPr>
    </w:lvl>
    <w:lvl w:ilvl="4" w:tentative="0">
      <w:start w:val="1"/>
      <w:numFmt w:val="decimal"/>
      <w:pStyle w:val="5"/>
      <w:lvlText w:val="%1.%2.%3.%4.%5."/>
      <w:lvlJc w:val="left"/>
      <w:pPr>
        <w:tabs>
          <w:tab w:val="left" w:pos="992"/>
        </w:tabs>
        <w:ind w:left="992" w:hanging="992"/>
      </w:pPr>
      <w:rPr>
        <w:rFonts w:hint="eastAsia"/>
        <w:b/>
        <w:i w:val="0"/>
        <w:sz w:val="24"/>
        <w:szCs w:val="24"/>
      </w:rPr>
    </w:lvl>
    <w:lvl w:ilvl="5" w:tentative="0">
      <w:start w:val="1"/>
      <w:numFmt w:val="decimal"/>
      <w:pStyle w:val="6"/>
      <w:lvlText w:val="%1.%2.%3.%4.%5.%6."/>
      <w:lvlJc w:val="left"/>
      <w:pPr>
        <w:tabs>
          <w:tab w:val="left" w:pos="1134"/>
        </w:tabs>
        <w:ind w:left="1134" w:hanging="1134"/>
      </w:pPr>
      <w:rPr>
        <w:rFonts w:hint="eastAsia" w:ascii="宋体" w:hAnsi="宋体" w:eastAsia="宋体"/>
      </w:rPr>
    </w:lvl>
    <w:lvl w:ilvl="6" w:tentative="0">
      <w:start w:val="1"/>
      <w:numFmt w:val="decimal"/>
      <w:pStyle w:val="7"/>
      <w:lvlText w:val="%1.%2.%3.%4.%5.%6.%7."/>
      <w:lvlJc w:val="left"/>
      <w:pPr>
        <w:tabs>
          <w:tab w:val="left" w:pos="1276"/>
        </w:tabs>
        <w:ind w:left="1276" w:hanging="1276"/>
      </w:pPr>
      <w:rPr>
        <w:rFonts w:hint="eastAsia" w:ascii="宋体" w:hAnsi="宋体" w:eastAsia="宋体"/>
      </w:rPr>
    </w:lvl>
    <w:lvl w:ilvl="7" w:tentative="0">
      <w:start w:val="1"/>
      <w:numFmt w:val="decimal"/>
      <w:pStyle w:val="8"/>
      <w:lvlText w:val="%1.%2.%3.%4.%5.%6.%7.%8."/>
      <w:lvlJc w:val="left"/>
      <w:pPr>
        <w:tabs>
          <w:tab w:val="left" w:pos="1418"/>
        </w:tabs>
        <w:ind w:left="1418" w:hanging="1418"/>
      </w:pPr>
      <w:rPr>
        <w:rFonts w:hint="eastAsia"/>
      </w:rPr>
    </w:lvl>
    <w:lvl w:ilvl="8" w:tentative="0">
      <w:start w:val="1"/>
      <w:numFmt w:val="decimal"/>
      <w:pStyle w:val="9"/>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F723F"/>
    <w:rsid w:val="38811846"/>
    <w:rsid w:val="47A00955"/>
    <w:rsid w:val="4FFA62C3"/>
    <w:rsid w:val="5B394BC5"/>
    <w:rsid w:val="60CF045C"/>
    <w:rsid w:val="67C14DF2"/>
    <w:rsid w:val="6B3E7E6D"/>
    <w:rsid w:val="780A5382"/>
    <w:rsid w:val="78897695"/>
    <w:rsid w:val="7CDE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link w:val="13"/>
    <w:semiHidden/>
    <w:unhideWhenUsed/>
    <w:qFormat/>
    <w:uiPriority w:val="0"/>
    <w:pPr>
      <w:keepNext/>
      <w:keepLines/>
      <w:spacing w:before="260" w:after="260" w:line="360" w:lineRule="auto"/>
      <w:outlineLvl w:val="1"/>
    </w:pPr>
    <w:rPr>
      <w:rFonts w:ascii="宋体" w:hAnsi="宋体" w:eastAsia="宋体"/>
      <w:b/>
      <w:bCs/>
      <w:sz w:val="24"/>
      <w:szCs w:val="18"/>
    </w:rPr>
  </w:style>
  <w:style w:type="paragraph" w:styleId="4">
    <w:name w:val="heading 3"/>
    <w:basedOn w:val="1"/>
    <w:next w:val="1"/>
    <w:link w:val="14"/>
    <w:semiHidden/>
    <w:unhideWhenUsed/>
    <w:qFormat/>
    <w:uiPriority w:val="0"/>
    <w:pPr>
      <w:keepNext/>
      <w:keepLines/>
      <w:spacing w:before="260" w:after="260" w:line="360" w:lineRule="auto"/>
      <w:ind w:left="0" w:firstLine="0"/>
      <w:outlineLvl w:val="2"/>
    </w:pPr>
    <w:rPr>
      <w:rFonts w:ascii="Times New Roman" w:hAnsi="Times New Roman" w:eastAsia="宋体"/>
      <w:b/>
      <w:bCs/>
      <w:sz w:val="24"/>
      <w:szCs w:val="32"/>
    </w:rPr>
  </w:style>
  <w:style w:type="paragraph" w:styleId="5">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2" w:hanging="992"/>
      <w:outlineLvl w:val="4"/>
    </w:pPr>
    <w:rPr>
      <w:b/>
      <w:sz w:val="28"/>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6" w:hanging="1276"/>
      <w:outlineLvl w:val="6"/>
    </w:pPr>
    <w:rPr>
      <w:b/>
      <w:sz w:val="24"/>
    </w:rPr>
  </w:style>
  <w:style w:type="paragraph" w:styleId="8">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9" w:hanging="1559"/>
      <w:outlineLvl w:val="8"/>
    </w:pPr>
    <w:rPr>
      <w:rFonts w:ascii="Arial" w:hAnsi="Arial" w:eastAsia="黑体"/>
      <w:sz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10">
    <w:name w:val="Body Text"/>
    <w:basedOn w:val="1"/>
    <w:semiHidden/>
    <w:qFormat/>
    <w:uiPriority w:val="0"/>
    <w:rPr>
      <w:rFonts w:ascii="宋体" w:hAnsi="宋体" w:eastAsia="宋体" w:cs="宋体"/>
      <w:sz w:val="24"/>
      <w:szCs w:val="24"/>
    </w:rPr>
  </w:style>
  <w:style w:type="character" w:customStyle="1" w:styleId="13">
    <w:name w:val="标题 2 Char"/>
    <w:link w:val="3"/>
    <w:qFormat/>
    <w:uiPriority w:val="0"/>
    <w:rPr>
      <w:rFonts w:ascii="宋体" w:hAnsi="宋体" w:eastAsia="宋体"/>
      <w:b/>
      <w:bCs/>
      <w:kern w:val="2"/>
      <w:sz w:val="24"/>
      <w:szCs w:val="18"/>
    </w:rPr>
  </w:style>
  <w:style w:type="character" w:customStyle="1" w:styleId="14">
    <w:name w:val="标题 3 Char"/>
    <w:link w:val="4"/>
    <w:qFormat/>
    <w:uiPriority w:val="0"/>
    <w:rPr>
      <w:rFonts w:ascii="Times New Roman" w:hAnsi="Times New Roman" w:eastAsia="宋体"/>
      <w:b/>
      <w:bCs/>
      <w:kern w:val="2"/>
      <w:sz w:val="24"/>
      <w:szCs w:val="32"/>
    </w:r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1402</Words>
  <Characters>2009</Characters>
  <Lines>0</Lines>
  <Paragraphs>0</Paragraphs>
  <TotalTime>0</TotalTime>
  <ScaleCrop>false</ScaleCrop>
  <LinksUpToDate>false</LinksUpToDate>
  <CharactersWithSpaces>2036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2022-09-07T05:52:00Z</dcterms:created>
  <dc:creator>Administrator</dc:creator>
  <cp:lastModifiedBy>起点</cp:lastModifiedBy>
  <dcterms:modified xsi:type="dcterms:W3CDTF">2025-12-08T03:12:24Z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466DA3339AB84D6DADD071CF891D7CBE</vt:lpwstr>
  </property>
  <property fmtid="{D5CDD505-2E9C-101B-9397-08002B2CF9AE}" pid="4" name="KSOTemplateDocerSaveRecord">
    <vt:lpwstr>eyJoZGlkIjoiNzQ2Y2ZmOTBkMTUyODBhYTJmYzM2MWM5NGIxYjkxMDYiLCJ1c2VySWQiOiI2Mjk5OTE3MzAifQ==</vt:lpwstr>
  </property>
</Properties>
</file>