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1955"/>
      <w:bookmarkStart w:id="1" w:name="_Toc268"/>
      <w:bookmarkStart w:id="2" w:name="_Toc495908398"/>
      <w:bookmarkStart w:id="3" w:name="_Toc519156735"/>
    </w:p>
    <w:p w14:paraId="2F3C1DDF">
      <w:pPr>
        <w:jc w:val="center"/>
        <w:rPr>
          <w:rFonts w:hint="eastAsia" w:ascii="宋体" w:hAnsi="宋体" w:eastAsia="宋体" w:cs="宋体"/>
          <w:sz w:val="21"/>
          <w:szCs w:val="24"/>
          <w:highlight w:val="none"/>
        </w:rPr>
      </w:pPr>
      <w:r>
        <w:rPr>
          <w:rFonts w:hint="eastAsia" w:ascii="宋体" w:hAnsi="宋体" w:cs="宋体"/>
          <w:b/>
          <w:bCs/>
          <w:color w:val="auto"/>
          <w:sz w:val="44"/>
          <w:szCs w:val="44"/>
          <w:highlight w:val="none"/>
          <w:lang w:val="en-US" w:eastAsia="zh-CN"/>
        </w:rPr>
        <w:t>交通基础设施智能检测与状态评估成套技术</w:t>
      </w:r>
    </w:p>
    <w:p w14:paraId="3FBBC90F">
      <w:pPr>
        <w:rPr>
          <w:rFonts w:hint="eastAsia" w:ascii="宋体" w:hAnsi="宋体" w:eastAsia="宋体" w:cs="宋体"/>
        </w:rPr>
      </w:pPr>
    </w:p>
    <w:p w14:paraId="5FE1F06D">
      <w:pPr>
        <w:rPr>
          <w:rFonts w:hint="eastAsia" w:ascii="宋体" w:hAnsi="宋体" w:eastAsia="宋体" w:cs="宋体"/>
        </w:rPr>
      </w:pPr>
    </w:p>
    <w:p w14:paraId="0C27DEBB">
      <w:pPr>
        <w:rPr>
          <w:rFonts w:hint="eastAsia" w:ascii="宋体" w:hAnsi="宋体" w:eastAsia="宋体" w:cs="宋体"/>
        </w:rPr>
      </w:pPr>
    </w:p>
    <w:p w14:paraId="77730419">
      <w:pPr>
        <w:rPr>
          <w:rFonts w:hint="eastAsia" w:ascii="宋体" w:hAnsi="宋体" w:eastAsia="宋体" w:cs="宋体"/>
        </w:rPr>
      </w:pPr>
    </w:p>
    <w:p w14:paraId="68723637">
      <w:pPr>
        <w:rPr>
          <w:rFonts w:hint="eastAsia" w:ascii="宋体" w:hAnsi="宋体" w:eastAsia="宋体" w:cs="宋体"/>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B9C8BF2">
      <w:pPr>
        <w:pStyle w:val="27"/>
        <w:rPr>
          <w:rFonts w:hint="eastAsia" w:ascii="宋体" w:hAnsi="宋体" w:eastAsia="宋体" w:cs="宋体"/>
        </w:rPr>
      </w:pPr>
    </w:p>
    <w:p w14:paraId="1A472E68">
      <w:pPr>
        <w:rPr>
          <w:rFonts w:hint="eastAsia"/>
        </w:rPr>
      </w:pPr>
    </w:p>
    <w:p w14:paraId="1CBE4726">
      <w:pPr>
        <w:rPr>
          <w:rFonts w:hint="eastAsia"/>
        </w:rPr>
      </w:pPr>
    </w:p>
    <w:p w14:paraId="75AC2B4D">
      <w:pPr>
        <w:rPr>
          <w:rFonts w:hint="eastAsia"/>
        </w:rPr>
      </w:pPr>
    </w:p>
    <w:p w14:paraId="601F13E3">
      <w:pPr>
        <w:rPr>
          <w:rFonts w:hint="eastAsia"/>
        </w:rPr>
      </w:pPr>
    </w:p>
    <w:p w14:paraId="499ECE4B">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lang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XHZB-25-0</w:t>
      </w:r>
      <w:r>
        <w:rPr>
          <w:rFonts w:hint="eastAsia" w:ascii="宋体" w:hAnsi="宋体" w:cs="宋体"/>
          <w:b/>
          <w:bCs/>
          <w:i w:val="0"/>
          <w:iCs w:val="0"/>
          <w:snapToGrid w:val="0"/>
          <w:color w:val="000000"/>
          <w:spacing w:val="6"/>
          <w:kern w:val="0"/>
          <w:position w:val="32"/>
          <w:sz w:val="35"/>
          <w:szCs w:val="35"/>
          <w:u w:val="single"/>
          <w:lang w:val="en-US" w:eastAsia="zh-CN"/>
        </w:rPr>
        <w:t>91</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eastAsia="en-US"/>
        </w:rPr>
        <w:t xml:space="preserve"> </w:t>
      </w:r>
      <w:r>
        <w:rPr>
          <w:rFonts w:hint="eastAsia" w:ascii="宋体" w:hAnsi="宋体" w:eastAsia="宋体" w:cs="宋体"/>
          <w:b/>
          <w:bCs/>
          <w:i w:val="0"/>
          <w:iCs w:val="0"/>
          <w:snapToGrid w:val="0"/>
          <w:color w:val="000000"/>
          <w:spacing w:val="6"/>
          <w:kern w:val="0"/>
          <w:position w:val="32"/>
          <w:sz w:val="35"/>
          <w:szCs w:val="35"/>
          <w:lang w:eastAsia="en-US"/>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990"/>
      <w:bookmarkStart w:id="6" w:name="_Toc8474"/>
      <w:bookmarkStart w:id="7" w:name="_Toc519156736"/>
      <w:bookmarkStart w:id="8" w:name="_Toc495908399"/>
      <w:bookmarkStart w:id="9" w:name="_Toc26933"/>
      <w:bookmarkStart w:id="10" w:name="_Toc28842"/>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交通基础设施智能检测与状态评估成套技术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02</w:t>
      </w:r>
      <w:r>
        <w:rPr>
          <w:rFonts w:hint="eastAsia" w:ascii="宋体" w:hAnsi="宋体" w:eastAsia="宋体" w:cs="宋体"/>
          <w:highlight w:val="none"/>
        </w:rPr>
        <w:t>日</w:t>
      </w:r>
      <w:r>
        <w:rPr>
          <w:rFonts w:hint="eastAsia" w:ascii="宋体" w:hAnsi="宋体" w:eastAsia="宋体" w:cs="宋体"/>
          <w:highlight w:val="none"/>
          <w:lang w:val="en-US" w:eastAsia="zh-CN"/>
        </w:rPr>
        <w:t>9</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66F604B0">
      <w:pPr>
        <w:pStyle w:val="29"/>
        <w:wordWrap w:val="0"/>
        <w:spacing w:beforeAutospacing="0" w:afterAutospacing="0" w:line="360" w:lineRule="auto"/>
        <w:ind w:firstLine="480"/>
        <w:jc w:val="both"/>
        <w:outlineLvl w:val="9"/>
        <w:rPr>
          <w:rFonts w:hint="eastAsia"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091</w:t>
      </w:r>
    </w:p>
    <w:p w14:paraId="610112C5">
      <w:pPr>
        <w:pStyle w:val="29"/>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交通基础设施智能检测与状态评估成套技术</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桥梁隧道结构健康监测数据应用技术研究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桥梁隧道结构健康监测数据应用技术研究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桥梁隧道结构健康监测数据应用技术研究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0470D9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ascii="宋体" w:hAnsi="宋体" w:cs="宋体"/>
          <w:highlight w:val="none"/>
          <w:lang w:eastAsia="zh-CN"/>
        </w:rPr>
        <w:t>高速公路表面损伤智能检测与评估技术研究</w:t>
      </w:r>
      <w:r>
        <w:rPr>
          <w:rFonts w:hint="eastAsia" w:ascii="宋体" w:hAnsi="宋体" w:eastAsia="宋体" w:cs="宋体"/>
          <w:highlight w:val="none"/>
        </w:rPr>
        <w:t>):</w:t>
      </w:r>
    </w:p>
    <w:p w14:paraId="134171B7">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6847C5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958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0C1BC">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2C36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AE6C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357F3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715F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9A6A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5E7E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026B5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25D83">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F942DF">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bookmarkStart w:id="123" w:name="_GoBack"/>
            <w:bookmarkEnd w:id="123"/>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076D5">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高速公路表面损伤智能检测与评估技术研究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ABC177">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7F67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高速公路表面损伤智能检测与评估技术研究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67167">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AD884">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BDBB3E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DEA5EB1">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合同包1(</w:t>
      </w:r>
      <w:r>
        <w:rPr>
          <w:rFonts w:hint="eastAsia" w:ascii="宋体" w:hAnsi="宋体" w:cs="宋体"/>
          <w:highlight w:val="none"/>
          <w:lang w:eastAsia="zh-CN"/>
        </w:rPr>
        <w:t>交通基础设施智能检测与状态评估成套技术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0</w:t>
      </w:r>
      <w:r>
        <w:rPr>
          <w:rFonts w:hint="eastAsia"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0</w:t>
      </w:r>
      <w:r>
        <w:rPr>
          <w:rFonts w:hint="eastAsia"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020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F51DFE">
            <w:pPr>
              <w:widowControl/>
              <w:jc w:val="center"/>
              <w:textAlignment w:val="center"/>
              <w:rPr>
                <w:rFonts w:hint="default" w:ascii="宋体" w:hAnsi="宋体" w:eastAsia="宋体" w:cs="宋体"/>
                <w:color w:val="000000"/>
                <w:kern w:val="0"/>
                <w:sz w:val="22"/>
                <w:szCs w:val="22"/>
                <w:highlight w:val="none"/>
                <w:lang w:val="en-US" w:eastAsia="zh-CN" w:bidi="ar"/>
              </w:rPr>
            </w:pPr>
            <w:bookmarkStart w:id="12" w:name="_Toc519156737"/>
            <w:bookmarkStart w:id="13" w:name="_Toc32286"/>
            <w:bookmarkStart w:id="14" w:name="_Toc32045"/>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14:paraId="7680DCFF">
            <w:pPr>
              <w:spacing w:line="360"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vAlign w:val="center"/>
          </w:tcPr>
          <w:p w14:paraId="535DDC07">
            <w:pPr>
              <w:pStyle w:val="83"/>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10488"/>
      <w:bookmarkStart w:id="16" w:name="_Toc3716"/>
      <w:bookmarkStart w:id="17" w:name="_Toc23167"/>
      <w:bookmarkStart w:id="18" w:name="_Toc26143"/>
      <w:bookmarkStart w:id="19" w:name="_Toc519156746"/>
      <w:bookmarkStart w:id="20" w:name="_Toc29597"/>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7253"/>
      <w:bookmarkStart w:id="22" w:name="_Toc12298"/>
      <w:bookmarkStart w:id="23" w:name="_Toc13421"/>
      <w:bookmarkStart w:id="24" w:name="_Toc519156738"/>
      <w:bookmarkStart w:id="25" w:name="_Toc25586"/>
      <w:bookmarkStart w:id="26" w:name="_Toc12414"/>
      <w:bookmarkStart w:id="27" w:name="_Toc24454"/>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27408"/>
      <w:bookmarkStart w:id="29" w:name="_Toc519156739"/>
      <w:bookmarkStart w:id="30" w:name="_Toc452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7134"/>
      <w:bookmarkStart w:id="32" w:name="_Toc10773"/>
      <w:bookmarkStart w:id="33" w:name="_Toc2653"/>
      <w:bookmarkStart w:id="34" w:name="_Toc25030"/>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168"/>
      <w:bookmarkStart w:id="36" w:name="_Toc8808"/>
      <w:bookmarkStart w:id="37" w:name="_Toc16846"/>
      <w:bookmarkStart w:id="38" w:name="_Toc22803"/>
      <w:bookmarkStart w:id="39" w:name="_Toc28014"/>
      <w:bookmarkStart w:id="40" w:name="_Toc18132"/>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2515"/>
      <w:bookmarkStart w:id="44" w:name="_Toc11063"/>
      <w:bookmarkStart w:id="45" w:name="_Toc31661"/>
      <w:bookmarkStart w:id="46" w:name="_Toc16723"/>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32447"/>
      <w:bookmarkStart w:id="48" w:name="_Toc519156742"/>
      <w:bookmarkStart w:id="49" w:name="_Toc29321"/>
      <w:bookmarkStart w:id="50" w:name="_Toc18356"/>
      <w:bookmarkStart w:id="51" w:name="_Toc14489"/>
      <w:bookmarkStart w:id="52" w:name="_Toc1285"/>
      <w:bookmarkStart w:id="53" w:name="_Toc45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2452"/>
      <w:bookmarkStart w:id="55" w:name="_Toc1954"/>
      <w:bookmarkStart w:id="56" w:name="_Toc15015"/>
      <w:bookmarkStart w:id="57" w:name="_Toc13700"/>
      <w:bookmarkStart w:id="58" w:name="_Toc6759"/>
      <w:bookmarkStart w:id="59" w:name="_Toc21838"/>
      <w:bookmarkStart w:id="60" w:name="_Toc519156743"/>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23113"/>
      <w:bookmarkStart w:id="62" w:name="_Toc19721"/>
      <w:bookmarkStart w:id="63" w:name="_Toc519156744"/>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26927"/>
      <w:bookmarkStart w:id="65" w:name="_Toc729"/>
      <w:bookmarkStart w:id="66" w:name="_Toc21776"/>
      <w:bookmarkStart w:id="67" w:name="_Toc12773"/>
      <w:bookmarkStart w:id="68" w:name="_Toc23716"/>
      <w:bookmarkStart w:id="69" w:name="_Toc519156745"/>
      <w:bookmarkStart w:id="70" w:name="_Toc14277"/>
      <w:bookmarkStart w:id="71" w:name="_Toc23884"/>
      <w:bookmarkStart w:id="72" w:name="_Toc23647"/>
      <w:bookmarkStart w:id="73" w:name="_Toc30935"/>
      <w:bookmarkStart w:id="74" w:name="_Toc5011"/>
      <w:bookmarkStart w:id="75" w:name="_Toc11936"/>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18282"/>
      <w:bookmarkStart w:id="77" w:name="_Toc5878"/>
      <w:bookmarkStart w:id="78" w:name="_Toc32429"/>
      <w:bookmarkStart w:id="79" w:name="_Toc10336"/>
      <w:bookmarkStart w:id="80" w:name="_Toc10165"/>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18360"/>
      <w:bookmarkStart w:id="82" w:name="_Toc21558"/>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18268"/>
      <w:bookmarkStart w:id="85" w:name="_Toc16214"/>
      <w:bookmarkStart w:id="86" w:name="_Toc31900"/>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519156757"/>
      <w:bookmarkStart w:id="89" w:name="_Toc13278"/>
    </w:p>
    <w:p w14:paraId="0632876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9DB9F9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（一）主要研究内容：</w:t>
      </w:r>
    </w:p>
    <w:p w14:paraId="6E2B1B3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针对交通基础设施养护需求，以桥梁隧道为对象，升级智能传感监测技术，提出海量异构数据处理算法，研建公路结构群安全监测预警平台。</w:t>
      </w:r>
    </w:p>
    <w:p w14:paraId="3B3D621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（1）道路基础设施多源图像数据融合感知技术。针对桥梁隧道基础设施采集的多源监测数据，采用多线程、数据缓存、并行计算等方式融合处理，研制1款产品。</w:t>
      </w:r>
    </w:p>
    <w:p w14:paraId="19DF5F3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（2）研建公路结构群安全监测预警平台。利用BIM+GIS技术构建结构体三维数字化信息库，开发数据可视化功能，将桥梁隧道的结构模型与监测数据结合，动态展示结构的变形情况、应力分布等。</w:t>
      </w:r>
    </w:p>
    <w:p w14:paraId="039E822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（3）基于多源异构数据的预处理和汇聚融合。基于特征融合和深度学习的海量异构数据处理，进行遗漏数据分析处理。利用聚类等数据分析方法，对桥梁隧道运营和结构安全进行预警。</w:t>
      </w:r>
    </w:p>
    <w:p w14:paraId="4F5FBC8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（二）主要技术指标：</w:t>
      </w:r>
    </w:p>
    <w:p w14:paraId="2E9D6B4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开发1种新型桥梁简易感知报警设备。集成振动、倾角等多参量为一体，具有采集、供电、传输等功能，具备边缘算力；根据结构运营状态自动切换数据采集、分析及上报频率，满足结构物长周期趋势监测和突发状况下异常报警；通过物联网平台,实现自定义唤醒模式、报警阈值、采样频率和上报周期等功能。当测量值超过阈值,设备在报警同时上报事件前后的监测数据。</w:t>
      </w:r>
    </w:p>
    <w:p w14:paraId="4B049CD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研建结构群安全感知监测预警平台。平台可实时接收桥梁变形、应力、振动、裂缝等多源监测数据，远程进行结构体控制管理和监测点关键数据可视化展示。基于多维度数据查询功能，实现实时数据、历史监测数据的追溯和分析，进行异常、报警及离线统计。预警信号在软件平台多方式显示，记录预警事件信息（预警时间、预警级别、监测点位置、相关监测数据等）。</w:t>
      </w:r>
    </w:p>
    <w:p w14:paraId="5258AF0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提出一种基于特征融合和深度学习的海量异构数据处理算法。针对海量监测数据，融合多源异构数据特征，实现特殊场景告警及深度分析。利用大数据分析算法对监测数据进行分类，识别不同模式下结构体健康特征，为桥梁隧道稳定性分区管理提供依据。通过数据挖掘与关联分析，发现影响结构健康状况的关键因素和敏感指标，为结构的预防性维护和优化设计提供参考信息。</w:t>
      </w:r>
    </w:p>
    <w:p w14:paraId="69C6C6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44389AEF">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4959975B">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63F501D2">
      <w:pPr>
        <w:pageBreakBefore w:val="0"/>
        <w:tabs>
          <w:tab w:val="center" w:pos="4153"/>
        </w:tabs>
        <w:kinsoku/>
        <w:wordWrap/>
        <w:overflowPunct/>
        <w:topLinePunct w:val="0"/>
        <w:autoSpaceDE/>
        <w:autoSpaceDN/>
        <w:bidi w:val="0"/>
        <w:adjustRightInd/>
        <w:spacing w:line="360" w:lineRule="auto"/>
        <w:outlineLvl w:val="9"/>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一</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rPr>
        <w:t>需求分析</w:t>
      </w:r>
    </w:p>
    <w:p w14:paraId="4937EBD0">
      <w:pPr>
        <w:pageBreakBefore w:val="0"/>
        <w:kinsoku/>
        <w:wordWrap/>
        <w:overflowPunct/>
        <w:topLinePunct w:val="0"/>
        <w:autoSpaceDE/>
        <w:autoSpaceDN/>
        <w:bidi w:val="0"/>
        <w:adjustRightInd/>
        <w:spacing w:line="360" w:lineRule="auto"/>
        <w:ind w:firstLine="480" w:firstLineChars="200"/>
        <w:outlineLvl w:val="9"/>
        <w:rPr>
          <w:rFonts w:ascii="Times New Roman" w:hAnsi="Times New Roman" w:eastAsia="宋体" w:cs="Times New Roman"/>
          <w:sz w:val="24"/>
          <w:szCs w:val="24"/>
        </w:rPr>
      </w:pPr>
      <w:r>
        <w:rPr>
          <w:rFonts w:hint="eastAsia" w:ascii="Times New Roman" w:hAnsi="Times New Roman" w:eastAsia="宋体" w:cs="Times New Roman"/>
          <w:sz w:val="24"/>
          <w:szCs w:val="24"/>
        </w:rPr>
        <w:t>公路交通建设对我国经济发展和国家战略安全至关重要。近年来，我国公路建设成就显著，尤其是高速公路的发展。截至</w:t>
      </w:r>
      <w:r>
        <w:rPr>
          <w:rFonts w:ascii="Times New Roman" w:hAnsi="Times New Roman" w:eastAsia="宋体" w:cs="Times New Roman"/>
          <w:sz w:val="24"/>
          <w:szCs w:val="24"/>
        </w:rPr>
        <w:t>2019年，全国公路总里程达501.25万公里，高速公路占比14.26%，密度为52.21公里/百平方公里，均居世界首位。然而，随着公路运营时间增长，养护里程不断增加，2022年养护里程占比达99.90%，养护压力巨大。2021年，公路养护公共财政支出决算数突破950亿元，收费公路养护支出规模超过700亿元。</w:t>
      </w:r>
    </w:p>
    <w:p w14:paraId="1073FD48">
      <w:pPr>
        <w:pageBreakBefore w:val="0"/>
        <w:kinsoku/>
        <w:wordWrap/>
        <w:overflowPunct/>
        <w:topLinePunct w:val="0"/>
        <w:autoSpaceDE/>
        <w:autoSpaceDN/>
        <w:bidi w:val="0"/>
        <w:adjustRightInd/>
        <w:spacing w:line="360" w:lineRule="auto"/>
        <w:ind w:firstLine="480" w:firstLineChars="200"/>
        <w:outlineLvl w:val="9"/>
        <w:rPr>
          <w:rFonts w:ascii="Times New Roman" w:hAnsi="Times New Roman" w:eastAsia="宋体" w:cs="Times New Roman"/>
          <w:sz w:val="24"/>
          <w:szCs w:val="24"/>
        </w:rPr>
      </w:pPr>
      <w:r>
        <w:rPr>
          <w:rFonts w:hint="eastAsia" w:ascii="Times New Roman" w:hAnsi="Times New Roman" w:eastAsia="宋体" w:cs="Times New Roman"/>
          <w:sz w:val="24"/>
          <w:szCs w:val="24"/>
        </w:rPr>
        <w:t>为减轻养护压力，需突破建设和养护关键技术与设备，提高建设质量和养护效率。尽管我国高速公路建设迅速，但因工期短、超载等原因，质量问题频发，使用寿命约</w:t>
      </w:r>
      <w:r>
        <w:rPr>
          <w:rFonts w:ascii="Times New Roman" w:hAnsi="Times New Roman" w:eastAsia="宋体" w:cs="Times New Roman"/>
          <w:sz w:val="24"/>
          <w:szCs w:val="24"/>
        </w:rPr>
        <w:t>17年，随后出现裂缝、破损等病害，严重影响行车安全和经济效益。目前，路面病害检测主要依靠人工检测和道路检测车，存在效率低、能耗高、自动化程度低等问题。半自动化检测虽有一定改进，但人工操作仍存在误差和劳动强度大，不能及时发现众多路面的病害和破损情况等问题。</w:t>
      </w:r>
    </w:p>
    <w:p w14:paraId="080C8712">
      <w:pPr>
        <w:pageBreakBefore w:val="0"/>
        <w:tabs>
          <w:tab w:val="center" w:pos="4153"/>
        </w:tabs>
        <w:kinsoku/>
        <w:wordWrap/>
        <w:overflowPunct/>
        <w:topLinePunct w:val="0"/>
        <w:autoSpaceDE/>
        <w:autoSpaceDN/>
        <w:bidi w:val="0"/>
        <w:adjustRightInd/>
        <w:spacing w:line="360" w:lineRule="auto"/>
        <w:outlineLvl w:val="9"/>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二</w:t>
      </w:r>
      <w:r>
        <w:rPr>
          <w:rFonts w:hint="eastAsia" w:ascii="Times New Roman" w:hAnsi="Times New Roman" w:eastAsia="宋体" w:cs="Times New Roman"/>
          <w:b/>
          <w:bCs/>
          <w:sz w:val="24"/>
          <w:szCs w:val="24"/>
          <w:lang w:eastAsia="zh-CN"/>
        </w:rPr>
        <w:t>）</w:t>
      </w:r>
      <w:r>
        <w:rPr>
          <w:rFonts w:ascii="Times New Roman" w:hAnsi="Times New Roman" w:eastAsia="宋体" w:cs="Times New Roman"/>
          <w:b/>
          <w:bCs/>
          <w:sz w:val="24"/>
          <w:szCs w:val="24"/>
        </w:rPr>
        <w:t>研究内容、研究目标</w:t>
      </w:r>
    </w:p>
    <w:p w14:paraId="08AC22E3">
      <w:pPr>
        <w:pageBreakBefore w:val="0"/>
        <w:numPr>
          <w:ilvl w:val="0"/>
          <w:numId w:val="5"/>
        </w:numPr>
        <w:kinsoku/>
        <w:wordWrap/>
        <w:overflowPunct/>
        <w:topLinePunct w:val="0"/>
        <w:autoSpaceDE/>
        <w:autoSpaceDN/>
        <w:bidi w:val="0"/>
        <w:adjustRightInd/>
        <w:outlineLvl w:val="9"/>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研究内容</w:t>
      </w:r>
    </w:p>
    <w:p w14:paraId="27790FFA">
      <w:pPr>
        <w:pageBreakBefore w:val="0"/>
        <w:kinsoku/>
        <w:wordWrap/>
        <w:overflowPunct/>
        <w:topLinePunct w:val="0"/>
        <w:autoSpaceDE/>
        <w:autoSpaceDN/>
        <w:bidi w:val="0"/>
        <w:adjustRightInd/>
        <w:spacing w:line="360" w:lineRule="auto"/>
        <w:ind w:firstLine="480" w:firstLineChars="200"/>
        <w:outlineLvl w:val="9"/>
        <w:rPr>
          <w:rFonts w:ascii="Times New Roman" w:hAnsi="Times New Roman" w:eastAsia="宋体" w:cs="Times New Roman"/>
          <w:szCs w:val="21"/>
        </w:rPr>
      </w:pPr>
      <w:r>
        <w:rPr>
          <w:rFonts w:ascii="Times New Roman" w:hAnsi="Times New Roman" w:eastAsia="宋体" w:cs="Times New Roman"/>
          <w:sz w:val="24"/>
          <w:szCs w:val="24"/>
        </w:rPr>
        <w:t>本项目基于自建连续道路数据集</w:t>
      </w:r>
      <w:r>
        <w:rPr>
          <w:rFonts w:hint="eastAsia" w:ascii="Times New Roman" w:hAnsi="Times New Roman" w:eastAsia="宋体" w:cs="Times New Roman"/>
          <w:sz w:val="24"/>
          <w:szCs w:val="24"/>
        </w:rPr>
        <w:t>和公开数据集</w:t>
      </w:r>
      <w:r>
        <w:rPr>
          <w:rFonts w:ascii="Times New Roman" w:hAnsi="Times New Roman" w:eastAsia="宋体" w:cs="Times New Roman"/>
          <w:sz w:val="24"/>
          <w:szCs w:val="24"/>
        </w:rPr>
        <w:t>展开，研究</w:t>
      </w:r>
      <w:r>
        <w:rPr>
          <w:rFonts w:ascii="Times New Roman" w:hAnsi="Times New Roman" w:eastAsia="宋体" w:cs="Times New Roman"/>
          <w:b/>
          <w:sz w:val="24"/>
          <w:szCs w:val="24"/>
          <w:u w:val="single"/>
        </w:rPr>
        <w:t>连续道路图像拼接</w:t>
      </w:r>
      <w:r>
        <w:rPr>
          <w:rFonts w:hint="eastAsia" w:ascii="Times New Roman" w:hAnsi="Times New Roman" w:eastAsia="宋体" w:cs="Times New Roman"/>
          <w:b/>
          <w:sz w:val="24"/>
          <w:szCs w:val="24"/>
          <w:u w:val="single"/>
        </w:rPr>
        <w:t>方法</w:t>
      </w:r>
      <w:r>
        <w:rPr>
          <w:rFonts w:ascii="Times New Roman" w:hAnsi="Times New Roman" w:eastAsia="宋体" w:cs="Times New Roman"/>
          <w:sz w:val="24"/>
          <w:szCs w:val="24"/>
        </w:rPr>
        <w:t>、</w:t>
      </w:r>
      <w:r>
        <w:rPr>
          <w:rFonts w:ascii="Times New Roman" w:hAnsi="Times New Roman" w:eastAsia="宋体" w:cs="Times New Roman"/>
          <w:b/>
          <w:sz w:val="24"/>
          <w:szCs w:val="24"/>
          <w:u w:val="single"/>
        </w:rPr>
        <w:t>道路图像自动化损伤目标检测</w:t>
      </w:r>
      <w:r>
        <w:rPr>
          <w:rFonts w:hint="eastAsia" w:ascii="Times New Roman" w:hAnsi="Times New Roman" w:eastAsia="宋体" w:cs="Times New Roman"/>
          <w:b/>
          <w:sz w:val="24"/>
          <w:szCs w:val="24"/>
          <w:u w:val="single"/>
        </w:rPr>
        <w:t>理论</w:t>
      </w:r>
      <w:r>
        <w:rPr>
          <w:rFonts w:ascii="Times New Roman" w:hAnsi="Times New Roman" w:eastAsia="宋体" w:cs="Times New Roman"/>
          <w:sz w:val="24"/>
          <w:szCs w:val="24"/>
        </w:rPr>
        <w:t>、</w:t>
      </w:r>
      <w:r>
        <w:rPr>
          <w:rFonts w:ascii="Times New Roman" w:hAnsi="Times New Roman" w:eastAsia="宋体" w:cs="Times New Roman"/>
          <w:b/>
          <w:sz w:val="24"/>
          <w:szCs w:val="24"/>
          <w:u w:val="single"/>
        </w:rPr>
        <w:t>损伤区域像素级形态特征提取</w:t>
      </w:r>
      <w:r>
        <w:rPr>
          <w:rFonts w:hint="eastAsia" w:ascii="Times New Roman" w:hAnsi="Times New Roman" w:eastAsia="宋体" w:cs="Times New Roman"/>
          <w:b/>
          <w:sz w:val="24"/>
          <w:szCs w:val="24"/>
          <w:u w:val="single"/>
        </w:rPr>
        <w:t>机制</w:t>
      </w:r>
      <w:r>
        <w:rPr>
          <w:rFonts w:ascii="Times New Roman" w:hAnsi="Times New Roman" w:eastAsia="宋体" w:cs="Times New Roman"/>
          <w:sz w:val="24"/>
          <w:szCs w:val="24"/>
        </w:rPr>
        <w:t>、</w:t>
      </w:r>
      <w:r>
        <w:rPr>
          <w:rFonts w:hint="eastAsia" w:ascii="Times New Roman" w:hAnsi="Times New Roman" w:eastAsia="宋体" w:cs="Times New Roman"/>
          <w:b/>
          <w:sz w:val="24"/>
          <w:szCs w:val="24"/>
          <w:u w:val="single"/>
        </w:rPr>
        <w:t>连续道路图像损伤综合评价方法</w:t>
      </w:r>
      <w:r>
        <w:rPr>
          <w:rFonts w:ascii="Times New Roman" w:hAnsi="Times New Roman" w:eastAsia="宋体" w:cs="Times New Roman"/>
          <w:sz w:val="24"/>
          <w:szCs w:val="24"/>
        </w:rPr>
        <w:t>。综合应用上述研究成果，形成一套连续道路损伤检测与智能评估流程。</w:t>
      </w:r>
    </w:p>
    <w:p w14:paraId="697C2DA7">
      <w:pPr>
        <w:pageBreakBefore w:val="0"/>
        <w:kinsoku/>
        <w:wordWrap/>
        <w:overflowPunct/>
        <w:topLinePunct w:val="0"/>
        <w:autoSpaceDE/>
        <w:autoSpaceDN/>
        <w:bidi w:val="0"/>
        <w:adjustRightInd/>
        <w:spacing w:line="360" w:lineRule="auto"/>
        <w:ind w:firstLine="482" w:firstLineChars="200"/>
        <w:outlineLvl w:val="9"/>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连续道路图像序列化拼接算法研究</w:t>
      </w:r>
    </w:p>
    <w:p w14:paraId="102B4388">
      <w:pPr>
        <w:pageBreakBefore w:val="0"/>
        <w:kinsoku/>
        <w:wordWrap/>
        <w:overflowPunct/>
        <w:topLinePunct w:val="0"/>
        <w:autoSpaceDE/>
        <w:autoSpaceDN/>
        <w:bidi w:val="0"/>
        <w:adjustRightInd/>
        <w:spacing w:line="360" w:lineRule="auto"/>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研究连续道路图像的序列化拼接算法，通过像素特征点提取和匹配，去除冗余信息，提升病害检测效率。结合采集参数建立数据库。</w:t>
      </w:r>
    </w:p>
    <w:p w14:paraId="6A66B2F3">
      <w:pPr>
        <w:pageBreakBefore w:val="0"/>
        <w:kinsoku/>
        <w:wordWrap/>
        <w:overflowPunct/>
        <w:topLinePunct w:val="0"/>
        <w:autoSpaceDE/>
        <w:autoSpaceDN/>
        <w:bidi w:val="0"/>
        <w:adjustRightInd/>
        <w:spacing w:line="360" w:lineRule="auto"/>
        <w:ind w:firstLine="482" w:firstLineChars="200"/>
        <w:outlineLvl w:val="9"/>
        <w:rPr>
          <w:rFonts w:ascii="Times New Roman" w:hAnsi="Times New Roman" w:eastAsia="宋体" w:cs="Times New Roman"/>
          <w:b/>
          <w:sz w:val="24"/>
          <w:szCs w:val="24"/>
        </w:rPr>
      </w:pPr>
      <w:r>
        <w:rPr>
          <w:rFonts w:ascii="Times New Roman" w:hAnsi="Times New Roman" w:eastAsia="宋体" w:cs="Times New Roman"/>
          <w:b/>
          <w:sz w:val="24"/>
          <w:szCs w:val="24"/>
        </w:rPr>
        <w:t>（2）海量连续道路损伤图像检测算法研究</w:t>
      </w:r>
    </w:p>
    <w:p w14:paraId="00EBF8E9">
      <w:pPr>
        <w:pageBreakBefore w:val="0"/>
        <w:kinsoku/>
        <w:wordWrap/>
        <w:overflowPunct/>
        <w:topLinePunct w:val="0"/>
        <w:autoSpaceDE/>
        <w:autoSpaceDN/>
        <w:bidi w:val="0"/>
        <w:adjustRightInd/>
        <w:spacing w:line="360" w:lineRule="auto"/>
        <w:ind w:firstLine="480" w:firstLineChars="200"/>
        <w:outlineLvl w:val="9"/>
        <w:rPr>
          <w:rFonts w:ascii="Times New Roman" w:hAnsi="Times New Roman" w:eastAsia="宋体" w:cs="Times New Roman"/>
          <w:sz w:val="24"/>
          <w:szCs w:val="24"/>
        </w:rPr>
      </w:pPr>
      <w:r>
        <w:rPr>
          <w:rFonts w:hint="eastAsia" w:ascii="Times New Roman" w:hAnsi="Times New Roman" w:eastAsia="宋体" w:cs="Times New Roman"/>
          <w:sz w:val="24"/>
          <w:szCs w:val="24"/>
        </w:rPr>
        <w:t>基于上下文增强和特征细化的特征金字塔复合神经网络，自动检测横向裂缝、纵向裂缝、块状裂缝、龟裂和坑槽病害，生成边界框标定病害位置和大小。</w:t>
      </w:r>
    </w:p>
    <w:p w14:paraId="77B8B3F2">
      <w:pPr>
        <w:pageBreakBefore w:val="0"/>
        <w:kinsoku/>
        <w:wordWrap/>
        <w:overflowPunct/>
        <w:topLinePunct w:val="0"/>
        <w:autoSpaceDE/>
        <w:autoSpaceDN/>
        <w:bidi w:val="0"/>
        <w:adjustRightInd/>
        <w:spacing w:line="360" w:lineRule="auto"/>
        <w:ind w:firstLine="482" w:firstLineChars="200"/>
        <w:outlineLvl w:val="9"/>
        <w:rPr>
          <w:rFonts w:ascii="Times New Roman" w:hAnsi="Times New Roman" w:eastAsia="宋体" w:cs="Times New Roman"/>
          <w:b/>
          <w:sz w:val="24"/>
          <w:szCs w:val="24"/>
        </w:rPr>
      </w:pPr>
      <w:r>
        <w:rPr>
          <w:rFonts w:ascii="Times New Roman" w:hAnsi="Times New Roman" w:eastAsia="宋体" w:cs="Times New Roman"/>
          <w:b/>
          <w:sz w:val="24"/>
          <w:szCs w:val="24"/>
        </w:rPr>
        <w:t>（3）海量连续道路图像损伤量化表征算法研究</w:t>
      </w:r>
    </w:p>
    <w:p w14:paraId="1CD8F5F0">
      <w:pPr>
        <w:pageBreakBefore w:val="0"/>
        <w:kinsoku/>
        <w:wordWrap/>
        <w:overflowPunct/>
        <w:topLinePunct w:val="0"/>
        <w:autoSpaceDE/>
        <w:autoSpaceDN/>
        <w:bidi w:val="0"/>
        <w:adjustRightInd/>
        <w:spacing w:line="360" w:lineRule="auto"/>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基于熵量化理论的高可信表征模型，利用混合特征增强、多池融合编码和跨层自适应特征融合解码，提取损伤形态特征，实现高确定性动态核检测。</w:t>
      </w:r>
    </w:p>
    <w:p w14:paraId="32777B00">
      <w:pPr>
        <w:pageBreakBefore w:val="0"/>
        <w:kinsoku/>
        <w:wordWrap/>
        <w:overflowPunct/>
        <w:topLinePunct w:val="0"/>
        <w:autoSpaceDE/>
        <w:autoSpaceDN/>
        <w:bidi w:val="0"/>
        <w:adjustRightInd/>
        <w:spacing w:line="360" w:lineRule="auto"/>
        <w:ind w:firstLine="482" w:firstLineChars="200"/>
        <w:outlineLvl w:val="9"/>
        <w:rPr>
          <w:rFonts w:ascii="Times New Roman" w:hAnsi="Times New Roman" w:eastAsia="宋体" w:cs="Times New Roman"/>
          <w:b/>
          <w:sz w:val="24"/>
          <w:szCs w:val="24"/>
        </w:rPr>
      </w:pPr>
      <w:r>
        <w:rPr>
          <w:rFonts w:ascii="Times New Roman" w:hAnsi="Times New Roman" w:eastAsia="宋体" w:cs="Times New Roman"/>
          <w:b/>
          <w:sz w:val="24"/>
          <w:szCs w:val="24"/>
        </w:rPr>
        <w:t>（4）连续道路图像损伤综合评价研究</w:t>
      </w:r>
    </w:p>
    <w:p w14:paraId="7573E256">
      <w:pPr>
        <w:pageBreakBefore w:val="0"/>
        <w:kinsoku/>
        <w:wordWrap/>
        <w:overflowPunct/>
        <w:topLinePunct w:val="0"/>
        <w:autoSpaceDE/>
        <w:autoSpaceDN/>
        <w:bidi w:val="0"/>
        <w:adjustRightInd/>
        <w:spacing w:line="360" w:lineRule="auto"/>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依据道路宽度和病害区域比例，计算病害真实尺寸，调整路面破损率指标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开展</w:t>
      </w:r>
      <w:r>
        <w:rPr>
          <w:rFonts w:ascii="Times New Roman" w:hAnsi="Times New Roman" w:eastAsia="宋体" w:cs="Times New Roman"/>
          <w:sz w:val="24"/>
          <w:szCs w:val="24"/>
        </w:rPr>
        <w:t>连续道路图像损伤综合评价研究。</w:t>
      </w:r>
    </w:p>
    <w:p w14:paraId="2375629E">
      <w:pPr>
        <w:pageBreakBefore w:val="0"/>
        <w:numPr>
          <w:ilvl w:val="0"/>
          <w:numId w:val="5"/>
        </w:numPr>
        <w:kinsoku/>
        <w:wordWrap/>
        <w:overflowPunct/>
        <w:topLinePunct w:val="0"/>
        <w:autoSpaceDE/>
        <w:autoSpaceDN/>
        <w:bidi w:val="0"/>
        <w:adjustRightInd/>
        <w:outlineLvl w:val="9"/>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研究目标</w:t>
      </w:r>
    </w:p>
    <w:p w14:paraId="52EC84CB">
      <w:pPr>
        <w:pageBreakBefore w:val="0"/>
        <w:tabs>
          <w:tab w:val="center" w:pos="4153"/>
        </w:tabs>
        <w:kinsoku/>
        <w:wordWrap/>
        <w:overflowPunct/>
        <w:topLinePunct w:val="0"/>
        <w:autoSpaceDE/>
        <w:autoSpaceDN/>
        <w:bidi w:val="0"/>
        <w:adjustRightInd/>
        <w:spacing w:line="360" w:lineRule="auto"/>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针对高等级公路养护需求与传统检测手段的矛盾，聚焦复杂路况下小尺度、低对比度病害表征困难和现有深度模型的局限性，开展系统性研究。项目将高分辨率图像与地理时空信息耦合，挖掘道路结构与时序特征的协同表达，提升病害定位精度和鲁棒性；基于物理成像退化建模，重构自适应对比度增强映射，提升病害视觉可辨性；结合道路特征，构建不确定性量化与主动学习模型，确保检测结果的可解释性和高置信度；开展多粒度病害演化分析，构建融合</w:t>
      </w:r>
      <w:r>
        <w:rPr>
          <w:rFonts w:ascii="Times New Roman" w:hAnsi="Times New Roman" w:eastAsia="宋体" w:cs="Times New Roman"/>
          <w:sz w:val="24"/>
          <w:szCs w:val="24"/>
        </w:rPr>
        <w:t>PCI指数的深度监督评估系统，实现自动化评级与可视化呈现，为智慧养护决策提供科学支撑。</w:t>
      </w:r>
    </w:p>
    <w:p w14:paraId="2BBB69C4">
      <w:pPr>
        <w:pageBreakBefore w:val="0"/>
        <w:tabs>
          <w:tab w:val="center" w:pos="4153"/>
        </w:tabs>
        <w:kinsoku/>
        <w:wordWrap/>
        <w:overflowPunct/>
        <w:topLinePunct w:val="0"/>
        <w:autoSpaceDE/>
        <w:autoSpaceDN/>
        <w:bidi w:val="0"/>
        <w:adjustRightInd/>
        <w:spacing w:line="360" w:lineRule="auto"/>
        <w:outlineLvl w:val="9"/>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三</w:t>
      </w:r>
      <w:r>
        <w:rPr>
          <w:rFonts w:hint="eastAsia" w:ascii="Times New Roman" w:hAnsi="Times New Roman" w:eastAsia="宋体" w:cs="Times New Roman"/>
          <w:b/>
          <w:bCs/>
          <w:sz w:val="24"/>
          <w:szCs w:val="24"/>
          <w:lang w:eastAsia="zh-CN"/>
        </w:rPr>
        <w:t>）</w:t>
      </w:r>
      <w:r>
        <w:rPr>
          <w:rFonts w:ascii="Times New Roman" w:hAnsi="Times New Roman" w:eastAsia="宋体" w:cs="Times New Roman"/>
          <w:b/>
          <w:bCs/>
          <w:sz w:val="24"/>
          <w:szCs w:val="24"/>
        </w:rPr>
        <w:t>预期研究结果</w:t>
      </w:r>
    </w:p>
    <w:p w14:paraId="0EC70A82">
      <w:pPr>
        <w:pStyle w:val="53"/>
        <w:pageBreakBefore w:val="0"/>
        <w:numPr>
          <w:ilvl w:val="0"/>
          <w:numId w:val="5"/>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理论成果</w:t>
      </w:r>
      <w:r>
        <w:rPr>
          <w:rFonts w:ascii="Times New Roman" w:hAnsi="Times New Roman" w:eastAsia="宋体" w:cs="Times New Roman"/>
          <w:color w:val="000000"/>
          <w:sz w:val="24"/>
        </w:rPr>
        <w:t>：开展</w:t>
      </w:r>
      <w:r>
        <w:rPr>
          <w:rFonts w:ascii="Times New Roman" w:hAnsi="Times New Roman" w:eastAsia="宋体" w:cs="Times New Roman"/>
          <w:sz w:val="24"/>
        </w:rPr>
        <w:t>连续道路图像采集与拼接、道路图像自动化损伤目标检测、损伤区域像素级形态特征提取、道路损伤尺寸提取研究，形成一套连续道路损伤检测与智能评估系统。</w:t>
      </w:r>
    </w:p>
    <w:p w14:paraId="12B69548">
      <w:pPr>
        <w:pStyle w:val="53"/>
        <w:pageBreakBefore w:val="0"/>
        <w:numPr>
          <w:ilvl w:val="0"/>
          <w:numId w:val="5"/>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论著成果</w:t>
      </w:r>
      <w:r>
        <w:rPr>
          <w:rFonts w:ascii="Times New Roman" w:hAnsi="Times New Roman" w:eastAsia="宋体" w:cs="Times New Roman"/>
          <w:color w:val="000000"/>
          <w:sz w:val="24"/>
        </w:rPr>
        <w:t>：发表学术论文3篇，其中EI/SCI索引3篇；</w:t>
      </w:r>
    </w:p>
    <w:p w14:paraId="5EEB2FFB">
      <w:pPr>
        <w:pStyle w:val="53"/>
        <w:pageBreakBefore w:val="0"/>
        <w:numPr>
          <w:ilvl w:val="0"/>
          <w:numId w:val="5"/>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技术成果</w:t>
      </w:r>
      <w:r>
        <w:rPr>
          <w:rFonts w:ascii="Times New Roman" w:hAnsi="Times New Roman" w:eastAsia="宋体" w:cs="Times New Roman"/>
          <w:color w:val="000000"/>
          <w:sz w:val="24"/>
        </w:rPr>
        <w:t>：申请发明专利2项，授权软件著作权1项；</w:t>
      </w:r>
    </w:p>
    <w:p w14:paraId="7B8DB4D1">
      <w:pPr>
        <w:pStyle w:val="53"/>
        <w:pageBreakBefore w:val="0"/>
        <w:numPr>
          <w:ilvl w:val="0"/>
          <w:numId w:val="5"/>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交流成果</w:t>
      </w:r>
      <w:r>
        <w:rPr>
          <w:rFonts w:ascii="Times New Roman" w:hAnsi="Times New Roman" w:eastAsia="宋体" w:cs="Times New Roman"/>
          <w:color w:val="000000"/>
          <w:sz w:val="24"/>
        </w:rPr>
        <w:t>：参加国际会议，与国内外同领域内专业人员加强交流合作，了解领域内学科发展前沿；邀请国内外同领域知名专家学者赴华讲学并开展学术交流。</w:t>
      </w:r>
    </w:p>
    <w:p w14:paraId="7FC41A71">
      <w:pPr>
        <w:pStyle w:val="53"/>
        <w:pageBreakBefore w:val="0"/>
        <w:numPr>
          <w:ilvl w:val="0"/>
          <w:numId w:val="5"/>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人才培养成果</w:t>
      </w:r>
      <w:r>
        <w:rPr>
          <w:rFonts w:ascii="Times New Roman" w:hAnsi="Times New Roman" w:eastAsia="宋体" w:cs="Times New Roman"/>
          <w:color w:val="000000"/>
          <w:sz w:val="24"/>
        </w:rPr>
        <w:t>：协助培养硕士2名。</w:t>
      </w:r>
    </w:p>
    <w:p w14:paraId="6844365B">
      <w:pPr>
        <w:pStyle w:val="53"/>
        <w:pageBreakBefore w:val="0"/>
        <w:numPr>
          <w:ilvl w:val="0"/>
          <w:numId w:val="5"/>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技术报告</w:t>
      </w:r>
      <w:r>
        <w:rPr>
          <w:rFonts w:ascii="Times New Roman" w:hAnsi="Times New Roman" w:eastAsia="宋体" w:cs="Times New Roman"/>
          <w:color w:val="000000"/>
          <w:sz w:val="24"/>
        </w:rPr>
        <w:t>：技术方案报告1份；系统设计报告1份；系统用户手册1份；系统研制总结报告1份。</w:t>
      </w:r>
    </w:p>
    <w:p w14:paraId="597D2F17">
      <w:pPr>
        <w:pageBreakBefore w:val="0"/>
        <w:tabs>
          <w:tab w:val="center" w:pos="4153"/>
        </w:tabs>
        <w:kinsoku/>
        <w:wordWrap/>
        <w:overflowPunct/>
        <w:topLinePunct w:val="0"/>
        <w:autoSpaceDE/>
        <w:autoSpaceDN/>
        <w:bidi w:val="0"/>
        <w:adjustRightInd/>
        <w:spacing w:line="360" w:lineRule="auto"/>
        <w:outlineLvl w:val="9"/>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四</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rPr>
        <w:t>技术指标</w:t>
      </w:r>
    </w:p>
    <w:p w14:paraId="7AD7F663">
      <w:pPr>
        <w:pageBreakBefore w:val="0"/>
        <w:kinsoku/>
        <w:wordWrap/>
        <w:overflowPunct/>
        <w:topLinePunct w:val="0"/>
        <w:autoSpaceDE/>
        <w:autoSpaceDN/>
        <w:bidi w:val="0"/>
        <w:adjustRightInd/>
        <w:spacing w:line="360" w:lineRule="auto"/>
        <w:ind w:firstLine="540" w:firstLineChars="225"/>
        <w:outlineLvl w:val="9"/>
        <w:rPr>
          <w:rFonts w:ascii="Times New Roman" w:hAnsi="Times New Roman" w:eastAsia="宋体" w:cs="Times New Roman"/>
          <w:color w:val="000000"/>
          <w:sz w:val="24"/>
        </w:rPr>
      </w:pPr>
      <w:r>
        <w:rPr>
          <w:rFonts w:ascii="Times New Roman" w:hAnsi="Times New Roman" w:eastAsia="宋体" w:cs="Times New Roman"/>
          <w:color w:val="000000"/>
          <w:sz w:val="24"/>
        </w:rPr>
        <w:t>1）连续图像不低于5张</w:t>
      </w:r>
      <w:r>
        <w:rPr>
          <w:rFonts w:hint="eastAsia" w:ascii="Times New Roman" w:hAnsi="Times New Roman" w:eastAsia="宋体" w:cs="Times New Roman"/>
          <w:color w:val="000000"/>
          <w:sz w:val="24"/>
        </w:rPr>
        <w:t>；</w:t>
      </w:r>
    </w:p>
    <w:p w14:paraId="44E3A484">
      <w:pPr>
        <w:pageBreakBefore w:val="0"/>
        <w:kinsoku/>
        <w:wordWrap/>
        <w:overflowPunct/>
        <w:topLinePunct w:val="0"/>
        <w:autoSpaceDE/>
        <w:autoSpaceDN/>
        <w:bidi w:val="0"/>
        <w:adjustRightInd/>
        <w:spacing w:line="360" w:lineRule="auto"/>
        <w:ind w:firstLine="540" w:firstLineChars="225"/>
        <w:outlineLvl w:val="9"/>
        <w:rPr>
          <w:rFonts w:ascii="Times New Roman" w:hAnsi="Times New Roman" w:eastAsia="宋体" w:cs="Times New Roman"/>
          <w:color w:val="000000"/>
          <w:sz w:val="24"/>
        </w:rPr>
      </w:pPr>
      <w:r>
        <w:rPr>
          <w:rFonts w:hint="eastAsia" w:ascii="Times New Roman" w:hAnsi="Times New Roman" w:eastAsia="宋体" w:cs="Times New Roman"/>
          <w:color w:val="000000"/>
          <w:sz w:val="24"/>
        </w:rPr>
        <w:t>2）</w:t>
      </w:r>
      <w:r>
        <w:rPr>
          <w:rFonts w:ascii="Times New Roman" w:hAnsi="Times New Roman" w:eastAsia="宋体" w:cs="Times New Roman"/>
          <w:color w:val="000000"/>
          <w:sz w:val="24"/>
        </w:rPr>
        <w:t>连续道路损伤检测精度不低于90%；</w:t>
      </w:r>
    </w:p>
    <w:p w14:paraId="2E6DBF1C">
      <w:pPr>
        <w:pageBreakBefore w:val="0"/>
        <w:kinsoku/>
        <w:wordWrap/>
        <w:overflowPunct/>
        <w:topLinePunct w:val="0"/>
        <w:autoSpaceDE/>
        <w:autoSpaceDN/>
        <w:bidi w:val="0"/>
        <w:adjustRightInd/>
        <w:spacing w:line="360" w:lineRule="auto"/>
        <w:ind w:firstLine="540" w:firstLineChars="225"/>
        <w:outlineLvl w:val="9"/>
        <w:rPr>
          <w:rFonts w:ascii="Times New Roman" w:hAnsi="Times New Roman" w:eastAsia="黑体" w:cs="Times New Roman"/>
          <w:b/>
          <w:bCs/>
          <w:kern w:val="0"/>
          <w:sz w:val="32"/>
          <w:szCs w:val="36"/>
        </w:rPr>
      </w:pP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连续道路损伤量化精度不低于</w:t>
      </w:r>
      <w:r>
        <w:rPr>
          <w:rFonts w:ascii="Times New Roman" w:hAnsi="Times New Roman" w:eastAsia="宋体" w:cs="Times New Roman"/>
          <w:color w:val="000000"/>
          <w:sz w:val="24"/>
        </w:rPr>
        <w:t>90%；</w:t>
      </w:r>
    </w:p>
    <w:p w14:paraId="28F5CC52">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64FA60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72E00C8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741046E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36971EB8">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5848650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4099FC0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21773AB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auto"/>
          <w:sz w:val="28"/>
        </w:rPr>
      </w:pPr>
      <w:bookmarkStart w:id="91" w:name="_Toc27511"/>
      <w:bookmarkStart w:id="92" w:name="_Toc23166"/>
      <w:r>
        <w:rPr>
          <w:rFonts w:hint="eastAsia" w:ascii="宋体" w:hAnsi="宋体" w:eastAsia="宋体" w:cs="宋体"/>
          <w:b/>
          <w:bCs/>
          <w:color w:val="auto"/>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color w:val="auto"/>
          <w:sz w:val="28"/>
        </w:rPr>
      </w:pPr>
    </w:p>
    <w:p w14:paraId="36E25B99">
      <w:pPr>
        <w:jc w:val="center"/>
        <w:rPr>
          <w:rFonts w:hint="eastAsia" w:ascii="宋体" w:hAnsi="宋体" w:eastAsia="宋体" w:cs="宋体"/>
          <w:color w:val="auto"/>
          <w:sz w:val="44"/>
          <w:szCs w:val="44"/>
        </w:rPr>
      </w:pPr>
      <w:r>
        <w:rPr>
          <w:rFonts w:hint="eastAsia" w:ascii="宋体" w:hAnsi="宋体" w:eastAsia="宋体" w:cs="宋体"/>
          <w:color w:val="auto"/>
          <w:sz w:val="44"/>
          <w:szCs w:val="44"/>
        </w:rPr>
        <w:t>陕西省交通运输厅</w:t>
      </w:r>
      <w:r>
        <w:rPr>
          <w:rFonts w:hint="eastAsia" w:ascii="宋体" w:hAnsi="宋体" w:eastAsia="宋体" w:cs="宋体"/>
          <w:color w:val="auto"/>
          <w:sz w:val="44"/>
          <w:szCs w:val="44"/>
          <w:u w:val="single"/>
          <w:lang w:val="en-US" w:eastAsia="zh-CN"/>
        </w:rPr>
        <w:t>2025</w:t>
      </w:r>
      <w:r>
        <w:rPr>
          <w:rFonts w:hint="eastAsia" w:ascii="宋体" w:hAnsi="宋体" w:eastAsia="宋体" w:cs="宋体"/>
          <w:color w:val="auto"/>
          <w:sz w:val="44"/>
          <w:szCs w:val="44"/>
        </w:rPr>
        <w:t>年度交通科研项目</w:t>
      </w:r>
    </w:p>
    <w:p w14:paraId="6C6CD835">
      <w:pPr>
        <w:jc w:val="center"/>
        <w:rPr>
          <w:rFonts w:hint="eastAsia" w:ascii="宋体" w:hAnsi="宋体" w:eastAsia="宋体" w:cs="宋体"/>
          <w:color w:val="auto"/>
          <w:sz w:val="48"/>
        </w:rPr>
      </w:pPr>
    </w:p>
    <w:p w14:paraId="0DE4B60E">
      <w:pPr>
        <w:jc w:val="center"/>
        <w:rPr>
          <w:rFonts w:hint="eastAsia" w:ascii="宋体" w:hAnsi="宋体" w:eastAsia="宋体" w:cs="宋体"/>
          <w:color w:val="auto"/>
          <w:sz w:val="48"/>
        </w:rPr>
      </w:pPr>
    </w:p>
    <w:p w14:paraId="4F976538">
      <w:pPr>
        <w:jc w:val="center"/>
        <w:rPr>
          <w:rFonts w:hint="eastAsia" w:ascii="宋体" w:hAnsi="宋体" w:eastAsia="宋体" w:cs="宋体"/>
          <w:color w:val="auto"/>
          <w:sz w:val="44"/>
        </w:rPr>
      </w:pPr>
      <w:r>
        <w:rPr>
          <w:rFonts w:hint="eastAsia" w:ascii="宋体" w:hAnsi="宋体" w:eastAsia="宋体" w:cs="宋体"/>
          <w:b/>
          <w:color w:val="auto"/>
          <w:sz w:val="48"/>
        </w:rPr>
        <w:t>合 同 书</w:t>
      </w:r>
    </w:p>
    <w:p w14:paraId="70E3CD2F">
      <w:pPr>
        <w:spacing w:line="480" w:lineRule="auto"/>
        <w:jc w:val="center"/>
        <w:rPr>
          <w:rFonts w:hint="eastAsia" w:ascii="宋体" w:hAnsi="宋体" w:eastAsia="宋体" w:cs="宋体"/>
          <w:color w:val="auto"/>
          <w:sz w:val="44"/>
        </w:rPr>
      </w:pPr>
    </w:p>
    <w:p w14:paraId="2DDCD9E4">
      <w:pPr>
        <w:spacing w:line="480" w:lineRule="auto"/>
        <w:jc w:val="center"/>
        <w:rPr>
          <w:rFonts w:hint="eastAsia" w:ascii="宋体" w:hAnsi="宋体" w:eastAsia="宋体" w:cs="宋体"/>
          <w:color w:val="auto"/>
          <w:sz w:val="44"/>
        </w:rPr>
      </w:pPr>
    </w:p>
    <w:p w14:paraId="6CF06DE7">
      <w:pPr>
        <w:spacing w:line="660" w:lineRule="auto"/>
        <w:rPr>
          <w:rFonts w:hint="eastAsia" w:ascii="宋体" w:hAnsi="宋体" w:eastAsia="宋体" w:cs="宋体"/>
          <w:color w:val="auto"/>
          <w:sz w:val="24"/>
          <w:szCs w:val="22"/>
        </w:rPr>
      </w:pPr>
      <w:r>
        <w:rPr>
          <w:rFonts w:hint="eastAsia" w:ascii="宋体" w:hAnsi="宋体" w:eastAsia="宋体" w:cs="宋体"/>
          <w:color w:val="auto"/>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color w:val="auto"/>
          <w:sz w:val="28"/>
        </w:rPr>
      </w:pPr>
      <w:r>
        <w:rPr>
          <w:rFonts w:hint="eastAsia" w:ascii="宋体" w:hAnsi="宋体" w:eastAsia="宋体" w:cs="宋体"/>
          <w:color w:val="auto"/>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auto"/>
          <w:sz w:val="28"/>
        </w:rPr>
      </w:pPr>
      <w:r>
        <w:rPr>
          <w:rFonts w:hint="eastAsia" w:ascii="宋体" w:hAnsi="宋体" w:eastAsia="宋体" w:cs="宋体"/>
          <w:color w:val="auto"/>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color w:val="auto"/>
          <w:sz w:val="28"/>
        </w:rPr>
      </w:pPr>
      <w:r>
        <w:rPr>
          <w:rFonts w:hint="eastAsia" w:ascii="宋体" w:hAnsi="宋体" w:eastAsia="宋体" w:cs="宋体"/>
          <w:color w:val="auto"/>
          <w:sz w:val="28"/>
        </w:rPr>
        <w:t>通讯邮编、地址：</w:t>
      </w:r>
    </w:p>
    <w:p w14:paraId="2E4DD1B3">
      <w:pPr>
        <w:spacing w:line="660" w:lineRule="auto"/>
        <w:rPr>
          <w:rFonts w:hint="eastAsia" w:ascii="宋体" w:hAnsi="宋体" w:eastAsia="宋体" w:cs="宋体"/>
          <w:color w:val="auto"/>
          <w:sz w:val="28"/>
        </w:rPr>
      </w:pPr>
      <w:r>
        <w:rPr>
          <w:rFonts w:hint="eastAsia" w:ascii="宋体" w:hAnsi="宋体" w:eastAsia="宋体" w:cs="宋体"/>
          <w:color w:val="auto"/>
          <w:sz w:val="28"/>
        </w:rPr>
        <w:t>传真、电话：</w:t>
      </w:r>
    </w:p>
    <w:p w14:paraId="0EE7B101">
      <w:pPr>
        <w:spacing w:line="660" w:lineRule="auto"/>
        <w:rPr>
          <w:rFonts w:hint="eastAsia" w:ascii="宋体" w:hAnsi="宋体" w:eastAsia="宋体" w:cs="宋体"/>
          <w:color w:val="auto"/>
          <w:sz w:val="28"/>
        </w:rPr>
      </w:pPr>
      <w:r>
        <w:rPr>
          <w:rFonts w:hint="eastAsia" w:ascii="宋体" w:hAnsi="宋体" w:eastAsia="宋体" w:cs="宋体"/>
          <w:color w:val="auto"/>
          <w:sz w:val="28"/>
        </w:rPr>
        <w:t>起止年限：年</w:t>
      </w:r>
      <w:r>
        <w:rPr>
          <w:rFonts w:hint="eastAsia" w:ascii="宋体" w:hAnsi="宋体" w:eastAsia="宋体" w:cs="宋体"/>
          <w:color w:val="auto"/>
        </w:rPr>
        <w:t xml:space="preserve">  </w:t>
      </w:r>
      <w:r>
        <w:rPr>
          <w:rFonts w:hint="eastAsia" w:ascii="宋体" w:hAnsi="宋体" w:eastAsia="宋体" w:cs="宋体"/>
          <w:color w:val="auto"/>
          <w:sz w:val="28"/>
        </w:rPr>
        <w:t>月 至</w:t>
      </w:r>
      <w:r>
        <w:rPr>
          <w:rFonts w:hint="eastAsia" w:ascii="宋体" w:hAnsi="宋体" w:eastAsia="宋体" w:cs="宋体"/>
          <w:color w:val="auto"/>
        </w:rPr>
        <w:t xml:space="preserve">  </w:t>
      </w:r>
      <w:r>
        <w:rPr>
          <w:rFonts w:hint="eastAsia" w:ascii="宋体" w:hAnsi="宋体" w:eastAsia="宋体" w:cs="宋体"/>
          <w:color w:val="auto"/>
          <w:sz w:val="28"/>
        </w:rPr>
        <w:t>年</w:t>
      </w:r>
      <w:r>
        <w:rPr>
          <w:rFonts w:hint="eastAsia" w:ascii="宋体" w:hAnsi="宋体" w:eastAsia="宋体" w:cs="宋体"/>
          <w:color w:val="auto"/>
        </w:rPr>
        <w:t xml:space="preserve">   </w:t>
      </w:r>
      <w:r>
        <w:rPr>
          <w:rFonts w:hint="eastAsia" w:ascii="宋体" w:hAnsi="宋体" w:eastAsia="宋体" w:cs="宋体"/>
          <w:color w:val="auto"/>
          <w:sz w:val="28"/>
        </w:rPr>
        <w:t>月</w:t>
      </w:r>
    </w:p>
    <w:p w14:paraId="5A4FD29A">
      <w:pPr>
        <w:pStyle w:val="5"/>
        <w:rPr>
          <w:rFonts w:hint="eastAsia" w:ascii="宋体" w:hAnsi="宋体" w:eastAsia="宋体" w:cs="宋体"/>
          <w:sz w:val="28"/>
        </w:rPr>
      </w:pPr>
    </w:p>
    <w:p w14:paraId="343B6969">
      <w:pPr>
        <w:pStyle w:val="6"/>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11"/>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color w:val="auto"/>
                <w:sz w:val="28"/>
              </w:rPr>
            </w:pPr>
            <w:r>
              <w:rPr>
                <w:rFonts w:hint="eastAsia" w:ascii="宋体" w:hAnsi="宋体" w:eastAsia="宋体" w:cs="宋体"/>
                <w:color w:val="auto"/>
                <w:sz w:val="28"/>
              </w:rPr>
              <w:t>1．预期目标</w:t>
            </w:r>
          </w:p>
          <w:p w14:paraId="2A4292B9">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color w:val="auto"/>
                <w:sz w:val="28"/>
              </w:rPr>
            </w:pPr>
            <w:r>
              <w:rPr>
                <w:rFonts w:hint="eastAsia" w:ascii="宋体" w:hAnsi="宋体" w:eastAsia="宋体" w:cs="宋体"/>
                <w:color w:val="auto"/>
                <w:sz w:val="28"/>
              </w:rPr>
              <w:t>2．主要技术经济指标（具体的技术经济参数）</w:t>
            </w:r>
          </w:p>
          <w:p w14:paraId="1A23C17A">
            <w:pPr>
              <w:ind w:left="420"/>
              <w:rPr>
                <w:rFonts w:hint="eastAsia" w:ascii="宋体" w:hAnsi="宋体" w:eastAsia="宋体" w:cs="宋体"/>
                <w:color w:val="auto"/>
                <w:sz w:val="28"/>
              </w:rPr>
            </w:pPr>
            <w:r>
              <w:rPr>
                <w:rFonts w:hint="eastAsia" w:ascii="宋体" w:hAnsi="宋体" w:eastAsia="宋体" w:cs="宋体"/>
                <w:color w:val="auto"/>
                <w:sz w:val="28"/>
              </w:rPr>
              <w:t>3．经济和社会效益</w:t>
            </w:r>
          </w:p>
          <w:p w14:paraId="20DCF345">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color w:val="auto"/>
                <w:sz w:val="28"/>
              </w:rPr>
            </w:pPr>
            <w:r>
              <w:rPr>
                <w:rFonts w:hint="eastAsia" w:ascii="宋体" w:hAnsi="宋体" w:eastAsia="宋体" w:cs="宋体"/>
                <w:color w:val="auto"/>
                <w:sz w:val="28"/>
              </w:rPr>
              <w:t>4．成果提供形式</w:t>
            </w:r>
          </w:p>
          <w:p w14:paraId="5868B1B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6"/>
              </w:numPr>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其他考核指标</w:t>
            </w:r>
          </w:p>
          <w:p w14:paraId="5D945F98">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11"/>
        <w:rPr>
          <w:rFonts w:hint="eastAsia" w:ascii="宋体" w:hAnsi="宋体" w:eastAsia="宋体" w:cs="宋体"/>
          <w:color w:val="auto"/>
          <w:sz w:val="24"/>
          <w:szCs w:val="22"/>
          <w:lang w:eastAsia="zh-CN"/>
        </w:rPr>
      </w:pPr>
      <w:r>
        <w:rPr>
          <w:rFonts w:hint="eastAsia" w:ascii="宋体" w:hAnsi="宋体" w:eastAsia="宋体" w:cs="宋体"/>
          <w:color w:val="auto"/>
          <w:sz w:val="24"/>
          <w:szCs w:val="22"/>
          <w:lang w:val="en-US" w:eastAsia="zh-CN"/>
        </w:rPr>
        <w:t>注：</w:t>
      </w:r>
      <w:r>
        <w:rPr>
          <w:rFonts w:hint="eastAsia" w:ascii="宋体" w:hAnsi="宋体" w:eastAsia="宋体" w:cs="宋体"/>
          <w:color w:val="auto"/>
          <w:sz w:val="24"/>
          <w:szCs w:val="22"/>
          <w:lang w:eastAsia="zh-CN"/>
        </w:rPr>
        <w:t>预算编制按照《陕西省人民政府</w:t>
      </w:r>
      <w:r>
        <w:rPr>
          <w:rFonts w:hint="eastAsia" w:ascii="宋体" w:hAnsi="宋体" w:eastAsia="宋体" w:cs="宋体"/>
          <w:color w:val="auto"/>
          <w:sz w:val="24"/>
          <w:szCs w:val="22"/>
          <w:lang w:val="en-US" w:eastAsia="zh-CN"/>
        </w:rPr>
        <w:t>办公厅</w:t>
      </w:r>
      <w:r>
        <w:rPr>
          <w:rFonts w:hint="eastAsia" w:ascii="宋体" w:hAnsi="宋体" w:eastAsia="宋体" w:cs="宋体"/>
          <w:color w:val="auto"/>
          <w:sz w:val="24"/>
          <w:szCs w:val="22"/>
          <w:lang w:eastAsia="zh-CN"/>
        </w:rPr>
        <w:t>关于</w:t>
      </w:r>
      <w:r>
        <w:rPr>
          <w:rFonts w:hint="eastAsia" w:ascii="宋体" w:hAnsi="宋体" w:eastAsia="宋体" w:cs="宋体"/>
          <w:color w:val="auto"/>
          <w:sz w:val="24"/>
          <w:szCs w:val="22"/>
          <w:lang w:val="en-US" w:eastAsia="zh-CN"/>
        </w:rPr>
        <w:t>改革完善省级财政科研经费管理的</w:t>
      </w:r>
      <w:r>
        <w:rPr>
          <w:rFonts w:hint="eastAsia" w:ascii="宋体" w:hAnsi="宋体" w:eastAsia="宋体" w:cs="宋体"/>
          <w:color w:val="auto"/>
          <w:sz w:val="24"/>
          <w:szCs w:val="22"/>
          <w:lang w:eastAsia="zh-CN"/>
        </w:rPr>
        <w:t>实施意见》（陕政</w:t>
      </w:r>
      <w:r>
        <w:rPr>
          <w:rFonts w:hint="eastAsia" w:ascii="宋体" w:hAnsi="宋体" w:eastAsia="宋体" w:cs="宋体"/>
          <w:color w:val="auto"/>
          <w:sz w:val="24"/>
          <w:szCs w:val="22"/>
          <w:lang w:val="en-US" w:eastAsia="zh-CN"/>
        </w:rPr>
        <w:t>办</w:t>
      </w:r>
      <w:r>
        <w:rPr>
          <w:rFonts w:hint="eastAsia" w:ascii="宋体" w:hAnsi="宋体" w:eastAsia="宋体" w:cs="宋体"/>
          <w:color w:val="auto"/>
          <w:sz w:val="24"/>
          <w:szCs w:val="22"/>
          <w:lang w:eastAsia="zh-CN"/>
        </w:rPr>
        <w:t>发</w:t>
      </w:r>
      <w:r>
        <w:rPr>
          <w:rFonts w:hint="eastAsia" w:ascii="宋体" w:hAnsi="宋体" w:eastAsia="宋体" w:cs="宋体"/>
          <w:color w:val="auto"/>
          <w:sz w:val="24"/>
          <w:szCs w:val="22"/>
          <w:lang w:val="en-US" w:eastAsia="zh-CN"/>
        </w:rPr>
        <w:t>[2022]3号</w:t>
      </w:r>
      <w:r>
        <w:rPr>
          <w:rFonts w:hint="eastAsia" w:ascii="宋体" w:hAnsi="宋体" w:eastAsia="宋体" w:cs="宋体"/>
          <w:color w:val="auto"/>
          <w:sz w:val="24"/>
          <w:szCs w:val="22"/>
          <w:lang w:eastAsia="zh-CN"/>
        </w:rPr>
        <w:t>）文件执行。项目验收将组织财务专项验收或审计。</w:t>
      </w:r>
    </w:p>
    <w:p w14:paraId="79B2AE24">
      <w:pPr>
        <w:numPr>
          <w:ilvl w:val="0"/>
          <w:numId w:val="7"/>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rPr>
            </w:pPr>
          </w:p>
        </w:tc>
      </w:tr>
    </w:tbl>
    <w:p w14:paraId="75B14823">
      <w:pPr>
        <w:numPr>
          <w:ilvl w:val="0"/>
          <w:numId w:val="7"/>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24034B06">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73AA151E">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ABA7DD3">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color w:val="FF0000"/>
                <w:sz w:val="28"/>
                <w:szCs w:val="28"/>
              </w:rPr>
            </w:pPr>
            <w:r>
              <w:rPr>
                <w:rFonts w:hint="eastAsia" w:ascii="宋体" w:hAnsi="宋体" w:eastAsia="宋体" w:cs="宋体"/>
                <w:color w:val="FF0000"/>
                <w:sz w:val="28"/>
                <w:szCs w:val="28"/>
              </w:rPr>
              <w:t>主要研究人员（注：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18566024">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069F118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28A7654">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00E747C3">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55ABDFA1">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12FC141">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2D876769">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3F4F4CB6">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3AE14DA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058AD9EC">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41C7DB82">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F6DEEF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72AED4C0">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30361DDA">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0CFCFFE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5DD9E3BA">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56B164D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0C4451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57D698F6">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0EDDDC79">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7C057FB">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11"/>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11"/>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color w:val="auto"/>
          <w:sz w:val="32"/>
          <w:lang w:eastAsia="zh-CN"/>
        </w:rPr>
        <w:t>九</w:t>
      </w:r>
      <w:r>
        <w:rPr>
          <w:rFonts w:hint="eastAsia" w:ascii="宋体" w:hAnsi="宋体" w:eastAsia="宋体" w:cs="宋体"/>
          <w:b/>
          <w:color w:val="auto"/>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7"/>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13105"/>
      <w:bookmarkStart w:id="94" w:name="_Toc2484"/>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10930_WPSOffice_Level1"/>
      <w:bookmarkStart w:id="96" w:name="_Toc25996_WPSOffice_Level1"/>
      <w:bookmarkStart w:id="97" w:name="_Toc5592_WPSOffice_Level1"/>
      <w:bookmarkStart w:id="98" w:name="_Toc19196"/>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075E00E7">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530E8088">
      <w:pPr>
        <w:adjustRightInd w:val="0"/>
        <w:snapToGrid w:val="0"/>
        <w:spacing w:line="360" w:lineRule="auto"/>
        <w:jc w:val="center"/>
        <w:rPr>
          <w:rFonts w:hint="eastAsia" w:ascii="宋体" w:hAnsi="宋体" w:eastAsia="宋体" w:cs="宋体"/>
          <w:bCs/>
          <w:sz w:val="48"/>
          <w:szCs w:val="48"/>
          <w:highlight w:val="none"/>
        </w:rPr>
      </w:pP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 xml:space="preserve">）（项目编号）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2" w:name="_Toc26642"/>
      <w:bookmarkStart w:id="103" w:name="_Toc18383"/>
      <w:bookmarkStart w:id="104" w:name="_Toc16163"/>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r>
        <w:rPr>
          <w:rFonts w:hint="eastAsia" w:ascii="宋体" w:hAnsi="宋体" w:eastAsia="宋体" w:cs="宋体"/>
          <w:highlight w:val="none"/>
        </w:rPr>
        <w:t xml:space="preserve">：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包名称</w:t>
      </w:r>
      <w:r>
        <w:rPr>
          <w:rFonts w:hint="eastAsia" w:ascii="宋体" w:hAnsi="宋体" w:eastAsia="宋体" w:cs="宋体"/>
          <w:sz w:val="24"/>
          <w:szCs w:val="24"/>
          <w:highlight w:val="none"/>
        </w:rPr>
        <w:t>：</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0" w:name="_Toc24121"/>
      <w:bookmarkStart w:id="111" w:name="_Toc12541"/>
      <w:bookmarkStart w:id="112" w:name="_Toc17889"/>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3"/>
      <w:bookmarkStart w:id="117" w:name="OLE_LINK14"/>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9"/>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6262"/>
      <w:bookmarkStart w:id="119" w:name="_Toc27112"/>
      <w:bookmarkStart w:id="120" w:name="_Toc12758"/>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12"/>
        <w:rPr>
          <w:rFonts w:hint="eastAsia" w:ascii="宋体" w:hAnsi="宋体" w:eastAsia="宋体" w:cs="宋体"/>
          <w:color w:val="auto"/>
          <w:sz w:val="28"/>
          <w:szCs w:val="28"/>
        </w:rPr>
      </w:pPr>
    </w:p>
    <w:p w14:paraId="6B3C6994">
      <w:pPr>
        <w:pStyle w:val="27"/>
        <w:rPr>
          <w:rFonts w:hint="eastAsia" w:ascii="宋体" w:hAnsi="宋体" w:eastAsia="宋体" w:cs="宋体"/>
          <w:color w:val="auto"/>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1" w:name="_Toc10175"/>
      <w:bookmarkStart w:id="122" w:name="_Toc8796"/>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0CE32C37">
      <w:pPr>
        <w:spacing w:before="120" w:beforeLines="50" w:after="240" w:afterLines="100"/>
        <w:jc w:val="center"/>
        <w:outlineLvl w:val="9"/>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pStyle w:val="12"/>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交通基础设施智能检测与状态评估成套技术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627208F4"/>
    <w:multiLevelType w:val="multilevel"/>
    <w:tmpl w:val="627208F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7"/>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B5B74"/>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EA1100"/>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5C54B8"/>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1388E"/>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3F16C9"/>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AE2885"/>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5A559D"/>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E9265B"/>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732F91"/>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4A2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953DF3"/>
    <w:rsid w:val="69DE2527"/>
    <w:rsid w:val="6A075959"/>
    <w:rsid w:val="6A0D0F9F"/>
    <w:rsid w:val="6A473329"/>
    <w:rsid w:val="6A4D41E9"/>
    <w:rsid w:val="6A667059"/>
    <w:rsid w:val="6A935E99"/>
    <w:rsid w:val="6AC360AA"/>
    <w:rsid w:val="6AC73A79"/>
    <w:rsid w:val="6AEF7C8E"/>
    <w:rsid w:val="6B3D5262"/>
    <w:rsid w:val="6B992D08"/>
    <w:rsid w:val="6BA548F1"/>
    <w:rsid w:val="6BB16608"/>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026AEA"/>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3A5B78"/>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27872</Words>
  <Characters>29380</Characters>
  <Lines>297</Lines>
  <Paragraphs>83</Paragraphs>
  <TotalTime>0</TotalTime>
  <ScaleCrop>false</ScaleCrop>
  <LinksUpToDate>false</LinksUpToDate>
  <CharactersWithSpaces>29700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2025-11-21T02:33:13Z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eyJoZGlkIjoiNTE5MTZhMTA0MTkxNDlhOGYyYzI2NjJmZTUzZjE2NWUiLCJ1c2VySWQiOiIyMjc5Nzk0ODUifQ==</vt:lpwstr>
  </property>
</Properties>
</file>