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495908398"/>
      <w:bookmarkStart w:id="1" w:name="_Toc519156735"/>
      <w:bookmarkStart w:id="2" w:name="_Toc21955"/>
      <w:bookmarkStart w:id="3" w:name="_Toc268"/>
    </w:p>
    <w:p w14:paraId="038E30EE">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物理设施与运营系统一体化智能调控技术</w:t>
      </w:r>
    </w:p>
    <w:p w14:paraId="5202C5F4">
      <w:pPr>
        <w:tabs>
          <w:tab w:val="left" w:pos="5145"/>
        </w:tabs>
        <w:spacing w:line="360" w:lineRule="auto"/>
        <w:jc w:val="center"/>
        <w:rPr>
          <w:rFonts w:hint="eastAsia" w:ascii="宋体" w:hAnsi="宋体" w:cs="宋体"/>
          <w:b/>
          <w:bCs/>
          <w:color w:val="auto"/>
          <w:sz w:val="48"/>
          <w:szCs w:val="48"/>
          <w:highlight w:val="none"/>
          <w:lang w:val="en-US" w:eastAsia="zh-CN"/>
        </w:rPr>
      </w:pPr>
    </w:p>
    <w:p w14:paraId="1A314A08">
      <w:pPr>
        <w:tabs>
          <w:tab w:val="left" w:pos="5145"/>
        </w:tabs>
        <w:spacing w:line="360" w:lineRule="auto"/>
        <w:jc w:val="center"/>
        <w:rPr>
          <w:rFonts w:hint="eastAsia" w:ascii="宋体" w:hAnsi="宋体" w:cs="宋体"/>
          <w:b/>
          <w:bCs/>
          <w:color w:val="auto"/>
          <w:sz w:val="48"/>
          <w:szCs w:val="48"/>
          <w:highlight w:val="none"/>
          <w:lang w:val="en-US" w:eastAsia="zh-CN"/>
        </w:rPr>
      </w:pPr>
    </w:p>
    <w:p w14:paraId="4D0E97F8">
      <w:pPr>
        <w:tabs>
          <w:tab w:val="left" w:pos="5145"/>
        </w:tabs>
        <w:spacing w:line="360" w:lineRule="auto"/>
        <w:jc w:val="both"/>
        <w:rPr>
          <w:rFonts w:hint="eastAsia" w:ascii="宋体" w:hAnsi="宋体" w:cs="宋体"/>
          <w:b/>
          <w:bCs/>
          <w:color w:val="auto"/>
          <w:sz w:val="48"/>
          <w:szCs w:val="48"/>
          <w:highlight w:val="none"/>
          <w:lang w:val="en-US" w:eastAsia="zh-CN"/>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6113C714">
      <w:pPr>
        <w:pStyle w:val="9"/>
        <w:rPr>
          <w:rFonts w:hint="eastAsia" w:ascii="宋体" w:hAnsi="宋体" w:eastAsia="宋体" w:cs="宋体"/>
        </w:rPr>
      </w:pPr>
    </w:p>
    <w:p w14:paraId="0EE92654">
      <w:pPr>
        <w:rPr>
          <w:rFonts w:hint="eastAsia" w:ascii="宋体" w:hAnsi="宋体" w:eastAsia="宋体" w:cs="宋体"/>
        </w:rPr>
      </w:pPr>
    </w:p>
    <w:p w14:paraId="0546F70C">
      <w:pPr>
        <w:rPr>
          <w:rFonts w:hint="eastAsia" w:ascii="宋体" w:hAnsi="宋体" w:eastAsia="宋体" w:cs="宋体"/>
          <w:lang w:eastAsia="zh-CN"/>
        </w:rPr>
      </w:pPr>
    </w:p>
    <w:p w14:paraId="5370CC02">
      <w:pPr>
        <w:rPr>
          <w:rFonts w:hint="eastAsia" w:ascii="宋体" w:hAnsi="宋体" w:eastAsia="宋体" w:cs="宋体"/>
          <w:lang w:eastAsia="zh-CN"/>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w:t>
      </w:r>
      <w:r>
        <w:rPr>
          <w:rFonts w:hint="eastAsia" w:ascii="宋体" w:hAnsi="宋体" w:cs="宋体"/>
          <w:b/>
          <w:bCs/>
          <w:i w:val="0"/>
          <w:iCs w:val="0"/>
          <w:snapToGrid w:val="0"/>
          <w:color w:val="000000"/>
          <w:spacing w:val="6"/>
          <w:kern w:val="0"/>
          <w:position w:val="32"/>
          <w:sz w:val="35"/>
          <w:szCs w:val="35"/>
          <w:u w:val="single"/>
          <w:lang w:val="en-US" w:eastAsia="zh-CN"/>
        </w:rPr>
        <w:t>100</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495908399"/>
      <w:bookmarkStart w:id="7" w:name="_Toc8474"/>
      <w:bookmarkStart w:id="8" w:name="_Toc26933"/>
      <w:bookmarkStart w:id="9" w:name="_Toc2990"/>
      <w:bookmarkStart w:id="10" w:name="_Toc519156736"/>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物理设施与运营系统一体化智能调控技术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100</w:t>
      </w:r>
    </w:p>
    <w:p w14:paraId="6FD14D06">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物理设施与运营系统一体化智能调控技术</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环境影响下地基-路基-路面一体化变形机理及施工控制关键技术研究</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环境影响下地基-路基-路面一体化变形机理及施工控制关键技术研究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环境影响下地基-路基-路面一体化变形机理及施工控制关键技术研究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4B0CEDF9">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基于交通应急调度平台的西安高铁北站客流预测与调度方法研究</w:t>
      </w:r>
      <w:r>
        <w:rPr>
          <w:rFonts w:hint="eastAsia" w:ascii="宋体" w:hAnsi="宋体" w:eastAsia="宋体" w:cs="宋体"/>
          <w:highlight w:val="none"/>
        </w:rPr>
        <w:t>):</w:t>
      </w:r>
    </w:p>
    <w:p w14:paraId="1C54E083">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DFD80AF">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6B321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7DCDF7">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75362">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B821F8">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786D6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17AB52">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595ACF">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7130B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584D0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0A8DB">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12BA2">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F15581">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基于交通应急调度平台的西安高铁北站客流预测与调度方法研究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415F3">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11AB7C">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基于交通应急调度平台的西安高铁北站客流预测与调度方法研究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985848">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6198B8">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6F9E293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41C60241">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物理设施与运营系统一体化智能调控技术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4E65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F8FDE6F">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46DDEA1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1F91A234">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10488"/>
      <w:bookmarkStart w:id="17" w:name="_Toc3716"/>
      <w:bookmarkStart w:id="18" w:name="_Toc26143"/>
      <w:bookmarkStart w:id="19" w:name="_Toc519156746"/>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4454"/>
      <w:bookmarkStart w:id="22" w:name="_Toc25586"/>
      <w:bookmarkStart w:id="23" w:name="_Toc7253"/>
      <w:bookmarkStart w:id="24" w:name="_Toc12298"/>
      <w:bookmarkStart w:id="25" w:name="_Toc519156738"/>
      <w:bookmarkStart w:id="26" w:name="_Toc13421"/>
      <w:bookmarkStart w:id="27" w:name="_Toc1241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4528"/>
      <w:bookmarkStart w:id="29" w:name="_Toc2740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17134"/>
      <w:bookmarkStart w:id="33" w:name="_Toc265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8132"/>
      <w:bookmarkStart w:id="36" w:name="_Toc8808"/>
      <w:bookmarkStart w:id="37" w:name="_Toc1168"/>
      <w:bookmarkStart w:id="38" w:name="_Toc28014"/>
      <w:bookmarkStart w:id="39" w:name="_Toc22803"/>
      <w:bookmarkStart w:id="40" w:name="_Toc16846"/>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2515"/>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32447"/>
      <w:bookmarkStart w:id="49" w:name="_Toc519156742"/>
      <w:bookmarkStart w:id="50" w:name="_Toc1285"/>
      <w:bookmarkStart w:id="51" w:name="_Toc18356"/>
      <w:bookmarkStart w:id="52" w:name="_Toc14489"/>
      <w:bookmarkStart w:id="53" w:name="_Toc45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3700"/>
      <w:bookmarkStart w:id="55" w:name="_Toc21838"/>
      <w:bookmarkStart w:id="56" w:name="_Toc15015"/>
      <w:bookmarkStart w:id="57" w:name="_Toc1954"/>
      <w:bookmarkStart w:id="58" w:name="_Toc6759"/>
      <w:bookmarkStart w:id="59" w:name="_Toc519156743"/>
      <w:bookmarkStart w:id="60" w:name="_Toc12452"/>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12773"/>
      <w:bookmarkStart w:id="65" w:name="_Toc729"/>
      <w:bookmarkStart w:id="66" w:name="_Toc26927"/>
      <w:bookmarkStart w:id="67" w:name="_Toc21776"/>
      <w:bookmarkStart w:id="68" w:name="_Toc5011"/>
      <w:bookmarkStart w:id="69" w:name="_Toc23716"/>
      <w:bookmarkStart w:id="70" w:name="_Toc23884"/>
      <w:bookmarkStart w:id="71" w:name="_Toc30935"/>
      <w:bookmarkStart w:id="72" w:name="_Toc519156745"/>
      <w:bookmarkStart w:id="73" w:name="_Toc11936"/>
      <w:bookmarkStart w:id="74" w:name="_Toc23647"/>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10165"/>
      <w:bookmarkStart w:id="78" w:name="_Toc5878"/>
      <w:bookmarkStart w:id="79" w:name="_Toc18282"/>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2502D136">
      <w:pPr>
        <w:pStyle w:val="13"/>
        <w:rPr>
          <w:rFonts w:hint="eastAsia" w:ascii="宋体" w:hAnsi="宋体" w:eastAsia="宋体" w:cs="宋体"/>
          <w:b/>
          <w:bCs/>
          <w:sz w:val="36"/>
          <w:szCs w:val="36"/>
          <w:highlight w:val="none"/>
        </w:rPr>
      </w:pPr>
      <w:r>
        <w:rPr>
          <w:rFonts w:hint="eastAsia" w:ascii="宋体" w:hAnsi="宋体" w:eastAsia="宋体" w:cs="宋体"/>
          <w:szCs w:val="24"/>
          <w:highlight w:val="none"/>
        </w:rPr>
        <w:t>43.1　本磋商文件的解释权归采购代理机构所有。</w:t>
      </w:r>
      <w:bookmarkStart w:id="81" w:name="_Toc18360"/>
      <w:bookmarkStart w:id="82" w:name="_Toc21558"/>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16214"/>
      <w:bookmarkStart w:id="85" w:name="_Toc18268"/>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237BFC1D">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7C66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92DC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FF"/>
          <w:lang w:eastAsia="zh-CN"/>
        </w:rPr>
      </w:pPr>
      <w:r>
        <w:rPr>
          <w:rFonts w:hint="eastAsia"/>
        </w:rPr>
        <w:t>1. 项目名称：</w:t>
      </w:r>
      <w:r>
        <w:rPr>
          <w:rFonts w:hint="eastAsia" w:cs="宋体"/>
          <w:highlight w:val="none"/>
          <w:lang w:eastAsia="zh-CN"/>
        </w:rPr>
        <w:t>环境影响下地基-路基-路面一体化变形机理及施工控制关键技术研究</w:t>
      </w:r>
    </w:p>
    <w:p w14:paraId="75BA5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立项背景与必要性：新疆阿勒泰G680塔克什肯至恰克图（含G680-清河）一级公路所在地区仍未通铁路。该工程连接通蒙古国的塔克什肯口岸，进而连接中亚地区和俄罗斯，具有重要的战略和社会经济价值。对该地区初步的现场调查也发现，已建成甚至刚建成的公路路</w:t>
      </w:r>
      <w:bookmarkStart w:id="124" w:name="_GoBack"/>
      <w:bookmarkEnd w:id="124"/>
      <w:r>
        <w:rPr>
          <w:rFonts w:hint="eastAsia"/>
        </w:rPr>
        <w:t>面开裂（横向和纵向）以及“搓板”路（横向和纵向）、涵洞通道开裂等病害比较严重。依托工程建设面临一些亟待解决的难题，主要有：</w:t>
      </w:r>
    </w:p>
    <w:p w14:paraId="185D8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（1）积雪-温度场中，冻融循环造成的地基和路基中水场，以及由此引起的盐分场的变化及演化规律；</w:t>
      </w:r>
    </w:p>
    <w:p w14:paraId="56B5B4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（2）重车荷载场的影响；</w:t>
      </w:r>
    </w:p>
    <w:p w14:paraId="13DCA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（3）大温差条件下沿线地基温度场变化的影响；</w:t>
      </w:r>
    </w:p>
    <w:p w14:paraId="123BC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（4）厚积雪条件下地基和路基水场变化规律；</w:t>
      </w:r>
    </w:p>
    <w:p w14:paraId="1A52F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（5）温度场、水分场盐分场耦合条件下，将地基-路基-路面作为一体考虑，更有针对性的</w:t>
      </w:r>
    </w:p>
    <w:p w14:paraId="7BD70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对低填浅挖路基公路不均匀沉降问题进行分析；</w:t>
      </w:r>
    </w:p>
    <w:p w14:paraId="03EBC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（6）不同来源和成分的碎石土填料压实标准；</w:t>
      </w:r>
    </w:p>
    <w:p w14:paraId="0D3ED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（7）针对性的碎石土填料碾压控制工艺组合及参数；</w:t>
      </w:r>
    </w:p>
    <w:p w14:paraId="3F651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（8）大温差极端环境下，基层材料温缩性能及其长期性能；</w:t>
      </w:r>
    </w:p>
    <w:p w14:paraId="55F62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（9）大温差极端环境下，公路体系基层变形及受力特征。</w:t>
      </w:r>
    </w:p>
    <w:p w14:paraId="48BE87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解决上述问题对国家“一带一路”建设具有长远的作用，和良好的社会经济效益。</w:t>
      </w:r>
    </w:p>
    <w:p w14:paraId="3378C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3C86B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总体目标：</w:t>
      </w:r>
    </w:p>
    <w:p w14:paraId="281C7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（1）对环境影响下盐渍土季冻区高等级公路基层、路基和地基材料的工程特性、强度和变形等进行针对性研究，保障工程建设质量，为工程建设安全顺利的进行提供依托；</w:t>
      </w:r>
    </w:p>
    <w:p w14:paraId="66A25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（2）对大温差厚积雪季冻区公路基层材料和碎石土路基填料地工程特性、施工控制工艺等问题，提出解决问题的方法和流程，确定控制指标标准，指导依托工程施工；</w:t>
      </w:r>
    </w:p>
    <w:p w14:paraId="6051D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对环境影响下盐渍土季冻区基层材料在荷载-温度-湿度场中的温缩变形及强度变化规律进行分析；提出建立温度-湿度-盐份场耦合条件下地基-路基-路面协同受力协调变形一体化计算分析模型，对极端环境条件下低填浅挖路基不均匀（横向和纵向）变形分析；以此为基础，提出新疆阿勒泰地区极端环境下盐渍土季冻区高等级公路病害施工控制措施和工艺指标标准，取得创新成果，填补研究空白，推进行业科技进步，形成具有区域推广价值的成果。</w:t>
      </w:r>
    </w:p>
    <w:p w14:paraId="1E260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具体考核指标：</w:t>
      </w:r>
    </w:p>
    <w:p w14:paraId="21C40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90" w:name="_Hlk211074828"/>
      <w:r>
        <w:rPr>
          <w:rFonts w:hint="eastAsia"/>
        </w:rPr>
        <w:t>（1）《极端环境条件高等级公路变形机理及施工控制关键技术研究》研究报告；</w:t>
      </w:r>
    </w:p>
    <w:p w14:paraId="79600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（2）《极端环境条件高等级公路施工技术指南》；</w:t>
      </w:r>
    </w:p>
    <w:p w14:paraId="73731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（3）发表学术论文 8 篇；</w:t>
      </w:r>
    </w:p>
    <w:p w14:paraId="011E4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2 项；</w:t>
      </w:r>
    </w:p>
    <w:p w14:paraId="7C3FA7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rPr>
        <w:t>（5）依托新疆 G680 塔克什肯至恰克图（含 G680-清河）高速公路建设，建立示工程</w:t>
      </w:r>
      <w:bookmarkEnd w:id="90"/>
      <w:r>
        <w:rPr>
          <w:rFonts w:hint="eastAsia"/>
          <w:lang w:eastAsia="zh-C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2588C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1. 研究范畴界定： </w:t>
      </w:r>
    </w:p>
    <w:p w14:paraId="3D8D8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（1）依托工程条件和区域环境调查分析；</w:t>
      </w:r>
    </w:p>
    <w:p w14:paraId="79A31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（2）现场监测及土体基本工程性质室内试验研究；</w:t>
      </w:r>
    </w:p>
    <w:p w14:paraId="000FD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（3）大温差厚积雪盐渍土季冻区高等级公路基层适应性研究；</w:t>
      </w:r>
    </w:p>
    <w:p w14:paraId="7C02A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（4）极端环境条件下碎石土路基填料碾压标准与控制工艺研究；</w:t>
      </w:r>
    </w:p>
    <w:p w14:paraId="7CEA2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（5）“多场”耦合条件下地基-路基-路面协同变形及控制研究。</w:t>
      </w:r>
    </w:p>
    <w:p w14:paraId="7FD82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52E5A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（1）场地温度-湿度-盐分场空间分布及变化规律；</w:t>
      </w:r>
    </w:p>
    <w:p w14:paraId="504EC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（2）温度-湿度-盐分场耦合条件下路基填料及地基土体变形和强度变化规律；</w:t>
      </w:r>
    </w:p>
    <w:p w14:paraId="78AC1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（3）温度-湿度-盐分场耦合条件下地基-路基-路面协同受力及协调变形计算模型；</w:t>
      </w:r>
    </w:p>
    <w:p w14:paraId="7C967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（4）温度-水分场耦合条件下基层温缩、变形及强度特性变化规律；</w:t>
      </w:r>
    </w:p>
    <w:p w14:paraId="328B1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（5）极端环境下盐渍土季冻区高等级公路修筑施工控制工艺及标准。</w:t>
      </w:r>
    </w:p>
    <w:p w14:paraId="2F15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技术指标与性能要求：</w:t>
      </w:r>
    </w:p>
    <w:p w14:paraId="42F11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（1）《极端环境条件高等级公路变形机理及施工控制关键技术研究》研究报告；</w:t>
      </w:r>
    </w:p>
    <w:p w14:paraId="3631B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（2）《极端环境条件高等级公路施工技术指南》；</w:t>
      </w:r>
    </w:p>
    <w:p w14:paraId="2B903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（3）发表学术论文 8 篇；</w:t>
      </w:r>
    </w:p>
    <w:p w14:paraId="54849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（4）申请专利 2 项。</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61633D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66D86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研究报告：《极端环境条件高等级公路变形机理及施工控制关键技术研究》研究报告。</w:t>
      </w:r>
    </w:p>
    <w:p w14:paraId="0C014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硬件/软件： </w:t>
      </w:r>
    </w:p>
    <w:p w14:paraId="4EB38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无。</w:t>
      </w:r>
    </w:p>
    <w:p w14:paraId="7E731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数据/数据库：</w:t>
      </w:r>
    </w:p>
    <w:p w14:paraId="40D6E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无。</w:t>
      </w:r>
    </w:p>
    <w:p w14:paraId="0A11A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03885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知识产权：专利 2 项。</w:t>
      </w:r>
    </w:p>
    <w:p w14:paraId="080F5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论文著作：学术论文 8 篇。</w:t>
      </w:r>
    </w:p>
    <w:p w14:paraId="265CE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技术标准：《极端环境条件高等级公路施工技术指南》。</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97257CC">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66A5A6">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CCF6A20">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531A70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项目概况与背景</w:t>
      </w:r>
    </w:p>
    <w:p w14:paraId="60A355A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项目名称：基于交通应急调度平台的西安高铁北站客流预测与调度方法研究</w:t>
      </w:r>
    </w:p>
    <w:p w14:paraId="5AD284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立项背景与必要性：</w:t>
      </w:r>
    </w:p>
    <w:p w14:paraId="5E29930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安北站作为中国西北地区最重要的高铁枢纽，每日承载着大量的客流。随着西安市经济的快速发展和高铁网络的不断扩展，如何高效预测客流并进行合理的应急调度，成为提升旅客出行体验、确保交通系统平稳运行的关键挑战。本项目围绕西安北站的客流预测与公共交通调度问题，主要解决以下几个方面问题：</w:t>
      </w:r>
    </w:p>
    <w:p w14:paraId="7BFB97F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（1）如何实现客流的精准预测。由于节假日、重要活动、突发事件、特殊天气等影响，客流具有突变性，如何精准的预测客流量，是进行交通调度和应急处置的基础。</w:t>
      </w:r>
    </w:p>
    <w:p w14:paraId="7E01BF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（2）如何实现交通供给的精准预测。交通供给涉及私家车、出租车、公交车、地铁等多种方式，交通网络结构复杂，公共交通供给量难以测算，无法有效的进行应急调度。</w:t>
      </w:r>
    </w:p>
    <w:p w14:paraId="24239E9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（3）如何实现公共交通系统的合理调度。在掌握客流和供给量的精准预测数据后，如何构建科学的调度系统，实现客流和运力的动态平衡，是交通管理的一大难题。</w:t>
      </w:r>
    </w:p>
    <w:p w14:paraId="3C3BDF3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通过本项目的研究，能为交通管理者提供直观、实时的数据支持和决策建议，提升交通管理的智能化水平，提升旅客出行满意度，为西安北站的交通管理和应急处置能力带来显著的提升。</w:t>
      </w:r>
    </w:p>
    <w:p w14:paraId="2B1825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研究目标与考核指标：</w:t>
      </w:r>
    </w:p>
    <w:p w14:paraId="5C01231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总体目标：针对西安高铁北站及其周边区域，结合先进人工智能技术，开发基于客流和车流供需平衡的公共交通调度系统，通过精准的客流和车流预测，实现对公交车和出租车的有效调度，解决高铁北站复杂交通网络下的调度难题，优化公共交通资源配置，提高交通应急保障能力。</w:t>
      </w:r>
    </w:p>
    <w:p w14:paraId="28C1DF0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具体考核指标： </w:t>
      </w:r>
    </w:p>
    <w:p w14:paraId="670A610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（1）基于Transformer的客流预测模块</w:t>
      </w:r>
    </w:p>
    <w:p w14:paraId="1438B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客流预测精度优于传统客流预测模型，预测精度大于95%；</w:t>
      </w:r>
    </w:p>
    <w:p w14:paraId="5F820B6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模型在接收数据后5分钟内输出客流预测结果，满足实时调度需求；</w:t>
      </w:r>
    </w:p>
    <w:p w14:paraId="1AFBCC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模型能够处理不同时间段、节假日及特殊事件期间的客流数据，确保在各种场景下预测误差保持在±10%以内。</w:t>
      </w:r>
    </w:p>
    <w:p w14:paraId="48D793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（2）基于图神经网络的车流量预测模块</w:t>
      </w:r>
    </w:p>
    <w:p w14:paraId="114971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预测的整体精度优于传统车流预测模型，预测精度大于90%；</w:t>
      </w:r>
    </w:p>
    <w:p w14:paraId="4999B54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模型能够有效捕捉交通网络中关键节点的时空相关性，在高峰期车流预测误差不超过±15%。</w:t>
      </w:r>
    </w:p>
    <w:p w14:paraId="28CD8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模型的预测计算时间控制在5分钟以内，确保能够实时支持调度系统的决策。</w:t>
      </w:r>
    </w:p>
    <w:p w14:paraId="6FBCC7F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（3）西安高铁北站公共交通调度模型</w:t>
      </w:r>
    </w:p>
    <w:p w14:paraId="384F771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通过系统优化后的公共交通调度方案，使高峰期乘客平均等待时间减少10%以上；</w:t>
      </w:r>
    </w:p>
    <w:p w14:paraId="5B978D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在接收客流和车流预测数据后，系统能够在3分钟内生成优化的调度方案；</w:t>
      </w:r>
    </w:p>
    <w:p w14:paraId="26586FD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 xml:space="preserve"> 系统在连续运行期间（如高峰期、节假日）保持99.9%的稳定性。</w:t>
      </w:r>
    </w:p>
    <w:p w14:paraId="327D8E0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主要研究内容与技术要求</w:t>
      </w:r>
    </w:p>
    <w:p w14:paraId="5B921D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研究范畴界定： </w:t>
      </w:r>
    </w:p>
    <w:p w14:paraId="16D17A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本项目根据对西安市公共交通行业运行模式的研究，结合前期的工作基础，针对西安高铁北站的客流和车流预测以及公共交通调度问题开展研究。</w:t>
      </w:r>
    </w:p>
    <w:p w14:paraId="546E8F6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关键技术攻关路线： </w:t>
      </w:r>
    </w:p>
    <w:p w14:paraId="71D5B60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1）客流识别与监测；</w:t>
      </w:r>
    </w:p>
    <w:p w14:paraId="5F2603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2）客流预测；</w:t>
      </w:r>
    </w:p>
    <w:p w14:paraId="4231276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3）车流量预测。</w:t>
      </w:r>
    </w:p>
    <w:p w14:paraId="265440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 xml:space="preserve">3. 技术指标与性能要求： </w:t>
      </w:r>
    </w:p>
    <w:p w14:paraId="651757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于Transformer的客流预测方法研究。针对当前西安北站客流大，难以得到精准客流的问题，本项目结合先进的目标检测算法YOLOv10与目标跟踪算法DeepSORT，提出了一种基于Transformer的客流预测方法，实现对西安高铁北站客流的准确预测。</w:t>
      </w:r>
    </w:p>
    <w:p w14:paraId="4B92492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于图神经网络的车流预测研究。针对当前西安北站周边客流疏散形式复杂，公共交通供给量难以估计的问题，提出了一种基于图神经网络的车流量预测方法，实现对西安高铁北站周边交通资源供给情况进行准确预测。</w:t>
      </w:r>
    </w:p>
    <w:p w14:paraId="4CC7335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西安高铁北站公共交通调度模型研究。针对当前西安北站公共交通调度问题，设计并实现西安高铁北站公共交通调度系统，通过实时监控、预测北站周边客流量和交通供给量，优化公共交通资源的调度策略，有效缓解高峰期的交通压力，提高交通应急保障能力。</w:t>
      </w:r>
    </w:p>
    <w:p w14:paraId="47F27E7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项目成果及交付物要求</w:t>
      </w:r>
    </w:p>
    <w:p w14:paraId="6589251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有形交付物：</w:t>
      </w:r>
    </w:p>
    <w:p w14:paraId="1E9C1EF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（1）工作报告；</w:t>
      </w:r>
    </w:p>
    <w:p w14:paraId="665C6AE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（2）研究报告；</w:t>
      </w:r>
    </w:p>
    <w:p w14:paraId="027F02B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（3）原型系统；</w:t>
      </w:r>
    </w:p>
    <w:p w14:paraId="7B0B027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无形交付物：</w:t>
      </w:r>
    </w:p>
    <w:p w14:paraId="08420D9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 1-3 项国家发明专利；</w:t>
      </w:r>
    </w:p>
    <w:p w14:paraId="36B63C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（2）参加高水平国际学术会议 2-4 人次，发布学术论文 1-2 篇。</w:t>
      </w:r>
    </w:p>
    <w:p w14:paraId="619FE993">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0F651938">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06D3CC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AD162D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912B6DB">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74A0EA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FFAC2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CB95D6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1955641">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9"/>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1"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1"/>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2" w:name="_Toc23166"/>
      <w:bookmarkStart w:id="93" w:name="_Toc27511"/>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5"/>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2"/>
    <w:bookmarkEnd w:id="93"/>
    <w:p w14:paraId="654550E8">
      <w:pPr>
        <w:widowControl/>
        <w:spacing w:line="240" w:lineRule="auto"/>
        <w:jc w:val="center"/>
        <w:outlineLvl w:val="0"/>
        <w:rPr>
          <w:rFonts w:hint="eastAsia" w:ascii="宋体" w:hAnsi="宋体" w:eastAsia="宋体" w:cs="宋体"/>
          <w:b/>
          <w:bCs/>
          <w:sz w:val="36"/>
          <w:szCs w:val="36"/>
          <w:highlight w:val="none"/>
        </w:rPr>
      </w:pPr>
      <w:bookmarkStart w:id="94" w:name="_Toc13105"/>
      <w:bookmarkStart w:id="95" w:name="_Toc2484"/>
      <w:r>
        <w:rPr>
          <w:rFonts w:hint="eastAsia" w:ascii="宋体" w:hAnsi="宋体" w:eastAsia="宋体" w:cs="宋体"/>
          <w:b/>
          <w:bCs/>
          <w:sz w:val="36"/>
          <w:szCs w:val="36"/>
          <w:highlight w:val="none"/>
        </w:rPr>
        <w:t>第六章  竞争性磋商响应文件格式</w:t>
      </w:r>
      <w:bookmarkEnd w:id="94"/>
      <w:bookmarkEnd w:id="95"/>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6" w:name="_Toc19196"/>
      <w:bookmarkStart w:id="97" w:name="_Toc5592_WPSOffice_Level1"/>
      <w:bookmarkStart w:id="98" w:name="_Toc10930_WPSOffice_Level1"/>
      <w:bookmarkStart w:id="99" w:name="_Toc25996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6F402DF">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0"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0"/>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1" w:name="_Toc22569"/>
      <w:r>
        <w:rPr>
          <w:rStyle w:val="98"/>
          <w:rFonts w:hint="eastAsia" w:ascii="宋体" w:hAnsi="宋体" w:eastAsia="宋体" w:cs="宋体"/>
          <w:sz w:val="32"/>
          <w:szCs w:val="32"/>
        </w:rPr>
        <w:t>二、法定代表人身份证明</w:t>
      </w:r>
      <w:bookmarkEnd w:id="101"/>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2"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2"/>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3" w:name="_Toc26642"/>
      <w:bookmarkStart w:id="104" w:name="_Toc16163"/>
      <w:bookmarkStart w:id="105" w:name="_Toc18383"/>
      <w:r>
        <w:rPr>
          <w:rStyle w:val="98"/>
          <w:rFonts w:hint="eastAsia" w:ascii="宋体" w:hAnsi="宋体" w:eastAsia="宋体" w:cs="宋体"/>
          <w:sz w:val="32"/>
          <w:szCs w:val="32"/>
        </w:rPr>
        <w:t>四、报价表（第一次）</w:t>
      </w:r>
      <w:bookmarkEnd w:id="103"/>
      <w:bookmarkEnd w:id="104"/>
      <w:bookmarkEnd w:id="105"/>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6" w:name="_Toc26231"/>
      <w:r>
        <w:rPr>
          <w:rStyle w:val="98"/>
          <w:rFonts w:hint="eastAsia" w:ascii="宋体" w:hAnsi="宋体" w:eastAsia="宋体" w:cs="宋体"/>
          <w:sz w:val="32"/>
          <w:szCs w:val="32"/>
        </w:rPr>
        <w:t>五、近年承接的类似项目情况表</w:t>
      </w:r>
      <w:bookmarkEnd w:id="106"/>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7"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7"/>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8" w:name="_Hlt526418103"/>
      <w:bookmarkEnd w:id="108"/>
      <w:bookmarkStart w:id="109" w:name="_Hlt526418111"/>
      <w:bookmarkEnd w:id="109"/>
      <w:bookmarkStart w:id="110" w:name="_Hlt526418107"/>
      <w:bookmarkEnd w:id="110"/>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1" w:name="_Toc24121"/>
      <w:bookmarkStart w:id="112" w:name="_Toc12541"/>
      <w:bookmarkStart w:id="113"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1"/>
      <w:bookmarkEnd w:id="112"/>
      <w:bookmarkEnd w:id="113"/>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4" w:name="_Toc14672"/>
      <w:r>
        <w:rPr>
          <w:rFonts w:hint="eastAsia" w:ascii="宋体" w:hAnsi="宋体" w:eastAsia="宋体" w:cs="宋体"/>
          <w:b/>
          <w:bCs/>
          <w:sz w:val="24"/>
          <w:szCs w:val="24"/>
          <w:highlight w:val="none"/>
          <w:lang w:val="en-US" w:eastAsia="zh-CN"/>
        </w:rPr>
        <w:t>2、服务偏离表</w:t>
      </w:r>
      <w:bookmarkEnd w:id="114"/>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5" w:name="_Toc26460"/>
      <w:r>
        <w:rPr>
          <w:rStyle w:val="98"/>
          <w:rFonts w:hint="eastAsia" w:ascii="宋体" w:hAnsi="宋体" w:eastAsia="宋体" w:cs="宋体"/>
          <w:sz w:val="32"/>
          <w:szCs w:val="32"/>
        </w:rPr>
        <w:t>八、资格证明文件</w:t>
      </w:r>
      <w:bookmarkEnd w:id="115"/>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6"/>
      <w:bookmarkEnd w:id="97"/>
      <w:bookmarkEnd w:id="98"/>
      <w:bookmarkEnd w:id="99"/>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6" w:name="_Toc61531865"/>
      <w:bookmarkStart w:id="117" w:name="OLE_LINK13"/>
      <w:bookmarkStart w:id="118" w:name="OLE_LINK14"/>
      <w:r>
        <w:rPr>
          <w:rFonts w:hint="eastAsia" w:ascii="宋体" w:hAnsi="宋体" w:eastAsia="宋体" w:cs="宋体"/>
          <w:b/>
          <w:bCs/>
          <w:sz w:val="28"/>
          <w:szCs w:val="24"/>
          <w:highlight w:val="none"/>
        </w:rPr>
        <w:t>中小企业声明函(服务</w:t>
      </w:r>
      <w:bookmarkEnd w:id="116"/>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7"/>
    <w:bookmarkEnd w:id="118"/>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9" w:name="_Toc16262"/>
      <w:bookmarkStart w:id="120" w:name="_Toc12758"/>
      <w:bookmarkStart w:id="121"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2" w:name="_Toc8796"/>
      <w:bookmarkStart w:id="123"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2"/>
      <w:bookmarkEnd w:id="123"/>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9"/>
    <w:bookmarkEnd w:id="120"/>
    <w:bookmarkEnd w:id="121"/>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物理设施与运营系统一体化智能调控技术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A1FFE"/>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3E00B3"/>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DE43141"/>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1672AC"/>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736CA9"/>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11004"/>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059E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5FF40DBB"/>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AE1760"/>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2DC6A59"/>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6131E6"/>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11439</Words>
  <Characters>12226</Characters>
  <Lines>297</Lines>
  <Paragraphs>83</Paragraphs>
  <TotalTime>0</TotalTime>
  <ScaleCrop>false</ScaleCrop>
  <LinksUpToDate>false</LinksUpToDate>
  <CharactersWithSpaces>12443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2025-11-25T03:40:15Z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