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335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333333"/>
          <w:spacing w:val="0"/>
          <w:sz w:val="39"/>
          <w:szCs w:val="39"/>
        </w:rPr>
      </w:pPr>
      <w:bookmarkStart w:id="0" w:name="_GoBack"/>
      <w:r>
        <w:rPr>
          <w:rFonts w:hint="eastAsia" w:ascii="宋体" w:hAnsi="宋体" w:eastAsia="宋体" w:cs="宋体"/>
          <w:b/>
          <w:bCs/>
          <w:i w:val="0"/>
          <w:iCs w:val="0"/>
          <w:caps w:val="0"/>
          <w:color w:val="333333"/>
          <w:spacing w:val="0"/>
          <w:sz w:val="39"/>
          <w:szCs w:val="39"/>
          <w:bdr w:val="none" w:color="auto" w:sz="0" w:space="0"/>
          <w:shd w:val="clear" w:fill="FFFFFF"/>
        </w:rPr>
        <w:t>招标项目技术、服务、商务及其他要求</w:t>
      </w:r>
      <w:bookmarkEnd w:id="0"/>
    </w:p>
    <w:p w14:paraId="3CE209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DD52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04CC4E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根据区域划分的责任范围，对2026年度吉祥村、罗家寨村、郝家村三个城中村道路两侧立面至立面之间区域的主干道、小巷、绿化带地面、小广场地面、环保设施、道路隔车带等区域进行清扫、清理、冲洗、垃圾收集和转运等保洁服务，配合并促进采购人完成提升城中村环境卫生治理目标；各项服务标准符合国家、省、市（行业）强制性标准及采购人要求的合格标准。</w:t>
      </w:r>
    </w:p>
    <w:p w14:paraId="506230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33532A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3BCC2F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79040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2,338,700.00</w:t>
      </w:r>
    </w:p>
    <w:p w14:paraId="12475C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2,338,700.00</w:t>
      </w:r>
    </w:p>
    <w:p w14:paraId="67B375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6FE4FE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4"/>
        <w:gridCol w:w="3602"/>
        <w:gridCol w:w="481"/>
        <w:gridCol w:w="963"/>
        <w:gridCol w:w="481"/>
        <w:gridCol w:w="481"/>
        <w:gridCol w:w="481"/>
        <w:gridCol w:w="481"/>
        <w:gridCol w:w="481"/>
        <w:gridCol w:w="481"/>
      </w:tblGrid>
      <w:tr w14:paraId="0D0A95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4758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005C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2D57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8110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D4C3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36A5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0B97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5CC0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3B7E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5CF3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63C63D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A9C5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AB94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2026年度吉祥村、罗家寨村、郝家村城中村市场化保洁服务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1D09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17B9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2,338,700.00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61D8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EE23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DD87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D9D57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BE7C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9291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5EB064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3.2.2服务要求</w:t>
      </w:r>
    </w:p>
    <w:p w14:paraId="5CDB14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05D89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标的名称：2026年度吉祥村、罗家寨村、郝家村城中村市场化保洁服务</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62A2F9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AA7E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A627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6115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5B551E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D249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2EAC88">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B53D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18"/>
                <w:szCs w:val="18"/>
              </w:rPr>
            </w:pPr>
            <w:r>
              <w:rPr>
                <w:rStyle w:val="8"/>
                <w:rFonts w:ascii="仿宋" w:hAnsi="仿宋" w:eastAsia="仿宋" w:cs="仿宋"/>
                <w:color w:val="000000"/>
                <w:sz w:val="21"/>
                <w:szCs w:val="21"/>
                <w:bdr w:val="none" w:color="auto" w:sz="0" w:space="0"/>
              </w:rPr>
              <w:t>1</w:t>
            </w:r>
            <w:r>
              <w:rPr>
                <w:rStyle w:val="8"/>
                <w:rFonts w:hint="eastAsia" w:ascii="仿宋" w:hAnsi="仿宋" w:eastAsia="仿宋" w:cs="仿宋"/>
                <w:color w:val="000000"/>
                <w:sz w:val="21"/>
                <w:szCs w:val="21"/>
                <w:bdr w:val="none" w:color="auto" w:sz="0" w:space="0"/>
              </w:rPr>
              <w:t>.1服务范围：</w:t>
            </w:r>
          </w:p>
          <w:p w14:paraId="0B6FFF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小寨街道辖区吉祥村（含吉祥小区外围）、罗家寨（含姑娘村）、郝家村（含新村、老村）三个城中村内的指定区域（含主干道、小巷、绿化带地面、小广场地面、环保设施、道路隔车带等），具体如下：</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31"/>
              <w:gridCol w:w="2598"/>
              <w:gridCol w:w="1636"/>
            </w:tblGrid>
            <w:tr w14:paraId="0670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0" w:type="dxa"/>
                  <w:tcBorders>
                    <w:top w:val="single" w:color="000000" w:sz="6" w:space="0"/>
                    <w:left w:val="single" w:color="000000" w:sz="6" w:space="0"/>
                    <w:bottom w:val="single" w:color="000000" w:sz="6" w:space="0"/>
                    <w:right w:val="single" w:color="000000" w:sz="6" w:space="0"/>
                  </w:tcBorders>
                  <w:shd w:val="clear"/>
                  <w:vAlign w:val="top"/>
                </w:tcPr>
                <w:p w14:paraId="7D1930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城中村名称</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14:paraId="6AECE5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占地面积约（亩）</w:t>
                  </w:r>
                </w:p>
              </w:tc>
              <w:tc>
                <w:tcPr>
                  <w:tcW w:w="1650" w:type="dxa"/>
                  <w:tcBorders>
                    <w:top w:val="single" w:color="000000" w:sz="6" w:space="0"/>
                    <w:left w:val="single" w:color="000000" w:sz="6" w:space="0"/>
                    <w:bottom w:val="single" w:color="000000" w:sz="6" w:space="0"/>
                    <w:right w:val="single" w:color="000000" w:sz="6" w:space="0"/>
                  </w:tcBorders>
                  <w:shd w:val="clear"/>
                  <w:vAlign w:val="top"/>
                </w:tcPr>
                <w:p w14:paraId="215199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道路数量（条）</w:t>
                  </w:r>
                </w:p>
              </w:tc>
            </w:tr>
            <w:tr w14:paraId="28DB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0" w:type="dxa"/>
                  <w:tcBorders>
                    <w:top w:val="nil"/>
                    <w:left w:val="single" w:color="000000" w:sz="6" w:space="0"/>
                    <w:bottom w:val="single" w:color="000000" w:sz="6" w:space="0"/>
                    <w:right w:val="single" w:color="000000" w:sz="6" w:space="0"/>
                  </w:tcBorders>
                  <w:shd w:val="clear"/>
                  <w:vAlign w:val="top"/>
                </w:tcPr>
                <w:p w14:paraId="1F048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吉祥村</w:t>
                  </w:r>
                </w:p>
              </w:tc>
              <w:tc>
                <w:tcPr>
                  <w:tcW w:w="2625" w:type="dxa"/>
                  <w:tcBorders>
                    <w:top w:val="nil"/>
                    <w:left w:val="single" w:color="000000" w:sz="6" w:space="0"/>
                    <w:bottom w:val="single" w:color="000000" w:sz="6" w:space="0"/>
                    <w:right w:val="single" w:color="000000" w:sz="6" w:space="0"/>
                  </w:tcBorders>
                  <w:shd w:val="clear"/>
                  <w:vAlign w:val="top"/>
                </w:tcPr>
                <w:p w14:paraId="771D83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209.14</w:t>
                  </w:r>
                </w:p>
              </w:tc>
              <w:tc>
                <w:tcPr>
                  <w:tcW w:w="1650" w:type="dxa"/>
                  <w:tcBorders>
                    <w:top w:val="nil"/>
                    <w:left w:val="single" w:color="000000" w:sz="6" w:space="0"/>
                    <w:bottom w:val="single" w:color="000000" w:sz="6" w:space="0"/>
                    <w:right w:val="single" w:color="000000" w:sz="6" w:space="0"/>
                  </w:tcBorders>
                  <w:shd w:val="clear"/>
                  <w:vAlign w:val="top"/>
                </w:tcPr>
                <w:p w14:paraId="018942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16</w:t>
                  </w:r>
                </w:p>
              </w:tc>
            </w:tr>
            <w:tr w14:paraId="09EF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0" w:type="dxa"/>
                  <w:tcBorders>
                    <w:top w:val="nil"/>
                    <w:left w:val="single" w:color="000000" w:sz="6" w:space="0"/>
                    <w:bottom w:val="single" w:color="000000" w:sz="6" w:space="0"/>
                    <w:right w:val="single" w:color="000000" w:sz="6" w:space="0"/>
                  </w:tcBorders>
                  <w:shd w:val="clear"/>
                  <w:vAlign w:val="top"/>
                </w:tcPr>
                <w:p w14:paraId="3FDB8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罗家寨</w:t>
                  </w:r>
                </w:p>
              </w:tc>
              <w:tc>
                <w:tcPr>
                  <w:tcW w:w="2625" w:type="dxa"/>
                  <w:tcBorders>
                    <w:top w:val="nil"/>
                    <w:left w:val="single" w:color="000000" w:sz="6" w:space="0"/>
                    <w:bottom w:val="single" w:color="000000" w:sz="6" w:space="0"/>
                    <w:right w:val="single" w:color="000000" w:sz="6" w:space="0"/>
                  </w:tcBorders>
                  <w:shd w:val="clear"/>
                  <w:vAlign w:val="top"/>
                </w:tcPr>
                <w:p w14:paraId="587848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149.87</w:t>
                  </w:r>
                </w:p>
              </w:tc>
              <w:tc>
                <w:tcPr>
                  <w:tcW w:w="1650" w:type="dxa"/>
                  <w:tcBorders>
                    <w:top w:val="nil"/>
                    <w:left w:val="single" w:color="000000" w:sz="6" w:space="0"/>
                    <w:bottom w:val="single" w:color="000000" w:sz="6" w:space="0"/>
                    <w:right w:val="single" w:color="000000" w:sz="6" w:space="0"/>
                  </w:tcBorders>
                  <w:shd w:val="clear"/>
                  <w:vAlign w:val="top"/>
                </w:tcPr>
                <w:p w14:paraId="5F0110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28</w:t>
                  </w:r>
                </w:p>
              </w:tc>
            </w:tr>
            <w:tr w14:paraId="03EF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0" w:type="dxa"/>
                  <w:tcBorders>
                    <w:top w:val="nil"/>
                    <w:left w:val="single" w:color="000000" w:sz="6" w:space="0"/>
                    <w:bottom w:val="single" w:color="000000" w:sz="6" w:space="0"/>
                    <w:right w:val="single" w:color="000000" w:sz="6" w:space="0"/>
                  </w:tcBorders>
                  <w:shd w:val="clear"/>
                  <w:vAlign w:val="top"/>
                </w:tcPr>
                <w:p w14:paraId="1FFDDE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郝家村</w:t>
                  </w:r>
                </w:p>
              </w:tc>
              <w:tc>
                <w:tcPr>
                  <w:tcW w:w="2625" w:type="dxa"/>
                  <w:tcBorders>
                    <w:top w:val="nil"/>
                    <w:left w:val="single" w:color="000000" w:sz="6" w:space="0"/>
                    <w:bottom w:val="single" w:color="000000" w:sz="6" w:space="0"/>
                    <w:right w:val="single" w:color="000000" w:sz="6" w:space="0"/>
                  </w:tcBorders>
                  <w:shd w:val="clear"/>
                  <w:vAlign w:val="top"/>
                </w:tcPr>
                <w:p w14:paraId="111858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136.34</w:t>
                  </w:r>
                </w:p>
              </w:tc>
              <w:tc>
                <w:tcPr>
                  <w:tcW w:w="1650" w:type="dxa"/>
                  <w:tcBorders>
                    <w:top w:val="nil"/>
                    <w:left w:val="single" w:color="000000" w:sz="6" w:space="0"/>
                    <w:bottom w:val="single" w:color="000000" w:sz="6" w:space="0"/>
                    <w:right w:val="single" w:color="000000" w:sz="6" w:space="0"/>
                  </w:tcBorders>
                  <w:shd w:val="clear"/>
                  <w:vAlign w:val="top"/>
                </w:tcPr>
                <w:p w14:paraId="2715DE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 w:right="0" w:firstLine="0"/>
                    <w:jc w:val="center"/>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13</w:t>
                  </w:r>
                </w:p>
              </w:tc>
            </w:tr>
          </w:tbl>
          <w:p w14:paraId="068FC5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1.2服务内容：</w:t>
            </w:r>
          </w:p>
          <w:p w14:paraId="735B4D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（1）服务范围内道路，含车行道、辅道、人行道、涵洞、小广场的地面清扫保洁；</w:t>
            </w:r>
          </w:p>
          <w:p w14:paraId="33AE19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（2）服务范围内道路两侧绿篱、绿化带垃圾捡拾清掏；</w:t>
            </w:r>
          </w:p>
          <w:p w14:paraId="13B683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（3）包含干道内果皮箱工具箱擦洗清掏、沿街野广告清理、下水井口油污清理冲洗等内容；</w:t>
            </w:r>
          </w:p>
          <w:p w14:paraId="316876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（4）城中村内的垃圾收集点、公共设施等区域的清扫和保洁；</w:t>
            </w:r>
          </w:p>
          <w:p w14:paraId="7C9949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（5）特殊时间段（如大风、雨雪天气）的清扫保洁工作安排；</w:t>
            </w:r>
          </w:p>
          <w:p w14:paraId="10BAAC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（6）道路清扫垃圾的收集和转运至固定垃圾点；</w:t>
            </w:r>
          </w:p>
          <w:p w14:paraId="5C06F3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（7）迎接重大检查、线路保障等突发事件及重大庆典活动的保障；</w:t>
            </w:r>
          </w:p>
          <w:p w14:paraId="45F2E5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（8）协助配合完成垃圾分类实施和宣传；</w:t>
            </w:r>
          </w:p>
          <w:p w14:paraId="44411F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（9）群众和各类平台投诉处置处理。</w:t>
            </w:r>
          </w:p>
          <w:p w14:paraId="3300C8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1.3技术要求：</w:t>
            </w:r>
          </w:p>
          <w:p w14:paraId="2E9FFE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93"/>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具有独立开展城市保洁服务的技术和经验能力，要求采取科学、严谨、针对性强的管理方案，按照国家、省、市（行业）标准、规范及西安市地方现行相关规范及行业标准做好实施计划、服务方案、难点、重点把握、组织协调、质量控制等全方面服务。</w:t>
            </w:r>
          </w:p>
          <w:p w14:paraId="02A098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1.4服务要求：</w:t>
            </w:r>
          </w:p>
          <w:p w14:paraId="380889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（1）服务方须指派专属人员与采购人联系服务事宜，服务投标时间应根据采购人实际安排随时调整。</w:t>
            </w:r>
          </w:p>
          <w:p w14:paraId="4447B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（2）服务方需根据服务实际情况编制服务方案、管理方案、服务计划、突发应急、纠纷处理、投诉处理等方案措施。</w:t>
            </w:r>
          </w:p>
          <w:p w14:paraId="38CF70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服务方在本项目人员要求技术水平高、组织能力强、有丰富的实践经验，懂管理、善于协调。服务人员中的组织人员、技术人员、监管人员、辅助人员等要求有服务经验；服务队伍稳定，保证整个项目顺利完成，服务方未经采购人同意，不得擅自更换本项目在投标文件中指定的服务队伍。</w:t>
            </w:r>
          </w:p>
          <w:p w14:paraId="69733E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4）人工作业包含道路（人行天桥）清扫、绿化带（绿化广场）清掏捡拾、果皮箱（垃圾桶）及灭烟柱清掏擦洗、野广告清理、道班房、保洁工具箱及休闲座椅等其他城市家具清洁；道路扫雪除冰；道路扬尘、极端天气等环境卫生应急整治。</w:t>
            </w:r>
          </w:p>
          <w:p w14:paraId="069348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（5）机械作业包含机扫、洗扫、吸尘和冲洒水等作业；道路保洁垃圾收运（含配合政府开展垃圾分类）工作；道路扫雪除冰；道路扬尘、极端天气等环境卫生应急整治。</w:t>
            </w:r>
          </w:p>
          <w:p w14:paraId="7B9E44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6）城市家具管控维护，道班房、工具箱、护栏、通讯格栅等城市管理方面，属于环境卫生管理责任范围内城市家具管控，除完成日常擦洗保洁外，定期进行清洗和管护巡查，如发现工具箱、护栏、通讯格栅等外观破损或门栅丢失，中标服务商应按要求及时修复完整，恢复其正常功能。</w:t>
            </w:r>
          </w:p>
          <w:p w14:paraId="34AF0E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7）重大节假日、大型活动及特殊天气应急保障，按照市城管局《西安市环卫保洁精细化作业指引》要求，服务方应组建不少于10%的保洁应急队伍（含轮休人员），保持应急车辆及设备状况良好，以保证快速解决辖区范围内突发的市容环境卫生事件及保洁人员轮休。</w:t>
            </w:r>
          </w:p>
          <w:p w14:paraId="49900A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（8）服务过程中，严格遵守各种管理规定及规章制度，做到奉公守法、诚实守信、廉洁自律、安全文明；服务过程中如发生工伤及意外事故由服务单位负责；</w:t>
            </w:r>
          </w:p>
          <w:p w14:paraId="356D46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（9）严格按照国家、陕西省、西安市有关规定及采购人要求进行服务，不得随意更改或者变换服务内容，每项服务内容在实施前应事先取得采购人的落实后方可实施。</w:t>
            </w:r>
          </w:p>
          <w:p w14:paraId="094EA5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（10）服务方派遣的服务人员对于在工作中获悉的一切政府工作的信息应严格保守秘密，不得泄露；对于违反者，给采购人单位造成不良社会影响的，或给采购人单位造成损失的，由服务方承担赔偿责任。</w:t>
            </w:r>
          </w:p>
          <w:p w14:paraId="0C95C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1"/>
              <w:jc w:val="left"/>
              <w:textAlignment w:val="auto"/>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1.5服务标准：</w:t>
            </w:r>
          </w:p>
          <w:p w14:paraId="378ED6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（1）各项服务符合国家、省、市（行业）强制性标准及采购人要求的合格标准。</w:t>
            </w:r>
          </w:p>
          <w:p w14:paraId="2BC7FD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1B1E99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3.2.3人员配置要求</w:t>
      </w:r>
    </w:p>
    <w:p w14:paraId="3472D5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6728B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1）服务方按项目服务要求及特性，自行组织实施与管理，建立以负责人为核心的履行合同所必需人员团队（包含项目经理、巡查人员、文员、保洁员等），相关人员经过严格培训，具有相关工作经验，能够胜任项目工作，保证项目顺利实施。 （2）本项目要求配备保洁员参照《西安市人民政府办公厅关于印发西安市城市道路“以克论净深度保洁”作业标准（试行）的通知》和《西安市城市管理和综合执法局关于印发西安市环卫保洁精细化作业指引的通知》执行，服务方需优先考虑接收原保洁人员；保洁人员可遵循自愿同意、依法依规原则决定自身去留；移交完成后，新产生的人员管理和责任问题由服务方负责；如保洁人员不符合服务方企业相关管理规定，可依据《中华人民共和国劳动法》做好辞退工作，切实维护保洁人员权益确保移交平稳。 （3）服务方应按照《中华人民共和国劳动合同法》和中华人民共和国社会保险法》 等规定与道路清扫保洁员签订劳动合同、办理雇主责任险和社会保险，并按时足额缴纳社会保险费。 （4）服务方应按相关要求，按时全额发放保洁人员工资、福利；保洁人员工资参照 《西安市人民政府办公厅关于印发进一步加强市容环卫行业管理工作实施意见的通知》执行。</w:t>
      </w:r>
    </w:p>
    <w:p w14:paraId="0C8FD5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3.2.4设施设备配置要求</w:t>
      </w:r>
    </w:p>
    <w:p w14:paraId="43D148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3EF4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（1）服务方根据项目采购项目特性及要求，自行配置投入履行合同所必需的各类设施设备（不限于专业设备、辅助设备、工具、软件等）及场所，保证项目顺利实施。 （2）采购人按照登记台账向服务方移交道班房、工具箱等环卫城市家具；所有环卫城市家具移交后，由服务方代管和使用，日常使用及维修费用由服务方承担。 （3）采购人向服务方移交所属街办水车、电动三轮保洁车、机扫车、水车、小型垃圾转运车等作业车辆服务方按规范实施机械化作业。 （4）服务方承担与作业车辆相关的人员工资、维修、油料、保险及车辆购置/租赁等运行经费；在使用期间保证车辆运维安全，全权承担车辆交通事故责任；如发生拖欠工资、车辆损坏、第三方重大赔偿等问题造成经济损失的，由服务方全权承担。 （5）服务方应当具备一定的应急作业设备(非采购人移交的作业设备)调配能力，以在出现紧急突发状况（原有设备损坏、维修或临时增加清扫任务时等）下能有效保障本项目顺利实施。</w:t>
      </w:r>
    </w:p>
    <w:p w14:paraId="3BA9C6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3.2.5其他要求</w:t>
      </w:r>
    </w:p>
    <w:p w14:paraId="6726EB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A5B36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本项目标的所属行业：其他未列明行业（从业人员300人以下的为中小微型企业。其中，从业人员100人及以上的为中型企业；从业人员10人及以上的为小型企业；从业人员10人以下的为微型企业）。 （2）投标人具有2022年1月1日起至今城市保洁或垃圾清运类似项目业绩经验。</w:t>
      </w:r>
    </w:p>
    <w:p w14:paraId="163C5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1DC85A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34E945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84AEC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1年(2026年1月1日—2026年12月31日)</w:t>
      </w:r>
    </w:p>
    <w:p w14:paraId="785B78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668D10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E13B1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74BE80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07B6A7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67ACB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单位根据有关规范、规定及项目要求对服务进行检查或考核，服务方需接受采购人的各类考核或检查；若验收不通过或服务质量不符合采购要求，服务方应在一定期限内以采购人要求的标准进行整改或进一步完善，并再次进行考核或检查，若服务方在接受检查整改后最终仍未按要求提供符合要求的服务，采购人有权按违约予以撤项，由此产生的一切责任和费用均由服务方承担，具体按照合同相关条款执行。</w:t>
      </w:r>
    </w:p>
    <w:p w14:paraId="0AD427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2E4B2B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11A3D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408DC8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1915A0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月度服务完成后，采购方根据服务方的上月度考核奖惩情况 ，达到付款条件起 7 日内，支付合同总金额的 8.30%。</w:t>
      </w:r>
    </w:p>
    <w:p w14:paraId="1C5E50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4431EA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52BC92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01AAD2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3F8263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8.50%。</w:t>
      </w:r>
    </w:p>
    <w:p w14:paraId="271C4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2089D4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0A8723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5F1740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2647A6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月度服务完成后，采购方根据服务方上个月的月度考核奖惩情况 ，达到付款条件起 7 日内，支付合同总金额的 8.30%。</w:t>
      </w:r>
    </w:p>
    <w:p w14:paraId="0912E3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服务期限满后，采购方根据服务方最后一个月的月度考核奖惩情况 ，达到付款条件起 15 日内，支付合同总金额的 8.50%。</w:t>
      </w:r>
    </w:p>
    <w:p w14:paraId="5A4D9C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3.3.6违约责任与解决争议的方法</w:t>
      </w:r>
    </w:p>
    <w:p w14:paraId="4B579C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13230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详见合同条款</w:t>
      </w:r>
    </w:p>
    <w:p w14:paraId="4A08A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3.5其他要求</w:t>
      </w:r>
    </w:p>
    <w:p w14:paraId="2A79C5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投标人的报价是投标人响应招标项目要求的全部工作内容的价格体现，包括投标人完成本项目所需的直接费、间接费、利润、税金及其他相关的一切费用；包括但不限于：服务费、人工费、设备使用费、巡视费、管理费、验收费、采购代理服务费、利润、税金及不可预见费等；投标总价中不得包含招标文件要求以外的内容，否则，在评标时不予核减。在提供服务的过程中出现的任何遗漏，均由中标人免费提供，采购人将不再支付任何费用。 二、投标有效期 1.出现特殊情况需要延长投标有效期的，采购代理机构或采购人可于投标有效期满之前，以书面形式通知所有投标人延长投标有效期。投标人应予书面答复，同意延长的，但不得要求或被允许修改其投标文件；投标人拒绝延长的，其投标文件失效。 2.在投标有效期内，投标人撤销投标文件的，应承担投标文件和法律规定的责任。 3.中标人的投标有效期自动延长至合同终止为止。 三、合格投标人少于3家的处理 1.评审过程中，若出现合格投标人只有2家时，采购人经同级财政部门同意后，可以按《政府采购非招标采购方式管理办法》（财政部第74号令）的规定与该2家投标人进行竞争性谈判采购。只有1家时，采购人应依法重新组织采购活动。 2.评审过程中，除符合第1条条款规定情形外，若出现合格投标人少于3家时，采购人应依法重新组织采购活动。 四、分公司独立参与投标时，不能使用总公司的资质或业绩；总公司授权分公司或分支机构参与投标的，可以使用总公司的资质或业绩。总公司单独参与投标时，可以使用分公司的业绩，在相关资质证书的管理要求和适用范围内可以使用分公司资质。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二百四十三条【诬告陷害罪】捏造事实诬告陷害他人，意图使他人受到刑事追究，情节严重的，处三年以下有期徒刑、拘役或者管制；造成严重后果的，处三年以上十年以下有期徒刑。 （2）《中华人民共和国刑法》第二百四十六条【侮辱罪、诽谤罪】以暴力或者其他方法公然侮辱他人或者捏造事实诽谤他人，情节严重的，处三年以下有期徒刑、拘役、管制或者剥夺政治权利。 七、参与本项目的投标人应通过陕西省政府采购综合管理平台的项目电子化交易系统在线实施报名、获取采购文件、响应、报价等操作，投标人无需现场提供纸质响应文件。但在中标（成交）后，中标（成交）供应商在领取中标（成交）通知书时需提供纸质响应文件正本一套、副本一套用于备案，纸质投标文件应通过专用制作软件直接打印，确保与项目电子化交易系统中的电子投标文件保持一致，不允许修改和补充。中标（成交）通知书领取地址：西安市雁塔区雁翔路111号赛格·中京坊6幢1（公寓A1）单元2层10201室招标一部。</w:t>
      </w:r>
    </w:p>
    <w:p w14:paraId="7100E284">
      <w:pPr>
        <w:keepNext w:val="0"/>
        <w:keepLines w:val="0"/>
        <w:pageBreakBefore w:val="0"/>
        <w:kinsoku/>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3086B"/>
    <w:rsid w:val="3963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2025-12-08T10:25:00Z</dcterms:created>
  <dc:creator>杜航</dc:creator>
  <cp:lastModifiedBy>杜航</cp:lastModifiedBy>
  <dcterms:modified xsi:type="dcterms:W3CDTF">2025-12-08T10:26:56Z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FBE5B0037C194EE19B537FB6B633FDEC_11</vt:lpwstr>
  </property>
  <property fmtid="{D5CDD505-2E9C-101B-9397-08002B2CF9AE}" pid="4" name="KSOTemplateDocerSaveRecord">
    <vt:lpwstr>eyJoZGlkIjoiNGVjNGI1ZWQxMDUyODY5ZDAxOTAyNjljNjE1NWUwNGQiLCJ1c2VySWQiOiIzMDgwODY2MDYifQ==</vt:lpwstr>
  </property>
</Properties>
</file>