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>
      <w:pPr>
        <w:pStyle w:val="4"/>
        <w:ind w:firstLine="480"/>
      </w:pPr>
      <w:r>
        <w:rPr>
          <w:rFonts w:ascii="仿宋_GB2312" w:hAnsi="仿宋_GB2312" w:eastAsia="仿宋_GB2312" w:cs="仿宋_GB2312"/>
        </w:rPr>
        <w:t>本项目共1个包，采购7号学生公寓楼施工用电电缆一批（具体详见谈判文件）； 项目用途：7号学生公寓楼施工用电电缆采购并配送到位；采购预算：387600.00 元。</w:t>
      </w:r>
    </w:p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3.2采购内容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采购包预算金额（元）: 387,600.00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采购包最高限价（元）: 387,600.00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电缆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387,600.00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批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GZhMjg5MDlkMDg3YTIxNGYzNDNiYzE5NjUwMDAifQ=="/>
  </w:docVars>
  <w:rsids>
    <w:rsidRoot w:val="00000000"/>
    <w:rsid w:val="13A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autoRedefine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2025-12-11T04:40:58Z</dcterms:created>
  <dc:creator>Administrator</dc:creator>
  <cp:lastModifiedBy>川招</cp:lastModifiedBy>
  <dcterms:modified xsi:type="dcterms:W3CDTF">2025-12-11T04:41:17Z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551F6CE5212F4E019146D4336425DECD_12</vt:lpwstr>
  </property>
</Properties>
</file>