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78039">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一、工程概况</w:t>
      </w:r>
    </w:p>
    <w:p w14:paraId="7E644E45">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4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场地位于陕西省西安市莲湖区，改造内容包含:一层办公室墙体拆除，墙面、地面、天棚面层拆除，木门、门框、窗户、暖气罩、窗帘盒、窗台及电气设施拆除，地下一层库房墙面、柱面、地面、天棚面层拆除，档案室墙面、地面、天棚、门窗新做工程，负一层库房墙面、地面、吊顶、防火门新做工程，过道处线缆临时移除及恢复工程，智能密集柜安装工程，碳纤维加固工程，混凝土结构及钢结构加固工程等内容。</w:t>
      </w:r>
    </w:p>
    <w:p w14:paraId="305D705A">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二、编制范围</w:t>
      </w:r>
    </w:p>
    <w:p w14:paraId="309CD82E">
      <w:pPr>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360" w:lineRule="auto"/>
        <w:ind w:left="0" w:right="0" w:firstLine="480" w:firstLineChars="200"/>
        <w:jc w:val="left"/>
        <w:textAlignment w:val="auto"/>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本次预算编制范围：《陕西省审计厅档案库房项目》设计图纸范围内及招标文件中的所有内容。</w:t>
      </w:r>
    </w:p>
    <w:p w14:paraId="325745D1">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三、编制依据</w:t>
      </w:r>
    </w:p>
    <w:p w14:paraId="7381BAE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年《陕西省建设工程工程量清单计价</w:t>
      </w:r>
      <w:r>
        <w:rPr>
          <w:rFonts w:hint="eastAsia" w:ascii="宋体" w:hAnsi="宋体" w:eastAsia="宋体" w:cs="宋体"/>
          <w:color w:val="auto"/>
          <w:sz w:val="24"/>
          <w:szCs w:val="24"/>
          <w:lang w:val="en-US" w:eastAsia="zh-CN"/>
        </w:rPr>
        <w:t>计算标准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、陕西省建设工程费用规则(2025)</w:t>
      </w:r>
      <w:r>
        <w:rPr>
          <w:rFonts w:hint="eastAsia" w:ascii="宋体" w:hAnsi="宋体" w:eastAsia="宋体" w:cs="宋体"/>
          <w:color w:val="auto"/>
          <w:sz w:val="24"/>
          <w:szCs w:val="24"/>
        </w:rPr>
        <w:t>;</w:t>
      </w:r>
    </w:p>
    <w:p w14:paraId="39955F36">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招标文件、拟定的合同条款及相关资料；</w:t>
      </w:r>
    </w:p>
    <w:p w14:paraId="3E3D920C">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snapToGrid w:val="0"/>
          <w:color w:val="auto"/>
          <w:kern w:val="0"/>
          <w:sz w:val="24"/>
          <w:szCs w:val="24"/>
          <w:lang w:val="en-US" w:eastAsia="zh-CN" w:bidi="ar-SA"/>
        </w:rPr>
        <w:t>《陕西省审计厅档案库房项目》施工图纸</w:t>
      </w:r>
      <w:r>
        <w:rPr>
          <w:rFonts w:hint="eastAsia" w:ascii="宋体" w:hAnsi="宋体" w:eastAsia="宋体" w:cs="宋体"/>
          <w:color w:val="auto"/>
          <w:kern w:val="2"/>
          <w:sz w:val="24"/>
          <w:szCs w:val="24"/>
          <w:lang w:eastAsia="zh-CN"/>
        </w:rPr>
        <w:t>及相关资料；</w:t>
      </w:r>
    </w:p>
    <w:p w14:paraId="5772C7AC">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施工现场情况、工程特点及合</w:t>
      </w:r>
      <w:bookmarkStart w:id="0" w:name="_GoBack"/>
      <w:bookmarkEnd w:id="0"/>
      <w:r>
        <w:rPr>
          <w:rFonts w:hint="eastAsia" w:ascii="宋体" w:hAnsi="宋体" w:eastAsia="宋体" w:cs="宋体"/>
          <w:color w:val="auto"/>
          <w:kern w:val="2"/>
          <w:sz w:val="24"/>
          <w:szCs w:val="24"/>
        </w:rPr>
        <w:t>理施工方案、合理工期；</w:t>
      </w:r>
    </w:p>
    <w:p w14:paraId="2967E295">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与建设项目相关的标准、规范、技术资料;</w:t>
      </w:r>
    </w:p>
    <w:p w14:paraId="1B03A265">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color w:val="auto"/>
          <w:kern w:val="2"/>
          <w:sz w:val="24"/>
          <w:szCs w:val="24"/>
          <w:lang w:eastAsia="zh-CN"/>
        </w:rPr>
        <w:t>其他相关资料。</w:t>
      </w:r>
    </w:p>
    <w:p w14:paraId="56E17BE1">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、其他有关问题的说明</w:t>
      </w:r>
    </w:p>
    <w:p w14:paraId="36CA50D9">
      <w:pPr>
        <w:keepNext w:val="0"/>
        <w:keepLines w:val="0"/>
        <w:pageBreakBefore w:val="0"/>
        <w:widowControl w:val="0"/>
        <w:numPr>
          <w:ilvl w:val="1"/>
          <w:numId w:val="0"/>
        </w:numPr>
        <w:kinsoku/>
        <w:wordWrap/>
        <w:overflowPunct/>
        <w:topLinePunct w:val="0"/>
        <w:autoSpaceDE/>
        <w:autoSpaceDN/>
        <w:bidi w:val="0"/>
        <w:adjustRightInd/>
        <w:spacing w:after="120" w:afterLines="0" w:afterAutospacing="0" w:line="360" w:lineRule="auto"/>
        <w:ind w:left="0" w:leftChars="0" w:right="1470" w:rightChars="700" w:firstLine="560" w:firstLineChars="0"/>
        <w:jc w:val="both"/>
        <w:textAlignment w:val="auto"/>
        <w:outlineLvl w:val="9"/>
        <w:rPr>
          <w:rFonts w:hint="eastAsia" w:ascii="宋体" w:hAnsi="宋体" w:eastAsia="宋体" w:cs="宋体"/>
          <w:bCs/>
          <w:color w:val="auto"/>
          <w:kern w:val="2"/>
          <w:sz w:val="24"/>
          <w:szCs w:val="24"/>
          <w:lang w:val="en-US" w:eastAsia="zh-CN" w:bidi="ar-SA"/>
        </w:rPr>
      </w:pPr>
      <w:r>
        <w:rPr>
          <w:rFonts w:hint="eastAsia" w:ascii="宋体" w:hAnsi="宋体" w:eastAsia="宋体" w:cs="宋体"/>
          <w:bCs/>
          <w:snapToGrid w:val="0"/>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砼均按预拌混凝土考虑；</w:t>
      </w:r>
    </w:p>
    <w:p w14:paraId="497DD827">
      <w:pPr>
        <w:keepNext w:val="0"/>
        <w:keepLines w:val="0"/>
        <w:pageBreakBefore w:val="0"/>
        <w:widowControl w:val="0"/>
        <w:numPr>
          <w:ilvl w:val="1"/>
          <w:numId w:val="0"/>
        </w:numPr>
        <w:kinsoku/>
        <w:wordWrap/>
        <w:overflowPunct/>
        <w:topLinePunct w:val="0"/>
        <w:autoSpaceDE/>
        <w:autoSpaceDN/>
        <w:bidi w:val="0"/>
        <w:adjustRightInd/>
        <w:spacing w:after="120" w:afterLines="0" w:afterAutospacing="0" w:line="360" w:lineRule="auto"/>
        <w:ind w:left="0" w:leftChars="0" w:right="1470" w:rightChars="700" w:firstLine="560" w:firstLine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snapToGrid w:val="0"/>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砂浆按均按预拌考虑；</w:t>
      </w:r>
    </w:p>
    <w:p w14:paraId="32F0DE68">
      <w:pPr>
        <w:keepNext w:val="0"/>
        <w:keepLines w:val="0"/>
        <w:pageBreakBefore w:val="0"/>
        <w:widowControl w:val="0"/>
        <w:numPr>
          <w:ilvl w:val="1"/>
          <w:numId w:val="0"/>
        </w:numPr>
        <w:kinsoku/>
        <w:wordWrap/>
        <w:overflowPunct/>
        <w:topLinePunct w:val="0"/>
        <w:autoSpaceDE/>
        <w:autoSpaceDN/>
        <w:bidi w:val="0"/>
        <w:adjustRightInd/>
        <w:spacing w:after="120" w:afterLines="0" w:afterAutospacing="0" w:line="360" w:lineRule="auto"/>
        <w:ind w:left="0" w:leftChars="0" w:right="1470" w:rightChars="700" w:firstLine="560" w:firstLineChars="0"/>
        <w:jc w:val="both"/>
        <w:textAlignment w:val="auto"/>
        <w:outlineLvl w:val="9"/>
        <w:rPr>
          <w:rFonts w:hint="default"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3、工程量清单另附</w:t>
      </w:r>
    </w:p>
    <w:p w14:paraId="0E31576A">
      <w:pPr>
        <w:keepNext w:val="0"/>
        <w:keepLines w:val="0"/>
        <w:pageBreakBefore w:val="0"/>
        <w:numPr>
          <w:ilvl w:val="0"/>
          <w:numId w:val="0"/>
        </w:numPr>
        <w:suppressAutoHyphens/>
        <w:kinsoku/>
        <w:wordWrap/>
        <w:overflowPunct/>
        <w:topLinePunct w:val="0"/>
        <w:autoSpaceDE/>
        <w:autoSpaceDN/>
        <w:bidi w:val="0"/>
        <w:adjustRightInd/>
        <w:snapToGrid w:val="0"/>
        <w:spacing w:line="360" w:lineRule="auto"/>
        <w:ind w:right="-87" w:rightChars="0"/>
        <w:textAlignment w:val="auto"/>
        <w:outlineLvl w:val="9"/>
        <w:rPr>
          <w:rFonts w:hint="eastAsia" w:ascii="宋体" w:hAnsi="宋体" w:eastAsia="宋体" w:cs="宋体"/>
          <w:color w:val="auto"/>
          <w:kern w:val="1"/>
          <w:sz w:val="24"/>
          <w:szCs w:val="24"/>
          <w:lang w:val="en-US" w:eastAsia="zh-CN"/>
        </w:rPr>
      </w:pPr>
      <w:r>
        <w:rPr>
          <w:rFonts w:hint="eastAsia" w:ascii="宋体" w:hAnsi="宋体" w:eastAsia="宋体" w:cs="宋体"/>
          <w:b/>
          <w:bCs/>
          <w:color w:val="auto"/>
          <w:kern w:val="1"/>
          <w:sz w:val="24"/>
          <w:szCs w:val="24"/>
          <w:lang w:val="en-US" w:eastAsia="zh-CN"/>
        </w:rPr>
        <w:t>五、本工程招标工程量清单所提供的工程项目其工程特征仅简略表述了主要项目特征,用料及做法，工程量清单计价应与投标须知、合同条款、技术规范、图纸及答疑纪要等文件结合起来查阅与理解，报价时结合技术规范和图纸报价;</w:t>
      </w:r>
    </w:p>
    <w:p w14:paraId="2F52C1CB">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jc w:val="left"/>
        <w:textAlignment w:val="auto"/>
        <w:outlineLvl w:val="9"/>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六、工程质量、材料、施工等要求</w:t>
      </w:r>
    </w:p>
    <w:p w14:paraId="1469D444">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left="560"/>
        <w:jc w:val="left"/>
        <w:textAlignment w:val="auto"/>
        <w:outlineLvl w:val="9"/>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1、工程质量：合格</w:t>
      </w:r>
    </w:p>
    <w:p w14:paraId="4807B0DA">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、本工程采用广联达云计价平台GCCP</w:t>
      </w:r>
      <w:r>
        <w:rPr>
          <w:rFonts w:hint="eastAsia" w:ascii="宋体" w:hAnsi="宋体" w:eastAsia="宋体" w:cs="宋体"/>
          <w:b/>
          <w:bCs w:val="0"/>
          <w:color w:val="auto"/>
          <w:sz w:val="24"/>
          <w:szCs w:val="24"/>
          <w:lang w:val="en-US" w:eastAsia="zh-CN"/>
        </w:rPr>
        <w:t>7.0</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7.5000.23.2</w:t>
      </w:r>
      <w:r>
        <w:rPr>
          <w:rFonts w:hint="eastAsia" w:ascii="宋体" w:hAnsi="宋体" w:eastAsia="宋体" w:cs="宋体"/>
          <w:b/>
          <w:bCs w:val="0"/>
          <w:color w:val="auto"/>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D1960"/>
    <w:multiLevelType w:val="singleLevel"/>
    <w:tmpl w:val="0E6D19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4755D"/>
    <w:rsid w:val="2E34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Normal (Web)"/>
    <w:basedOn w:val="1"/>
    <w:uiPriority w:val="99"/>
    <w:pPr>
      <w:widowControl/>
      <w:spacing w:before="100" w:beforeLines="0" w:beforeAutospacing="1" w:after="100" w:afterLines="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2025-12-11T07:24:00Z</dcterms:created>
  <dc:creator>TIANKONG</dc:creator>
  <cp:lastModifiedBy>TIANKONG</cp:lastModifiedBy>
  <dcterms:modified xsi:type="dcterms:W3CDTF">2025-12-11T07:25:27Z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9B01466ED8844EFCB0892CCB024B5389_11</vt:lpwstr>
  </property>
  <property fmtid="{D5CDD505-2E9C-101B-9397-08002B2CF9AE}" pid="4" name="KSOTemplateDocerSaveRecord">
    <vt:lpwstr>eyJoZGlkIjoiNzQ1NWFkYTA1NDZkMzI3NGM4ODJkN2U4NzJkNzNkMWYiLCJ1c2VySWQiOiIzMzY5NDIzOTEifQ==</vt:lpwstr>
  </property>
</Properties>
</file>