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E1819">
      <w:pPr>
        <w:numPr>
          <w:ilvl w:val="0"/>
          <w:numId w:val="1"/>
        </w:numPr>
        <w:spacing w:line="360" w:lineRule="auto"/>
        <w:rPr>
          <w:rFonts w:hint="eastAsia" w:ascii="仿宋" w:hAnsi="仿宋" w:eastAsia="仿宋" w:cs="仿宋"/>
          <w:sz w:val="24"/>
          <w:highlight w:val="none"/>
        </w:rPr>
      </w:pPr>
      <w:r>
        <w:rPr>
          <w:rFonts w:hint="eastAsia" w:ascii="仿宋" w:hAnsi="仿宋" w:eastAsia="仿宋" w:cs="仿宋"/>
          <w:sz w:val="24"/>
          <w:highlight w:val="none"/>
        </w:rPr>
        <w:t>项目简介</w:t>
      </w:r>
    </w:p>
    <w:p w14:paraId="4316A2BC">
      <w:pPr>
        <w:spacing w:line="360" w:lineRule="auto"/>
        <w:ind w:firstLine="460" w:firstLineChars="200"/>
        <w:rPr>
          <w:rFonts w:hint="eastAsia" w:ascii="仿宋" w:hAnsi="仿宋" w:eastAsia="仿宋" w:cs="仿宋"/>
          <w:spacing w:val="-3"/>
          <w:sz w:val="24"/>
          <w:highlight w:val="none"/>
        </w:rPr>
      </w:pPr>
      <w:r>
        <w:rPr>
          <w:rFonts w:hint="eastAsia" w:ascii="仿宋" w:hAnsi="仿宋" w:eastAsia="仿宋" w:cs="仿宋"/>
          <w:spacing w:val="-5"/>
          <w:sz w:val="24"/>
          <w:highlight w:val="none"/>
        </w:rPr>
        <w:t>康复治疗技术实训中心</w:t>
      </w:r>
      <w:r>
        <w:rPr>
          <w:rFonts w:hint="eastAsia" w:ascii="仿宋" w:hAnsi="仿宋" w:eastAsia="仿宋" w:cs="仿宋"/>
          <w:spacing w:val="-3"/>
          <w:sz w:val="24"/>
          <w:highlight w:val="none"/>
        </w:rPr>
        <w:t>建设是高等职业教育教学工作的重要组成部分，是实现高职教育培养目标的必要条件，是提高学生实际动手能力、改进教学质量、提升学生就业竞争力的有力保障。</w:t>
      </w:r>
      <w:r>
        <w:rPr>
          <w:rFonts w:hint="eastAsia" w:ascii="仿宋" w:hAnsi="仿宋" w:eastAsia="仿宋" w:cs="仿宋"/>
          <w:spacing w:val="-5"/>
          <w:sz w:val="24"/>
          <w:highlight w:val="none"/>
        </w:rPr>
        <w:t>康复治疗技术实训中心</w:t>
      </w:r>
      <w:r>
        <w:rPr>
          <w:rFonts w:hint="eastAsia" w:ascii="仿宋" w:hAnsi="仿宋" w:eastAsia="仿宋" w:cs="仿宋"/>
          <w:spacing w:val="-3"/>
          <w:sz w:val="24"/>
          <w:highlight w:val="none"/>
        </w:rPr>
        <w:t>着重培养学生的动手能力，养成适应工作岗位的职业素质，在校期间得到上岗能力训练。康复技能实训能缩短学生与就业岗位对人才需求的距离。加强</w:t>
      </w:r>
      <w:r>
        <w:rPr>
          <w:rFonts w:hint="eastAsia" w:ascii="仿宋" w:hAnsi="仿宋" w:eastAsia="仿宋" w:cs="仿宋"/>
          <w:spacing w:val="-5"/>
          <w:sz w:val="24"/>
          <w:highlight w:val="none"/>
        </w:rPr>
        <w:t>康复治疗技术实训中心</w:t>
      </w:r>
      <w:r>
        <w:rPr>
          <w:rFonts w:hint="eastAsia" w:ascii="仿宋" w:hAnsi="仿宋" w:eastAsia="仿宋" w:cs="仿宋"/>
          <w:spacing w:val="-3"/>
          <w:sz w:val="24"/>
          <w:highlight w:val="none"/>
        </w:rPr>
        <w:t>建设，是高等职业学校改善办学条件、提高教学质量的重点。</w:t>
      </w:r>
    </w:p>
    <w:p w14:paraId="245101B9">
      <w:pPr>
        <w:spacing w:line="360" w:lineRule="auto"/>
        <w:ind w:firstLine="468" w:firstLineChars="200"/>
        <w:rPr>
          <w:rFonts w:hint="eastAsia" w:ascii="仿宋" w:hAnsi="仿宋" w:eastAsia="仿宋" w:cs="仿宋"/>
          <w:sz w:val="24"/>
          <w:highlight w:val="none"/>
        </w:rPr>
      </w:pPr>
      <w:r>
        <w:rPr>
          <w:rFonts w:hint="eastAsia" w:ascii="仿宋" w:hAnsi="仿宋" w:eastAsia="仿宋" w:cs="仿宋"/>
          <w:spacing w:val="-3"/>
          <w:sz w:val="24"/>
          <w:highlight w:val="none"/>
        </w:rPr>
        <w:t>我校康复治疗技术专业成立于2024年，第一届学生人数118人,2025年申报专业人数达600人，现阶段的实训条件难以满足2024级与2025级学生的需求，康复实训中心的建设意义重大。康复实训室着重培养学生的动手能力，养成适应工作岗位的职业素质，在校期间得到上岗能力训练。康复技能实训能缩短学生与就业岗位对人才需求的差距。加强</w:t>
      </w:r>
      <w:r>
        <w:rPr>
          <w:rFonts w:hint="eastAsia" w:ascii="仿宋" w:hAnsi="仿宋" w:eastAsia="仿宋" w:cs="仿宋"/>
          <w:spacing w:val="-5"/>
          <w:sz w:val="24"/>
          <w:highlight w:val="none"/>
        </w:rPr>
        <w:t>康复治疗技术实训中心</w:t>
      </w:r>
      <w:r>
        <w:rPr>
          <w:rFonts w:hint="eastAsia" w:ascii="仿宋" w:hAnsi="仿宋" w:eastAsia="仿宋" w:cs="仿宋"/>
          <w:spacing w:val="-3"/>
          <w:sz w:val="24"/>
          <w:highlight w:val="none"/>
        </w:rPr>
        <w:t>建设，是高等职业学校改</w:t>
      </w:r>
      <w:bookmarkStart w:id="0" w:name="_GoBack"/>
      <w:bookmarkEnd w:id="0"/>
      <w:r>
        <w:rPr>
          <w:rFonts w:hint="eastAsia" w:ascii="仿宋" w:hAnsi="仿宋" w:eastAsia="仿宋" w:cs="仿宋"/>
          <w:spacing w:val="-3"/>
          <w:sz w:val="24"/>
          <w:highlight w:val="none"/>
        </w:rPr>
        <w:t xml:space="preserve">善办学条件、提高教学质量的重点，是提高康养人才技能训练必备条件。 </w:t>
      </w:r>
    </w:p>
    <w:p w14:paraId="35C4F70B">
      <w:pPr>
        <w:numPr>
          <w:ilvl w:val="0"/>
          <w:numId w:val="1"/>
        </w:numPr>
        <w:spacing w:line="360" w:lineRule="auto"/>
        <w:rPr>
          <w:rFonts w:hint="eastAsia" w:ascii="仿宋" w:hAnsi="仿宋" w:eastAsia="仿宋" w:cs="仿宋"/>
          <w:sz w:val="24"/>
          <w:highlight w:val="none"/>
        </w:rPr>
      </w:pPr>
      <w:r>
        <w:rPr>
          <w:rFonts w:hint="eastAsia" w:ascii="仿宋" w:hAnsi="仿宋" w:eastAsia="仿宋" w:cs="仿宋"/>
          <w:sz w:val="24"/>
          <w:highlight w:val="none"/>
        </w:rPr>
        <w:t>实施的必要性</w:t>
      </w:r>
    </w:p>
    <w:p w14:paraId="65D5C523">
      <w:pPr>
        <w:spacing w:line="360" w:lineRule="auto"/>
        <w:ind w:firstLine="468" w:firstLineChars="200"/>
        <w:rPr>
          <w:rFonts w:hint="eastAsia" w:ascii="仿宋" w:hAnsi="仿宋" w:eastAsia="仿宋" w:cs="仿宋"/>
          <w:spacing w:val="-3"/>
          <w:sz w:val="24"/>
          <w:highlight w:val="none"/>
        </w:rPr>
      </w:pPr>
      <w:r>
        <w:rPr>
          <w:rFonts w:hint="eastAsia" w:ascii="仿宋" w:hAnsi="仿宋" w:eastAsia="仿宋" w:cs="仿宋"/>
          <w:spacing w:val="-3"/>
          <w:sz w:val="24"/>
          <w:highlight w:val="none"/>
        </w:rPr>
        <w:t>康复治疗技术专业是一门实践性强、专业技术要求高的学科，承担着康养产业行业一线输送康复治疗技术</w:t>
      </w:r>
      <w:r>
        <w:rPr>
          <w:rFonts w:hint="eastAsia" w:ascii="仿宋" w:hAnsi="仿宋" w:eastAsia="仿宋" w:cs="仿宋"/>
          <w:spacing w:val="-3"/>
          <w:sz w:val="24"/>
          <w:highlight w:val="none"/>
          <w:lang w:val="en-US" w:eastAsia="zh-CN"/>
        </w:rPr>
        <w:t>高技术</w:t>
      </w:r>
      <w:r>
        <w:rPr>
          <w:rFonts w:hint="eastAsia" w:ascii="仿宋" w:hAnsi="仿宋" w:eastAsia="仿宋" w:cs="仿宋"/>
          <w:spacing w:val="-3"/>
          <w:sz w:val="24"/>
          <w:highlight w:val="none"/>
          <w:lang w:val="en-US" w:eastAsia="zh-CN"/>
        </w:rPr>
        <w:t>人</w:t>
      </w:r>
      <w:r>
        <w:rPr>
          <w:rFonts w:hint="eastAsia" w:ascii="仿宋" w:hAnsi="仿宋" w:eastAsia="仿宋" w:cs="仿宋"/>
          <w:spacing w:val="-3"/>
          <w:sz w:val="24"/>
          <w:highlight w:val="none"/>
        </w:rPr>
        <w:t>才的使命，</w:t>
      </w:r>
      <w:r>
        <w:rPr>
          <w:rFonts w:hint="eastAsia" w:ascii="仿宋" w:hAnsi="仿宋" w:eastAsia="仿宋" w:cs="仿宋"/>
          <w:sz w:val="24"/>
          <w:highlight w:val="none"/>
        </w:rPr>
        <w:t>面向基层医疗机构康复医学科、社区医院、养老院、</w:t>
      </w:r>
      <w:r>
        <w:rPr>
          <w:rFonts w:hint="eastAsia" w:ascii="仿宋" w:hAnsi="仿宋" w:eastAsia="仿宋" w:cs="仿宋"/>
          <w:sz w:val="24"/>
          <w:highlight w:val="none"/>
          <w:lang w:bidi="ar"/>
        </w:rPr>
        <w:t>福利院</w:t>
      </w:r>
      <w:r>
        <w:rPr>
          <w:rFonts w:hint="eastAsia" w:ascii="仿宋" w:hAnsi="仿宋" w:eastAsia="仿宋" w:cs="仿宋"/>
          <w:sz w:val="24"/>
          <w:highlight w:val="none"/>
        </w:rPr>
        <w:t>或其他康复相关</w:t>
      </w:r>
      <w:r>
        <w:rPr>
          <w:rFonts w:hint="eastAsia" w:ascii="仿宋" w:hAnsi="仿宋" w:eastAsia="仿宋" w:cs="仿宋"/>
          <w:sz w:val="24"/>
          <w:highlight w:val="none"/>
          <w:lang w:val="en-US" w:eastAsia="zh-CN"/>
        </w:rPr>
        <w:t>专业</w:t>
      </w:r>
      <w:r>
        <w:rPr>
          <w:rFonts w:hint="eastAsia" w:ascii="仿宋" w:hAnsi="仿宋" w:eastAsia="仿宋" w:cs="仿宋"/>
          <w:sz w:val="24"/>
          <w:highlight w:val="none"/>
        </w:rPr>
        <w:t>群</w:t>
      </w:r>
      <w:r>
        <w:rPr>
          <w:rFonts w:hint="eastAsia" w:ascii="仿宋" w:hAnsi="仿宋" w:eastAsia="仿宋" w:cs="仿宋"/>
          <w:sz w:val="24"/>
          <w:highlight w:val="none"/>
        </w:rPr>
        <w:t>，培养能够从事物理治疗、作业治疗、言语治疗等岗位工作的</w:t>
      </w:r>
      <w:r>
        <w:rPr>
          <w:rFonts w:hint="eastAsia" w:ascii="仿宋" w:hAnsi="仿宋" w:eastAsia="仿宋" w:cs="仿宋"/>
          <w:spacing w:val="-3"/>
          <w:sz w:val="24"/>
          <w:highlight w:val="none"/>
          <w:lang w:val="en-US" w:eastAsia="zh-CN"/>
        </w:rPr>
        <w:t>高技术</w:t>
      </w:r>
      <w:r>
        <w:rPr>
          <w:rFonts w:hint="eastAsia" w:ascii="仿宋" w:hAnsi="仿宋" w:eastAsia="仿宋" w:cs="仿宋"/>
          <w:sz w:val="24"/>
          <w:highlight w:val="none"/>
        </w:rPr>
        <w:t>人才。</w:t>
      </w:r>
      <w:r>
        <w:rPr>
          <w:rFonts w:hint="eastAsia" w:ascii="仿宋" w:hAnsi="仿宋" w:eastAsia="仿宋" w:cs="仿宋"/>
          <w:spacing w:val="-3"/>
          <w:sz w:val="24"/>
          <w:highlight w:val="none"/>
        </w:rPr>
        <w:t>实习、实训基地建设与管理，对提升康复治疗技术</w:t>
      </w:r>
      <w:r>
        <w:rPr>
          <w:rFonts w:hint="eastAsia" w:ascii="仿宋" w:hAnsi="仿宋" w:eastAsia="仿宋" w:cs="仿宋"/>
          <w:spacing w:val="-3"/>
          <w:sz w:val="24"/>
          <w:highlight w:val="none"/>
          <w:lang w:val="en-US" w:eastAsia="zh-CN"/>
        </w:rPr>
        <w:t>高技术</w:t>
      </w:r>
      <w:r>
        <w:rPr>
          <w:rFonts w:hint="eastAsia" w:ascii="仿宋" w:hAnsi="仿宋" w:eastAsia="仿宋" w:cs="仿宋"/>
          <w:spacing w:val="-3"/>
          <w:sz w:val="24"/>
          <w:highlight w:val="none"/>
        </w:rPr>
        <w:t>人才的培养起到重要的作用。</w:t>
      </w:r>
    </w:p>
    <w:p w14:paraId="0CB5862C">
      <w:pPr>
        <w:spacing w:line="360" w:lineRule="auto"/>
        <w:ind w:firstLine="468" w:firstLineChars="200"/>
        <w:rPr>
          <w:rFonts w:hint="eastAsia" w:ascii="仿宋" w:hAnsi="仿宋" w:eastAsia="仿宋" w:cs="仿宋"/>
          <w:spacing w:val="-3"/>
          <w:sz w:val="24"/>
          <w:highlight w:val="none"/>
        </w:rPr>
      </w:pPr>
      <w:r>
        <w:rPr>
          <w:rFonts w:hint="eastAsia" w:ascii="仿宋" w:hAnsi="仿宋" w:eastAsia="仿宋" w:cs="仿宋"/>
          <w:spacing w:val="-3"/>
          <w:sz w:val="24"/>
          <w:highlight w:val="none"/>
        </w:rPr>
        <w:t>我院自2024年开设康复治疗技术专业，春季分类招生学生录取人数达109人。目前，学院没有康复专业实训室，24级学生第一学期的课程为基础医学课程，已经投入使用的老年人生命科学实训中心可以满足《人体解剖学》《生理学》等课程的使用。2025年</w:t>
      </w:r>
      <w:r>
        <w:rPr>
          <w:rFonts w:hint="eastAsia" w:ascii="仿宋" w:hAnsi="仿宋" w:eastAsia="仿宋" w:cs="仿宋"/>
          <w:spacing w:val="-3"/>
          <w:sz w:val="24"/>
          <w:highlight w:val="none"/>
          <w:lang w:val="en-US" w:eastAsia="zh-CN"/>
        </w:rPr>
        <w:t>秋季</w:t>
      </w:r>
      <w:r>
        <w:rPr>
          <w:rFonts w:hint="eastAsia" w:ascii="仿宋" w:hAnsi="仿宋" w:eastAsia="仿宋" w:cs="仿宋"/>
          <w:spacing w:val="-3"/>
          <w:sz w:val="24"/>
          <w:highlight w:val="none"/>
        </w:rPr>
        <w:t>期将开设专业核心课程</w:t>
      </w:r>
      <w:r>
        <w:rPr>
          <w:rFonts w:hint="eastAsia" w:ascii="仿宋" w:hAnsi="仿宋" w:eastAsia="仿宋" w:cs="仿宋"/>
          <w:spacing w:val="-3"/>
          <w:sz w:val="24"/>
          <w:highlight w:val="none"/>
        </w:rPr>
        <w:t>《</w:t>
      </w:r>
      <w:r>
        <w:rPr>
          <w:rFonts w:hint="eastAsia" w:ascii="仿宋" w:hAnsi="仿宋" w:eastAsia="仿宋" w:cs="仿宋"/>
          <w:spacing w:val="-3"/>
          <w:sz w:val="24"/>
          <w:highlight w:val="none"/>
          <w:lang w:val="en-US" w:eastAsia="zh-CN"/>
        </w:rPr>
        <w:t>运动治疗技术</w:t>
      </w:r>
      <w:r>
        <w:rPr>
          <w:rFonts w:hint="eastAsia" w:ascii="仿宋" w:hAnsi="仿宋" w:eastAsia="仿宋" w:cs="仿宋"/>
          <w:spacing w:val="-3"/>
          <w:sz w:val="24"/>
          <w:highlight w:val="none"/>
        </w:rPr>
        <w:t>》</w:t>
      </w:r>
      <w:r>
        <w:rPr>
          <w:rFonts w:hint="eastAsia" w:ascii="仿宋" w:hAnsi="仿宋" w:eastAsia="仿宋" w:cs="仿宋"/>
          <w:spacing w:val="-3"/>
          <w:sz w:val="24"/>
          <w:highlight w:val="none"/>
          <w:lang w:eastAsia="zh-CN"/>
        </w:rPr>
        <w:t>《</w:t>
      </w:r>
      <w:r>
        <w:rPr>
          <w:rFonts w:hint="eastAsia" w:ascii="仿宋" w:hAnsi="仿宋" w:eastAsia="仿宋" w:cs="仿宋"/>
          <w:spacing w:val="-3"/>
          <w:sz w:val="24"/>
          <w:highlight w:val="none"/>
          <w:lang w:val="en-US" w:eastAsia="zh-CN"/>
        </w:rPr>
        <w:t>作业治疗技术</w:t>
      </w:r>
      <w:r>
        <w:rPr>
          <w:rFonts w:hint="eastAsia" w:ascii="仿宋" w:hAnsi="仿宋" w:eastAsia="仿宋" w:cs="仿宋"/>
          <w:spacing w:val="-3"/>
          <w:sz w:val="24"/>
          <w:highlight w:val="none"/>
          <w:lang w:eastAsia="zh-CN"/>
        </w:rPr>
        <w:t>》</w:t>
      </w:r>
      <w:r>
        <w:rPr>
          <w:rFonts w:hint="eastAsia" w:ascii="仿宋" w:hAnsi="仿宋" w:eastAsia="仿宋" w:cs="仿宋"/>
          <w:spacing w:val="-3"/>
          <w:sz w:val="24"/>
          <w:highlight w:val="none"/>
        </w:rPr>
        <w:t>，现有的实训室无法满足康复治疗技术专业的学生实训需要。此外，也无法满足学生的“康复治疗技术”技能大赛需求等。</w:t>
      </w:r>
    </w:p>
    <w:p w14:paraId="468733D5">
      <w:pPr>
        <w:spacing w:line="360" w:lineRule="auto"/>
        <w:ind w:firstLine="468" w:firstLineChars="200"/>
        <w:rPr>
          <w:rFonts w:hint="eastAsia" w:ascii="仿宋" w:hAnsi="仿宋" w:eastAsia="仿宋" w:cs="仿宋"/>
          <w:spacing w:val="-3"/>
          <w:sz w:val="24"/>
          <w:highlight w:val="none"/>
        </w:rPr>
      </w:pPr>
      <w:r>
        <w:rPr>
          <w:rFonts w:hint="eastAsia" w:ascii="仿宋" w:hAnsi="仿宋" w:eastAsia="仿宋" w:cs="仿宋"/>
          <w:spacing w:val="-3"/>
          <w:sz w:val="24"/>
          <w:highlight w:val="none"/>
        </w:rPr>
        <w:t>“加强实训、实习基地建设是高等职业院校改善办学条件、彰显办学特色、提高教学质量的重点”。对康复治疗专业的学生来说，实训是连接课本理论知识与临床技能的必由之路。康复实训把平时理论课中学习的每一个点连结起来贯穿成线，最终形成系统的康复评定技能及治疗手法等。因此，为了避免平时课堂所学的理论知识和临床技能脱节，把实训课摆放在一个重要的位置很有意义。校内实训基地建设与管理，更是彰显学校实力、体现专业优势和特色的窗口，我们对校企合作医院、兄弟院校的实习实训基地进行走访和调研发现，兄弟院校该专业承托护理、康复等专业迅速崛起，且企业对职业院校毕业生的技能要求越来越高，需达到毕业、上岗“零距离”的要求，受学校目前实训条件的限制，学生的动手能力和实操水平偏低，不能达到用人单位的要求，可能直接会影响学校的声誉和招生工作。</w:t>
      </w:r>
    </w:p>
    <w:p w14:paraId="43940F12">
      <w:pPr>
        <w:spacing w:line="360" w:lineRule="auto"/>
        <w:ind w:firstLine="468" w:firstLineChars="200"/>
        <w:rPr>
          <w:rFonts w:hint="eastAsia" w:ascii="仿宋" w:hAnsi="仿宋" w:eastAsia="仿宋" w:cs="仿宋"/>
          <w:sz w:val="24"/>
          <w:highlight w:val="none"/>
        </w:rPr>
      </w:pPr>
      <w:r>
        <w:rPr>
          <w:rFonts w:hint="eastAsia" w:ascii="仿宋" w:hAnsi="仿宋" w:eastAsia="仿宋" w:cs="仿宋"/>
          <w:spacing w:val="-3"/>
          <w:sz w:val="24"/>
          <w:highlight w:val="none"/>
        </w:rPr>
        <w:t>高职教育是以社会需求为目标，面向社会、面向市场、面向企业，培养用得上，实践技能强，具有良好职业道德的技术</w:t>
      </w:r>
      <w:r>
        <w:rPr>
          <w:rFonts w:hint="eastAsia" w:ascii="仿宋" w:hAnsi="仿宋" w:eastAsia="仿宋" w:cs="仿宋"/>
          <w:spacing w:val="-3"/>
          <w:sz w:val="24"/>
          <w:highlight w:val="none"/>
          <w:lang w:val="en-US" w:eastAsia="zh-CN"/>
        </w:rPr>
        <w:t>人</w:t>
      </w:r>
      <w:r>
        <w:rPr>
          <w:rFonts w:hint="eastAsia" w:ascii="仿宋" w:hAnsi="仿宋" w:eastAsia="仿宋" w:cs="仿宋"/>
          <w:spacing w:val="-3"/>
          <w:sz w:val="24"/>
          <w:highlight w:val="none"/>
        </w:rPr>
        <w:t>才。高职教育受市场规律、市场机制、市场原则的影响和制约，必须立足市场看专业，各专业的准确定位和岗位能力是专业建设的前提；合理的设置课程体系是核心；康复技能实训中心的建设，是培养技术</w:t>
      </w:r>
      <w:r>
        <w:rPr>
          <w:rFonts w:hint="eastAsia" w:ascii="仿宋" w:hAnsi="仿宋" w:eastAsia="仿宋" w:cs="仿宋"/>
          <w:spacing w:val="-3"/>
          <w:sz w:val="24"/>
          <w:highlight w:val="none"/>
          <w:lang w:val="en-US" w:eastAsia="zh-CN"/>
        </w:rPr>
        <w:t>人</w:t>
      </w:r>
      <w:r>
        <w:rPr>
          <w:rFonts w:hint="eastAsia" w:ascii="仿宋" w:hAnsi="仿宋" w:eastAsia="仿宋" w:cs="仿宋"/>
          <w:spacing w:val="-3"/>
          <w:sz w:val="24"/>
          <w:highlight w:val="none"/>
        </w:rPr>
        <w:t>才的必备条件和关键环节。人才培养的目的是将理论应用于实践，解决"做什么"、"怎么做"的问题，是为社会大健康服务。康复技能实训中心的建设，有利于毕业生更快融入康复治疗工作学生康复实训成绩的好坏决定其毕业后参加工作时临床水平的高低。因此，康复技能实训中心的建设工作是高等职业教育教学工作的重要组成部分，是践行"以学生为本位"、"以能力为核心"的高职教育理念的重要举措。构建</w:t>
      </w:r>
      <w:r>
        <w:rPr>
          <w:rFonts w:hint="eastAsia" w:ascii="仿宋" w:hAnsi="仿宋" w:eastAsia="仿宋" w:cs="仿宋"/>
          <w:spacing w:val="-3"/>
          <w:sz w:val="24"/>
          <w:highlight w:val="none"/>
        </w:rPr>
        <w:t>康复技能实训中心</w:t>
      </w:r>
      <w:r>
        <w:rPr>
          <w:rFonts w:hint="eastAsia" w:ascii="仿宋" w:hAnsi="仿宋" w:eastAsia="仿宋" w:cs="仿宋"/>
          <w:spacing w:val="-3"/>
          <w:sz w:val="24"/>
          <w:highlight w:val="none"/>
        </w:rPr>
        <w:t>，使学生在具有职业氛围和仿真环境下进行各种康复治疗技术专业技能训练，为学生进行岗前培训等教学实践提供场所。只有康复技能实训中心与临床康复治疗室的设备和环境基本统一，实训内容选用临床常用的评定及治疗技术，学生才能更好、更快地在未来融入康复治疗工作。</w:t>
      </w:r>
    </w:p>
    <w:p w14:paraId="0F06C649">
      <w:pPr>
        <w:numPr>
          <w:ilvl w:val="0"/>
          <w:numId w:val="1"/>
        </w:numPr>
        <w:spacing w:line="360" w:lineRule="auto"/>
        <w:rPr>
          <w:rFonts w:hint="eastAsia" w:ascii="Times New Roman" w:hAnsi="Times New Roman" w:eastAsia="宋体" w:cs="Times New Roman"/>
          <w:highlight w:val="none"/>
        </w:rPr>
      </w:pPr>
      <w:r>
        <w:rPr>
          <w:rFonts w:hint="eastAsia" w:ascii="仿宋" w:hAnsi="仿宋" w:eastAsia="仿宋" w:cs="仿宋"/>
          <w:sz w:val="24"/>
          <w:highlight w:val="none"/>
        </w:rPr>
        <w:t>项目内容</w:t>
      </w:r>
    </w:p>
    <w:tbl>
      <w:tblPr>
        <w:tblStyle w:val="3"/>
        <w:tblW w:w="93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44"/>
        <w:gridCol w:w="2344"/>
        <w:gridCol w:w="2345"/>
        <w:gridCol w:w="2345"/>
      </w:tblGrid>
      <w:tr w14:paraId="10556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8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E10960">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1"/>
                <w:szCs w:val="21"/>
                <w:highlight w:val="none"/>
                <w:u w:val="none"/>
              </w:rPr>
            </w:pPr>
            <w:r>
              <w:rPr>
                <w:rFonts w:hint="eastAsia" w:asciiTheme="majorEastAsia" w:hAnsiTheme="majorEastAsia" w:eastAsiaTheme="majorEastAsia" w:cstheme="majorEastAsia"/>
                <w:b/>
                <w:bCs/>
                <w:i w:val="0"/>
                <w:iCs w:val="0"/>
                <w:color w:val="000000"/>
                <w:kern w:val="0"/>
                <w:sz w:val="21"/>
                <w:szCs w:val="21"/>
                <w:highlight w:val="none"/>
                <w:u w:val="none"/>
                <w:lang w:val="en-US" w:eastAsia="zh-CN" w:bidi="ar"/>
              </w:rPr>
              <w:t>序号</w:t>
            </w:r>
          </w:p>
        </w:tc>
        <w:tc>
          <w:tcPr>
            <w:tcW w:w="28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9066BA">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1"/>
                <w:szCs w:val="21"/>
                <w:highlight w:val="none"/>
                <w:u w:val="none"/>
              </w:rPr>
            </w:pPr>
            <w:r>
              <w:rPr>
                <w:rFonts w:hint="eastAsia" w:asciiTheme="majorEastAsia" w:hAnsiTheme="majorEastAsia" w:eastAsiaTheme="majorEastAsia" w:cstheme="majorEastAsia"/>
                <w:b/>
                <w:bCs/>
                <w:i w:val="0"/>
                <w:iCs w:val="0"/>
                <w:color w:val="000000"/>
                <w:kern w:val="0"/>
                <w:sz w:val="21"/>
                <w:szCs w:val="21"/>
                <w:highlight w:val="none"/>
                <w:u w:val="none"/>
                <w:lang w:val="en-US" w:eastAsia="zh-CN" w:bidi="ar"/>
              </w:rPr>
              <w:t>设备名称</w:t>
            </w:r>
          </w:p>
        </w:tc>
        <w:tc>
          <w:tcPr>
            <w:tcW w:w="28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EDBD41">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1"/>
                <w:szCs w:val="21"/>
                <w:highlight w:val="none"/>
                <w:u w:val="none"/>
              </w:rPr>
            </w:pPr>
            <w:r>
              <w:rPr>
                <w:rFonts w:hint="eastAsia" w:asciiTheme="majorEastAsia" w:hAnsiTheme="majorEastAsia" w:eastAsiaTheme="majorEastAsia" w:cstheme="majorEastAsia"/>
                <w:b/>
                <w:bCs/>
                <w:i w:val="0"/>
                <w:iCs w:val="0"/>
                <w:color w:val="000000"/>
                <w:kern w:val="0"/>
                <w:sz w:val="21"/>
                <w:szCs w:val="21"/>
                <w:highlight w:val="none"/>
                <w:u w:val="none"/>
                <w:lang w:val="en-US" w:eastAsia="zh-CN" w:bidi="ar"/>
              </w:rPr>
              <w:t>主要功能和技术要求</w:t>
            </w:r>
          </w:p>
        </w:tc>
        <w:tc>
          <w:tcPr>
            <w:tcW w:w="28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F77948">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1"/>
                <w:szCs w:val="21"/>
                <w:highlight w:val="none"/>
                <w:u w:val="none"/>
              </w:rPr>
            </w:pPr>
            <w:r>
              <w:rPr>
                <w:rFonts w:hint="eastAsia" w:asciiTheme="majorEastAsia" w:hAnsiTheme="majorEastAsia" w:eastAsiaTheme="majorEastAsia" w:cstheme="majorEastAsia"/>
                <w:b/>
                <w:bCs/>
                <w:i w:val="0"/>
                <w:iCs w:val="0"/>
                <w:color w:val="000000"/>
                <w:kern w:val="0"/>
                <w:sz w:val="21"/>
                <w:szCs w:val="21"/>
                <w:highlight w:val="none"/>
                <w:u w:val="none"/>
                <w:lang w:val="en-US" w:eastAsia="zh-CN" w:bidi="ar"/>
              </w:rPr>
              <w:t>数量</w:t>
            </w:r>
          </w:p>
        </w:tc>
      </w:tr>
      <w:tr w14:paraId="11E54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8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EB59D8">
            <w:pPr>
              <w:jc w:val="center"/>
              <w:rPr>
                <w:rFonts w:hint="eastAsia" w:asciiTheme="majorEastAsia" w:hAnsiTheme="majorEastAsia" w:eastAsiaTheme="majorEastAsia" w:cstheme="majorEastAsia"/>
                <w:b/>
                <w:bCs/>
                <w:i w:val="0"/>
                <w:iCs w:val="0"/>
                <w:color w:val="000000"/>
                <w:sz w:val="21"/>
                <w:szCs w:val="21"/>
                <w:highlight w:val="none"/>
                <w:u w:val="none"/>
              </w:rPr>
            </w:pPr>
          </w:p>
        </w:tc>
        <w:tc>
          <w:tcPr>
            <w:tcW w:w="28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FD0A19">
            <w:pPr>
              <w:jc w:val="center"/>
              <w:rPr>
                <w:rFonts w:hint="eastAsia" w:asciiTheme="majorEastAsia" w:hAnsiTheme="majorEastAsia" w:eastAsiaTheme="majorEastAsia" w:cstheme="majorEastAsia"/>
                <w:b/>
                <w:bCs/>
                <w:i w:val="0"/>
                <w:iCs w:val="0"/>
                <w:color w:val="000000"/>
                <w:sz w:val="21"/>
                <w:szCs w:val="21"/>
                <w:highlight w:val="none"/>
                <w:u w:val="none"/>
              </w:rPr>
            </w:pPr>
          </w:p>
        </w:tc>
        <w:tc>
          <w:tcPr>
            <w:tcW w:w="28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9961FA">
            <w:pPr>
              <w:jc w:val="center"/>
              <w:rPr>
                <w:rFonts w:hint="eastAsia" w:asciiTheme="majorEastAsia" w:hAnsiTheme="majorEastAsia" w:eastAsiaTheme="majorEastAsia" w:cstheme="majorEastAsia"/>
                <w:b/>
                <w:bCs/>
                <w:i w:val="0"/>
                <w:iCs w:val="0"/>
                <w:color w:val="000000"/>
                <w:sz w:val="21"/>
                <w:szCs w:val="21"/>
                <w:highlight w:val="none"/>
                <w:u w:val="none"/>
              </w:rPr>
            </w:pPr>
          </w:p>
        </w:tc>
        <w:tc>
          <w:tcPr>
            <w:tcW w:w="28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5378CA">
            <w:pPr>
              <w:jc w:val="center"/>
              <w:rPr>
                <w:rFonts w:hint="eastAsia" w:asciiTheme="majorEastAsia" w:hAnsiTheme="majorEastAsia" w:eastAsiaTheme="majorEastAsia" w:cstheme="majorEastAsia"/>
                <w:b/>
                <w:bCs/>
                <w:i w:val="0"/>
                <w:iCs w:val="0"/>
                <w:color w:val="000000"/>
                <w:sz w:val="21"/>
                <w:szCs w:val="21"/>
                <w:highlight w:val="none"/>
                <w:u w:val="none"/>
              </w:rPr>
            </w:pPr>
          </w:p>
        </w:tc>
      </w:tr>
      <w:tr w14:paraId="3D0F8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127A5D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1</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5D0DFF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耳穴模型</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7A8C05F6">
            <w:pPr>
              <w:keepNext w:val="0"/>
              <w:keepLines w:val="0"/>
              <w:widowControl/>
              <w:suppressLineNumbers w:val="0"/>
              <w:jc w:val="center"/>
              <w:textAlignment w:val="top"/>
              <w:rPr>
                <w:rFonts w:hint="eastAsia" w:asciiTheme="majorEastAsia" w:hAnsiTheme="majorEastAsia" w:eastAsiaTheme="majorEastAsia" w:cstheme="majorEastAsia"/>
                <w:i w:val="0"/>
                <w:iCs w:val="0"/>
                <w:color w:val="000000"/>
                <w:sz w:val="21"/>
                <w:szCs w:val="21"/>
                <w:highlight w:val="none"/>
                <w:u w:val="none"/>
                <w:lang w:val="en-US" w:eastAsia="zh-CN"/>
              </w:rPr>
            </w:pPr>
            <w:r>
              <w:rPr>
                <w:rFonts w:hint="eastAsia" w:asciiTheme="majorEastAsia" w:hAnsiTheme="majorEastAsia" w:eastAsiaTheme="majorEastAsia" w:cstheme="majorEastAsia"/>
                <w:i w:val="0"/>
                <w:iCs w:val="0"/>
                <w:color w:val="000000"/>
                <w:sz w:val="21"/>
                <w:szCs w:val="21"/>
                <w:highlight w:val="none"/>
                <w:u w:val="none"/>
                <w:lang w:val="en-US" w:eastAsia="zh-CN"/>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20F7EB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6</w:t>
            </w:r>
          </w:p>
        </w:tc>
      </w:tr>
      <w:tr w14:paraId="68C0C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4DA1469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2</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17C64C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足部反射区模型</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735C9CD4">
            <w:pPr>
              <w:keepNext w:val="0"/>
              <w:keepLines w:val="0"/>
              <w:widowControl/>
              <w:suppressLineNumbers w:val="0"/>
              <w:jc w:val="center"/>
              <w:textAlignment w:val="top"/>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20A46F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6</w:t>
            </w:r>
          </w:p>
        </w:tc>
      </w:tr>
      <w:tr w14:paraId="02E75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334B6DB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3</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615A50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按摩凳</w:t>
            </w:r>
          </w:p>
        </w:tc>
        <w:tc>
          <w:tcPr>
            <w:tcW w:w="283" w:type="dxa"/>
            <w:tcBorders>
              <w:top w:val="nil"/>
              <w:left w:val="single" w:color="000000" w:sz="8" w:space="0"/>
              <w:bottom w:val="nil"/>
              <w:right w:val="single" w:color="000000" w:sz="8" w:space="0"/>
            </w:tcBorders>
            <w:shd w:val="clear" w:color="auto" w:fill="FFFFFF"/>
            <w:noWrap w:val="0"/>
            <w:vAlign w:val="center"/>
          </w:tcPr>
          <w:p w14:paraId="53BE97FB">
            <w:pPr>
              <w:keepNext w:val="0"/>
              <w:keepLines w:val="0"/>
              <w:widowControl/>
              <w:suppressLineNumbers w:val="0"/>
              <w:jc w:val="center"/>
              <w:textAlignment w:val="top"/>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4F3535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6</w:t>
            </w:r>
          </w:p>
        </w:tc>
      </w:tr>
      <w:tr w14:paraId="4C6C1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6E4E771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4</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6619B8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按摩床</w:t>
            </w:r>
          </w:p>
        </w:tc>
        <w:tc>
          <w:tcPr>
            <w:tcW w:w="28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69C2A9">
            <w:pPr>
              <w:keepNext w:val="0"/>
              <w:keepLines w:val="0"/>
              <w:widowControl/>
              <w:suppressLineNumbers w:val="0"/>
              <w:jc w:val="center"/>
              <w:textAlignment w:val="top"/>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14826C1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3</w:t>
            </w:r>
          </w:p>
        </w:tc>
      </w:tr>
      <w:tr w14:paraId="5B977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7CAC89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5</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089BBE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灸盒</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5362B226">
            <w:pPr>
              <w:keepNext w:val="0"/>
              <w:keepLines w:val="0"/>
              <w:widowControl/>
              <w:suppressLineNumbers w:val="0"/>
              <w:jc w:val="center"/>
              <w:textAlignment w:val="top"/>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1C76EA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6</w:t>
            </w:r>
          </w:p>
        </w:tc>
      </w:tr>
      <w:tr w14:paraId="10CFB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766E5A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6</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71B603E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刮痧板</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24DA09A4">
            <w:pPr>
              <w:keepNext w:val="0"/>
              <w:keepLines w:val="0"/>
              <w:widowControl/>
              <w:suppressLineNumbers w:val="0"/>
              <w:jc w:val="center"/>
              <w:textAlignment w:val="top"/>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1424245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6</w:t>
            </w:r>
          </w:p>
        </w:tc>
      </w:tr>
      <w:tr w14:paraId="2D8B7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60B5A2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7</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64E3783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经络腧穴模型</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7CBBC96A">
            <w:pPr>
              <w:keepNext w:val="0"/>
              <w:keepLines w:val="0"/>
              <w:widowControl/>
              <w:suppressLineNumbers w:val="0"/>
              <w:jc w:val="center"/>
              <w:textAlignment w:val="top"/>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4A01C03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8</w:t>
            </w:r>
          </w:p>
        </w:tc>
      </w:tr>
      <w:tr w14:paraId="097B0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79993D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8</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6F2885C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教学触摸一体机</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68703D41">
            <w:pPr>
              <w:keepNext w:val="0"/>
              <w:keepLines w:val="0"/>
              <w:widowControl/>
              <w:suppressLineNumbers w:val="0"/>
              <w:jc w:val="center"/>
              <w:textAlignment w:val="top"/>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6957086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1</w:t>
            </w:r>
          </w:p>
        </w:tc>
      </w:tr>
      <w:tr w14:paraId="26C9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7DC5B8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9</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0BF65D1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按摩巾</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3AC3B067">
            <w:pPr>
              <w:keepNext w:val="0"/>
              <w:keepLines w:val="0"/>
              <w:widowControl/>
              <w:suppressLineNumbers w:val="0"/>
              <w:jc w:val="center"/>
              <w:textAlignment w:val="top"/>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47940F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30</w:t>
            </w:r>
          </w:p>
        </w:tc>
      </w:tr>
      <w:tr w14:paraId="0EBC1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054F9B3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10</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64B86B7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酒精灯</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1C5B8C3C">
            <w:pPr>
              <w:keepNext w:val="0"/>
              <w:keepLines w:val="0"/>
              <w:widowControl/>
              <w:suppressLineNumbers w:val="0"/>
              <w:jc w:val="center"/>
              <w:textAlignment w:val="top"/>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6187DD6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20</w:t>
            </w:r>
          </w:p>
        </w:tc>
      </w:tr>
      <w:tr w14:paraId="4E9D9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241297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11</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4AE710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艾条</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1B250ACA">
            <w:pPr>
              <w:keepNext w:val="0"/>
              <w:keepLines w:val="0"/>
              <w:widowControl/>
              <w:suppressLineNumbers w:val="0"/>
              <w:jc w:val="center"/>
              <w:textAlignment w:val="top"/>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27F4B14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10</w:t>
            </w:r>
          </w:p>
        </w:tc>
      </w:tr>
      <w:tr w14:paraId="60B27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34913F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12</w:t>
            </w:r>
          </w:p>
        </w:tc>
        <w:tc>
          <w:tcPr>
            <w:tcW w:w="283" w:type="dxa"/>
            <w:tcBorders>
              <w:top w:val="nil"/>
              <w:left w:val="single" w:color="000000" w:sz="8" w:space="0"/>
              <w:bottom w:val="nil"/>
              <w:right w:val="single" w:color="000000" w:sz="8" w:space="0"/>
            </w:tcBorders>
            <w:shd w:val="clear" w:color="auto" w:fill="FFFFFF"/>
            <w:noWrap w:val="0"/>
            <w:vAlign w:val="center"/>
          </w:tcPr>
          <w:p w14:paraId="480FEEE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低频脉冲电治疗仪</w:t>
            </w:r>
          </w:p>
        </w:tc>
        <w:tc>
          <w:tcPr>
            <w:tcW w:w="283" w:type="dxa"/>
            <w:tcBorders>
              <w:top w:val="nil"/>
              <w:left w:val="single" w:color="000000" w:sz="8" w:space="0"/>
              <w:bottom w:val="nil"/>
              <w:right w:val="single" w:color="000000" w:sz="8" w:space="0"/>
            </w:tcBorders>
            <w:shd w:val="clear" w:color="auto" w:fill="FFFFFF"/>
            <w:noWrap w:val="0"/>
            <w:vAlign w:val="center"/>
          </w:tcPr>
          <w:p w14:paraId="3F8DE9A7">
            <w:pPr>
              <w:keepNext w:val="0"/>
              <w:keepLines w:val="0"/>
              <w:widowControl/>
              <w:suppressLineNumbers w:val="0"/>
              <w:jc w:val="center"/>
              <w:textAlignment w:val="top"/>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nil"/>
              <w:right w:val="single" w:color="000000" w:sz="8" w:space="0"/>
            </w:tcBorders>
            <w:shd w:val="clear" w:color="auto" w:fill="FFFFFF"/>
            <w:noWrap w:val="0"/>
            <w:vAlign w:val="center"/>
          </w:tcPr>
          <w:p w14:paraId="3AC35D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2</w:t>
            </w:r>
          </w:p>
        </w:tc>
      </w:tr>
      <w:tr w14:paraId="5BDB5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641C54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13</w:t>
            </w:r>
          </w:p>
        </w:tc>
        <w:tc>
          <w:tcPr>
            <w:tcW w:w="28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E79C6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干扰电治疗仪</w:t>
            </w:r>
          </w:p>
        </w:tc>
        <w:tc>
          <w:tcPr>
            <w:tcW w:w="28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901423">
            <w:pPr>
              <w:keepNext w:val="0"/>
              <w:keepLines w:val="0"/>
              <w:widowControl/>
              <w:suppressLineNumbers w:val="0"/>
              <w:jc w:val="center"/>
              <w:textAlignment w:val="top"/>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840A0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2</w:t>
            </w:r>
          </w:p>
        </w:tc>
      </w:tr>
      <w:tr w14:paraId="59983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4F6BF04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14</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19F5C0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红外线治疗仪</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5C5B261F">
            <w:pPr>
              <w:keepNext w:val="0"/>
              <w:keepLines w:val="0"/>
              <w:widowControl/>
              <w:suppressLineNumbers w:val="0"/>
              <w:jc w:val="center"/>
              <w:textAlignment w:val="top"/>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694B467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2</w:t>
            </w:r>
          </w:p>
        </w:tc>
      </w:tr>
      <w:tr w14:paraId="1956C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063892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15</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6A2F3B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超声波治疗仪</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1D0D34F0">
            <w:pPr>
              <w:keepNext w:val="0"/>
              <w:keepLines w:val="0"/>
              <w:widowControl/>
              <w:suppressLineNumbers w:val="0"/>
              <w:jc w:val="center"/>
              <w:textAlignment w:val="top"/>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6AF4690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2</w:t>
            </w:r>
          </w:p>
        </w:tc>
      </w:tr>
      <w:tr w14:paraId="06B6F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372C5C0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16</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7A12086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激光治疗仪</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6FB2E91B">
            <w:pPr>
              <w:keepNext w:val="0"/>
              <w:keepLines w:val="0"/>
              <w:widowControl/>
              <w:suppressLineNumbers w:val="0"/>
              <w:jc w:val="center"/>
              <w:textAlignment w:val="top"/>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05ED71A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2</w:t>
            </w:r>
          </w:p>
        </w:tc>
      </w:tr>
      <w:tr w14:paraId="5288C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342A9F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17</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3C12828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热磁治疗仪</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234FEECF">
            <w:pPr>
              <w:keepNext w:val="0"/>
              <w:keepLines w:val="0"/>
              <w:widowControl/>
              <w:suppressLineNumbers w:val="0"/>
              <w:jc w:val="center"/>
              <w:textAlignment w:val="top"/>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03990E0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2</w:t>
            </w:r>
          </w:p>
        </w:tc>
      </w:tr>
      <w:tr w14:paraId="56181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4C2C5FE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18</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0C6D00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恒温蜡疗箱</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5113BF7C">
            <w:pPr>
              <w:keepNext w:val="0"/>
              <w:keepLines w:val="0"/>
              <w:widowControl/>
              <w:suppressLineNumbers w:val="0"/>
              <w:jc w:val="center"/>
              <w:textAlignment w:val="top"/>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638B0C4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2</w:t>
            </w:r>
          </w:p>
        </w:tc>
      </w:tr>
      <w:tr w14:paraId="0B1C0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7D6B2A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19</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281857F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肢体气压治疗仪</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47182DA8">
            <w:pPr>
              <w:keepNext w:val="0"/>
              <w:keepLines w:val="0"/>
              <w:widowControl/>
              <w:suppressLineNumbers w:val="0"/>
              <w:jc w:val="center"/>
              <w:textAlignment w:val="top"/>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0562A78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2</w:t>
            </w:r>
          </w:p>
        </w:tc>
      </w:tr>
      <w:tr w14:paraId="77DFA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66EAB1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20</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5794142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电动PT 床</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4EC9C96B">
            <w:pPr>
              <w:keepNext w:val="0"/>
              <w:keepLines w:val="0"/>
              <w:widowControl/>
              <w:suppressLineNumbers w:val="0"/>
              <w:jc w:val="center"/>
              <w:textAlignment w:val="top"/>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0DEB54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2</w:t>
            </w:r>
          </w:p>
        </w:tc>
      </w:tr>
      <w:tr w14:paraId="6AEAD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2FA419E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21</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1477F10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滑轮吊环训练器</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7957B613">
            <w:pPr>
              <w:keepNext w:val="0"/>
              <w:keepLines w:val="0"/>
              <w:widowControl/>
              <w:suppressLineNumbers w:val="0"/>
              <w:jc w:val="center"/>
              <w:textAlignment w:val="top"/>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6BF3D2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5</w:t>
            </w:r>
          </w:p>
        </w:tc>
      </w:tr>
      <w:tr w14:paraId="039DE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02870C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22</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61F32DE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肩梯</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6580AB01">
            <w:pPr>
              <w:keepNext w:val="0"/>
              <w:keepLines w:val="0"/>
              <w:widowControl/>
              <w:suppressLineNumbers w:val="0"/>
              <w:jc w:val="center"/>
              <w:textAlignment w:val="top"/>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559F870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5</w:t>
            </w:r>
          </w:p>
        </w:tc>
      </w:tr>
      <w:tr w14:paraId="32C3E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1E91675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23</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33B684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手功能评估箱</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35BEE87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556237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4</w:t>
            </w:r>
          </w:p>
        </w:tc>
      </w:tr>
      <w:tr w14:paraId="3A282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771F8AF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24</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4770CD2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Moberg 拾物试验工具</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506A09B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6334E50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4</w:t>
            </w:r>
          </w:p>
        </w:tc>
      </w:tr>
      <w:tr w14:paraId="59700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35585CE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25</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4A3CE6E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失认症评定量表及用具</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23B9DA5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250B2AF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4</w:t>
            </w:r>
          </w:p>
        </w:tc>
      </w:tr>
      <w:tr w14:paraId="6D367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05F7A49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26</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153227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单侧空间忽略量表及 用具</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73216D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7516B0F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4</w:t>
            </w:r>
          </w:p>
        </w:tc>
      </w:tr>
      <w:tr w14:paraId="2CA1E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2906A9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27</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37F1EC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Goodglass 失用测验用具</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47E625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039E2FC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4</w:t>
            </w:r>
          </w:p>
        </w:tc>
      </w:tr>
      <w:tr w14:paraId="5B375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6DD6A15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28</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4EC2F1A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OT 桌配套椅</w:t>
            </w:r>
          </w:p>
        </w:tc>
        <w:tc>
          <w:tcPr>
            <w:tcW w:w="283" w:type="dxa"/>
            <w:tcBorders>
              <w:top w:val="nil"/>
              <w:left w:val="single" w:color="000000" w:sz="8" w:space="0"/>
              <w:bottom w:val="nil"/>
              <w:right w:val="single" w:color="000000" w:sz="8" w:space="0"/>
            </w:tcBorders>
            <w:shd w:val="clear" w:color="auto" w:fill="FFFFFF"/>
            <w:noWrap w:val="0"/>
            <w:vAlign w:val="center"/>
          </w:tcPr>
          <w:p w14:paraId="2986738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7472586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4</w:t>
            </w:r>
          </w:p>
        </w:tc>
      </w:tr>
      <w:tr w14:paraId="128FE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265FAF6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29</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58491A8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铁棍插板</w:t>
            </w:r>
          </w:p>
        </w:tc>
        <w:tc>
          <w:tcPr>
            <w:tcW w:w="28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2D484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0A9CF54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4</w:t>
            </w:r>
          </w:p>
        </w:tc>
      </w:tr>
      <w:tr w14:paraId="3A0C0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2DEC100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30</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1A04350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套圈板</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26B5AD8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6CB9740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4</w:t>
            </w:r>
          </w:p>
        </w:tc>
      </w:tr>
      <w:tr w14:paraId="6E1AF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40B9F51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31</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16AD67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堆杯</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67DE712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5945D7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4</w:t>
            </w:r>
          </w:p>
        </w:tc>
      </w:tr>
      <w:tr w14:paraId="3FC1E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595A148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32</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1FB8CA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手平衡协调训练器</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075D7E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4D07650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4</w:t>
            </w:r>
          </w:p>
        </w:tc>
      </w:tr>
      <w:tr w14:paraId="46186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46E7332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33</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69FB246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重锤式手指肌力训练桌</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60A6BED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0C4CF1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4</w:t>
            </w:r>
          </w:p>
        </w:tc>
      </w:tr>
      <w:tr w14:paraId="0E09F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0A76BB4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34</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44A2EC7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捶球训练器</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0D25908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3731E5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2</w:t>
            </w:r>
          </w:p>
        </w:tc>
      </w:tr>
      <w:tr w14:paraId="1D69F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14161BF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35</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2C5E7D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上肢推举训练器</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735CBED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7D4EF7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4</w:t>
            </w:r>
          </w:p>
        </w:tc>
      </w:tr>
      <w:tr w14:paraId="67A4A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0CA468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36</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39D59A0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作业训练器</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5E4BBC4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11BB4A4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4</w:t>
            </w:r>
          </w:p>
        </w:tc>
      </w:tr>
      <w:tr w14:paraId="03DFA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38A3A2C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37</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39B303C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迷宫训练器</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23FD57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25836A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4</w:t>
            </w:r>
          </w:p>
        </w:tc>
      </w:tr>
      <w:tr w14:paraId="0D42D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67D7DE0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38</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4DF41D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几何图形插板</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138762D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3011E7E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4</w:t>
            </w:r>
          </w:p>
        </w:tc>
      </w:tr>
      <w:tr w14:paraId="54DF5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590200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39</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12B8EE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动物插板</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7EC425F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32BB821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4</w:t>
            </w:r>
          </w:p>
        </w:tc>
      </w:tr>
      <w:tr w14:paraId="2A731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1CF42E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40</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600B8D3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录音机等有声工具</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2DF1EB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1384259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4</w:t>
            </w:r>
          </w:p>
        </w:tc>
      </w:tr>
      <w:tr w14:paraId="6EE41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4927FF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41</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51404B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敏感度训练常规用品</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1E5DCBE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23324E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4</w:t>
            </w:r>
          </w:p>
        </w:tc>
      </w:tr>
      <w:tr w14:paraId="77456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7F45C5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42</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437D66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音叉</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0E70FBB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271BBA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4</w:t>
            </w:r>
          </w:p>
        </w:tc>
      </w:tr>
      <w:tr w14:paraId="51611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3FEBA4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43</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57CEC03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言语治疗工作台</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456AC3E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552EC1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4</w:t>
            </w:r>
          </w:p>
        </w:tc>
      </w:tr>
      <w:tr w14:paraId="79B54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60E073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44</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56EA382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言语治疗工作椅</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08BEA8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5F517D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4</w:t>
            </w:r>
          </w:p>
        </w:tc>
      </w:tr>
      <w:tr w14:paraId="6B385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0C0F84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45</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78F65D5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发音口形矫正镜</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0AE5E8F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414F15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6</w:t>
            </w:r>
          </w:p>
        </w:tc>
      </w:tr>
      <w:tr w14:paraId="26C9D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128CBE4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46</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7B1951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节拍器</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3D1F56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771C831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6</w:t>
            </w:r>
          </w:p>
        </w:tc>
      </w:tr>
      <w:tr w14:paraId="0A0F1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6C4B778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47</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7E5F610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笔式手电筒</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5522D88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564D74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6</w:t>
            </w:r>
          </w:p>
        </w:tc>
      </w:tr>
      <w:tr w14:paraId="326B1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186CC67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48</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1BC77F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吸舌器</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13E7C62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5CFE14D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6</w:t>
            </w:r>
          </w:p>
        </w:tc>
      </w:tr>
      <w:tr w14:paraId="6FAC8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4722BED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49</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2E9DED9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呼吸训练器</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326BA9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4D5DC94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4</w:t>
            </w:r>
          </w:p>
        </w:tc>
      </w:tr>
      <w:tr w14:paraId="63590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51F7BAB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50</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099934B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开口器</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3137B33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7196D3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6</w:t>
            </w:r>
          </w:p>
        </w:tc>
      </w:tr>
      <w:tr w14:paraId="075CB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7868C2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51</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2F4583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舌钳子</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08E40C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668F04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6</w:t>
            </w:r>
          </w:p>
        </w:tc>
      </w:tr>
      <w:tr w14:paraId="34DA1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312D63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52</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58B238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吞咽障碍电刺激治疗仪</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1A1B4A4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1B05B99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4</w:t>
            </w:r>
          </w:p>
        </w:tc>
      </w:tr>
      <w:tr w14:paraId="4C244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1F36FCC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53</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1146C78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固定带</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7D6A59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1E0FE87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6</w:t>
            </w:r>
          </w:p>
        </w:tc>
      </w:tr>
      <w:tr w14:paraId="5BA23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23A639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54</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236597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口肌训练器</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27CF55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4535ACC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6</w:t>
            </w:r>
          </w:p>
        </w:tc>
      </w:tr>
      <w:tr w14:paraId="0F731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4C14B2C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55</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60FAE96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小岛勺</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7090FC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2D5F3A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6</w:t>
            </w:r>
          </w:p>
        </w:tc>
      </w:tr>
      <w:tr w14:paraId="43C20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241217D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56</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0E7A78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铅垂线</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6B45A9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578689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6</w:t>
            </w:r>
          </w:p>
        </w:tc>
      </w:tr>
      <w:tr w14:paraId="1B22B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6F758E4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57</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2FD177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软尺</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7F92BD3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32CA96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12</w:t>
            </w:r>
          </w:p>
        </w:tc>
      </w:tr>
      <w:tr w14:paraId="74F57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69A80B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58</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5606A7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测高仪</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3F6B962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1A286D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4</w:t>
            </w:r>
          </w:p>
        </w:tc>
      </w:tr>
      <w:tr w14:paraId="61BA5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52C844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59</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686668E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测重仪</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5CB24A2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1DA1B00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4</w:t>
            </w:r>
          </w:p>
        </w:tc>
      </w:tr>
      <w:tr w14:paraId="6BED3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1D11328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60</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1D7246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通用量角器</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76D132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064E20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6</w:t>
            </w:r>
          </w:p>
        </w:tc>
      </w:tr>
      <w:tr w14:paraId="4E103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3A47A63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61</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51418E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电子量角器</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207A789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7368FAF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6</w:t>
            </w:r>
          </w:p>
        </w:tc>
      </w:tr>
      <w:tr w14:paraId="5ACF7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2EEB11C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62</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6659CF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指关节测量器</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448A00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1EA8080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6</w:t>
            </w:r>
          </w:p>
        </w:tc>
      </w:tr>
      <w:tr w14:paraId="3FF3D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6608873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63</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3DDBF11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脊柱活动测量器</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7A05FDC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676ECD8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4</w:t>
            </w:r>
          </w:p>
        </w:tc>
      </w:tr>
      <w:tr w14:paraId="57497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570931F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64</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4A91E20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多体位治疗床</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106FEB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54348A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4</w:t>
            </w:r>
          </w:p>
        </w:tc>
      </w:tr>
      <w:tr w14:paraId="28E0B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61DD8E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65</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3D64356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捏力计及背拉力计</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4E39128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391377C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6</w:t>
            </w:r>
          </w:p>
        </w:tc>
      </w:tr>
      <w:tr w14:paraId="6C2C9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0DA1BBB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66</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663E21F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PT 垫</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53EB76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09AE5E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6</w:t>
            </w:r>
          </w:p>
        </w:tc>
      </w:tr>
      <w:tr w14:paraId="0BDEB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nil"/>
              <w:left w:val="single" w:color="000000" w:sz="8" w:space="0"/>
              <w:bottom w:val="single" w:color="auto" w:sz="4" w:space="0"/>
              <w:right w:val="single" w:color="000000" w:sz="8" w:space="0"/>
            </w:tcBorders>
            <w:shd w:val="clear" w:color="auto" w:fill="FFFFFF"/>
            <w:noWrap w:val="0"/>
            <w:vAlign w:val="center"/>
          </w:tcPr>
          <w:p w14:paraId="6C3738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67</w:t>
            </w:r>
          </w:p>
        </w:tc>
        <w:tc>
          <w:tcPr>
            <w:tcW w:w="283" w:type="dxa"/>
            <w:tcBorders>
              <w:top w:val="nil"/>
              <w:left w:val="single" w:color="000000" w:sz="8" w:space="0"/>
              <w:bottom w:val="single" w:color="auto" w:sz="4" w:space="0"/>
              <w:right w:val="single" w:color="000000" w:sz="8" w:space="0"/>
            </w:tcBorders>
            <w:shd w:val="clear" w:color="auto" w:fill="FFFFFF"/>
            <w:noWrap w:val="0"/>
            <w:vAlign w:val="center"/>
          </w:tcPr>
          <w:p w14:paraId="33FA254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袖带式血压计</w:t>
            </w:r>
          </w:p>
        </w:tc>
        <w:tc>
          <w:tcPr>
            <w:tcW w:w="283" w:type="dxa"/>
            <w:tcBorders>
              <w:top w:val="nil"/>
              <w:left w:val="single" w:color="000000" w:sz="8" w:space="0"/>
              <w:bottom w:val="single" w:color="auto" w:sz="4" w:space="0"/>
              <w:right w:val="single" w:color="000000" w:sz="8" w:space="0"/>
            </w:tcBorders>
            <w:shd w:val="clear" w:color="auto" w:fill="FFFFFF"/>
            <w:noWrap w:val="0"/>
            <w:vAlign w:val="center"/>
          </w:tcPr>
          <w:p w14:paraId="059127B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000000" w:sz="8" w:space="0"/>
              <w:bottom w:val="single" w:color="000000" w:sz="8" w:space="0"/>
              <w:right w:val="single" w:color="000000" w:sz="8" w:space="0"/>
            </w:tcBorders>
            <w:shd w:val="clear" w:color="auto" w:fill="FFFFFF"/>
            <w:noWrap w:val="0"/>
            <w:vAlign w:val="center"/>
          </w:tcPr>
          <w:p w14:paraId="787FF6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6</w:t>
            </w:r>
          </w:p>
        </w:tc>
      </w:tr>
      <w:tr w14:paraId="533F6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5D489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68</w:t>
            </w:r>
          </w:p>
        </w:tc>
        <w:tc>
          <w:tcPr>
            <w:tcW w:w="2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A4EF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肺量计</w:t>
            </w:r>
          </w:p>
        </w:tc>
        <w:tc>
          <w:tcPr>
            <w:tcW w:w="2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E5221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auto" w:sz="4" w:space="0"/>
              <w:bottom w:val="single" w:color="000000" w:sz="8" w:space="0"/>
              <w:right w:val="single" w:color="000000" w:sz="8" w:space="0"/>
            </w:tcBorders>
            <w:shd w:val="clear" w:color="auto" w:fill="FFFFFF"/>
            <w:noWrap w:val="0"/>
            <w:vAlign w:val="center"/>
          </w:tcPr>
          <w:p w14:paraId="7D2F733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2</w:t>
            </w:r>
          </w:p>
        </w:tc>
      </w:tr>
      <w:tr w14:paraId="358C6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5EF3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69</w:t>
            </w:r>
          </w:p>
        </w:tc>
        <w:tc>
          <w:tcPr>
            <w:tcW w:w="2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C3E81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叩诊锤</w:t>
            </w:r>
          </w:p>
        </w:tc>
        <w:tc>
          <w:tcPr>
            <w:tcW w:w="2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392B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sz w:val="21"/>
                <w:szCs w:val="21"/>
                <w:highlight w:val="none"/>
              </w:rPr>
              <w:t>详见采购文件</w:t>
            </w:r>
          </w:p>
        </w:tc>
        <w:tc>
          <w:tcPr>
            <w:tcW w:w="283" w:type="dxa"/>
            <w:tcBorders>
              <w:top w:val="nil"/>
              <w:left w:val="single" w:color="auto" w:sz="4" w:space="0"/>
              <w:bottom w:val="single" w:color="000000" w:sz="8" w:space="0"/>
              <w:right w:val="single" w:color="000000" w:sz="8" w:space="0"/>
            </w:tcBorders>
            <w:shd w:val="clear" w:color="auto" w:fill="FFFFFF"/>
            <w:noWrap w:val="0"/>
            <w:vAlign w:val="center"/>
          </w:tcPr>
          <w:p w14:paraId="2BE52C3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12</w:t>
            </w:r>
          </w:p>
        </w:tc>
      </w:tr>
    </w:tbl>
    <w:p w14:paraId="70ABB62B">
      <w:pPr>
        <w:pStyle w:val="2"/>
        <w:spacing w:line="360" w:lineRule="auto"/>
        <w:ind w:firstLine="0"/>
        <w:jc w:val="both"/>
        <w:rPr>
          <w:rFonts w:hint="eastAsia" w:ascii="仿宋" w:hAnsi="仿宋" w:eastAsia="仿宋" w:cs="仿宋"/>
          <w:spacing w:val="-3"/>
          <w:kern w:val="2"/>
          <w:szCs w:val="24"/>
          <w:highlight w:val="none"/>
        </w:rPr>
      </w:pPr>
    </w:p>
    <w:p w14:paraId="0BA0A397">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CEAA95"/>
    <w:multiLevelType w:val="singleLevel"/>
    <w:tmpl w:val="13CEAA9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EE1B91"/>
    <w:rsid w:val="0DEE1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uiPriority w:val="0"/>
    <w:pPr>
      <w:widowControl w:val="0"/>
      <w:autoSpaceDE w:val="0"/>
      <w:autoSpaceDN w:val="0"/>
      <w:adjustRightInd w:val="0"/>
      <w:ind w:firstLine="420"/>
      <w:jc w:val="left"/>
    </w:pPr>
    <w:rPr>
      <w:rFonts w:ascii="宋体" w:hAnsi="Times New Roman" w:eastAsia="宋体" w:cs="Times New Roman"/>
      <w:kern w:val="0"/>
      <w:sz w:val="24"/>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2025-09-03T12:23:00Z</dcterms:created>
  <dc:creator>李火锅爱吃火锅</dc:creator>
  <cp:lastModifiedBy>李火锅爱吃火锅</cp:lastModifiedBy>
  <dcterms:modified xsi:type="dcterms:W3CDTF">2025-09-03T12:26:05Z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8B550624138C4B7C8F13EAF0E00CA9EF_11</vt:lpwstr>
  </property>
  <property fmtid="{D5CDD505-2E9C-101B-9397-08002B2CF9AE}" pid="4" name="KSOTemplateDocerSaveRecord">
    <vt:lpwstr>eyJoZGlkIjoiNTQzOTMzNjFjYWI2YTE4MzVmOGNjYWU2ZjFkYWNlMmEiLCJ1c2VySWQiOiIxMDIzNzM2NDI3In0=</vt:lpwstr>
  </property>
</Properties>
</file>