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2BAC4">
      <w:pPr>
        <w:pStyle w:val="2"/>
        <w:jc w:val="left"/>
        <w:outlineLvl w:val="0"/>
        <w:rPr>
          <w:rFonts w:hint="eastAsia" w:ascii="宋体" w:hAnsi="宋体" w:eastAsia="宋体" w:cs="宋体"/>
          <w:b/>
          <w:sz w:val="28"/>
          <w:szCs w:val="28"/>
        </w:rPr>
      </w:pPr>
      <w:bookmarkStart w:id="47" w:name="_GoBack"/>
      <w:bookmarkEnd w:id="47"/>
      <w:bookmarkStart w:id="0" w:name="_Toc15590"/>
      <w:r>
        <w:rPr>
          <w:rFonts w:hint="eastAsia" w:ascii="宋体" w:hAnsi="宋体" w:eastAsia="宋体" w:cs="宋体"/>
          <w:b/>
          <w:color w:val="auto"/>
          <w:kern w:val="2"/>
          <w:sz w:val="28"/>
          <w:szCs w:val="28"/>
          <w:highlight w:val="none"/>
          <w:lang w:val="en-US" w:eastAsia="zh-CN" w:bidi="ar-SA"/>
        </w:rPr>
        <w:t>项目编号：</w:t>
      </w:r>
      <w:r>
        <w:rPr>
          <w:rFonts w:hint="eastAsia" w:cs="宋体"/>
          <w:b/>
          <w:bCs/>
          <w:sz w:val="28"/>
          <w:szCs w:val="28"/>
          <w:highlight w:val="none"/>
          <w:lang w:eastAsia="zh-CN"/>
        </w:rPr>
        <w:t>SXXP-2025-029</w:t>
      </w:r>
      <w:bookmarkEnd w:id="0"/>
    </w:p>
    <w:p w14:paraId="46993D7C">
      <w:pPr>
        <w:jc w:val="center"/>
        <w:rPr>
          <w:rFonts w:hint="eastAsia" w:ascii="宋体" w:hAnsi="宋体" w:eastAsia="宋体" w:cs="宋体"/>
          <w:b/>
          <w:bCs/>
          <w:color w:val="000000" w:themeColor="text1"/>
          <w:sz w:val="44"/>
          <w:szCs w:val="44"/>
          <w14:textFill>
            <w14:solidFill>
              <w14:schemeClr w14:val="tx1"/>
            </w14:solidFill>
          </w14:textFill>
        </w:rPr>
      </w:pPr>
    </w:p>
    <w:p w14:paraId="1CF25270">
      <w:pPr>
        <w:jc w:val="center"/>
        <w:rPr>
          <w:rFonts w:hint="eastAsia" w:ascii="宋体" w:hAnsi="宋体" w:eastAsia="宋体" w:cs="宋体"/>
          <w:b/>
          <w:bCs/>
          <w:color w:val="000000" w:themeColor="text1"/>
          <w:sz w:val="44"/>
          <w:szCs w:val="44"/>
          <w14:textFill>
            <w14:solidFill>
              <w14:schemeClr w14:val="tx1"/>
            </w14:solidFill>
          </w14:textFill>
        </w:rPr>
      </w:pPr>
    </w:p>
    <w:p w14:paraId="6A30F87B">
      <w:pPr>
        <w:jc w:val="center"/>
        <w:rPr>
          <w:rFonts w:hint="eastAsia" w:ascii="宋体" w:hAnsi="宋体" w:eastAsia="宋体" w:cs="宋体"/>
          <w:sz w:val="22"/>
          <w:szCs w:val="22"/>
        </w:rPr>
      </w:pPr>
      <w:r>
        <w:rPr>
          <w:rFonts w:hint="eastAsia" w:ascii="宋体" w:hAnsi="宋体" w:cs="宋体"/>
          <w:b/>
          <w:bCs/>
          <w:color w:val="000000" w:themeColor="text1"/>
          <w:sz w:val="48"/>
          <w:szCs w:val="48"/>
          <w:lang w:eastAsia="zh-CN"/>
          <w14:textFill>
            <w14:solidFill>
              <w14:schemeClr w14:val="tx1"/>
            </w14:solidFill>
          </w14:textFill>
        </w:rPr>
        <w:t>西安经开第二中学教职工体检项目</w:t>
      </w:r>
    </w:p>
    <w:p w14:paraId="30AEF03D">
      <w:pPr>
        <w:pStyle w:val="8"/>
        <w:rPr>
          <w:rFonts w:hint="eastAsia" w:ascii="宋体" w:hAnsi="宋体" w:eastAsia="宋体" w:cs="宋体"/>
        </w:rPr>
      </w:pPr>
    </w:p>
    <w:p w14:paraId="7635DAFF">
      <w:pPr>
        <w:pStyle w:val="8"/>
        <w:rPr>
          <w:rFonts w:hint="eastAsia" w:ascii="宋体" w:hAnsi="宋体" w:eastAsia="宋体" w:cs="宋体"/>
        </w:rPr>
      </w:pPr>
    </w:p>
    <w:p w14:paraId="70B8C30B">
      <w:pPr>
        <w:pStyle w:val="8"/>
        <w:rPr>
          <w:rFonts w:hint="eastAsia" w:ascii="宋体" w:hAnsi="宋体" w:eastAsia="宋体" w:cs="宋体"/>
        </w:rPr>
      </w:pPr>
    </w:p>
    <w:p w14:paraId="04894AD6">
      <w:pPr>
        <w:pStyle w:val="8"/>
        <w:rPr>
          <w:rFonts w:hint="eastAsia" w:ascii="宋体" w:hAnsi="宋体" w:eastAsia="宋体" w:cs="宋体"/>
        </w:rPr>
      </w:pPr>
    </w:p>
    <w:p w14:paraId="722DC6A2">
      <w:pPr>
        <w:pStyle w:val="9"/>
        <w:rPr>
          <w:rFonts w:hint="eastAsia" w:ascii="宋体" w:hAnsi="宋体" w:eastAsia="宋体" w:cs="宋体"/>
        </w:rPr>
      </w:pPr>
    </w:p>
    <w:p w14:paraId="4B27D8A5">
      <w:pPr>
        <w:pStyle w:val="8"/>
        <w:rPr>
          <w:rFonts w:hint="eastAsia" w:ascii="宋体" w:hAnsi="宋体" w:eastAsia="宋体" w:cs="宋体"/>
        </w:rPr>
      </w:pPr>
    </w:p>
    <w:p w14:paraId="77C82080">
      <w:pPr>
        <w:pStyle w:val="8"/>
        <w:rPr>
          <w:rFonts w:hint="eastAsia" w:ascii="宋体" w:hAnsi="宋体" w:eastAsia="宋体" w:cs="宋体"/>
        </w:rPr>
      </w:pPr>
    </w:p>
    <w:p w14:paraId="2BE18533">
      <w:pPr>
        <w:overflowPunct w:val="0"/>
        <w:topLinePunct/>
        <w:spacing w:line="360" w:lineRule="auto"/>
        <w:jc w:val="center"/>
        <w:rPr>
          <w:rFonts w:hint="eastAsia" w:ascii="宋体" w:hAnsi="宋体" w:eastAsia="宋体" w:cs="宋体"/>
          <w:bCs/>
          <w:sz w:val="56"/>
          <w:szCs w:val="56"/>
        </w:rPr>
      </w:pPr>
      <w:r>
        <w:rPr>
          <w:rFonts w:hint="eastAsia" w:ascii="宋体" w:hAnsi="宋体" w:eastAsia="宋体" w:cs="宋体"/>
          <w:b/>
          <w:sz w:val="56"/>
          <w:szCs w:val="56"/>
        </w:rPr>
        <w:t>竞争性磋商文件</w:t>
      </w:r>
    </w:p>
    <w:p w14:paraId="7ADBDD95">
      <w:pPr>
        <w:jc w:val="center"/>
        <w:rPr>
          <w:rFonts w:hint="eastAsia" w:ascii="宋体" w:hAnsi="宋体" w:eastAsia="宋体" w:cs="宋体"/>
          <w:b/>
          <w:bCs/>
          <w:sz w:val="24"/>
        </w:rPr>
      </w:pPr>
    </w:p>
    <w:p w14:paraId="49603FCB">
      <w:pPr>
        <w:ind w:right="-307" w:rightChars="-146"/>
        <w:rPr>
          <w:rFonts w:hint="eastAsia" w:ascii="宋体" w:hAnsi="宋体" w:eastAsia="宋体" w:cs="宋体"/>
          <w:b/>
          <w:bCs/>
          <w:sz w:val="24"/>
        </w:rPr>
      </w:pPr>
    </w:p>
    <w:p w14:paraId="53551140">
      <w:pPr>
        <w:ind w:left="-199" w:leftChars="-95" w:right="-307" w:rightChars="-146"/>
        <w:rPr>
          <w:rFonts w:hint="eastAsia" w:ascii="宋体" w:hAnsi="宋体" w:eastAsia="宋体" w:cs="宋体"/>
          <w:b/>
          <w:bCs/>
          <w:sz w:val="24"/>
        </w:rPr>
      </w:pPr>
    </w:p>
    <w:p w14:paraId="3DB0C475">
      <w:pPr>
        <w:ind w:left="-199" w:leftChars="-95" w:right="-307" w:rightChars="-146"/>
        <w:rPr>
          <w:rFonts w:hint="eastAsia" w:ascii="宋体" w:hAnsi="宋体" w:eastAsia="宋体" w:cs="宋体"/>
          <w:b/>
          <w:bCs/>
          <w:sz w:val="24"/>
        </w:rPr>
      </w:pPr>
    </w:p>
    <w:p w14:paraId="5977556B">
      <w:pPr>
        <w:pStyle w:val="2"/>
        <w:rPr>
          <w:rFonts w:hint="eastAsia" w:ascii="宋体" w:hAnsi="宋体" w:eastAsia="宋体" w:cs="宋体"/>
        </w:rPr>
      </w:pPr>
    </w:p>
    <w:p w14:paraId="428E85E5">
      <w:pPr>
        <w:rPr>
          <w:rFonts w:hint="eastAsia" w:ascii="宋体" w:hAnsi="宋体" w:eastAsia="宋体" w:cs="宋体"/>
          <w:b/>
          <w:bCs/>
          <w:sz w:val="24"/>
        </w:rPr>
      </w:pPr>
    </w:p>
    <w:p w14:paraId="15BACDB7">
      <w:pPr>
        <w:snapToGrid w:val="0"/>
        <w:spacing w:line="540" w:lineRule="atLeast"/>
        <w:rPr>
          <w:rFonts w:hint="eastAsia" w:ascii="宋体" w:hAnsi="宋体" w:eastAsia="宋体" w:cs="宋体"/>
          <w:sz w:val="30"/>
          <w:szCs w:val="30"/>
        </w:rPr>
      </w:pPr>
    </w:p>
    <w:p w14:paraId="36633AB8">
      <w:pPr>
        <w:snapToGrid w:val="0"/>
        <w:spacing w:line="540" w:lineRule="atLeast"/>
        <w:rPr>
          <w:rFonts w:hint="eastAsia" w:ascii="宋体" w:hAnsi="宋体" w:eastAsia="宋体" w:cs="宋体"/>
          <w:sz w:val="30"/>
          <w:szCs w:val="30"/>
        </w:rPr>
      </w:pPr>
    </w:p>
    <w:p w14:paraId="5E1DBF40">
      <w:pPr>
        <w:pStyle w:val="8"/>
        <w:rPr>
          <w:rFonts w:hint="eastAsia" w:ascii="宋体" w:hAnsi="宋体" w:eastAsia="宋体" w:cs="宋体"/>
        </w:rPr>
      </w:pPr>
    </w:p>
    <w:p w14:paraId="1CADBCD2">
      <w:pPr>
        <w:pStyle w:val="8"/>
        <w:ind w:firstLine="0" w:firstLineChars="0"/>
        <w:rPr>
          <w:rFonts w:hint="eastAsia" w:ascii="宋体" w:hAnsi="宋体" w:eastAsia="宋体" w:cs="宋体"/>
          <w:sz w:val="30"/>
          <w:szCs w:val="30"/>
        </w:rPr>
      </w:pPr>
    </w:p>
    <w:p w14:paraId="6A8797BB">
      <w:pPr>
        <w:snapToGrid w:val="0"/>
        <w:spacing w:line="480" w:lineRule="auto"/>
        <w:ind w:firstLine="1807" w:firstLineChars="600"/>
        <w:rPr>
          <w:rFonts w:hint="eastAsia" w:ascii="宋体" w:hAnsi="宋体" w:eastAsia="宋体" w:cs="宋体"/>
          <w:b/>
          <w:color w:val="000000" w:themeColor="text1"/>
          <w:sz w:val="30"/>
          <w:szCs w:val="30"/>
          <w:u w:val="single"/>
          <w:lang w:eastAsia="zh-CN"/>
          <w14:textFill>
            <w14:solidFill>
              <w14:schemeClr w14:val="tx1"/>
            </w14:solidFill>
          </w14:textFill>
        </w:rPr>
      </w:pPr>
      <w:r>
        <w:rPr>
          <w:rFonts w:hint="eastAsia" w:ascii="宋体" w:hAnsi="宋体" w:eastAsia="宋体" w:cs="宋体"/>
          <w:b/>
          <w:sz w:val="30"/>
          <w:szCs w:val="30"/>
        </w:rPr>
        <w:t>采   购   人：</w:t>
      </w:r>
      <w:r>
        <w:rPr>
          <w:rFonts w:hint="eastAsia" w:ascii="宋体" w:hAnsi="宋体" w:eastAsia="宋体" w:cs="宋体"/>
          <w:b/>
          <w:color w:val="000000" w:themeColor="text1"/>
          <w:sz w:val="30"/>
          <w:szCs w:val="30"/>
          <w:u w:val="single"/>
          <w:lang w:eastAsia="zh-CN"/>
          <w14:textFill>
            <w14:solidFill>
              <w14:schemeClr w14:val="tx1"/>
            </w14:solidFill>
          </w14:textFill>
        </w:rPr>
        <w:t>西安经开第二中学</w:t>
      </w:r>
    </w:p>
    <w:p w14:paraId="2EDBFD66">
      <w:pPr>
        <w:snapToGrid w:val="0"/>
        <w:spacing w:line="480" w:lineRule="auto"/>
        <w:ind w:firstLine="1807" w:firstLineChars="600"/>
        <w:rPr>
          <w:rFonts w:hint="eastAsia" w:ascii="宋体" w:hAnsi="宋体" w:eastAsia="宋体" w:cs="宋体"/>
          <w:b/>
          <w:sz w:val="30"/>
          <w:szCs w:val="30"/>
          <w:lang w:eastAsia="zh-CN"/>
        </w:rPr>
      </w:pPr>
      <w:r>
        <w:rPr>
          <w:rFonts w:hint="eastAsia" w:ascii="宋体" w:hAnsi="宋体" w:eastAsia="宋体" w:cs="宋体"/>
          <w:b/>
          <w:sz w:val="30"/>
          <w:szCs w:val="30"/>
        </w:rPr>
        <w:t>采购代理机构：</w:t>
      </w:r>
      <w:r>
        <w:rPr>
          <w:rFonts w:hint="eastAsia" w:ascii="宋体" w:hAnsi="宋体" w:eastAsia="宋体" w:cs="宋体"/>
          <w:b/>
          <w:color w:val="000000" w:themeColor="text1"/>
          <w:sz w:val="30"/>
          <w:szCs w:val="30"/>
          <w:u w:val="single"/>
          <w:lang w:eastAsia="zh-CN"/>
          <w14:textFill>
            <w14:solidFill>
              <w14:schemeClr w14:val="tx1"/>
            </w14:solidFill>
          </w14:textFill>
        </w:rPr>
        <w:t>陕西信鹏项目管理有限公司</w:t>
      </w:r>
    </w:p>
    <w:p w14:paraId="624B0F31">
      <w:pPr>
        <w:snapToGrid w:val="0"/>
        <w:spacing w:line="480" w:lineRule="auto"/>
        <w:ind w:firstLine="1807" w:firstLineChars="600"/>
        <w:rPr>
          <w:rFonts w:hint="eastAsia" w:ascii="宋体" w:hAnsi="宋体" w:eastAsia="宋体" w:cs="宋体"/>
          <w:b/>
          <w:sz w:val="30"/>
          <w:szCs w:val="30"/>
          <w:highlight w:val="none"/>
        </w:rPr>
      </w:pPr>
      <w:r>
        <w:rPr>
          <w:rFonts w:hint="eastAsia" w:ascii="宋体" w:hAnsi="宋体" w:eastAsia="宋体" w:cs="宋体"/>
          <w:b/>
          <w:sz w:val="30"/>
          <w:szCs w:val="30"/>
        </w:rPr>
        <w:t>日        期：</w:t>
      </w:r>
      <w:r>
        <w:rPr>
          <w:rFonts w:hint="eastAsia" w:ascii="宋体" w:hAnsi="宋体" w:eastAsia="宋体" w:cs="宋体"/>
          <w:b/>
          <w:sz w:val="30"/>
          <w:szCs w:val="30"/>
          <w:highlight w:val="none"/>
        </w:rPr>
        <w:t>二〇二</w:t>
      </w:r>
      <w:r>
        <w:rPr>
          <w:rFonts w:hint="eastAsia" w:ascii="宋体" w:hAnsi="宋体" w:cs="宋体"/>
          <w:b/>
          <w:sz w:val="30"/>
          <w:szCs w:val="30"/>
          <w:highlight w:val="none"/>
          <w:lang w:val="en-US" w:eastAsia="zh-CN"/>
        </w:rPr>
        <w:t>五</w:t>
      </w:r>
      <w:r>
        <w:rPr>
          <w:rFonts w:hint="eastAsia" w:ascii="宋体" w:hAnsi="宋体" w:eastAsia="宋体" w:cs="宋体"/>
          <w:b/>
          <w:sz w:val="30"/>
          <w:szCs w:val="30"/>
          <w:highlight w:val="none"/>
        </w:rPr>
        <w:t>年</w:t>
      </w:r>
      <w:r>
        <w:rPr>
          <w:rFonts w:hint="eastAsia" w:ascii="宋体" w:hAnsi="宋体" w:eastAsia="宋体" w:cs="宋体"/>
          <w:b/>
          <w:sz w:val="30"/>
          <w:szCs w:val="30"/>
          <w:highlight w:val="none"/>
          <w:lang w:val="en-US" w:eastAsia="zh-CN"/>
        </w:rPr>
        <w:t>十</w:t>
      </w:r>
      <w:r>
        <w:rPr>
          <w:rFonts w:hint="eastAsia" w:ascii="宋体" w:hAnsi="宋体" w:cs="宋体"/>
          <w:b/>
          <w:sz w:val="30"/>
          <w:szCs w:val="30"/>
          <w:highlight w:val="none"/>
          <w:lang w:val="en-US" w:eastAsia="zh-CN"/>
        </w:rPr>
        <w:t>一</w:t>
      </w:r>
      <w:r>
        <w:rPr>
          <w:rFonts w:hint="eastAsia" w:ascii="宋体" w:hAnsi="宋体" w:eastAsia="宋体" w:cs="宋体"/>
          <w:b/>
          <w:sz w:val="30"/>
          <w:szCs w:val="30"/>
          <w:highlight w:val="none"/>
        </w:rPr>
        <w:t>月</w:t>
      </w:r>
    </w:p>
    <w:p w14:paraId="147022F0">
      <w:pPr>
        <w:jc w:val="center"/>
        <w:rPr>
          <w:rFonts w:hint="eastAsia" w:ascii="宋体" w:hAnsi="宋体" w:eastAsia="宋体" w:cs="宋体"/>
          <w:b/>
          <w:bCs/>
          <w:sz w:val="40"/>
          <w:szCs w:val="48"/>
          <w:lang w:eastAsia="zh-CN"/>
        </w:rPr>
        <w:sectPr>
          <w:footerReference r:id="rId5" w:type="first"/>
          <w:headerReference r:id="rId3" w:type="default"/>
          <w:footerReference r:id="rId4" w:type="even"/>
          <w:pgSz w:w="11906" w:h="16838"/>
          <w:pgMar w:top="1440" w:right="1457" w:bottom="1440" w:left="1463" w:header="851" w:footer="992" w:gutter="0"/>
          <w:pgBorders>
            <w:top w:val="none" w:sz="0" w:space="0"/>
            <w:left w:val="none" w:sz="0" w:space="0"/>
            <w:bottom w:val="none" w:sz="0" w:space="0"/>
            <w:right w:val="none" w:sz="0" w:space="0"/>
          </w:pgBorders>
          <w:pgNumType w:start="1"/>
          <w:cols w:space="0" w:num="1"/>
          <w:titlePg/>
          <w:docGrid w:type="lines" w:linePitch="312" w:charSpace="0"/>
        </w:sectPr>
      </w:pPr>
    </w:p>
    <w:p w14:paraId="310FD255">
      <w:pPr>
        <w:jc w:val="center"/>
        <w:rPr>
          <w:rFonts w:hint="eastAsia" w:ascii="宋体" w:hAnsi="宋体" w:eastAsia="宋体" w:cs="宋体"/>
          <w:b/>
          <w:bCs/>
          <w:sz w:val="40"/>
          <w:szCs w:val="48"/>
          <w:lang w:eastAsia="zh-CN"/>
        </w:rPr>
      </w:pPr>
      <w:r>
        <w:rPr>
          <w:rFonts w:hint="eastAsia" w:ascii="宋体" w:hAnsi="宋体" w:eastAsia="宋体" w:cs="宋体"/>
          <w:b/>
          <w:bCs/>
          <w:sz w:val="40"/>
          <w:szCs w:val="48"/>
          <w:lang w:eastAsia="zh-CN"/>
        </w:rPr>
        <w:t>温馨提示</w:t>
      </w:r>
    </w:p>
    <w:p w14:paraId="533BB9A1">
      <w:pPr>
        <w:pStyle w:val="8"/>
        <w:rPr>
          <w:rFonts w:hint="eastAsia" w:ascii="宋体" w:hAnsi="宋体" w:eastAsia="宋体" w:cs="宋体"/>
          <w:sz w:val="28"/>
          <w:szCs w:val="36"/>
          <w:lang w:eastAsia="zh-CN"/>
        </w:rPr>
      </w:pPr>
    </w:p>
    <w:p w14:paraId="751137B4">
      <w:pPr>
        <w:pStyle w:val="8"/>
        <w:rPr>
          <w:rFonts w:hint="eastAsia" w:ascii="宋体" w:hAnsi="宋体" w:eastAsia="宋体" w:cs="宋体"/>
          <w:sz w:val="28"/>
          <w:szCs w:val="36"/>
          <w:lang w:eastAsia="zh-CN"/>
        </w:rPr>
      </w:pPr>
      <w:r>
        <w:rPr>
          <w:rFonts w:hint="eastAsia" w:ascii="宋体" w:hAnsi="宋体" w:eastAsia="宋体" w:cs="宋体"/>
          <w:sz w:val="28"/>
          <w:szCs w:val="36"/>
          <w:lang w:eastAsia="zh-CN"/>
        </w:rPr>
        <w:t>潜在供应商在获取采购文件后，请认真仔细阅读所有条款，如需问题，请及时来电咨询，电话：</w:t>
      </w:r>
      <w:r>
        <w:rPr>
          <w:rFonts w:hint="eastAsia" w:ascii="宋体" w:hAnsi="宋体" w:cs="宋体"/>
          <w:sz w:val="28"/>
          <w:szCs w:val="36"/>
          <w:lang w:val="en-US" w:eastAsia="zh-CN"/>
        </w:rPr>
        <w:t>029-86688218</w:t>
      </w:r>
      <w:r>
        <w:rPr>
          <w:rFonts w:hint="eastAsia" w:ascii="宋体" w:hAnsi="宋体" w:eastAsia="宋体" w:cs="宋体"/>
          <w:sz w:val="28"/>
          <w:szCs w:val="36"/>
          <w:lang w:eastAsia="zh-CN"/>
        </w:rPr>
        <w:t>。</w:t>
      </w:r>
    </w:p>
    <w:p w14:paraId="410E8A8B">
      <w:pPr>
        <w:pStyle w:val="8"/>
        <w:rPr>
          <w:rFonts w:hint="eastAsia" w:ascii="宋体" w:hAnsi="宋体" w:eastAsia="宋体" w:cs="宋体"/>
          <w:sz w:val="28"/>
          <w:szCs w:val="36"/>
          <w:lang w:eastAsia="zh-CN"/>
        </w:rPr>
      </w:pPr>
      <w:r>
        <w:rPr>
          <w:rFonts w:hint="eastAsia" w:ascii="宋体" w:hAnsi="宋体" w:eastAsia="宋体" w:cs="宋体"/>
          <w:sz w:val="28"/>
          <w:szCs w:val="36"/>
          <w:lang w:eastAsia="zh-CN"/>
        </w:rPr>
        <w:t>属于西安市（含区县）政府采购项目的，获取采购文件的潜在供应商，如决定不参加磋商，应当在磋商截止日前1日以书面形式通知采购代理机构；否则，采购代理机构将向监管部门反映，在全市范围内累计达到3次以上的，将被财政部门列入失信名单。</w:t>
      </w:r>
    </w:p>
    <w:p w14:paraId="01A99D4F">
      <w:pPr>
        <w:pStyle w:val="8"/>
        <w:jc w:val="center"/>
        <w:rPr>
          <w:rFonts w:hint="eastAsia" w:ascii="宋体" w:hAnsi="宋体" w:eastAsia="宋体" w:cs="宋体"/>
          <w:b/>
          <w:bCs/>
          <w:sz w:val="40"/>
          <w:szCs w:val="48"/>
        </w:rPr>
        <w:sectPr>
          <w:footerReference r:id="rId7" w:type="first"/>
          <w:footerReference r:id="rId6" w:type="default"/>
          <w:pgSz w:w="11906" w:h="16838"/>
          <w:pgMar w:top="1440" w:right="1457" w:bottom="1440" w:left="1463" w:header="851" w:footer="992" w:gutter="0"/>
          <w:pgBorders>
            <w:top w:val="none" w:sz="0" w:space="0"/>
            <w:left w:val="none" w:sz="0" w:space="0"/>
            <w:bottom w:val="none" w:sz="0" w:space="0"/>
            <w:right w:val="none" w:sz="0" w:space="0"/>
          </w:pgBorders>
          <w:pgNumType w:fmt="decimal" w:start="2"/>
          <w:cols w:space="0" w:num="1"/>
          <w:titlePg/>
          <w:docGrid w:type="lines" w:linePitch="312" w:charSpace="0"/>
        </w:sectPr>
      </w:pPr>
    </w:p>
    <w:sdt>
      <w:sdtPr>
        <w:rPr>
          <w:rFonts w:ascii="宋体" w:hAnsi="宋体" w:eastAsia="宋体" w:cs="Times New Roman"/>
          <w:b/>
          <w:bCs/>
          <w:kern w:val="2"/>
          <w:sz w:val="44"/>
          <w:szCs w:val="52"/>
          <w:lang w:val="en-US" w:eastAsia="zh-CN" w:bidi="ar-SA"/>
        </w:rPr>
        <w:id w:val="147475594"/>
        <w15:color w:val="DBDBDB"/>
        <w:docPartObj>
          <w:docPartGallery w:val="Table of Contents"/>
          <w:docPartUnique/>
        </w:docPartObj>
      </w:sdtPr>
      <w:sdtEndPr>
        <w:rPr>
          <w:rFonts w:hint="eastAsia" w:ascii="宋体" w:hAnsi="宋体" w:eastAsia="宋体" w:cs="宋体"/>
          <w:b/>
          <w:bCs/>
          <w:kern w:val="2"/>
          <w:sz w:val="21"/>
          <w:szCs w:val="28"/>
          <w:lang w:val="en-US" w:eastAsia="zh-CN" w:bidi="ar-SA"/>
        </w:rPr>
      </w:sdtEndPr>
      <w:sdtContent>
        <w:p w14:paraId="014EC40E">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4"/>
              <w:szCs w:val="52"/>
            </w:rPr>
          </w:pPr>
          <w:r>
            <w:rPr>
              <w:rFonts w:hint="eastAsia" w:asciiTheme="minorEastAsia" w:hAnsiTheme="minorEastAsia" w:eastAsiaTheme="minorEastAsia" w:cstheme="minorEastAsia"/>
              <w:b/>
              <w:bCs/>
              <w:sz w:val="44"/>
              <w:szCs w:val="52"/>
            </w:rPr>
            <w:t>目</w:t>
          </w:r>
          <w:r>
            <w:rPr>
              <w:rFonts w:hint="eastAsia" w:asciiTheme="minorEastAsia" w:hAnsiTheme="minorEastAsia" w:eastAsiaTheme="minorEastAsia" w:cstheme="minorEastAsia"/>
              <w:b/>
              <w:bCs/>
              <w:sz w:val="44"/>
              <w:szCs w:val="52"/>
              <w:lang w:val="en-US" w:eastAsia="zh-CN"/>
            </w:rPr>
            <w:t xml:space="preserve">  </w:t>
          </w:r>
          <w:r>
            <w:rPr>
              <w:rFonts w:hint="eastAsia" w:asciiTheme="minorEastAsia" w:hAnsiTheme="minorEastAsia" w:eastAsiaTheme="minorEastAsia" w:cstheme="minorEastAsia"/>
              <w:b/>
              <w:bCs/>
              <w:sz w:val="44"/>
              <w:szCs w:val="52"/>
            </w:rPr>
            <w:t>录</w:t>
          </w:r>
        </w:p>
        <w:p w14:paraId="782D0D65">
          <w:pPr>
            <w:pStyle w:val="33"/>
            <w:tabs>
              <w:tab w:val="right" w:leader="hyphen" w:pos="8986"/>
            </w:tabs>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"1-1" \h \u </w:instrText>
          </w:r>
          <w:r>
            <w:rPr>
              <w:rFonts w:hint="eastAsia" w:asciiTheme="minorEastAsia" w:hAnsiTheme="minorEastAsia" w:eastAsiaTheme="minorEastAsia" w:cstheme="minorEastAsia"/>
              <w:sz w:val="28"/>
              <w:szCs w:val="28"/>
            </w:rPr>
            <w:fldChar w:fldCharType="separate"/>
          </w:r>
        </w:p>
        <w:p w14:paraId="28FCDAA9">
          <w:pPr>
            <w:pStyle w:val="33"/>
            <w:tabs>
              <w:tab w:val="right" w:leader="hyphen" w:pos="8986"/>
            </w:tabs>
            <w:spacing w:line="48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36"/>
            </w:rPr>
            <w:fldChar w:fldCharType="begin"/>
          </w:r>
          <w:r>
            <w:rPr>
              <w:rFonts w:hint="eastAsia" w:asciiTheme="minorEastAsia" w:hAnsiTheme="minorEastAsia" w:eastAsiaTheme="minorEastAsia" w:cstheme="minorEastAsia"/>
              <w:b/>
              <w:bCs/>
              <w:sz w:val="28"/>
              <w:szCs w:val="36"/>
            </w:rPr>
            <w:instrText xml:space="preserve"> HYPERLINK \l _Toc26665 </w:instrText>
          </w:r>
          <w:r>
            <w:rPr>
              <w:rFonts w:hint="eastAsia" w:asciiTheme="minorEastAsia" w:hAnsiTheme="minorEastAsia" w:eastAsiaTheme="minorEastAsia" w:cstheme="minorEastAsia"/>
              <w:b/>
              <w:bCs/>
              <w:sz w:val="28"/>
              <w:szCs w:val="36"/>
            </w:rPr>
            <w:fldChar w:fldCharType="separate"/>
          </w:r>
          <w:r>
            <w:rPr>
              <w:rFonts w:hint="eastAsia" w:asciiTheme="minorEastAsia" w:hAnsiTheme="minorEastAsia" w:eastAsiaTheme="minorEastAsia" w:cstheme="minorEastAsia"/>
              <w:b/>
              <w:bCs/>
              <w:sz w:val="28"/>
              <w:szCs w:val="28"/>
            </w:rPr>
            <w:t>第一章</w:t>
          </w:r>
          <w:r>
            <w:rPr>
              <w:rFonts w:hint="eastAsia" w:asciiTheme="minorEastAsia" w:hAnsiTheme="minorEastAsia" w:eastAsiaTheme="minorEastAsia" w:cstheme="minorEastAsia"/>
              <w:b/>
              <w:bCs/>
              <w:sz w:val="28"/>
              <w:szCs w:val="28"/>
              <w:lang w:val="en-US" w:eastAsia="zh-CN"/>
            </w:rPr>
            <w:t xml:space="preserve">  竞争性磋商公告</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_Toc26665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36"/>
            </w:rPr>
            <w:fldChar w:fldCharType="end"/>
          </w:r>
        </w:p>
        <w:p w14:paraId="4B758A6D">
          <w:pPr>
            <w:pStyle w:val="33"/>
            <w:tabs>
              <w:tab w:val="right" w:leader="hyphen" w:pos="8986"/>
            </w:tabs>
            <w:spacing w:line="48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36"/>
            </w:rPr>
            <w:fldChar w:fldCharType="begin"/>
          </w:r>
          <w:r>
            <w:rPr>
              <w:rFonts w:hint="eastAsia" w:asciiTheme="minorEastAsia" w:hAnsiTheme="minorEastAsia" w:eastAsiaTheme="minorEastAsia" w:cstheme="minorEastAsia"/>
              <w:b/>
              <w:bCs/>
              <w:sz w:val="28"/>
              <w:szCs w:val="36"/>
            </w:rPr>
            <w:instrText xml:space="preserve"> HYPERLINK \l _Toc13750 </w:instrText>
          </w:r>
          <w:r>
            <w:rPr>
              <w:rFonts w:hint="eastAsia" w:asciiTheme="minorEastAsia" w:hAnsiTheme="minorEastAsia" w:eastAsiaTheme="minorEastAsia" w:cstheme="minorEastAsia"/>
              <w:b/>
              <w:bCs/>
              <w:sz w:val="28"/>
              <w:szCs w:val="36"/>
            </w:rPr>
            <w:fldChar w:fldCharType="separate"/>
          </w:r>
          <w:r>
            <w:rPr>
              <w:rFonts w:hint="eastAsia" w:asciiTheme="minorEastAsia" w:hAnsiTheme="minorEastAsia" w:eastAsiaTheme="minorEastAsia" w:cstheme="minorEastAsia"/>
              <w:b/>
              <w:bCs/>
              <w:sz w:val="28"/>
              <w:szCs w:val="28"/>
            </w:rPr>
            <w:t>第二章</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磋商须知</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_Toc13750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5</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36"/>
            </w:rPr>
            <w:fldChar w:fldCharType="end"/>
          </w:r>
        </w:p>
        <w:p w14:paraId="17D7052C">
          <w:pPr>
            <w:pStyle w:val="33"/>
            <w:tabs>
              <w:tab w:val="right" w:leader="hyphen" w:pos="8986"/>
            </w:tabs>
            <w:spacing w:line="48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36"/>
            </w:rPr>
            <w:fldChar w:fldCharType="begin"/>
          </w:r>
          <w:r>
            <w:rPr>
              <w:rFonts w:hint="eastAsia" w:asciiTheme="minorEastAsia" w:hAnsiTheme="minorEastAsia" w:eastAsiaTheme="minorEastAsia" w:cstheme="minorEastAsia"/>
              <w:b/>
              <w:bCs/>
              <w:sz w:val="28"/>
              <w:szCs w:val="36"/>
            </w:rPr>
            <w:instrText xml:space="preserve"> HYPERLINK \l _Toc6721 </w:instrText>
          </w:r>
          <w:r>
            <w:rPr>
              <w:rFonts w:hint="eastAsia" w:asciiTheme="minorEastAsia" w:hAnsiTheme="minorEastAsia" w:eastAsiaTheme="minorEastAsia" w:cstheme="minorEastAsia"/>
              <w:b/>
              <w:bCs/>
              <w:sz w:val="28"/>
              <w:szCs w:val="36"/>
            </w:rPr>
            <w:fldChar w:fldCharType="separate"/>
          </w: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章</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磋商及评审办法</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_Toc6721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22</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36"/>
            </w:rPr>
            <w:fldChar w:fldCharType="end"/>
          </w:r>
        </w:p>
        <w:p w14:paraId="748DCF35">
          <w:pPr>
            <w:pStyle w:val="33"/>
            <w:tabs>
              <w:tab w:val="right" w:leader="hyphen" w:pos="8986"/>
            </w:tabs>
            <w:spacing w:line="48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36"/>
            </w:rPr>
            <w:fldChar w:fldCharType="begin"/>
          </w:r>
          <w:r>
            <w:rPr>
              <w:rFonts w:hint="eastAsia" w:asciiTheme="minorEastAsia" w:hAnsiTheme="minorEastAsia" w:eastAsiaTheme="minorEastAsia" w:cstheme="minorEastAsia"/>
              <w:b/>
              <w:bCs/>
              <w:sz w:val="28"/>
              <w:szCs w:val="36"/>
            </w:rPr>
            <w:instrText xml:space="preserve"> HYPERLINK \l _Toc4988 </w:instrText>
          </w:r>
          <w:r>
            <w:rPr>
              <w:rFonts w:hint="eastAsia" w:asciiTheme="minorEastAsia" w:hAnsiTheme="minorEastAsia" w:eastAsiaTheme="minorEastAsia" w:cstheme="minorEastAsia"/>
              <w:b/>
              <w:bCs/>
              <w:sz w:val="28"/>
              <w:szCs w:val="36"/>
            </w:rPr>
            <w:fldChar w:fldCharType="separate"/>
          </w:r>
          <w:r>
            <w:rPr>
              <w:rFonts w:hint="eastAsia" w:asciiTheme="minorEastAsia" w:hAnsiTheme="minorEastAsia" w:eastAsiaTheme="minorEastAsia" w:cstheme="minorEastAsia"/>
              <w:b/>
              <w:bCs/>
              <w:sz w:val="28"/>
              <w:szCs w:val="28"/>
              <w:lang w:val="zh-CN"/>
            </w:rPr>
            <w:t>第</w:t>
          </w:r>
          <w:r>
            <w:rPr>
              <w:rFonts w:hint="eastAsia" w:asciiTheme="minorEastAsia" w:hAnsiTheme="minorEastAsia" w:eastAsia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lang w:val="zh-CN"/>
            </w:rPr>
            <w:t>章</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采购内容及要求</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_Toc4988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30</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36"/>
            </w:rPr>
            <w:fldChar w:fldCharType="end"/>
          </w:r>
        </w:p>
        <w:p w14:paraId="37498355">
          <w:pPr>
            <w:pStyle w:val="33"/>
            <w:tabs>
              <w:tab w:val="right" w:leader="hyphen" w:pos="8986"/>
            </w:tabs>
            <w:spacing w:line="48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36"/>
            </w:rPr>
            <w:fldChar w:fldCharType="begin"/>
          </w:r>
          <w:r>
            <w:rPr>
              <w:rFonts w:hint="eastAsia" w:asciiTheme="minorEastAsia" w:hAnsiTheme="minorEastAsia" w:eastAsiaTheme="minorEastAsia" w:cstheme="minorEastAsia"/>
              <w:b/>
              <w:bCs/>
              <w:sz w:val="28"/>
              <w:szCs w:val="36"/>
            </w:rPr>
            <w:instrText xml:space="preserve"> HYPERLINK \l _Toc18402 </w:instrText>
          </w:r>
          <w:r>
            <w:rPr>
              <w:rFonts w:hint="eastAsia" w:asciiTheme="minorEastAsia" w:hAnsiTheme="minorEastAsia" w:eastAsiaTheme="minorEastAsia" w:cstheme="minorEastAsia"/>
              <w:b/>
              <w:bCs/>
              <w:sz w:val="28"/>
              <w:szCs w:val="36"/>
            </w:rPr>
            <w:fldChar w:fldCharType="separate"/>
          </w:r>
          <w:r>
            <w:rPr>
              <w:rFonts w:hint="eastAsia" w:asciiTheme="minorEastAsia" w:hAnsiTheme="minorEastAsia" w:eastAsiaTheme="minorEastAsia" w:cstheme="minorEastAsia"/>
              <w:b/>
              <w:bCs/>
              <w:sz w:val="28"/>
              <w:szCs w:val="28"/>
            </w:rPr>
            <w:t>第五章  合同条款</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_Toc18402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33</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36"/>
            </w:rPr>
            <w:fldChar w:fldCharType="end"/>
          </w:r>
        </w:p>
        <w:p w14:paraId="5FED74BC">
          <w:pPr>
            <w:pStyle w:val="33"/>
            <w:tabs>
              <w:tab w:val="right" w:leader="hyphen" w:pos="8986"/>
            </w:tabs>
            <w:spacing w:line="48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8"/>
              <w:szCs w:val="36"/>
            </w:rPr>
            <w:fldChar w:fldCharType="begin"/>
          </w:r>
          <w:r>
            <w:rPr>
              <w:rFonts w:hint="eastAsia" w:asciiTheme="minorEastAsia" w:hAnsiTheme="minorEastAsia" w:eastAsiaTheme="minorEastAsia" w:cstheme="minorEastAsia"/>
              <w:b/>
              <w:bCs/>
              <w:sz w:val="28"/>
              <w:szCs w:val="36"/>
            </w:rPr>
            <w:instrText xml:space="preserve"> HYPERLINK \l _Toc19546 </w:instrText>
          </w:r>
          <w:r>
            <w:rPr>
              <w:rFonts w:hint="eastAsia" w:asciiTheme="minorEastAsia" w:hAnsiTheme="minorEastAsia" w:eastAsiaTheme="minorEastAsia" w:cstheme="minorEastAsia"/>
              <w:b/>
              <w:bCs/>
              <w:sz w:val="28"/>
              <w:szCs w:val="36"/>
            </w:rPr>
            <w:fldChar w:fldCharType="separate"/>
          </w:r>
          <w:r>
            <w:rPr>
              <w:rFonts w:hint="eastAsia" w:asciiTheme="minorEastAsia" w:hAnsiTheme="minorEastAsia" w:eastAsiaTheme="minorEastAsia" w:cstheme="minorEastAsia"/>
              <w:b/>
              <w:bCs/>
              <w:sz w:val="28"/>
              <w:szCs w:val="28"/>
              <w:lang w:val="zh-CN"/>
            </w:rPr>
            <w:t>第</w:t>
          </w: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lang w:val="zh-CN"/>
            </w:rPr>
            <w:t>章</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lang w:val="zh-CN"/>
            </w:rPr>
            <w:t>响应文件格式</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_Toc19546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38</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36"/>
            </w:rPr>
            <w:fldChar w:fldCharType="end"/>
          </w:r>
        </w:p>
        <w:p w14:paraId="6073D23D">
          <w:pPr>
            <w:pStyle w:val="33"/>
            <w:tabs>
              <w:tab w:val="right" w:leader="hyphen" w:pos="8986"/>
            </w:tabs>
            <w:rPr>
              <w:rFonts w:hint="eastAsia" w:asciiTheme="minorEastAsia" w:hAnsiTheme="minorEastAsia" w:eastAsiaTheme="minorEastAsia" w:cstheme="minorEastAsia"/>
            </w:rPr>
          </w:pPr>
        </w:p>
        <w:p w14:paraId="276E45CA">
          <w:pPr>
            <w:jc w:val="left"/>
            <w:rPr>
              <w:rFonts w:hint="eastAsia" w:ascii="宋体" w:hAnsi="宋体" w:eastAsia="宋体" w:cs="宋体"/>
              <w:kern w:val="2"/>
              <w:sz w:val="21"/>
              <w:szCs w:val="28"/>
              <w:lang w:val="en-US" w:eastAsia="zh-CN" w:bidi="ar-SA"/>
            </w:rPr>
          </w:pPr>
          <w:r>
            <w:rPr>
              <w:rFonts w:hint="eastAsia" w:asciiTheme="minorEastAsia" w:hAnsiTheme="minorEastAsia" w:eastAsiaTheme="minorEastAsia" w:cstheme="minorEastAsia"/>
              <w:szCs w:val="28"/>
            </w:rPr>
            <w:fldChar w:fldCharType="end"/>
          </w:r>
        </w:p>
      </w:sdtContent>
    </w:sdt>
    <w:p w14:paraId="0CA24DA6">
      <w:pPr>
        <w:jc w:val="left"/>
        <w:rPr>
          <w:rFonts w:hint="eastAsia" w:ascii="宋体" w:hAnsi="宋体" w:eastAsia="宋体" w:cs="宋体"/>
          <w:kern w:val="2"/>
          <w:sz w:val="21"/>
          <w:szCs w:val="28"/>
          <w:lang w:val="en-US" w:eastAsia="zh-CN" w:bidi="ar-SA"/>
        </w:rPr>
      </w:pPr>
    </w:p>
    <w:p w14:paraId="7EF72FEE">
      <w:pPr>
        <w:pStyle w:val="3"/>
        <w:numPr>
          <w:ilvl w:val="0"/>
          <w:numId w:val="0"/>
        </w:numPr>
        <w:adjustRightInd w:val="0"/>
        <w:snapToGrid w:val="0"/>
        <w:spacing w:after="156" w:afterLines="50" w:line="360" w:lineRule="auto"/>
        <w:rPr>
          <w:rFonts w:hint="eastAsia" w:ascii="宋体" w:hAnsi="宋体" w:eastAsia="宋体" w:cs="宋体"/>
          <w:b/>
          <w:bCs/>
          <w:sz w:val="32"/>
          <w:szCs w:val="32"/>
        </w:rPr>
        <w:sectPr>
          <w:headerReference r:id="rId9" w:type="first"/>
          <w:footerReference r:id="rId11" w:type="first"/>
          <w:headerReference r:id="rId8" w:type="default"/>
          <w:footerReference r:id="rId10" w:type="default"/>
          <w:pgSz w:w="11906" w:h="16838"/>
          <w:pgMar w:top="1440" w:right="1457" w:bottom="1440" w:left="1463" w:header="851" w:footer="992" w:gutter="0"/>
          <w:pgBorders>
            <w:top w:val="none" w:sz="0" w:space="0"/>
            <w:left w:val="none" w:sz="0" w:space="0"/>
            <w:bottom w:val="none" w:sz="0" w:space="0"/>
            <w:right w:val="none" w:sz="0" w:space="0"/>
          </w:pgBorders>
          <w:pgNumType w:fmt="decimal"/>
          <w:cols w:space="0" w:num="1"/>
          <w:titlePg/>
          <w:docGrid w:type="lines" w:linePitch="312" w:charSpace="0"/>
        </w:sectPr>
      </w:pPr>
    </w:p>
    <w:p w14:paraId="7E642100">
      <w:pPr>
        <w:pStyle w:val="3"/>
        <w:bidi w:val="0"/>
        <w:rPr>
          <w:rFonts w:hint="eastAsia" w:ascii="宋体" w:hAnsi="宋体" w:eastAsia="宋体" w:cs="宋体"/>
          <w:b/>
          <w:bCs/>
          <w:color w:val="000000"/>
          <w:highlight w:val="none"/>
          <w:lang w:val="en-US" w:eastAsia="zh-CN"/>
        </w:rPr>
      </w:pPr>
      <w:bookmarkStart w:id="1" w:name="_Toc532895258"/>
      <w:bookmarkStart w:id="2" w:name="_Toc26665"/>
      <w:bookmarkStart w:id="3" w:name="_Toc22439"/>
      <w:bookmarkStart w:id="4" w:name="_Toc328733252"/>
      <w:bookmarkStart w:id="5" w:name="_Toc31690"/>
      <w:bookmarkStart w:id="6" w:name="_Toc3073"/>
      <w:bookmarkStart w:id="7" w:name="_Toc27252"/>
      <w:r>
        <w:rPr>
          <w:rFonts w:hint="eastAsia"/>
        </w:rPr>
        <w:t>第一章</w:t>
      </w:r>
      <w:r>
        <w:rPr>
          <w:rFonts w:hint="eastAsia"/>
          <w:lang w:val="en-US" w:eastAsia="zh-CN"/>
        </w:rPr>
        <w:t xml:space="preserve">  </w:t>
      </w:r>
      <w:bookmarkEnd w:id="1"/>
      <w:r>
        <w:rPr>
          <w:rFonts w:hint="eastAsia"/>
          <w:lang w:val="en-US" w:eastAsia="zh-CN"/>
        </w:rPr>
        <w:t>竞争性磋商公告</w:t>
      </w:r>
      <w:bookmarkEnd w:id="2"/>
      <w:bookmarkEnd w:id="3"/>
    </w:p>
    <w:bookmarkEnd w:id="4"/>
    <w:bookmarkEnd w:id="5"/>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6"/>
      </w:tblGrid>
      <w:tr w14:paraId="20A6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noWrap w:val="0"/>
            <w:vAlign w:val="top"/>
          </w:tcPr>
          <w:p w14:paraId="2DBD573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eastAsia" w:ascii="宋体" w:hAnsi="宋体" w:eastAsia="宋体" w:cs="宋体"/>
                <w:b/>
                <w:bCs w:val="0"/>
                <w:color w:val="auto"/>
                <w:spacing w:val="0"/>
                <w:kern w:val="0"/>
                <w:sz w:val="24"/>
                <w:szCs w:val="24"/>
                <w:highlight w:val="none"/>
                <w:shd w:val="clear" w:color="auto" w:fill="FFFFFF"/>
                <w:lang w:val="en-US" w:eastAsia="zh-CN" w:bidi="ar-SA"/>
              </w:rPr>
            </w:pPr>
            <w:r>
              <w:rPr>
                <w:rFonts w:hint="eastAsia" w:ascii="宋体" w:hAnsi="宋体" w:eastAsia="宋体" w:cs="宋体"/>
                <w:b/>
                <w:bCs w:val="0"/>
                <w:color w:val="auto"/>
                <w:spacing w:val="0"/>
                <w:kern w:val="0"/>
                <w:sz w:val="24"/>
                <w:szCs w:val="24"/>
                <w:highlight w:val="none"/>
                <w:shd w:val="clear" w:color="auto" w:fill="FFFFFF"/>
                <w:lang w:val="en-US" w:eastAsia="zh-CN" w:bidi="ar-SA"/>
              </w:rPr>
              <w:t>项目概况</w:t>
            </w:r>
          </w:p>
          <w:p w14:paraId="5112938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0" w:firstLineChars="200"/>
              <w:jc w:val="left"/>
              <w:textAlignment w:val="auto"/>
              <w:rPr>
                <w:rFonts w:hint="eastAsia" w:ascii="宋体" w:hAnsi="宋体" w:eastAsia="宋体" w:cs="宋体"/>
                <w:bCs/>
                <w:color w:val="auto"/>
                <w:spacing w:val="0"/>
                <w:kern w:val="0"/>
                <w:sz w:val="32"/>
                <w:szCs w:val="32"/>
                <w:highlight w:val="none"/>
                <w:shd w:val="clear" w:color="auto" w:fill="FFFFFF"/>
                <w:vertAlign w:val="baseline"/>
                <w:lang w:val="en-US" w:eastAsia="zh-CN" w:bidi="ar-SA"/>
              </w:rPr>
            </w:pPr>
            <w:r>
              <w:rPr>
                <w:rFonts w:hint="eastAsia" w:ascii="宋体" w:hAnsi="宋体" w:cs="宋体"/>
                <w:b w:val="0"/>
                <w:bCs/>
                <w:color w:val="auto"/>
                <w:spacing w:val="0"/>
                <w:kern w:val="0"/>
                <w:sz w:val="24"/>
                <w:szCs w:val="24"/>
                <w:highlight w:val="none"/>
                <w:shd w:val="clear" w:color="auto" w:fill="FFFFFF"/>
                <w:lang w:val="en-US" w:eastAsia="zh-CN" w:bidi="ar-SA"/>
              </w:rPr>
              <w:t>西安经开第二中学教职工体检项目</w:t>
            </w:r>
            <w:r>
              <w:rPr>
                <w:rFonts w:hint="eastAsia" w:ascii="宋体" w:hAnsi="宋体" w:eastAsia="宋体" w:cs="宋体"/>
                <w:b w:val="0"/>
                <w:bCs/>
                <w:color w:val="auto"/>
                <w:spacing w:val="0"/>
                <w:kern w:val="0"/>
                <w:sz w:val="24"/>
                <w:szCs w:val="24"/>
                <w:highlight w:val="none"/>
                <w:shd w:val="clear" w:color="auto" w:fill="FFFFFF"/>
                <w:lang w:val="en-US" w:eastAsia="zh-CN" w:bidi="ar-SA"/>
              </w:rPr>
              <w:t>的潜在供应商应在陕西省西安市经济技术开发区凤城十二路凯瑞B座1单元9层A0906号房获取采购文件，并于</w:t>
            </w:r>
            <w:r>
              <w:rPr>
                <w:rFonts w:hint="eastAsia" w:ascii="宋体" w:hAnsi="宋体" w:cs="宋体"/>
                <w:b w:val="0"/>
                <w:bCs/>
                <w:color w:val="auto"/>
                <w:spacing w:val="0"/>
                <w:kern w:val="0"/>
                <w:sz w:val="24"/>
                <w:szCs w:val="24"/>
                <w:highlight w:val="none"/>
                <w:shd w:val="clear" w:color="auto" w:fill="FFFFFF"/>
                <w:lang w:val="en-US" w:eastAsia="zh-CN" w:bidi="ar-SA"/>
              </w:rPr>
              <w:t>2025年12月09日14时30分</w:t>
            </w:r>
            <w:r>
              <w:rPr>
                <w:rFonts w:hint="eastAsia" w:ascii="宋体" w:hAnsi="宋体" w:eastAsia="宋体" w:cs="宋体"/>
                <w:b w:val="0"/>
                <w:bCs/>
                <w:color w:val="auto"/>
                <w:spacing w:val="0"/>
                <w:kern w:val="0"/>
                <w:sz w:val="24"/>
                <w:szCs w:val="24"/>
                <w:highlight w:val="none"/>
                <w:shd w:val="clear" w:color="auto" w:fill="FFFFFF"/>
                <w:lang w:val="en-US" w:eastAsia="zh-CN" w:bidi="ar-SA"/>
              </w:rPr>
              <w:t>（北京时间）前提交响应文件。</w:t>
            </w:r>
          </w:p>
        </w:tc>
      </w:tr>
    </w:tbl>
    <w:p w14:paraId="407CC925">
      <w:pPr>
        <w:pageBreakBefore w:val="0"/>
        <w:widowControl/>
        <w:numPr>
          <w:ilvl w:val="0"/>
          <w:numId w:val="1"/>
        </w:numPr>
        <w:kinsoku/>
        <w:overflowPunct/>
        <w:autoSpaceDE/>
        <w:autoSpaceDN/>
        <w:bidi w:val="0"/>
        <w:spacing w:before="0" w:beforeLines="0" w:beforeAutospacing="0" w:after="0" w:afterLines="0" w:afterAutospacing="0" w:line="360" w:lineRule="auto"/>
        <w:jc w:val="left"/>
        <w:rPr>
          <w:rFonts w:hint="eastAsia" w:ascii="宋体" w:hAnsi="宋体" w:eastAsia="宋体" w:cs="宋体"/>
          <w:b/>
          <w:color w:val="auto"/>
          <w:spacing w:val="0"/>
          <w:kern w:val="0"/>
          <w:sz w:val="24"/>
          <w:szCs w:val="24"/>
          <w:highlight w:val="none"/>
          <w:shd w:val="clear" w:color="auto" w:fill="FFFFFF"/>
          <w:lang w:val="en-US" w:eastAsia="zh-CN" w:bidi="ar-SA"/>
        </w:rPr>
      </w:pPr>
      <w:r>
        <w:rPr>
          <w:rFonts w:hint="eastAsia" w:ascii="宋体" w:hAnsi="宋体" w:eastAsia="宋体" w:cs="宋体"/>
          <w:b/>
          <w:color w:val="auto"/>
          <w:spacing w:val="0"/>
          <w:kern w:val="0"/>
          <w:sz w:val="24"/>
          <w:szCs w:val="24"/>
          <w:highlight w:val="none"/>
          <w:shd w:val="clear" w:color="auto" w:fill="FFFFFF"/>
          <w:lang w:val="en-US" w:eastAsia="zh-CN" w:bidi="ar-SA"/>
        </w:rPr>
        <w:t>项目基本情况</w:t>
      </w:r>
    </w:p>
    <w:p w14:paraId="06CEA500">
      <w:pPr>
        <w:pageBreakBefore w:val="0"/>
        <w:widowControl/>
        <w:numPr>
          <w:ilvl w:val="0"/>
          <w:numId w:val="0"/>
        </w:numPr>
        <w:kinsoku/>
        <w:overflowPunct/>
        <w:autoSpaceDE/>
        <w:autoSpaceDN/>
        <w:bidi w:val="0"/>
        <w:spacing w:before="0" w:beforeLines="0" w:beforeAutospacing="0" w:after="0" w:afterLines="0" w:afterAutospacing="0" w:line="360" w:lineRule="auto"/>
        <w:ind w:firstLine="480" w:firstLineChars="200"/>
        <w:jc w:val="left"/>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1、项目编号：SXXP-2025-029</w:t>
      </w:r>
    </w:p>
    <w:p w14:paraId="7D4B02F6">
      <w:pPr>
        <w:pageBreakBefore w:val="0"/>
        <w:widowControl/>
        <w:numPr>
          <w:ilvl w:val="0"/>
          <w:numId w:val="0"/>
        </w:numPr>
        <w:kinsoku/>
        <w:overflowPunct/>
        <w:autoSpaceDE/>
        <w:autoSpaceDN/>
        <w:bidi w:val="0"/>
        <w:spacing w:before="0" w:beforeLines="0" w:beforeAutospacing="0" w:after="0" w:afterLines="0" w:afterAutospacing="0" w:line="360" w:lineRule="auto"/>
        <w:ind w:firstLine="480" w:firstLineChars="200"/>
        <w:jc w:val="left"/>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2、项目名称：</w:t>
      </w:r>
      <w:r>
        <w:rPr>
          <w:rFonts w:hint="eastAsia" w:ascii="宋体" w:hAnsi="宋体" w:cs="宋体"/>
          <w:color w:val="auto"/>
          <w:spacing w:val="0"/>
          <w:kern w:val="0"/>
          <w:sz w:val="24"/>
          <w:szCs w:val="24"/>
          <w:highlight w:val="none"/>
          <w:shd w:val="clear" w:color="auto" w:fill="FFFFFF"/>
          <w:lang w:val="en-US" w:eastAsia="zh-CN" w:bidi="ar-SA"/>
        </w:rPr>
        <w:t>西安经开第二中学教职工体检项目</w:t>
      </w:r>
    </w:p>
    <w:p w14:paraId="0F5AD7B2">
      <w:pPr>
        <w:pageBreakBefore w:val="0"/>
        <w:widowControl/>
        <w:numPr>
          <w:ilvl w:val="0"/>
          <w:numId w:val="0"/>
        </w:numPr>
        <w:kinsoku/>
        <w:overflowPunct/>
        <w:autoSpaceDE/>
        <w:autoSpaceDN/>
        <w:bidi w:val="0"/>
        <w:spacing w:before="0" w:beforeLines="0" w:beforeAutospacing="0" w:after="0" w:afterLines="0" w:afterAutospacing="0" w:line="360" w:lineRule="auto"/>
        <w:ind w:firstLine="480" w:firstLineChars="200"/>
        <w:jc w:val="left"/>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3、采购方式：竞争性磋商</w:t>
      </w:r>
    </w:p>
    <w:p w14:paraId="43089234">
      <w:pPr>
        <w:pageBreakBefore w:val="0"/>
        <w:widowControl/>
        <w:numPr>
          <w:ilvl w:val="0"/>
          <w:numId w:val="0"/>
        </w:numPr>
        <w:kinsoku/>
        <w:overflowPunct/>
        <w:autoSpaceDE/>
        <w:autoSpaceDN/>
        <w:bidi w:val="0"/>
        <w:spacing w:before="0" w:beforeLines="0" w:beforeAutospacing="0" w:after="0" w:afterLines="0" w:afterAutospacing="0" w:line="360" w:lineRule="auto"/>
        <w:ind w:firstLine="480" w:firstLineChars="200"/>
        <w:jc w:val="left"/>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4、预算金额：158,100.00元</w:t>
      </w:r>
    </w:p>
    <w:p w14:paraId="351CBEB8">
      <w:pPr>
        <w:pageBreakBefore w:val="0"/>
        <w:widowControl/>
        <w:numPr>
          <w:ilvl w:val="0"/>
          <w:numId w:val="0"/>
        </w:numPr>
        <w:kinsoku/>
        <w:overflowPunct/>
        <w:autoSpaceDE/>
        <w:autoSpaceDN/>
        <w:bidi w:val="0"/>
        <w:spacing w:before="0" w:beforeLines="0" w:beforeAutospacing="0" w:after="0" w:afterLines="0" w:afterAutospacing="0" w:line="360" w:lineRule="auto"/>
        <w:ind w:firstLine="480" w:firstLineChars="200"/>
        <w:jc w:val="left"/>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5、采购需求：</w:t>
      </w:r>
    </w:p>
    <w:p w14:paraId="458A33DE">
      <w:pPr>
        <w:pageBreakBefore w:val="0"/>
        <w:widowControl/>
        <w:numPr>
          <w:ilvl w:val="0"/>
          <w:numId w:val="0"/>
        </w:numPr>
        <w:kinsoku/>
        <w:overflowPunct/>
        <w:autoSpaceDE/>
        <w:autoSpaceDN/>
        <w:bidi w:val="0"/>
        <w:spacing w:before="0" w:beforeLines="0" w:beforeAutospacing="0" w:after="0" w:afterLines="0" w:afterAutospacing="0" w:line="360" w:lineRule="auto"/>
        <w:ind w:firstLine="480" w:firstLineChars="200"/>
        <w:jc w:val="left"/>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合同包1(体检服务)：</w:t>
      </w:r>
    </w:p>
    <w:p w14:paraId="324551FA">
      <w:pPr>
        <w:pageBreakBefore w:val="0"/>
        <w:widowControl/>
        <w:numPr>
          <w:ilvl w:val="0"/>
          <w:numId w:val="0"/>
        </w:numPr>
        <w:kinsoku/>
        <w:overflowPunct/>
        <w:autoSpaceDE/>
        <w:autoSpaceDN/>
        <w:bidi w:val="0"/>
        <w:spacing w:before="0" w:beforeLines="0" w:beforeAutospacing="0" w:after="0" w:afterLines="0" w:afterAutospacing="0" w:line="360" w:lineRule="auto"/>
        <w:ind w:firstLine="960" w:firstLineChars="400"/>
        <w:jc w:val="left"/>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合同包预算金额：158,100.00元</w:t>
      </w:r>
    </w:p>
    <w:p w14:paraId="5DF74AEA">
      <w:pPr>
        <w:pageBreakBefore w:val="0"/>
        <w:widowControl/>
        <w:numPr>
          <w:ilvl w:val="0"/>
          <w:numId w:val="0"/>
        </w:numPr>
        <w:kinsoku/>
        <w:overflowPunct/>
        <w:autoSpaceDE/>
        <w:autoSpaceDN/>
        <w:bidi w:val="0"/>
        <w:spacing w:before="0" w:beforeLines="0" w:beforeAutospacing="0" w:after="0" w:afterLines="0" w:afterAutospacing="0" w:line="360" w:lineRule="auto"/>
        <w:ind w:firstLine="960" w:firstLineChars="400"/>
        <w:jc w:val="left"/>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合同包最高限价：158,100.00元</w:t>
      </w:r>
    </w:p>
    <w:tbl>
      <w:tblPr>
        <w:tblStyle w:val="49"/>
        <w:tblW w:w="9343" w:type="dxa"/>
        <w:tblInd w:w="1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88"/>
        <w:gridCol w:w="1065"/>
        <w:gridCol w:w="2057"/>
        <w:gridCol w:w="1238"/>
        <w:gridCol w:w="1445"/>
        <w:gridCol w:w="1503"/>
        <w:gridCol w:w="1347"/>
      </w:tblGrid>
      <w:tr w14:paraId="09FC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8" w:hRule="atLeast"/>
          <w:tblHeader/>
        </w:trPr>
        <w:tc>
          <w:tcPr>
            <w:tcW w:w="68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76BA87E">
            <w:pPr>
              <w:keepNext w:val="0"/>
              <w:keepLines w:val="0"/>
              <w:pageBreakBefore w:val="0"/>
              <w:widowControl/>
              <w:suppressLineNumbers w:val="0"/>
              <w:kinsoku/>
              <w:wordWrap w:val="0"/>
              <w:overflowPunct/>
              <w:autoSpaceDE/>
              <w:autoSpaceDN/>
              <w:bidi w:val="0"/>
              <w:spacing w:before="0" w:beforeAutospacing="0" w:after="0" w:afterAutospacing="0" w:line="360" w:lineRule="auto"/>
              <w:ind w:left="0" w:right="0"/>
              <w:jc w:val="center"/>
              <w:textAlignment w:val="center"/>
              <w:rPr>
                <w:rFonts w:hint="eastAsia" w:ascii="宋体" w:hAnsi="宋体" w:eastAsia="宋体" w:cs="宋体"/>
                <w:b w:val="0"/>
                <w:bCs w:val="0"/>
                <w:i w:val="0"/>
                <w:iCs w:val="0"/>
                <w:caps w:val="0"/>
                <w:color w:val="auto"/>
                <w:spacing w:val="0"/>
                <w:kern w:val="0"/>
                <w:sz w:val="18"/>
                <w:szCs w:val="18"/>
              </w:rPr>
            </w:pPr>
            <w:r>
              <w:rPr>
                <w:rFonts w:hint="eastAsia" w:ascii="宋体" w:hAnsi="宋体" w:eastAsia="宋体" w:cs="宋体"/>
                <w:b w:val="0"/>
                <w:bCs w:val="0"/>
                <w:i w:val="0"/>
                <w:iCs w:val="0"/>
                <w:caps w:val="0"/>
                <w:color w:val="auto"/>
                <w:spacing w:val="0"/>
                <w:kern w:val="0"/>
                <w:sz w:val="18"/>
                <w:szCs w:val="18"/>
                <w:lang w:val="en-US" w:eastAsia="zh-CN" w:bidi="ar"/>
              </w:rPr>
              <w:t>品目号</w:t>
            </w:r>
          </w:p>
        </w:tc>
        <w:tc>
          <w:tcPr>
            <w:tcW w:w="106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1D19E99">
            <w:pPr>
              <w:keepNext w:val="0"/>
              <w:keepLines w:val="0"/>
              <w:pageBreakBefore w:val="0"/>
              <w:widowControl/>
              <w:suppressLineNumbers w:val="0"/>
              <w:kinsoku/>
              <w:wordWrap w:val="0"/>
              <w:overflowPunct/>
              <w:autoSpaceDE/>
              <w:autoSpaceDN/>
              <w:bidi w:val="0"/>
              <w:spacing w:before="0" w:beforeAutospacing="0" w:after="0" w:afterAutospacing="0" w:line="360" w:lineRule="auto"/>
              <w:ind w:left="0" w:right="0"/>
              <w:jc w:val="center"/>
              <w:textAlignment w:val="center"/>
              <w:rPr>
                <w:rFonts w:hint="eastAsia" w:ascii="宋体" w:hAnsi="宋体" w:eastAsia="宋体" w:cs="宋体"/>
                <w:b w:val="0"/>
                <w:bCs w:val="0"/>
                <w:i w:val="0"/>
                <w:iCs w:val="0"/>
                <w:caps w:val="0"/>
                <w:color w:val="auto"/>
                <w:spacing w:val="0"/>
                <w:kern w:val="0"/>
                <w:sz w:val="18"/>
                <w:szCs w:val="18"/>
              </w:rPr>
            </w:pPr>
            <w:r>
              <w:rPr>
                <w:rFonts w:hint="eastAsia" w:ascii="宋体" w:hAnsi="宋体" w:eastAsia="宋体" w:cs="宋体"/>
                <w:b w:val="0"/>
                <w:bCs w:val="0"/>
                <w:i w:val="0"/>
                <w:iCs w:val="0"/>
                <w:caps w:val="0"/>
                <w:color w:val="auto"/>
                <w:spacing w:val="0"/>
                <w:kern w:val="0"/>
                <w:sz w:val="18"/>
                <w:szCs w:val="18"/>
                <w:lang w:val="en-US" w:eastAsia="zh-CN" w:bidi="ar"/>
              </w:rPr>
              <w:t>品目名称</w:t>
            </w:r>
          </w:p>
        </w:tc>
        <w:tc>
          <w:tcPr>
            <w:tcW w:w="205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31D9B204">
            <w:pPr>
              <w:keepNext w:val="0"/>
              <w:keepLines w:val="0"/>
              <w:pageBreakBefore w:val="0"/>
              <w:widowControl/>
              <w:suppressLineNumbers w:val="0"/>
              <w:kinsoku/>
              <w:wordWrap w:val="0"/>
              <w:overflowPunct/>
              <w:autoSpaceDE/>
              <w:autoSpaceDN/>
              <w:bidi w:val="0"/>
              <w:spacing w:before="0" w:beforeAutospacing="0" w:after="0" w:afterAutospacing="0" w:line="360" w:lineRule="auto"/>
              <w:ind w:left="0" w:right="0"/>
              <w:jc w:val="center"/>
              <w:textAlignment w:val="center"/>
              <w:rPr>
                <w:rFonts w:hint="eastAsia" w:ascii="宋体" w:hAnsi="宋体" w:eastAsia="宋体" w:cs="宋体"/>
                <w:b w:val="0"/>
                <w:bCs w:val="0"/>
                <w:i w:val="0"/>
                <w:iCs w:val="0"/>
                <w:caps w:val="0"/>
                <w:color w:val="auto"/>
                <w:spacing w:val="0"/>
                <w:kern w:val="0"/>
                <w:sz w:val="18"/>
                <w:szCs w:val="18"/>
                <w:lang w:val="en-US"/>
              </w:rPr>
            </w:pPr>
            <w:r>
              <w:rPr>
                <w:rFonts w:hint="eastAsia" w:ascii="宋体" w:hAnsi="宋体" w:eastAsia="宋体" w:cs="宋体"/>
                <w:b w:val="0"/>
                <w:bCs w:val="0"/>
                <w:i w:val="0"/>
                <w:iCs w:val="0"/>
                <w:caps w:val="0"/>
                <w:color w:val="auto"/>
                <w:spacing w:val="0"/>
                <w:kern w:val="0"/>
                <w:sz w:val="18"/>
                <w:szCs w:val="18"/>
                <w:lang w:val="en-US" w:eastAsia="zh-CN"/>
              </w:rPr>
              <w:t>采购标的</w:t>
            </w:r>
          </w:p>
        </w:tc>
        <w:tc>
          <w:tcPr>
            <w:tcW w:w="123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99D5293">
            <w:pPr>
              <w:keepNext w:val="0"/>
              <w:keepLines w:val="0"/>
              <w:pageBreakBefore w:val="0"/>
              <w:widowControl/>
              <w:suppressLineNumbers w:val="0"/>
              <w:kinsoku/>
              <w:wordWrap w:val="0"/>
              <w:overflowPunct/>
              <w:autoSpaceDE/>
              <w:autoSpaceDN/>
              <w:bidi w:val="0"/>
              <w:spacing w:before="0" w:beforeAutospacing="0" w:after="0" w:afterAutospacing="0" w:line="360" w:lineRule="auto"/>
              <w:ind w:left="0" w:right="0"/>
              <w:jc w:val="center"/>
              <w:textAlignment w:val="center"/>
              <w:rPr>
                <w:rFonts w:hint="eastAsia" w:ascii="宋体" w:hAnsi="宋体" w:eastAsia="宋体" w:cs="宋体"/>
                <w:b w:val="0"/>
                <w:bCs w:val="0"/>
                <w:i w:val="0"/>
                <w:iCs w:val="0"/>
                <w:caps w:val="0"/>
                <w:color w:val="auto"/>
                <w:spacing w:val="0"/>
                <w:kern w:val="0"/>
                <w:sz w:val="18"/>
                <w:szCs w:val="18"/>
                <w:lang w:val="en-US"/>
              </w:rPr>
            </w:pPr>
            <w:r>
              <w:rPr>
                <w:rFonts w:hint="eastAsia" w:ascii="宋体" w:hAnsi="宋体" w:eastAsia="宋体" w:cs="宋体"/>
                <w:b w:val="0"/>
                <w:bCs w:val="0"/>
                <w:i w:val="0"/>
                <w:iCs w:val="0"/>
                <w:caps w:val="0"/>
                <w:color w:val="auto"/>
                <w:spacing w:val="0"/>
                <w:kern w:val="0"/>
                <w:sz w:val="18"/>
                <w:szCs w:val="18"/>
                <w:lang w:val="en-US" w:eastAsia="zh-CN"/>
              </w:rPr>
              <w:t>数量（单位）</w:t>
            </w:r>
          </w:p>
        </w:tc>
        <w:tc>
          <w:tcPr>
            <w:tcW w:w="144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B17740B">
            <w:pPr>
              <w:keepNext w:val="0"/>
              <w:keepLines w:val="0"/>
              <w:pageBreakBefore w:val="0"/>
              <w:widowControl/>
              <w:suppressLineNumbers w:val="0"/>
              <w:kinsoku/>
              <w:wordWrap w:val="0"/>
              <w:overflowPunct/>
              <w:autoSpaceDE/>
              <w:autoSpaceDN/>
              <w:bidi w:val="0"/>
              <w:spacing w:before="0" w:beforeAutospacing="0" w:after="0" w:afterAutospacing="0" w:line="360" w:lineRule="auto"/>
              <w:ind w:left="0" w:right="0"/>
              <w:jc w:val="center"/>
              <w:textAlignment w:val="center"/>
              <w:rPr>
                <w:rFonts w:hint="eastAsia" w:ascii="宋体" w:hAnsi="宋体" w:eastAsia="宋体" w:cs="宋体"/>
                <w:b w:val="0"/>
                <w:bCs w:val="0"/>
                <w:i w:val="0"/>
                <w:iCs w:val="0"/>
                <w:caps w:val="0"/>
                <w:color w:val="auto"/>
                <w:spacing w:val="0"/>
                <w:kern w:val="0"/>
                <w:sz w:val="18"/>
                <w:szCs w:val="18"/>
                <w:lang w:val="en-US"/>
              </w:rPr>
            </w:pPr>
            <w:r>
              <w:rPr>
                <w:rFonts w:hint="eastAsia" w:ascii="宋体" w:hAnsi="宋体" w:eastAsia="宋体" w:cs="宋体"/>
                <w:b w:val="0"/>
                <w:bCs w:val="0"/>
                <w:i w:val="0"/>
                <w:iCs w:val="0"/>
                <w:caps w:val="0"/>
                <w:color w:val="auto"/>
                <w:spacing w:val="0"/>
                <w:kern w:val="0"/>
                <w:sz w:val="18"/>
                <w:szCs w:val="18"/>
                <w:lang w:val="en-US"/>
              </w:rPr>
              <w:t>技术规格、参数及要求</w:t>
            </w:r>
          </w:p>
        </w:tc>
        <w:tc>
          <w:tcPr>
            <w:tcW w:w="1503"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494A417">
            <w:pPr>
              <w:keepNext w:val="0"/>
              <w:keepLines w:val="0"/>
              <w:pageBreakBefore w:val="0"/>
              <w:widowControl/>
              <w:suppressLineNumbers w:val="0"/>
              <w:kinsoku/>
              <w:wordWrap w:val="0"/>
              <w:overflowPunct/>
              <w:autoSpaceDE/>
              <w:autoSpaceDN/>
              <w:bidi w:val="0"/>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aps w:val="0"/>
                <w:color w:val="auto"/>
                <w:spacing w:val="0"/>
                <w:kern w:val="0"/>
                <w:sz w:val="18"/>
                <w:szCs w:val="18"/>
                <w:lang w:val="en-US"/>
              </w:rPr>
            </w:pPr>
            <w:r>
              <w:rPr>
                <w:rFonts w:hint="eastAsia" w:ascii="宋体" w:hAnsi="宋体" w:eastAsia="宋体" w:cs="宋体"/>
                <w:b w:val="0"/>
                <w:bCs w:val="0"/>
                <w:i w:val="0"/>
                <w:iCs w:val="0"/>
                <w:caps w:val="0"/>
                <w:color w:val="auto"/>
                <w:spacing w:val="0"/>
                <w:kern w:val="0"/>
                <w:sz w:val="18"/>
                <w:szCs w:val="18"/>
                <w:lang w:val="en-US"/>
              </w:rPr>
              <w:t>品目预算(元)</w:t>
            </w:r>
          </w:p>
        </w:tc>
        <w:tc>
          <w:tcPr>
            <w:tcW w:w="134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75D0F86">
            <w:pPr>
              <w:keepNext w:val="0"/>
              <w:keepLines w:val="0"/>
              <w:pageBreakBefore w:val="0"/>
              <w:widowControl/>
              <w:suppressLineNumbers w:val="0"/>
              <w:kinsoku/>
              <w:wordWrap w:val="0"/>
              <w:overflowPunct/>
              <w:autoSpaceDE/>
              <w:autoSpaceDN/>
              <w:bidi w:val="0"/>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aps w:val="0"/>
                <w:color w:val="auto"/>
                <w:spacing w:val="0"/>
                <w:kern w:val="0"/>
                <w:sz w:val="18"/>
                <w:szCs w:val="18"/>
              </w:rPr>
            </w:pPr>
            <w:r>
              <w:rPr>
                <w:rFonts w:hint="eastAsia" w:ascii="宋体" w:hAnsi="宋体" w:eastAsia="宋体" w:cs="宋体"/>
                <w:b w:val="0"/>
                <w:bCs w:val="0"/>
                <w:i w:val="0"/>
                <w:iCs w:val="0"/>
                <w:caps w:val="0"/>
                <w:color w:val="auto"/>
                <w:spacing w:val="0"/>
                <w:kern w:val="0"/>
                <w:sz w:val="18"/>
                <w:szCs w:val="18"/>
                <w:lang w:val="en-US" w:eastAsia="zh-CN"/>
              </w:rPr>
              <w:t>最高限价</w:t>
            </w:r>
            <w:r>
              <w:rPr>
                <w:rFonts w:hint="eastAsia" w:ascii="宋体" w:hAnsi="宋体" w:eastAsia="宋体" w:cs="宋体"/>
                <w:b w:val="0"/>
                <w:bCs w:val="0"/>
                <w:i w:val="0"/>
                <w:iCs w:val="0"/>
                <w:caps w:val="0"/>
                <w:color w:val="auto"/>
                <w:spacing w:val="0"/>
                <w:kern w:val="0"/>
                <w:sz w:val="18"/>
                <w:szCs w:val="18"/>
                <w:lang w:val="en-US"/>
              </w:rPr>
              <w:t>(元)</w:t>
            </w:r>
          </w:p>
        </w:tc>
      </w:tr>
      <w:tr w14:paraId="4795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8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5D2865C">
            <w:pPr>
              <w:keepNext w:val="0"/>
              <w:keepLines w:val="0"/>
              <w:pageBreakBefore w:val="0"/>
              <w:widowControl/>
              <w:suppressLineNumbers w:val="0"/>
              <w:kinsoku/>
              <w:wordWrap w:val="0"/>
              <w:overflowPunct/>
              <w:autoSpaceDE/>
              <w:autoSpaceDN/>
              <w:bidi w:val="0"/>
              <w:spacing w:before="0" w:beforeAutospacing="0" w:after="0" w:afterAutospacing="0" w:line="360" w:lineRule="auto"/>
              <w:ind w:left="0" w:right="0"/>
              <w:jc w:val="center"/>
              <w:textAlignment w:val="center"/>
              <w:rPr>
                <w:rFonts w:hint="eastAsia" w:ascii="宋体" w:hAnsi="宋体" w:eastAsia="宋体" w:cs="宋体"/>
                <w:b w:val="0"/>
                <w:bCs w:val="0"/>
                <w:i w:val="0"/>
                <w:iCs w:val="0"/>
                <w:caps w:val="0"/>
                <w:color w:val="auto"/>
                <w:spacing w:val="0"/>
                <w:kern w:val="0"/>
                <w:sz w:val="18"/>
                <w:szCs w:val="18"/>
                <w:highlight w:val="none"/>
                <w:lang w:val="en-US"/>
              </w:rPr>
            </w:pPr>
            <w:r>
              <w:rPr>
                <w:rFonts w:hint="eastAsia" w:ascii="宋体" w:hAnsi="宋体" w:eastAsia="宋体" w:cs="宋体"/>
                <w:b w:val="0"/>
                <w:bCs w:val="0"/>
                <w:i w:val="0"/>
                <w:iCs w:val="0"/>
                <w:caps w:val="0"/>
                <w:color w:val="auto"/>
                <w:spacing w:val="0"/>
                <w:kern w:val="0"/>
                <w:sz w:val="18"/>
                <w:szCs w:val="18"/>
                <w:highlight w:val="none"/>
                <w:lang w:val="en-US" w:eastAsia="zh-CN" w:bidi="ar"/>
              </w:rPr>
              <w:t>1-1</w:t>
            </w:r>
          </w:p>
        </w:tc>
        <w:tc>
          <w:tcPr>
            <w:tcW w:w="106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E808179">
            <w:pPr>
              <w:keepNext w:val="0"/>
              <w:keepLines w:val="0"/>
              <w:pageBreakBefore w:val="0"/>
              <w:widowControl/>
              <w:suppressLineNumbers w:val="0"/>
              <w:kinsoku/>
              <w:wordWrap w:val="0"/>
              <w:overflowPunct/>
              <w:autoSpaceDE/>
              <w:autoSpaceDN/>
              <w:bidi w:val="0"/>
              <w:snapToGrid/>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aps w:val="0"/>
                <w:color w:val="auto"/>
                <w:spacing w:val="0"/>
                <w:kern w:val="0"/>
                <w:sz w:val="18"/>
                <w:szCs w:val="18"/>
                <w:highlight w:val="none"/>
                <w:lang w:val="en-US" w:eastAsia="zh-CN"/>
              </w:rPr>
            </w:pPr>
            <w:r>
              <w:rPr>
                <w:rFonts w:hint="eastAsia" w:ascii="宋体" w:hAnsi="宋体" w:eastAsia="宋体" w:cs="宋体"/>
                <w:b w:val="0"/>
                <w:bCs w:val="0"/>
                <w:i w:val="0"/>
                <w:iCs w:val="0"/>
                <w:caps w:val="0"/>
                <w:color w:val="auto"/>
                <w:spacing w:val="0"/>
                <w:kern w:val="0"/>
                <w:sz w:val="18"/>
                <w:szCs w:val="18"/>
                <w:highlight w:val="none"/>
                <w:lang w:val="en-US" w:eastAsia="zh-CN"/>
              </w:rPr>
              <w:t>体检服务</w:t>
            </w:r>
          </w:p>
        </w:tc>
        <w:tc>
          <w:tcPr>
            <w:tcW w:w="205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F1CE8DD">
            <w:pPr>
              <w:keepNext w:val="0"/>
              <w:keepLines w:val="0"/>
              <w:pageBreakBefore w:val="0"/>
              <w:widowControl/>
              <w:suppressLineNumbers w:val="0"/>
              <w:kinsoku/>
              <w:wordWrap w:val="0"/>
              <w:overflowPunct/>
              <w:autoSpaceDE/>
              <w:autoSpaceDN/>
              <w:bidi w:val="0"/>
              <w:snapToGrid/>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aps w:val="0"/>
                <w:color w:val="auto"/>
                <w:spacing w:val="0"/>
                <w:kern w:val="0"/>
                <w:sz w:val="18"/>
                <w:szCs w:val="18"/>
                <w:highlight w:val="none"/>
                <w:lang w:val="en-US" w:eastAsia="zh-CN"/>
              </w:rPr>
            </w:pPr>
            <w:r>
              <w:rPr>
                <w:rFonts w:hint="eastAsia" w:ascii="宋体" w:hAnsi="宋体" w:eastAsia="宋体" w:cs="宋体"/>
                <w:b w:val="0"/>
                <w:bCs w:val="0"/>
                <w:i w:val="0"/>
                <w:iCs w:val="0"/>
                <w:caps w:val="0"/>
                <w:color w:val="auto"/>
                <w:spacing w:val="0"/>
                <w:kern w:val="0"/>
                <w:sz w:val="18"/>
                <w:szCs w:val="18"/>
                <w:highlight w:val="none"/>
                <w:lang w:val="en-US" w:eastAsia="zh-CN"/>
              </w:rPr>
              <w:t>体检服务</w:t>
            </w:r>
          </w:p>
        </w:tc>
        <w:tc>
          <w:tcPr>
            <w:tcW w:w="123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36B09949">
            <w:pPr>
              <w:keepNext w:val="0"/>
              <w:keepLines w:val="0"/>
              <w:pageBreakBefore w:val="0"/>
              <w:widowControl/>
              <w:suppressLineNumbers w:val="0"/>
              <w:kinsoku/>
              <w:wordWrap w:val="0"/>
              <w:overflowPunct/>
              <w:autoSpaceDE/>
              <w:autoSpaceDN/>
              <w:bidi w:val="0"/>
              <w:snapToGrid/>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aps w:val="0"/>
                <w:color w:val="auto"/>
                <w:spacing w:val="0"/>
                <w:kern w:val="0"/>
                <w:sz w:val="18"/>
                <w:szCs w:val="18"/>
                <w:highlight w:val="none"/>
                <w:lang w:val="en-US" w:eastAsia="zh-CN"/>
              </w:rPr>
            </w:pPr>
            <w:r>
              <w:rPr>
                <w:rFonts w:hint="eastAsia" w:ascii="宋体" w:hAnsi="宋体" w:eastAsia="宋体" w:cs="宋体"/>
                <w:b w:val="0"/>
                <w:bCs w:val="0"/>
                <w:i w:val="0"/>
                <w:iCs w:val="0"/>
                <w:caps w:val="0"/>
                <w:color w:val="auto"/>
                <w:spacing w:val="0"/>
                <w:kern w:val="0"/>
                <w:sz w:val="18"/>
                <w:szCs w:val="18"/>
                <w:highlight w:val="none"/>
                <w:lang w:val="en-US" w:eastAsia="zh-CN"/>
              </w:rPr>
              <w:t>1(项）</w:t>
            </w:r>
          </w:p>
        </w:tc>
        <w:tc>
          <w:tcPr>
            <w:tcW w:w="144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38971574">
            <w:pPr>
              <w:keepNext w:val="0"/>
              <w:keepLines w:val="0"/>
              <w:pageBreakBefore w:val="0"/>
              <w:widowControl/>
              <w:suppressLineNumbers w:val="0"/>
              <w:kinsoku/>
              <w:wordWrap w:val="0"/>
              <w:overflowPunct/>
              <w:autoSpaceDE/>
              <w:autoSpaceDN/>
              <w:bidi w:val="0"/>
              <w:snapToGrid/>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aps w:val="0"/>
                <w:color w:val="auto"/>
                <w:spacing w:val="0"/>
                <w:kern w:val="0"/>
                <w:sz w:val="18"/>
                <w:szCs w:val="18"/>
                <w:highlight w:val="none"/>
                <w:lang w:val="en-US" w:eastAsia="zh-CN"/>
              </w:rPr>
            </w:pPr>
            <w:r>
              <w:rPr>
                <w:rFonts w:hint="eastAsia" w:ascii="宋体" w:hAnsi="宋体" w:eastAsia="宋体" w:cs="宋体"/>
                <w:b w:val="0"/>
                <w:bCs w:val="0"/>
                <w:i w:val="0"/>
                <w:iCs w:val="0"/>
                <w:caps w:val="0"/>
                <w:color w:val="auto"/>
                <w:spacing w:val="0"/>
                <w:kern w:val="0"/>
                <w:sz w:val="18"/>
                <w:szCs w:val="18"/>
                <w:highlight w:val="none"/>
                <w:lang w:val="en-US" w:eastAsia="zh-CN"/>
              </w:rPr>
              <w:t>详见采购文件</w:t>
            </w:r>
          </w:p>
        </w:tc>
        <w:tc>
          <w:tcPr>
            <w:tcW w:w="1503"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E6B4015">
            <w:pPr>
              <w:keepNext w:val="0"/>
              <w:keepLines w:val="0"/>
              <w:pageBreakBefore w:val="0"/>
              <w:widowControl/>
              <w:suppressLineNumbers w:val="0"/>
              <w:kinsoku/>
              <w:wordWrap w:val="0"/>
              <w:overflowPunct/>
              <w:autoSpaceDE/>
              <w:autoSpaceDN/>
              <w:bidi w:val="0"/>
              <w:snapToGrid/>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aps w:val="0"/>
                <w:color w:val="auto"/>
                <w:spacing w:val="0"/>
                <w:kern w:val="0"/>
                <w:sz w:val="18"/>
                <w:szCs w:val="18"/>
                <w:highlight w:val="none"/>
                <w:lang w:val="en-US" w:eastAsia="zh-CN"/>
              </w:rPr>
            </w:pPr>
            <w:r>
              <w:rPr>
                <w:rFonts w:hint="eastAsia" w:ascii="宋体" w:hAnsi="宋体" w:eastAsia="宋体" w:cs="宋体"/>
                <w:b w:val="0"/>
                <w:bCs w:val="0"/>
                <w:i w:val="0"/>
                <w:iCs w:val="0"/>
                <w:caps w:val="0"/>
                <w:color w:val="auto"/>
                <w:spacing w:val="0"/>
                <w:kern w:val="0"/>
                <w:sz w:val="18"/>
                <w:szCs w:val="18"/>
                <w:highlight w:val="none"/>
                <w:lang w:val="en-US" w:eastAsia="zh-CN"/>
              </w:rPr>
              <w:t>158,100.00</w:t>
            </w:r>
          </w:p>
        </w:tc>
        <w:tc>
          <w:tcPr>
            <w:tcW w:w="134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2DF1D57">
            <w:pPr>
              <w:keepNext w:val="0"/>
              <w:keepLines w:val="0"/>
              <w:pageBreakBefore w:val="0"/>
              <w:widowControl/>
              <w:suppressLineNumbers w:val="0"/>
              <w:kinsoku/>
              <w:wordWrap w:val="0"/>
              <w:overflowPunct/>
              <w:autoSpaceDE/>
              <w:autoSpaceDN/>
              <w:bidi w:val="0"/>
              <w:snapToGrid/>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aps w:val="0"/>
                <w:color w:val="auto"/>
                <w:spacing w:val="0"/>
                <w:kern w:val="0"/>
                <w:sz w:val="18"/>
                <w:szCs w:val="18"/>
                <w:highlight w:val="none"/>
                <w:lang w:val="en-US" w:eastAsia="zh-CN"/>
              </w:rPr>
            </w:pPr>
            <w:r>
              <w:rPr>
                <w:rFonts w:hint="eastAsia" w:ascii="宋体" w:hAnsi="宋体" w:eastAsia="宋体" w:cs="宋体"/>
                <w:b w:val="0"/>
                <w:bCs w:val="0"/>
                <w:i w:val="0"/>
                <w:iCs w:val="0"/>
                <w:caps w:val="0"/>
                <w:color w:val="auto"/>
                <w:spacing w:val="0"/>
                <w:kern w:val="0"/>
                <w:sz w:val="18"/>
                <w:szCs w:val="18"/>
                <w:highlight w:val="none"/>
                <w:lang w:val="en-US" w:eastAsia="zh-CN"/>
              </w:rPr>
              <w:t>158,100.00</w:t>
            </w:r>
          </w:p>
        </w:tc>
      </w:tr>
    </w:tbl>
    <w:p w14:paraId="25FD284D">
      <w:pPr>
        <w:pageBreakBefore w:val="0"/>
        <w:widowControl/>
        <w:numPr>
          <w:ilvl w:val="0"/>
          <w:numId w:val="0"/>
        </w:numPr>
        <w:kinsoku/>
        <w:overflowPunct/>
        <w:autoSpaceDE/>
        <w:autoSpaceDN/>
        <w:bidi w:val="0"/>
        <w:spacing w:before="0" w:beforeLines="0" w:beforeAutospacing="0" w:after="0" w:afterLines="0" w:afterAutospacing="0" w:line="360" w:lineRule="auto"/>
        <w:ind w:firstLine="480" w:firstLineChars="200"/>
        <w:jc w:val="left"/>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本合同包不接受联合体投标</w:t>
      </w:r>
    </w:p>
    <w:p w14:paraId="5BDC19F8">
      <w:pPr>
        <w:pageBreakBefore w:val="0"/>
        <w:widowControl/>
        <w:kinsoku/>
        <w:overflowPunct/>
        <w:autoSpaceDE/>
        <w:autoSpaceDN/>
        <w:bidi w:val="0"/>
        <w:spacing w:before="0" w:beforeLines="0" w:beforeAutospacing="0" w:after="0" w:afterLines="0" w:afterAutospacing="0" w:line="360" w:lineRule="auto"/>
        <w:ind w:firstLine="480" w:firstLineChars="200"/>
        <w:jc w:val="left"/>
        <w:rPr>
          <w:rFonts w:hint="eastAsia" w:ascii="宋体" w:hAnsi="宋体" w:eastAsia="宋体" w:cs="宋体"/>
          <w:b/>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合同履行期限：</w:t>
      </w:r>
      <w:r>
        <w:rPr>
          <w:rFonts w:hint="eastAsia" w:ascii="宋体" w:hAnsi="宋体" w:cs="宋体"/>
          <w:color w:val="auto"/>
          <w:spacing w:val="0"/>
          <w:kern w:val="0"/>
          <w:sz w:val="24"/>
          <w:szCs w:val="24"/>
          <w:highlight w:val="none"/>
          <w:shd w:val="clear" w:color="auto" w:fill="FFFFFF"/>
          <w:lang w:val="en-US" w:eastAsia="zh-CN" w:bidi="ar-SA"/>
        </w:rPr>
        <w:t>合同签订之日起1个月内</w:t>
      </w:r>
    </w:p>
    <w:p w14:paraId="3CA08944">
      <w:pPr>
        <w:pageBreakBefore w:val="0"/>
        <w:widowControl/>
        <w:kinsoku/>
        <w:overflowPunct/>
        <w:autoSpaceDE/>
        <w:autoSpaceDN/>
        <w:bidi w:val="0"/>
        <w:spacing w:before="0" w:beforeLines="0" w:beforeAutospacing="0" w:after="0" w:afterLines="0" w:afterAutospacing="0" w:line="360" w:lineRule="auto"/>
        <w:jc w:val="left"/>
        <w:rPr>
          <w:rFonts w:hint="eastAsia" w:ascii="宋体" w:hAnsi="宋体" w:eastAsia="宋体" w:cs="宋体"/>
          <w:b/>
          <w:color w:val="auto"/>
          <w:spacing w:val="0"/>
          <w:kern w:val="0"/>
          <w:sz w:val="24"/>
          <w:szCs w:val="24"/>
          <w:highlight w:val="none"/>
          <w:lang w:val="en-US" w:eastAsia="zh-CN" w:bidi="ar-SA"/>
        </w:rPr>
      </w:pPr>
      <w:r>
        <w:rPr>
          <w:rFonts w:hint="eastAsia" w:ascii="宋体" w:hAnsi="宋体" w:eastAsia="宋体" w:cs="宋体"/>
          <w:b/>
          <w:color w:val="auto"/>
          <w:spacing w:val="0"/>
          <w:kern w:val="0"/>
          <w:sz w:val="24"/>
          <w:szCs w:val="24"/>
          <w:highlight w:val="none"/>
          <w:shd w:val="clear" w:color="auto" w:fill="FFFFFF"/>
          <w:lang w:val="en-US" w:eastAsia="zh-CN" w:bidi="ar-SA"/>
        </w:rPr>
        <w:t>二、申请人的资格要求：</w:t>
      </w:r>
    </w:p>
    <w:p w14:paraId="64CE8C7D">
      <w:pPr>
        <w:pageBreakBefore w:val="0"/>
        <w:widowControl/>
        <w:kinsoku/>
        <w:overflowPunct/>
        <w:autoSpaceDE/>
        <w:autoSpaceDN/>
        <w:bidi w:val="0"/>
        <w:spacing w:before="0" w:beforeLines="0" w:beforeAutospacing="0" w:after="0" w:afterLines="0" w:afterAutospacing="0" w:line="360" w:lineRule="auto"/>
        <w:ind w:firstLine="420"/>
        <w:jc w:val="left"/>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1.满足《中华人民共和国政府采购法》第二十二条规定；</w:t>
      </w:r>
    </w:p>
    <w:p w14:paraId="3B9F14BC">
      <w:pPr>
        <w:pageBreakBefore w:val="0"/>
        <w:widowControl/>
        <w:kinsoku/>
        <w:overflowPunct/>
        <w:autoSpaceDE/>
        <w:autoSpaceDN/>
        <w:bidi w:val="0"/>
        <w:spacing w:before="0" w:beforeLines="0" w:beforeAutospacing="0" w:after="0" w:afterLines="0" w:afterAutospacing="0" w:line="360" w:lineRule="auto"/>
        <w:ind w:firstLine="420"/>
        <w:jc w:val="left"/>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2.落实政府采购政策需满足的资格要求：</w:t>
      </w:r>
    </w:p>
    <w:p w14:paraId="32754AEF">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auto"/>
        <w:ind w:left="0" w:leftChars="0" w:firstLine="480" w:firstLineChars="200"/>
        <w:jc w:val="left"/>
        <w:textAlignment w:val="auto"/>
        <w:rPr>
          <w:rFonts w:hint="default" w:ascii="宋体" w:hAnsi="宋体" w:eastAsia="宋体" w:cs="宋体"/>
          <w:b w:val="0"/>
          <w:bCs/>
          <w:color w:val="auto"/>
          <w:spacing w:val="0"/>
          <w:kern w:val="0"/>
          <w:sz w:val="24"/>
          <w:szCs w:val="24"/>
          <w:highlight w:val="none"/>
          <w:lang w:val="en-US" w:eastAsia="zh-CN" w:bidi="ar-SA"/>
        </w:rPr>
      </w:pPr>
      <w:r>
        <w:rPr>
          <w:rFonts w:hint="eastAsia" w:ascii="宋体" w:hAnsi="宋体" w:eastAsia="宋体" w:cs="宋体"/>
          <w:b w:val="0"/>
          <w:bCs/>
          <w:color w:val="auto"/>
          <w:spacing w:val="0"/>
          <w:kern w:val="0"/>
          <w:sz w:val="24"/>
          <w:szCs w:val="24"/>
          <w:highlight w:val="none"/>
          <w:lang w:val="en-US" w:eastAsia="zh-CN" w:bidi="ar-SA"/>
        </w:rPr>
        <w:t>合同包1(体检服务)落实政府采购政策需满足的资格要求如下：</w:t>
      </w:r>
      <w:r>
        <w:rPr>
          <w:rFonts w:hint="eastAsia" w:ascii="宋体" w:hAnsi="宋体" w:cs="宋体"/>
          <w:b w:val="0"/>
          <w:bCs/>
          <w:color w:val="auto"/>
          <w:spacing w:val="0"/>
          <w:kern w:val="0"/>
          <w:sz w:val="24"/>
          <w:szCs w:val="24"/>
          <w:highlight w:val="none"/>
          <w:lang w:val="en-US" w:eastAsia="zh-CN" w:bidi="ar-SA"/>
        </w:rPr>
        <w:t>无</w:t>
      </w:r>
    </w:p>
    <w:p w14:paraId="42EB060F">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auto"/>
        <w:ind w:left="0" w:leftChars="0" w:firstLine="480" w:firstLineChars="200"/>
        <w:jc w:val="left"/>
        <w:textAlignment w:val="auto"/>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3.本项目的特定资格要求：</w:t>
      </w:r>
    </w:p>
    <w:p w14:paraId="105D521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left="479" w:leftChars="228" w:firstLine="0" w:firstLineChars="0"/>
        <w:jc w:val="left"/>
        <w:textAlignment w:val="auto"/>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合同包1(体检服务)特定资格要求如下：</w:t>
      </w:r>
    </w:p>
    <w:p w14:paraId="70E480A3">
      <w:pPr>
        <w:pageBreakBefore w:val="0"/>
        <w:kinsoku/>
        <w:overflowPunct/>
        <w:autoSpaceDE/>
        <w:autoSpaceDN/>
        <w:bidi w:val="0"/>
        <w:adjustRightInd w:val="0"/>
        <w:spacing w:line="360" w:lineRule="auto"/>
        <w:ind w:firstLine="480" w:firstLineChars="20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（1）供应商为具有独立承担民事责任能力的法人或其他组织。企业法人应提供合法有效的标识有统一社会信用代码的营业执照；事业法人应提供事业单位法人证书；其他组织应提供合法登记证明文件；</w:t>
      </w:r>
    </w:p>
    <w:p w14:paraId="0EEED3CC">
      <w:pPr>
        <w:pageBreakBefore w:val="0"/>
        <w:kinsoku/>
        <w:overflowPunct/>
        <w:autoSpaceDE/>
        <w:autoSpaceDN/>
        <w:bidi w:val="0"/>
        <w:adjustRightInd w:val="0"/>
        <w:spacing w:line="360" w:lineRule="auto"/>
        <w:ind w:firstLine="480" w:firstLineChars="20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（2）供应商须具备卫生行政部门颁发的《医疗机构执业许可证》(诊疗科目中有开展健康体检服务的科目)、《放射诊疗许可证》；</w:t>
      </w:r>
    </w:p>
    <w:p w14:paraId="6B9BE572">
      <w:pPr>
        <w:pageBreakBefore w:val="0"/>
        <w:kinsoku/>
        <w:overflowPunct/>
        <w:autoSpaceDE/>
        <w:autoSpaceDN/>
        <w:bidi w:val="0"/>
        <w:adjustRightInd w:val="0"/>
        <w:spacing w:line="360" w:lineRule="auto"/>
        <w:ind w:firstLine="480" w:firstLineChars="20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（3）财务状况报告：提供2024年经审计的财务报告或开标前三个月内开户银行开具的资信证明；</w:t>
      </w:r>
    </w:p>
    <w:p w14:paraId="1C464F7C">
      <w:pPr>
        <w:pageBreakBefore w:val="0"/>
        <w:kinsoku/>
        <w:overflowPunct/>
        <w:autoSpaceDE/>
        <w:autoSpaceDN/>
        <w:bidi w:val="0"/>
        <w:adjustRightInd w:val="0"/>
        <w:spacing w:line="360" w:lineRule="auto"/>
        <w:ind w:firstLine="480" w:firstLineChars="20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（4）税收缴纳证明：提供2025年04月至今已缴纳的至少一个月的纳税证明或完税证明（任意税种），依法免税的单位应提供相关证明材料；</w:t>
      </w:r>
    </w:p>
    <w:p w14:paraId="6DC701C9">
      <w:pPr>
        <w:pageBreakBefore w:val="0"/>
        <w:kinsoku/>
        <w:overflowPunct/>
        <w:autoSpaceDE/>
        <w:autoSpaceDN/>
        <w:bidi w:val="0"/>
        <w:adjustRightInd w:val="0"/>
        <w:spacing w:line="360" w:lineRule="auto"/>
        <w:ind w:firstLine="480" w:firstLineChars="20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（5）社会保障资金缴纳证明：提供2025年04月至今已缴存的至少一个月的社会保障资金缴存单据或社保机构开具的社会保险参保缴费情况证明，依法不需要缴纳社会保障资金的单位应提供相关证明材料；</w:t>
      </w:r>
    </w:p>
    <w:p w14:paraId="13A5E1A2">
      <w:pPr>
        <w:pageBreakBefore w:val="0"/>
        <w:kinsoku/>
        <w:overflowPunct/>
        <w:autoSpaceDE/>
        <w:autoSpaceDN/>
        <w:bidi w:val="0"/>
        <w:adjustRightInd w:val="0"/>
        <w:spacing w:line="360" w:lineRule="auto"/>
        <w:ind w:firstLine="480" w:firstLineChars="20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（6）提供具有履行本合同所必需的设备和专业技术能力的声明；</w:t>
      </w:r>
    </w:p>
    <w:p w14:paraId="225E6068">
      <w:pPr>
        <w:pageBreakBefore w:val="0"/>
        <w:kinsoku/>
        <w:overflowPunct/>
        <w:autoSpaceDE/>
        <w:autoSpaceDN/>
        <w:bidi w:val="0"/>
        <w:adjustRightInd w:val="0"/>
        <w:spacing w:line="360" w:lineRule="auto"/>
        <w:ind w:firstLine="480" w:firstLineChars="20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（7）参加本次政府采购活动前3年内在经营活动中没有重大违纪，以及未被列入失信被执行人、重大税收违法失信主体、政府采购严重违法失信行为记录名单的书面声明；</w:t>
      </w:r>
    </w:p>
    <w:p w14:paraId="62A3F94B">
      <w:pPr>
        <w:pageBreakBefore w:val="0"/>
        <w:kinsoku/>
        <w:overflowPunct/>
        <w:autoSpaceDE/>
        <w:autoSpaceDN/>
        <w:bidi w:val="0"/>
        <w:adjustRightInd w:val="0"/>
        <w:spacing w:line="360" w:lineRule="auto"/>
        <w:ind w:firstLine="480" w:firstLineChars="20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w:t>
      </w:r>
      <w:r>
        <w:rPr>
          <w:rFonts w:hint="eastAsia" w:ascii="宋体" w:hAnsi="宋体" w:cs="宋体"/>
          <w:color w:val="auto"/>
          <w:spacing w:val="0"/>
          <w:kern w:val="0"/>
          <w:sz w:val="24"/>
          <w:szCs w:val="24"/>
          <w:highlight w:val="none"/>
          <w:lang w:val="en-US" w:eastAsia="zh-CN"/>
        </w:rPr>
        <w:t>供应商应授权合法的人员参加投标全过程，其中法定代表人直接参加投标的，须出具法人身份证，并与营业执照上信息一致。法定代表人授权代表参加投标的，须出具法定代表人授权书、授权代表身份证以及被授权人在磋商截止日前6个月内在本单位已缴存的至少1个月的社会保险参保缴费证明</w:t>
      </w:r>
      <w:r>
        <w:rPr>
          <w:rFonts w:hint="eastAsia" w:ascii="宋体" w:hAnsi="宋体" w:eastAsia="宋体" w:cs="宋体"/>
          <w:color w:val="auto"/>
          <w:spacing w:val="0"/>
          <w:kern w:val="0"/>
          <w:sz w:val="24"/>
          <w:szCs w:val="24"/>
          <w:highlight w:val="none"/>
          <w:lang w:val="en-US" w:eastAsia="zh-CN"/>
        </w:rPr>
        <w:t>；</w:t>
      </w:r>
    </w:p>
    <w:p w14:paraId="4DEE41B1">
      <w:pPr>
        <w:pageBreakBefore w:val="0"/>
        <w:kinsoku/>
        <w:overflowPunct/>
        <w:autoSpaceDE/>
        <w:autoSpaceDN/>
        <w:bidi w:val="0"/>
        <w:adjustRightInd w:val="0"/>
        <w:spacing w:line="360" w:lineRule="auto"/>
        <w:ind w:firstLine="480" w:firstLineChars="200"/>
        <w:jc w:val="left"/>
        <w:rPr>
          <w:rFonts w:hint="eastAsia" w:ascii="宋体" w:hAnsi="宋体" w:eastAsia="宋体" w:cs="宋体"/>
          <w:color w:val="auto"/>
          <w:spacing w:val="0"/>
          <w:kern w:val="0"/>
          <w:sz w:val="24"/>
          <w:szCs w:val="24"/>
          <w:highlight w:val="none"/>
          <w:shd w:val="clear" w:color="auto" w:fill="FFFFFF"/>
          <w:lang w:val="en-US" w:eastAsia="zh-CN"/>
        </w:rPr>
      </w:pPr>
      <w:r>
        <w:rPr>
          <w:rFonts w:hint="eastAsia" w:ascii="宋体" w:hAnsi="宋体" w:eastAsia="宋体" w:cs="宋体"/>
          <w:color w:val="auto"/>
          <w:spacing w:val="0"/>
          <w:kern w:val="0"/>
          <w:sz w:val="24"/>
          <w:szCs w:val="24"/>
          <w:highlight w:val="none"/>
          <w:lang w:val="en-US" w:eastAsia="zh-CN"/>
        </w:rPr>
        <w:t>（9）供应商单位负责人不得为同一人或者存在控股、管理关系。</w:t>
      </w:r>
    </w:p>
    <w:p w14:paraId="624B61D4">
      <w:pPr>
        <w:pageBreakBefore w:val="0"/>
        <w:widowControl/>
        <w:kinsoku/>
        <w:overflowPunct/>
        <w:autoSpaceDE/>
        <w:autoSpaceDN/>
        <w:bidi w:val="0"/>
        <w:spacing w:before="0" w:beforeLines="0" w:beforeAutospacing="0" w:after="0" w:afterLines="0" w:afterAutospacing="0" w:line="360" w:lineRule="auto"/>
        <w:jc w:val="left"/>
        <w:rPr>
          <w:rFonts w:hint="eastAsia" w:ascii="宋体" w:hAnsi="宋体" w:eastAsia="宋体" w:cs="宋体"/>
          <w:b/>
          <w:color w:val="auto"/>
          <w:spacing w:val="0"/>
          <w:kern w:val="0"/>
          <w:sz w:val="24"/>
          <w:szCs w:val="24"/>
          <w:highlight w:val="none"/>
          <w:lang w:val="en-US" w:eastAsia="zh-CN" w:bidi="ar-SA"/>
        </w:rPr>
      </w:pPr>
      <w:r>
        <w:rPr>
          <w:rFonts w:hint="eastAsia" w:ascii="宋体" w:hAnsi="宋体" w:eastAsia="宋体" w:cs="宋体"/>
          <w:b/>
          <w:color w:val="auto"/>
          <w:spacing w:val="0"/>
          <w:kern w:val="0"/>
          <w:sz w:val="24"/>
          <w:szCs w:val="24"/>
          <w:highlight w:val="none"/>
          <w:shd w:val="clear" w:color="auto" w:fill="FFFFFF"/>
          <w:lang w:val="en-US" w:eastAsia="zh-CN" w:bidi="ar-SA"/>
        </w:rPr>
        <w:t>三、获取采购文件</w:t>
      </w:r>
    </w:p>
    <w:p w14:paraId="5AE8E311">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时间：</w:t>
      </w:r>
      <w:r>
        <w:rPr>
          <w:rFonts w:hint="eastAsia" w:ascii="宋体" w:hAnsi="宋体" w:eastAsia="宋体" w:cs="宋体"/>
          <w:color w:val="auto"/>
          <w:spacing w:val="0"/>
          <w:kern w:val="0"/>
          <w:sz w:val="24"/>
          <w:szCs w:val="24"/>
          <w:highlight w:val="none"/>
          <w:lang w:val="en-US" w:eastAsia="zh-CN"/>
        </w:rPr>
        <w:t>2025</w:t>
      </w:r>
      <w:r>
        <w:rPr>
          <w:rFonts w:hint="eastAsia" w:ascii="宋体" w:hAnsi="宋体" w:eastAsia="宋体" w:cs="宋体"/>
          <w:color w:val="auto"/>
          <w:spacing w:val="0"/>
          <w:kern w:val="0"/>
          <w:sz w:val="24"/>
          <w:szCs w:val="24"/>
          <w:highlight w:val="none"/>
        </w:rPr>
        <w:t>年</w:t>
      </w:r>
      <w:r>
        <w:rPr>
          <w:rFonts w:hint="eastAsia" w:ascii="宋体" w:hAnsi="宋体" w:cs="宋体"/>
          <w:color w:val="auto"/>
          <w:spacing w:val="0"/>
          <w:kern w:val="0"/>
          <w:sz w:val="24"/>
          <w:szCs w:val="24"/>
          <w:highlight w:val="none"/>
          <w:lang w:val="en-US" w:eastAsia="zh-CN"/>
        </w:rPr>
        <w:t>11</w:t>
      </w:r>
      <w:r>
        <w:rPr>
          <w:rFonts w:hint="eastAsia" w:ascii="宋体" w:hAnsi="宋体" w:eastAsia="宋体" w:cs="宋体"/>
          <w:color w:val="auto"/>
          <w:spacing w:val="0"/>
          <w:kern w:val="0"/>
          <w:sz w:val="24"/>
          <w:szCs w:val="24"/>
          <w:highlight w:val="none"/>
        </w:rPr>
        <w:t>月</w:t>
      </w:r>
      <w:r>
        <w:rPr>
          <w:rFonts w:hint="eastAsia" w:ascii="宋体" w:hAnsi="宋体" w:cs="宋体"/>
          <w:color w:val="auto"/>
          <w:spacing w:val="0"/>
          <w:kern w:val="0"/>
          <w:sz w:val="24"/>
          <w:szCs w:val="24"/>
          <w:highlight w:val="none"/>
          <w:lang w:val="en-US" w:eastAsia="zh-CN"/>
        </w:rPr>
        <w:t>27</w:t>
      </w:r>
      <w:r>
        <w:rPr>
          <w:rFonts w:hint="eastAsia" w:ascii="宋体" w:hAnsi="宋体" w:eastAsia="宋体" w:cs="宋体"/>
          <w:color w:val="auto"/>
          <w:spacing w:val="0"/>
          <w:kern w:val="0"/>
          <w:sz w:val="24"/>
          <w:szCs w:val="24"/>
          <w:highlight w:val="none"/>
        </w:rPr>
        <w:t>日至</w:t>
      </w:r>
      <w:r>
        <w:rPr>
          <w:rFonts w:hint="eastAsia" w:ascii="宋体" w:hAnsi="宋体" w:eastAsia="宋体" w:cs="宋体"/>
          <w:color w:val="auto"/>
          <w:spacing w:val="0"/>
          <w:kern w:val="0"/>
          <w:sz w:val="24"/>
          <w:szCs w:val="24"/>
          <w:highlight w:val="none"/>
          <w:lang w:val="en-US" w:eastAsia="zh-CN"/>
        </w:rPr>
        <w:t>2025</w:t>
      </w:r>
      <w:r>
        <w:rPr>
          <w:rFonts w:hint="eastAsia" w:ascii="宋体" w:hAnsi="宋体" w:eastAsia="宋体" w:cs="宋体"/>
          <w:color w:val="auto"/>
          <w:spacing w:val="0"/>
          <w:kern w:val="0"/>
          <w:sz w:val="24"/>
          <w:szCs w:val="24"/>
          <w:highlight w:val="none"/>
        </w:rPr>
        <w:t>年</w:t>
      </w:r>
      <w:r>
        <w:rPr>
          <w:rFonts w:hint="eastAsia" w:ascii="宋体" w:hAnsi="宋体" w:cs="宋体"/>
          <w:color w:val="auto"/>
          <w:spacing w:val="0"/>
          <w:kern w:val="0"/>
          <w:sz w:val="24"/>
          <w:szCs w:val="24"/>
          <w:highlight w:val="none"/>
          <w:lang w:val="en-US" w:eastAsia="zh-CN"/>
        </w:rPr>
        <w:t>12</w:t>
      </w:r>
      <w:r>
        <w:rPr>
          <w:rFonts w:hint="eastAsia" w:ascii="宋体" w:hAnsi="宋体" w:eastAsia="宋体" w:cs="宋体"/>
          <w:color w:val="auto"/>
          <w:spacing w:val="0"/>
          <w:kern w:val="0"/>
          <w:sz w:val="24"/>
          <w:szCs w:val="24"/>
          <w:highlight w:val="none"/>
        </w:rPr>
        <w:t>月</w:t>
      </w:r>
      <w:r>
        <w:rPr>
          <w:rFonts w:hint="eastAsia" w:ascii="宋体" w:hAnsi="宋体" w:cs="宋体"/>
          <w:color w:val="auto"/>
          <w:spacing w:val="0"/>
          <w:kern w:val="0"/>
          <w:sz w:val="24"/>
          <w:szCs w:val="24"/>
          <w:highlight w:val="none"/>
          <w:lang w:val="en-US" w:eastAsia="zh-CN"/>
        </w:rPr>
        <w:t>03</w:t>
      </w:r>
      <w:r>
        <w:rPr>
          <w:rFonts w:hint="eastAsia" w:ascii="宋体" w:hAnsi="宋体" w:eastAsia="宋体" w:cs="宋体"/>
          <w:color w:val="auto"/>
          <w:spacing w:val="0"/>
          <w:kern w:val="0"/>
          <w:sz w:val="24"/>
          <w:szCs w:val="24"/>
          <w:highlight w:val="none"/>
        </w:rPr>
        <w:t>日，每天上午08:30:00至12:00:00，下午13:30:00至18:00:00（北京时间）</w:t>
      </w:r>
    </w:p>
    <w:p w14:paraId="250FCE9A">
      <w:pPr>
        <w:pageBreakBefore w:val="0"/>
        <w:widowControl/>
        <w:kinsoku/>
        <w:overflowPunct/>
        <w:autoSpaceDE/>
        <w:autoSpaceDN/>
        <w:bidi w:val="0"/>
        <w:spacing w:before="0" w:beforeLines="0" w:beforeAutospacing="0" w:after="0" w:afterLines="0" w:afterAutospacing="0" w:line="360" w:lineRule="auto"/>
        <w:ind w:firstLine="42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途径：陕西省西安市经济技术开发区凤城十二路凯瑞B座1单元9层A0906号房</w:t>
      </w:r>
    </w:p>
    <w:p w14:paraId="7FA9167B">
      <w:pPr>
        <w:pageBreakBefore w:val="0"/>
        <w:widowControl/>
        <w:kinsoku/>
        <w:overflowPunct/>
        <w:autoSpaceDE/>
        <w:autoSpaceDN/>
        <w:bidi w:val="0"/>
        <w:spacing w:before="0" w:beforeLines="0" w:beforeAutospacing="0" w:after="0" w:afterLines="0" w:afterAutospacing="0" w:line="360" w:lineRule="auto"/>
        <w:ind w:firstLine="42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方式：现场获取</w:t>
      </w:r>
    </w:p>
    <w:p w14:paraId="332F2B79">
      <w:pPr>
        <w:pageBreakBefore w:val="0"/>
        <w:widowControl/>
        <w:kinsoku/>
        <w:overflowPunct/>
        <w:autoSpaceDE/>
        <w:autoSpaceDN/>
        <w:bidi w:val="0"/>
        <w:spacing w:before="0" w:beforeLines="0" w:beforeAutospacing="0" w:after="0" w:afterLines="0" w:afterAutospacing="0" w:line="360" w:lineRule="auto"/>
        <w:ind w:firstLine="42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售价：0元</w:t>
      </w:r>
    </w:p>
    <w:p w14:paraId="07787C1A">
      <w:pPr>
        <w:pageBreakBefore w:val="0"/>
        <w:widowControl/>
        <w:kinsoku/>
        <w:overflowPunct/>
        <w:autoSpaceDE/>
        <w:autoSpaceDN/>
        <w:bidi w:val="0"/>
        <w:spacing w:before="0" w:beforeLines="0" w:beforeAutospacing="0" w:after="0" w:afterLines="0" w:afterAutospacing="0" w:line="360" w:lineRule="auto"/>
        <w:jc w:val="left"/>
        <w:rPr>
          <w:rFonts w:hint="eastAsia" w:ascii="宋体" w:hAnsi="宋体" w:eastAsia="宋体" w:cs="宋体"/>
          <w:b/>
          <w:color w:val="auto"/>
          <w:spacing w:val="0"/>
          <w:kern w:val="0"/>
          <w:sz w:val="24"/>
          <w:szCs w:val="24"/>
          <w:highlight w:val="none"/>
          <w:lang w:val="en-US" w:eastAsia="zh-CN" w:bidi="ar-SA"/>
        </w:rPr>
      </w:pPr>
      <w:r>
        <w:rPr>
          <w:rFonts w:hint="eastAsia" w:ascii="宋体" w:hAnsi="宋体" w:eastAsia="宋体" w:cs="宋体"/>
          <w:b/>
          <w:color w:val="auto"/>
          <w:spacing w:val="0"/>
          <w:kern w:val="0"/>
          <w:sz w:val="24"/>
          <w:szCs w:val="24"/>
          <w:highlight w:val="none"/>
          <w:shd w:val="clear" w:color="auto" w:fill="FFFFFF"/>
          <w:lang w:val="en-US" w:eastAsia="zh-CN" w:bidi="ar-SA"/>
        </w:rPr>
        <w:t>四、提交投标文件截止时间、开标时间和地点</w:t>
      </w:r>
    </w:p>
    <w:p w14:paraId="72FC5010">
      <w:pPr>
        <w:pageBreakBefore w:val="0"/>
        <w:widowControl/>
        <w:kinsoku/>
        <w:overflowPunct/>
        <w:autoSpaceDE/>
        <w:autoSpaceDN/>
        <w:bidi w:val="0"/>
        <w:spacing w:before="0" w:beforeLines="0" w:beforeAutospacing="0" w:after="0" w:afterLines="0" w:afterAutospacing="0" w:line="360" w:lineRule="auto"/>
        <w:ind w:firstLine="420"/>
        <w:jc w:val="left"/>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时间：</w:t>
      </w:r>
      <w:r>
        <w:rPr>
          <w:rFonts w:hint="eastAsia" w:ascii="宋体" w:hAnsi="宋体" w:cs="宋体"/>
          <w:color w:val="auto"/>
          <w:spacing w:val="0"/>
          <w:kern w:val="0"/>
          <w:sz w:val="24"/>
          <w:szCs w:val="24"/>
          <w:highlight w:val="none"/>
          <w:shd w:val="clear" w:color="auto" w:fill="FFFFFF"/>
          <w:lang w:val="en-US" w:eastAsia="zh-CN" w:bidi="ar-SA"/>
        </w:rPr>
        <w:t>2025年12月09日14时30分</w:t>
      </w:r>
      <w:r>
        <w:rPr>
          <w:rFonts w:hint="eastAsia" w:ascii="宋体" w:hAnsi="宋体" w:eastAsia="宋体" w:cs="宋体"/>
          <w:color w:val="auto"/>
          <w:spacing w:val="0"/>
          <w:kern w:val="0"/>
          <w:sz w:val="24"/>
          <w:szCs w:val="24"/>
          <w:highlight w:val="none"/>
          <w:shd w:val="clear" w:color="auto" w:fill="FFFFFF"/>
          <w:lang w:val="en-US" w:eastAsia="zh-CN" w:bidi="ar-SA"/>
        </w:rPr>
        <w:t>00秒（北</w:t>
      </w:r>
      <w:r>
        <w:rPr>
          <w:rFonts w:hint="eastAsia" w:ascii="宋体" w:hAnsi="宋体" w:eastAsia="宋体" w:cs="宋体"/>
          <w:color w:val="auto"/>
          <w:spacing w:val="0"/>
          <w:kern w:val="0"/>
          <w:sz w:val="24"/>
          <w:szCs w:val="24"/>
          <w:shd w:val="clear" w:color="auto" w:fill="FFFFFF"/>
          <w:lang w:val="en-US" w:eastAsia="zh-CN" w:bidi="ar-SA"/>
        </w:rPr>
        <w:t>京时间）</w:t>
      </w:r>
    </w:p>
    <w:p w14:paraId="468704C4">
      <w:pPr>
        <w:pageBreakBefore w:val="0"/>
        <w:widowControl/>
        <w:kinsoku/>
        <w:overflowPunct/>
        <w:autoSpaceDE/>
        <w:autoSpaceDN/>
        <w:bidi w:val="0"/>
        <w:spacing w:before="0" w:beforeLines="0" w:beforeAutospacing="0" w:after="0" w:afterLines="0" w:afterAutospacing="0" w:line="360" w:lineRule="auto"/>
        <w:ind w:firstLine="420"/>
        <w:jc w:val="left"/>
        <w:rPr>
          <w:rFonts w:hint="eastAsia" w:ascii="宋体" w:hAnsi="宋体" w:eastAsia="宋体" w:cs="宋体"/>
          <w:b w:val="0"/>
          <w:color w:val="auto"/>
          <w:spacing w:val="0"/>
          <w:kern w:val="0"/>
          <w:sz w:val="24"/>
          <w:szCs w:val="24"/>
          <w:shd w:val="clear" w:color="auto" w:fill="FFFFFF"/>
          <w:lang w:val="en-US" w:eastAsia="zh-CN" w:bidi="ar-SA"/>
        </w:rPr>
      </w:pPr>
      <w:r>
        <w:rPr>
          <w:rFonts w:hint="eastAsia" w:ascii="宋体" w:hAnsi="宋体" w:eastAsia="宋体" w:cs="宋体"/>
          <w:b w:val="0"/>
          <w:color w:val="auto"/>
          <w:spacing w:val="0"/>
          <w:kern w:val="0"/>
          <w:sz w:val="24"/>
          <w:szCs w:val="24"/>
          <w:shd w:val="clear" w:color="auto" w:fill="FFFFFF"/>
          <w:lang w:val="en-US" w:eastAsia="zh-CN" w:bidi="ar-SA"/>
        </w:rPr>
        <w:t>提交投标文件地点：陕西省西安市经济技术开发区凤城十二路凯瑞B座1单元9层A0906号房。</w:t>
      </w:r>
    </w:p>
    <w:p w14:paraId="545BF07A">
      <w:pPr>
        <w:pageBreakBefore w:val="0"/>
        <w:widowControl/>
        <w:kinsoku/>
        <w:overflowPunct/>
        <w:autoSpaceDE/>
        <w:autoSpaceDN/>
        <w:bidi w:val="0"/>
        <w:spacing w:before="0" w:beforeLines="0" w:beforeAutospacing="0" w:after="0" w:afterLines="0" w:afterAutospacing="0" w:line="360" w:lineRule="auto"/>
        <w:ind w:firstLine="420"/>
        <w:jc w:val="left"/>
        <w:rPr>
          <w:rFonts w:hint="eastAsia" w:ascii="宋体" w:hAnsi="宋体" w:eastAsia="宋体" w:cs="宋体"/>
          <w:color w:val="auto"/>
          <w:spacing w:val="0"/>
          <w:kern w:val="0"/>
          <w:sz w:val="18"/>
          <w:szCs w:val="18"/>
          <w:lang w:val="en-US" w:eastAsia="zh-CN" w:bidi="ar-SA"/>
        </w:rPr>
      </w:pPr>
      <w:r>
        <w:rPr>
          <w:rFonts w:hint="eastAsia" w:ascii="宋体" w:hAnsi="宋体" w:eastAsia="宋体" w:cs="宋体"/>
          <w:b w:val="0"/>
          <w:color w:val="auto"/>
          <w:spacing w:val="0"/>
          <w:kern w:val="0"/>
          <w:sz w:val="24"/>
          <w:szCs w:val="24"/>
          <w:shd w:val="clear" w:color="auto" w:fill="FFFFFF"/>
          <w:lang w:val="en-US" w:eastAsia="zh-CN" w:bidi="ar-SA"/>
        </w:rPr>
        <w:t>开标地点：陕西省西安市经济技术开发区凤城十二路凯瑞B座1单元9层A0906号房。</w:t>
      </w:r>
    </w:p>
    <w:p w14:paraId="0E748713">
      <w:pPr>
        <w:pageBreakBefore w:val="0"/>
        <w:kinsoku/>
        <w:overflowPunct/>
        <w:autoSpaceDE/>
        <w:autoSpaceDN/>
        <w:bidi w:val="0"/>
        <w:spacing w:beforeLines="0" w:afterLines="0" w:line="360" w:lineRule="auto"/>
        <w:rPr>
          <w:rFonts w:hint="eastAsia" w:ascii="宋体" w:hAnsi="宋体" w:eastAsia="宋体" w:cs="宋体"/>
          <w:b/>
          <w:color w:val="auto"/>
          <w:spacing w:val="0"/>
          <w:kern w:val="0"/>
          <w:sz w:val="24"/>
          <w:szCs w:val="24"/>
        </w:rPr>
      </w:pPr>
      <w:r>
        <w:rPr>
          <w:rFonts w:hint="eastAsia" w:ascii="宋体" w:hAnsi="宋体" w:eastAsia="宋体" w:cs="宋体"/>
          <w:b/>
          <w:color w:val="auto"/>
          <w:spacing w:val="0"/>
          <w:kern w:val="0"/>
          <w:sz w:val="24"/>
          <w:szCs w:val="24"/>
          <w:shd w:val="clear" w:color="auto" w:fill="FFFFFF"/>
        </w:rPr>
        <w:t>五、公告期限</w:t>
      </w:r>
    </w:p>
    <w:p w14:paraId="10264134">
      <w:pPr>
        <w:pageBreakBefore w:val="0"/>
        <w:widowControl/>
        <w:kinsoku/>
        <w:overflowPunct/>
        <w:autoSpaceDE/>
        <w:autoSpaceDN/>
        <w:bidi w:val="0"/>
        <w:spacing w:before="0" w:beforeLines="0" w:beforeAutospacing="0" w:after="0" w:afterLines="0" w:afterAutospacing="0" w:line="360" w:lineRule="auto"/>
        <w:ind w:firstLine="420"/>
        <w:jc w:val="left"/>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shd w:val="clear" w:color="auto" w:fill="FFFFFF"/>
          <w:lang w:val="en-US" w:eastAsia="zh-CN" w:bidi="ar-SA"/>
        </w:rPr>
        <w:t>自本公告发布之日起3个工作日。</w:t>
      </w:r>
    </w:p>
    <w:p w14:paraId="7D537402">
      <w:pPr>
        <w:pageBreakBefore w:val="0"/>
        <w:widowControl/>
        <w:kinsoku/>
        <w:overflowPunct/>
        <w:autoSpaceDE/>
        <w:autoSpaceDN/>
        <w:bidi w:val="0"/>
        <w:spacing w:before="0" w:beforeLines="0" w:beforeAutospacing="0" w:after="0" w:afterLines="0" w:afterAutospacing="0" w:line="360" w:lineRule="auto"/>
        <w:jc w:val="left"/>
        <w:rPr>
          <w:rFonts w:hint="eastAsia" w:ascii="宋体" w:hAnsi="宋体" w:eastAsia="宋体" w:cs="宋体"/>
          <w:b/>
          <w:color w:val="auto"/>
          <w:spacing w:val="0"/>
          <w:kern w:val="0"/>
          <w:sz w:val="24"/>
          <w:szCs w:val="24"/>
          <w:lang w:val="en-US" w:eastAsia="zh-CN" w:bidi="ar-SA"/>
        </w:rPr>
      </w:pPr>
      <w:r>
        <w:rPr>
          <w:rFonts w:hint="eastAsia" w:ascii="宋体" w:hAnsi="宋体" w:eastAsia="宋体" w:cs="宋体"/>
          <w:b/>
          <w:color w:val="auto"/>
          <w:spacing w:val="0"/>
          <w:kern w:val="0"/>
          <w:sz w:val="24"/>
          <w:szCs w:val="24"/>
          <w:shd w:val="clear" w:color="auto" w:fill="FFFFFF"/>
          <w:lang w:val="en-US" w:eastAsia="zh-CN" w:bidi="ar-SA"/>
        </w:rPr>
        <w:t>六、其他补充事宜</w:t>
      </w:r>
    </w:p>
    <w:p w14:paraId="4F328CFD">
      <w:pPr>
        <w:pageBreakBefore w:val="0"/>
        <w:numPr>
          <w:ilvl w:val="0"/>
          <w:numId w:val="0"/>
        </w:numPr>
        <w:kinsoku/>
        <w:overflowPunct/>
        <w:autoSpaceDE/>
        <w:autoSpaceDN/>
        <w:bidi w:val="0"/>
        <w:spacing w:beforeLines="0" w:afterLines="0" w:line="360" w:lineRule="auto"/>
        <w:ind w:firstLine="480" w:firstLineChars="200"/>
        <w:rPr>
          <w:rFonts w:hint="eastAsia" w:ascii="宋体" w:hAnsi="宋体" w:eastAsia="宋体" w:cs="宋体"/>
          <w:color w:val="auto"/>
          <w:spacing w:val="0"/>
          <w:kern w:val="0"/>
          <w:sz w:val="24"/>
          <w:szCs w:val="24"/>
          <w:lang w:val="en-US" w:eastAsia="zh-CN"/>
        </w:rPr>
      </w:pPr>
      <w:r>
        <w:rPr>
          <w:rFonts w:hint="eastAsia" w:ascii="宋体" w:hAnsi="宋体" w:cs="宋体"/>
          <w:color w:val="auto"/>
          <w:spacing w:val="0"/>
          <w:kern w:val="0"/>
          <w:sz w:val="24"/>
          <w:szCs w:val="24"/>
          <w:lang w:val="en-US" w:eastAsia="zh-CN"/>
        </w:rPr>
        <w:t>1、</w:t>
      </w:r>
      <w:r>
        <w:rPr>
          <w:rFonts w:hint="eastAsia" w:ascii="宋体" w:hAnsi="宋体" w:eastAsia="宋体" w:cs="宋体"/>
          <w:color w:val="auto"/>
          <w:spacing w:val="0"/>
          <w:kern w:val="0"/>
          <w:sz w:val="24"/>
          <w:szCs w:val="24"/>
          <w:lang w:val="en-US" w:eastAsia="zh-CN"/>
        </w:rPr>
        <w:t>采购文件获取方式：</w:t>
      </w:r>
    </w:p>
    <w:p w14:paraId="05410300">
      <w:pPr>
        <w:pageBreakBefore w:val="0"/>
        <w:numPr>
          <w:ilvl w:val="0"/>
          <w:numId w:val="0"/>
        </w:numPr>
        <w:kinsoku/>
        <w:overflowPunct/>
        <w:autoSpaceDE/>
        <w:autoSpaceDN/>
        <w:bidi w:val="0"/>
        <w:spacing w:beforeLines="0" w:afterLines="0" w:line="360" w:lineRule="auto"/>
        <w:ind w:firstLine="480" w:firstLineChars="200"/>
        <w:rPr>
          <w:rFonts w:hint="eastAsia" w:ascii="宋体" w:hAnsi="宋体" w:eastAsia="宋体" w:cs="宋体"/>
          <w:color w:val="auto"/>
          <w:spacing w:val="0"/>
          <w:kern w:val="0"/>
          <w:sz w:val="24"/>
          <w:szCs w:val="24"/>
          <w:lang w:val="en-US" w:eastAsia="zh-CN"/>
        </w:rPr>
      </w:pPr>
      <w:r>
        <w:rPr>
          <w:rFonts w:hint="eastAsia" w:ascii="宋体" w:hAnsi="宋体" w:eastAsia="宋体" w:cs="宋体"/>
          <w:color w:val="auto"/>
          <w:spacing w:val="0"/>
          <w:kern w:val="0"/>
          <w:sz w:val="24"/>
          <w:szCs w:val="24"/>
          <w:lang w:val="en-US" w:eastAsia="zh-CN"/>
        </w:rPr>
        <w:t>（1）网上发送。供应商采取发送电子邮件方式提交材料，①邮件主题：项目名称+项目编号+公司名称；②邮件内容：列明公司名称、法定代表人或授权代表人姓名及联系方式；③邮件附件：需采用A4纸幅面，将获取文件材料加盖企业鲜章，按顺序制作成1个PDF格式文件，文件名称与主题一致，复印件扫描无效。获取文件材料审核通过后，采购代理机构联系人向供应商邮箱发送采购文件电子版；审核未通过的，采购代理机构联系人以邮件形式回复审核情况，供应商可在获取采购文件时间内重新提交材料。采购代理机构邮箱：</w:t>
      </w:r>
      <w:r>
        <w:rPr>
          <w:rFonts w:hint="eastAsia" w:ascii="宋体" w:hAnsi="宋体" w:eastAsia="宋体" w:cs="宋体"/>
          <w:color w:val="auto"/>
          <w:spacing w:val="0"/>
          <w:kern w:val="0"/>
          <w:sz w:val="24"/>
          <w:szCs w:val="24"/>
          <w:lang w:val="en-US" w:eastAsia="zh-CN"/>
        </w:rPr>
        <w:fldChar w:fldCharType="begin"/>
      </w:r>
      <w:r>
        <w:rPr>
          <w:rFonts w:hint="eastAsia" w:ascii="宋体" w:hAnsi="宋体" w:eastAsia="宋体" w:cs="宋体"/>
          <w:color w:val="auto"/>
          <w:spacing w:val="0"/>
          <w:kern w:val="0"/>
          <w:sz w:val="24"/>
          <w:szCs w:val="24"/>
          <w:lang w:val="en-US" w:eastAsia="zh-CN"/>
        </w:rPr>
        <w:instrText xml:space="preserve"> HYPERLINK "mailto:625565797@qq.com" </w:instrText>
      </w:r>
      <w:r>
        <w:rPr>
          <w:rFonts w:hint="eastAsia" w:ascii="宋体" w:hAnsi="宋体" w:eastAsia="宋体" w:cs="宋体"/>
          <w:color w:val="auto"/>
          <w:spacing w:val="0"/>
          <w:kern w:val="0"/>
          <w:sz w:val="24"/>
          <w:szCs w:val="24"/>
          <w:lang w:val="en-US" w:eastAsia="zh-CN"/>
        </w:rPr>
        <w:fldChar w:fldCharType="separate"/>
      </w:r>
      <w:r>
        <w:rPr>
          <w:rFonts w:hint="eastAsia" w:ascii="宋体" w:hAnsi="宋体" w:eastAsia="宋体" w:cs="宋体"/>
          <w:color w:val="auto"/>
          <w:spacing w:val="0"/>
          <w:kern w:val="0"/>
          <w:sz w:val="24"/>
          <w:szCs w:val="24"/>
          <w:lang w:val="en-US" w:eastAsia="zh-CN"/>
        </w:rPr>
        <w:t>1077594061@qq.com</w:t>
      </w:r>
      <w:r>
        <w:rPr>
          <w:rFonts w:hint="eastAsia" w:ascii="宋体" w:hAnsi="宋体" w:eastAsia="宋体" w:cs="宋体"/>
          <w:color w:val="auto"/>
          <w:spacing w:val="0"/>
          <w:kern w:val="0"/>
          <w:sz w:val="24"/>
          <w:szCs w:val="24"/>
          <w:lang w:val="en-US" w:eastAsia="zh-CN"/>
        </w:rPr>
        <w:fldChar w:fldCharType="end"/>
      </w:r>
      <w:r>
        <w:rPr>
          <w:rFonts w:hint="eastAsia" w:ascii="宋体" w:hAnsi="宋体" w:eastAsia="宋体" w:cs="宋体"/>
          <w:color w:val="auto"/>
          <w:spacing w:val="0"/>
          <w:kern w:val="0"/>
          <w:sz w:val="24"/>
          <w:szCs w:val="24"/>
          <w:lang w:val="en-US" w:eastAsia="zh-CN"/>
        </w:rPr>
        <w:t>。</w:t>
      </w:r>
    </w:p>
    <w:p w14:paraId="3CF7FCE1">
      <w:pPr>
        <w:pageBreakBefore w:val="0"/>
        <w:numPr>
          <w:ilvl w:val="0"/>
          <w:numId w:val="0"/>
        </w:numPr>
        <w:kinsoku/>
        <w:overflowPunct/>
        <w:autoSpaceDE/>
        <w:autoSpaceDN/>
        <w:bidi w:val="0"/>
        <w:spacing w:beforeLines="0" w:afterLines="0" w:line="360" w:lineRule="auto"/>
        <w:ind w:firstLine="480" w:firstLineChars="200"/>
        <w:rPr>
          <w:rFonts w:hint="eastAsia" w:ascii="宋体" w:hAnsi="宋体" w:eastAsia="宋体" w:cs="宋体"/>
          <w:color w:val="auto"/>
          <w:spacing w:val="0"/>
          <w:kern w:val="0"/>
          <w:sz w:val="24"/>
          <w:szCs w:val="24"/>
          <w:lang w:val="en-US" w:eastAsia="zh-CN"/>
        </w:rPr>
      </w:pPr>
      <w:r>
        <w:rPr>
          <w:rFonts w:hint="eastAsia" w:ascii="宋体" w:hAnsi="宋体" w:eastAsia="宋体" w:cs="宋体"/>
          <w:color w:val="auto"/>
          <w:spacing w:val="0"/>
          <w:kern w:val="0"/>
          <w:sz w:val="24"/>
          <w:szCs w:val="24"/>
          <w:lang w:val="en-US" w:eastAsia="zh-CN"/>
        </w:rPr>
        <w:t>（2）获取文件需提交的资料：单位介绍信加盖公章、经办人身份证复印件加盖公章。</w:t>
      </w:r>
    </w:p>
    <w:p w14:paraId="2940BCD3">
      <w:pPr>
        <w:pageBreakBefore w:val="0"/>
        <w:numPr>
          <w:ilvl w:val="0"/>
          <w:numId w:val="0"/>
        </w:numPr>
        <w:kinsoku/>
        <w:overflowPunct/>
        <w:autoSpaceDE/>
        <w:autoSpaceDN/>
        <w:bidi w:val="0"/>
        <w:spacing w:beforeLines="0" w:afterLines="0" w:line="360" w:lineRule="auto"/>
        <w:ind w:firstLine="480" w:firstLineChars="200"/>
        <w:rPr>
          <w:rFonts w:hint="eastAsia" w:ascii="宋体" w:hAnsi="宋体" w:cs="宋体"/>
          <w:color w:val="auto"/>
          <w:spacing w:val="0"/>
          <w:kern w:val="0"/>
          <w:sz w:val="24"/>
          <w:szCs w:val="24"/>
          <w:lang w:val="en-US" w:eastAsia="zh-CN"/>
        </w:rPr>
      </w:pPr>
      <w:r>
        <w:rPr>
          <w:rFonts w:hint="eastAsia" w:ascii="宋体" w:hAnsi="宋体" w:cs="宋体"/>
          <w:color w:val="auto"/>
          <w:spacing w:val="0"/>
          <w:kern w:val="0"/>
          <w:sz w:val="24"/>
          <w:szCs w:val="24"/>
          <w:lang w:val="en-US" w:eastAsia="zh-CN"/>
        </w:rPr>
        <w:t>2、本项目需要落实的政府采购政策：</w:t>
      </w:r>
    </w:p>
    <w:p w14:paraId="257A701F">
      <w:pPr>
        <w:pageBreakBefore w:val="0"/>
        <w:numPr>
          <w:ilvl w:val="0"/>
          <w:numId w:val="0"/>
        </w:numPr>
        <w:kinsoku/>
        <w:overflowPunct/>
        <w:autoSpaceDE/>
        <w:autoSpaceDN/>
        <w:bidi w:val="0"/>
        <w:spacing w:beforeLines="0" w:afterLines="0" w:line="360" w:lineRule="auto"/>
        <w:ind w:firstLine="480" w:firstLineChars="200"/>
        <w:rPr>
          <w:rFonts w:hint="default" w:ascii="宋体" w:hAnsi="宋体" w:eastAsia="宋体" w:cs="宋体"/>
          <w:color w:val="auto"/>
          <w:spacing w:val="0"/>
          <w:kern w:val="0"/>
          <w:sz w:val="24"/>
          <w:szCs w:val="24"/>
          <w:lang w:val="en-US" w:eastAsia="zh-CN"/>
        </w:rPr>
      </w:pPr>
      <w:r>
        <w:rPr>
          <w:rFonts w:hint="default" w:ascii="宋体" w:hAnsi="宋体" w:eastAsia="宋体" w:cs="宋体"/>
          <w:color w:val="auto"/>
          <w:spacing w:val="0"/>
          <w:kern w:val="0"/>
          <w:sz w:val="24"/>
          <w:szCs w:val="24"/>
          <w:lang w:val="en-US" w:eastAsia="zh-CN"/>
        </w:rPr>
        <w:t>（1）《政府采购促进中小企业发展管理办法》（财库〔2020〕46号）；</w:t>
      </w:r>
    </w:p>
    <w:p w14:paraId="1D2D06B3">
      <w:pPr>
        <w:pageBreakBefore w:val="0"/>
        <w:numPr>
          <w:ilvl w:val="0"/>
          <w:numId w:val="0"/>
        </w:numPr>
        <w:kinsoku/>
        <w:overflowPunct/>
        <w:autoSpaceDE/>
        <w:autoSpaceDN/>
        <w:bidi w:val="0"/>
        <w:spacing w:beforeLines="0" w:afterLines="0" w:line="360" w:lineRule="auto"/>
        <w:ind w:firstLine="480" w:firstLineChars="200"/>
        <w:rPr>
          <w:rFonts w:hint="default" w:ascii="宋体" w:hAnsi="宋体" w:eastAsia="宋体" w:cs="宋体"/>
          <w:color w:val="auto"/>
          <w:spacing w:val="0"/>
          <w:kern w:val="0"/>
          <w:sz w:val="24"/>
          <w:szCs w:val="24"/>
          <w:lang w:val="en-US" w:eastAsia="zh-CN"/>
        </w:rPr>
      </w:pPr>
      <w:r>
        <w:rPr>
          <w:rFonts w:hint="default" w:ascii="宋体" w:hAnsi="宋体" w:eastAsia="宋体" w:cs="宋体"/>
          <w:color w:val="auto"/>
          <w:spacing w:val="0"/>
          <w:kern w:val="0"/>
          <w:sz w:val="24"/>
          <w:szCs w:val="24"/>
          <w:lang w:val="en-US" w:eastAsia="zh-CN"/>
        </w:rPr>
        <w:t>（2）《财政部、司法部关于政府采购支持监狱企业发展有关问题的通知》（财库〔2014〕68号）；</w:t>
      </w:r>
    </w:p>
    <w:p w14:paraId="0695293D">
      <w:pPr>
        <w:pageBreakBefore w:val="0"/>
        <w:numPr>
          <w:ilvl w:val="0"/>
          <w:numId w:val="0"/>
        </w:numPr>
        <w:kinsoku/>
        <w:overflowPunct/>
        <w:autoSpaceDE/>
        <w:autoSpaceDN/>
        <w:bidi w:val="0"/>
        <w:spacing w:beforeLines="0" w:afterLines="0" w:line="360" w:lineRule="auto"/>
        <w:ind w:firstLine="480" w:firstLineChars="200"/>
        <w:rPr>
          <w:rFonts w:hint="default" w:ascii="宋体" w:hAnsi="宋体" w:eastAsia="宋体" w:cs="宋体"/>
          <w:color w:val="auto"/>
          <w:spacing w:val="0"/>
          <w:kern w:val="0"/>
          <w:sz w:val="24"/>
          <w:szCs w:val="24"/>
          <w:lang w:val="en-US" w:eastAsia="zh-CN"/>
        </w:rPr>
      </w:pPr>
      <w:r>
        <w:rPr>
          <w:rFonts w:hint="default" w:ascii="宋体" w:hAnsi="宋体" w:eastAsia="宋体" w:cs="宋体"/>
          <w:color w:val="auto"/>
          <w:spacing w:val="0"/>
          <w:kern w:val="0"/>
          <w:sz w:val="24"/>
          <w:szCs w:val="24"/>
          <w:lang w:val="en-US" w:eastAsia="zh-CN"/>
        </w:rPr>
        <w:t>（3）《民政部、财政部、中国残疾人联合会关于促进残疾人就业政府采购政策的通知》（财库〔2017〕141号）；</w:t>
      </w:r>
    </w:p>
    <w:p w14:paraId="3D0B3CF5">
      <w:pPr>
        <w:pageBreakBefore w:val="0"/>
        <w:numPr>
          <w:ilvl w:val="0"/>
          <w:numId w:val="0"/>
        </w:numPr>
        <w:kinsoku/>
        <w:overflowPunct/>
        <w:autoSpaceDE/>
        <w:autoSpaceDN/>
        <w:bidi w:val="0"/>
        <w:spacing w:beforeLines="0" w:afterLines="0" w:line="360" w:lineRule="auto"/>
        <w:ind w:firstLine="480" w:firstLineChars="200"/>
        <w:rPr>
          <w:rFonts w:hint="default" w:ascii="宋体" w:hAnsi="宋体" w:eastAsia="宋体" w:cs="宋体"/>
          <w:color w:val="auto"/>
          <w:spacing w:val="0"/>
          <w:kern w:val="0"/>
          <w:sz w:val="24"/>
          <w:szCs w:val="24"/>
          <w:lang w:val="en-US" w:eastAsia="zh-CN"/>
        </w:rPr>
      </w:pPr>
      <w:r>
        <w:rPr>
          <w:rFonts w:hint="default" w:ascii="宋体" w:hAnsi="宋体" w:eastAsia="宋体" w:cs="宋体"/>
          <w:color w:val="auto"/>
          <w:spacing w:val="0"/>
          <w:kern w:val="0"/>
          <w:sz w:val="24"/>
          <w:szCs w:val="24"/>
          <w:lang w:val="en-US" w:eastAsia="zh-CN"/>
        </w:rPr>
        <w:t>（4）《财政部办公厅关于政府采购进口产品管理有关问题的通知》（财办库[2008]248号）；</w:t>
      </w:r>
    </w:p>
    <w:p w14:paraId="2C818297">
      <w:pPr>
        <w:pageBreakBefore w:val="0"/>
        <w:numPr>
          <w:ilvl w:val="0"/>
          <w:numId w:val="0"/>
        </w:numPr>
        <w:kinsoku/>
        <w:overflowPunct/>
        <w:autoSpaceDE/>
        <w:autoSpaceDN/>
        <w:bidi w:val="0"/>
        <w:spacing w:beforeLines="0" w:afterLines="0" w:line="360" w:lineRule="auto"/>
        <w:ind w:firstLine="480" w:firstLineChars="200"/>
        <w:rPr>
          <w:rFonts w:hint="default" w:ascii="宋体" w:hAnsi="宋体" w:eastAsia="宋体" w:cs="宋体"/>
          <w:color w:val="auto"/>
          <w:spacing w:val="0"/>
          <w:kern w:val="0"/>
          <w:sz w:val="24"/>
          <w:szCs w:val="24"/>
          <w:lang w:val="en-US" w:eastAsia="zh-CN"/>
        </w:rPr>
      </w:pPr>
      <w:r>
        <w:rPr>
          <w:rFonts w:hint="default" w:ascii="宋体" w:hAnsi="宋体" w:eastAsia="宋体" w:cs="宋体"/>
          <w:color w:val="auto"/>
          <w:spacing w:val="0"/>
          <w:kern w:val="0"/>
          <w:sz w:val="24"/>
          <w:szCs w:val="24"/>
          <w:lang w:val="en-US" w:eastAsia="zh-CN"/>
        </w:rPr>
        <w:t>（5）《关于印发环境标志产品政府采购品目清单的通知》（财库〔2019〕18号）；</w:t>
      </w:r>
    </w:p>
    <w:p w14:paraId="305FBC92">
      <w:pPr>
        <w:pageBreakBefore w:val="0"/>
        <w:numPr>
          <w:ilvl w:val="0"/>
          <w:numId w:val="0"/>
        </w:numPr>
        <w:kinsoku/>
        <w:overflowPunct/>
        <w:autoSpaceDE/>
        <w:autoSpaceDN/>
        <w:bidi w:val="0"/>
        <w:spacing w:beforeLines="0" w:afterLines="0" w:line="360" w:lineRule="auto"/>
        <w:ind w:firstLine="480" w:firstLineChars="200"/>
        <w:rPr>
          <w:rFonts w:hint="default" w:ascii="宋体" w:hAnsi="宋体" w:eastAsia="宋体" w:cs="宋体"/>
          <w:color w:val="auto"/>
          <w:spacing w:val="0"/>
          <w:kern w:val="0"/>
          <w:sz w:val="24"/>
          <w:szCs w:val="24"/>
          <w:lang w:val="en-US" w:eastAsia="zh-CN"/>
        </w:rPr>
      </w:pPr>
      <w:r>
        <w:rPr>
          <w:rFonts w:hint="default" w:ascii="宋体" w:hAnsi="宋体" w:eastAsia="宋体" w:cs="宋体"/>
          <w:color w:val="auto"/>
          <w:spacing w:val="0"/>
          <w:kern w:val="0"/>
          <w:sz w:val="24"/>
          <w:szCs w:val="24"/>
          <w:lang w:val="en-US" w:eastAsia="zh-CN"/>
        </w:rPr>
        <w:t>（6）《关于印发节能产品政府采购品目清单的通知》（财库〔2019〕19号）；</w:t>
      </w:r>
    </w:p>
    <w:p w14:paraId="221076CB">
      <w:pPr>
        <w:pageBreakBefore w:val="0"/>
        <w:numPr>
          <w:ilvl w:val="0"/>
          <w:numId w:val="0"/>
        </w:numPr>
        <w:kinsoku/>
        <w:overflowPunct/>
        <w:autoSpaceDE/>
        <w:autoSpaceDN/>
        <w:bidi w:val="0"/>
        <w:spacing w:beforeLines="0" w:afterLines="0" w:line="360" w:lineRule="auto"/>
        <w:ind w:firstLine="480" w:firstLineChars="200"/>
        <w:rPr>
          <w:rFonts w:hint="default" w:ascii="宋体" w:hAnsi="宋体" w:eastAsia="宋体" w:cs="宋体"/>
          <w:color w:val="auto"/>
          <w:spacing w:val="0"/>
          <w:kern w:val="0"/>
          <w:sz w:val="24"/>
          <w:szCs w:val="24"/>
          <w:lang w:val="en-US" w:eastAsia="zh-CN"/>
        </w:rPr>
      </w:pPr>
      <w:r>
        <w:rPr>
          <w:rFonts w:hint="default" w:ascii="宋体" w:hAnsi="宋体" w:eastAsia="宋体" w:cs="宋体"/>
          <w:color w:val="auto"/>
          <w:spacing w:val="0"/>
          <w:kern w:val="0"/>
          <w:sz w:val="24"/>
          <w:szCs w:val="24"/>
          <w:lang w:val="en-US" w:eastAsia="zh-CN"/>
        </w:rPr>
        <w:t>（7）《关于进一步加强政府绿色采购有关问题的通知》（陕财办采〔2021〕29号）</w:t>
      </w:r>
    </w:p>
    <w:p w14:paraId="1292778F">
      <w:pPr>
        <w:pageBreakBefore w:val="0"/>
        <w:numPr>
          <w:ilvl w:val="0"/>
          <w:numId w:val="0"/>
        </w:numPr>
        <w:kinsoku/>
        <w:overflowPunct/>
        <w:autoSpaceDE/>
        <w:autoSpaceDN/>
        <w:bidi w:val="0"/>
        <w:spacing w:beforeLines="0" w:afterLines="0" w:line="360" w:lineRule="auto"/>
        <w:ind w:firstLine="480" w:firstLineChars="200"/>
        <w:rPr>
          <w:rFonts w:hint="default" w:ascii="宋体" w:hAnsi="宋体" w:eastAsia="宋体" w:cs="宋体"/>
          <w:color w:val="auto"/>
          <w:spacing w:val="0"/>
          <w:kern w:val="0"/>
          <w:sz w:val="24"/>
          <w:szCs w:val="24"/>
          <w:lang w:val="en-US" w:eastAsia="zh-CN"/>
        </w:rPr>
      </w:pPr>
      <w:r>
        <w:rPr>
          <w:rFonts w:hint="default" w:ascii="宋体" w:hAnsi="宋体" w:eastAsia="宋体" w:cs="宋体"/>
          <w:color w:val="auto"/>
          <w:spacing w:val="0"/>
          <w:kern w:val="0"/>
          <w:sz w:val="24"/>
          <w:szCs w:val="24"/>
          <w:lang w:val="en-US" w:eastAsia="zh-CN"/>
        </w:rPr>
        <w:t>（8）《财政部发展改革委生态环境部市场监管总局关于调整优化节能产品、环境标志产品政府采购执行机制的通知》（财库〔2019〕9号）；</w:t>
      </w:r>
    </w:p>
    <w:p w14:paraId="0A58073D">
      <w:pPr>
        <w:pageBreakBefore w:val="0"/>
        <w:numPr>
          <w:ilvl w:val="0"/>
          <w:numId w:val="0"/>
        </w:numPr>
        <w:kinsoku/>
        <w:overflowPunct/>
        <w:autoSpaceDE/>
        <w:autoSpaceDN/>
        <w:bidi w:val="0"/>
        <w:spacing w:beforeLines="0" w:afterLines="0" w:line="360" w:lineRule="auto"/>
        <w:ind w:firstLine="480" w:firstLineChars="200"/>
        <w:rPr>
          <w:rFonts w:hint="default" w:ascii="宋体" w:hAnsi="宋体" w:eastAsia="宋体" w:cs="宋体"/>
          <w:color w:val="auto"/>
          <w:spacing w:val="0"/>
          <w:kern w:val="0"/>
          <w:sz w:val="24"/>
          <w:szCs w:val="24"/>
          <w:lang w:val="en-US" w:eastAsia="zh-CN"/>
        </w:rPr>
      </w:pPr>
      <w:r>
        <w:rPr>
          <w:rFonts w:hint="default" w:ascii="宋体" w:hAnsi="宋体" w:eastAsia="宋体" w:cs="宋体"/>
          <w:color w:val="auto"/>
          <w:spacing w:val="0"/>
          <w:kern w:val="0"/>
          <w:sz w:val="24"/>
          <w:szCs w:val="24"/>
          <w:lang w:val="en-US" w:eastAsia="zh-CN"/>
        </w:rPr>
        <w:t>（9）《陕西省财政厅关于加快推进我省中小企业政府采购信用融资工作的通知》（陕财办采〔2020〕15号）；</w:t>
      </w:r>
    </w:p>
    <w:p w14:paraId="173C118A">
      <w:pPr>
        <w:pageBreakBefore w:val="0"/>
        <w:numPr>
          <w:ilvl w:val="0"/>
          <w:numId w:val="0"/>
        </w:numPr>
        <w:kinsoku/>
        <w:overflowPunct/>
        <w:autoSpaceDE/>
        <w:autoSpaceDN/>
        <w:bidi w:val="0"/>
        <w:spacing w:beforeLines="0" w:afterLines="0" w:line="360" w:lineRule="auto"/>
        <w:ind w:firstLine="480" w:firstLineChars="200"/>
        <w:rPr>
          <w:rFonts w:hint="default" w:ascii="宋体" w:hAnsi="宋体" w:eastAsia="宋体" w:cs="宋体"/>
          <w:color w:val="auto"/>
          <w:spacing w:val="0"/>
          <w:kern w:val="0"/>
          <w:sz w:val="24"/>
          <w:szCs w:val="24"/>
          <w:lang w:val="en-US" w:eastAsia="zh-CN"/>
        </w:rPr>
      </w:pPr>
      <w:r>
        <w:rPr>
          <w:rFonts w:hint="default" w:ascii="宋体" w:hAnsi="宋体" w:eastAsia="宋体" w:cs="宋体"/>
          <w:color w:val="auto"/>
          <w:spacing w:val="0"/>
          <w:kern w:val="0"/>
          <w:sz w:val="24"/>
          <w:szCs w:val="24"/>
          <w:lang w:val="en-US" w:eastAsia="zh-CN"/>
        </w:rPr>
        <w:t>（10）《关于运用政府采购政策支持乡村产业振兴的通知》（财库〔2021〕19号）；</w:t>
      </w:r>
    </w:p>
    <w:p w14:paraId="6579AA6D">
      <w:pPr>
        <w:pageBreakBefore w:val="0"/>
        <w:numPr>
          <w:ilvl w:val="0"/>
          <w:numId w:val="0"/>
        </w:numPr>
        <w:kinsoku/>
        <w:overflowPunct/>
        <w:autoSpaceDE/>
        <w:autoSpaceDN/>
        <w:bidi w:val="0"/>
        <w:spacing w:beforeLines="0" w:afterLines="0" w:line="360" w:lineRule="auto"/>
        <w:ind w:firstLine="480" w:firstLineChars="200"/>
        <w:rPr>
          <w:rFonts w:hint="default" w:ascii="宋体" w:hAnsi="宋体" w:eastAsia="宋体" w:cs="宋体"/>
          <w:color w:val="auto"/>
          <w:spacing w:val="0"/>
          <w:kern w:val="0"/>
          <w:sz w:val="24"/>
          <w:szCs w:val="24"/>
          <w:lang w:val="en-US" w:eastAsia="zh-CN"/>
        </w:rPr>
      </w:pPr>
      <w:r>
        <w:rPr>
          <w:rFonts w:hint="default" w:ascii="宋体" w:hAnsi="宋体" w:eastAsia="宋体" w:cs="宋体"/>
          <w:color w:val="auto"/>
          <w:spacing w:val="0"/>
          <w:kern w:val="0"/>
          <w:sz w:val="24"/>
          <w:szCs w:val="24"/>
          <w:lang w:val="en-US" w:eastAsia="zh-CN"/>
        </w:rPr>
        <w:t>（11）《关于深入开展政府采购脱贫地区农副产品工作推进乡村产业振兴的实施意见》的通知（财库〔2021〕20号）；</w:t>
      </w:r>
    </w:p>
    <w:p w14:paraId="2DA7DB90">
      <w:pPr>
        <w:pageBreakBefore w:val="0"/>
        <w:numPr>
          <w:ilvl w:val="0"/>
          <w:numId w:val="0"/>
        </w:numPr>
        <w:kinsoku/>
        <w:overflowPunct/>
        <w:autoSpaceDE/>
        <w:autoSpaceDN/>
        <w:bidi w:val="0"/>
        <w:spacing w:beforeLines="0" w:afterLines="0" w:line="360" w:lineRule="auto"/>
        <w:ind w:firstLine="480" w:firstLineChars="200"/>
        <w:rPr>
          <w:rFonts w:hint="default" w:ascii="宋体" w:hAnsi="宋体" w:eastAsia="宋体" w:cs="宋体"/>
          <w:color w:val="auto"/>
          <w:spacing w:val="0"/>
          <w:kern w:val="0"/>
          <w:sz w:val="24"/>
          <w:szCs w:val="24"/>
          <w:lang w:val="en-US" w:eastAsia="zh-CN"/>
        </w:rPr>
      </w:pPr>
      <w:r>
        <w:rPr>
          <w:rFonts w:hint="default" w:ascii="宋体" w:hAnsi="宋体" w:eastAsia="宋体" w:cs="宋体"/>
          <w:color w:val="auto"/>
          <w:spacing w:val="0"/>
          <w:kern w:val="0"/>
          <w:sz w:val="24"/>
          <w:szCs w:val="24"/>
          <w:lang w:val="en-US" w:eastAsia="zh-CN"/>
        </w:rPr>
        <w:t>（12）《财政部关于进一步加大政府采购支持中小企业力度的通知》（财库〔2022〕19号）；</w:t>
      </w:r>
    </w:p>
    <w:p w14:paraId="7B263345">
      <w:pPr>
        <w:pageBreakBefore w:val="0"/>
        <w:numPr>
          <w:ilvl w:val="0"/>
          <w:numId w:val="0"/>
        </w:numPr>
        <w:kinsoku/>
        <w:overflowPunct/>
        <w:autoSpaceDE/>
        <w:autoSpaceDN/>
        <w:bidi w:val="0"/>
        <w:spacing w:beforeLines="0" w:afterLines="0" w:line="360" w:lineRule="auto"/>
        <w:ind w:firstLine="480" w:firstLineChars="200"/>
        <w:rPr>
          <w:rFonts w:hint="default" w:ascii="宋体" w:hAnsi="宋体" w:eastAsia="宋体" w:cs="宋体"/>
          <w:color w:val="auto"/>
          <w:spacing w:val="0"/>
          <w:kern w:val="0"/>
          <w:sz w:val="24"/>
          <w:szCs w:val="24"/>
          <w:lang w:val="en-US" w:eastAsia="zh-CN"/>
        </w:rPr>
      </w:pPr>
      <w:r>
        <w:rPr>
          <w:rFonts w:hint="default" w:ascii="宋体" w:hAnsi="宋体" w:eastAsia="宋体" w:cs="宋体"/>
          <w:color w:val="auto"/>
          <w:spacing w:val="0"/>
          <w:kern w:val="0"/>
          <w:sz w:val="24"/>
          <w:szCs w:val="24"/>
          <w:lang w:val="en-US" w:eastAsia="zh-CN"/>
        </w:rPr>
        <w:t>（13）其他需要落实的政府采购政策（如有最新颁布的政府采购政策，按最新的文件执行）；</w:t>
      </w:r>
    </w:p>
    <w:p w14:paraId="5FCBE4B7">
      <w:pPr>
        <w:pageBreakBefore w:val="0"/>
        <w:numPr>
          <w:ilvl w:val="0"/>
          <w:numId w:val="0"/>
        </w:numPr>
        <w:kinsoku/>
        <w:overflowPunct/>
        <w:autoSpaceDE/>
        <w:autoSpaceDN/>
        <w:bidi w:val="0"/>
        <w:spacing w:beforeLines="0" w:afterLines="0" w:line="360" w:lineRule="auto"/>
        <w:ind w:firstLine="480" w:firstLineChars="200"/>
        <w:rPr>
          <w:rFonts w:hint="default" w:ascii="宋体" w:hAnsi="宋体" w:eastAsia="宋体" w:cs="宋体"/>
          <w:color w:val="auto"/>
          <w:spacing w:val="0"/>
          <w:kern w:val="0"/>
          <w:sz w:val="24"/>
          <w:szCs w:val="24"/>
          <w:lang w:val="en-US" w:eastAsia="zh-CN"/>
        </w:rPr>
      </w:pPr>
      <w:r>
        <w:rPr>
          <w:rFonts w:hint="default" w:ascii="宋体" w:hAnsi="宋体" w:eastAsia="宋体" w:cs="宋体"/>
          <w:color w:val="auto"/>
          <w:spacing w:val="0"/>
          <w:kern w:val="0"/>
          <w:sz w:val="24"/>
          <w:szCs w:val="24"/>
          <w:lang w:val="en-US" w:eastAsia="zh-CN"/>
        </w:rPr>
        <w:t>注：本项目非专门面向中小企业采购（残疾人福利性单位及监狱企业视同小型、微型企业）。</w:t>
      </w:r>
    </w:p>
    <w:p w14:paraId="1C577F63">
      <w:pPr>
        <w:pageBreakBefore w:val="0"/>
        <w:widowControl/>
        <w:kinsoku/>
        <w:overflowPunct/>
        <w:autoSpaceDE/>
        <w:autoSpaceDN/>
        <w:bidi w:val="0"/>
        <w:spacing w:before="0" w:beforeLines="0" w:beforeAutospacing="0" w:after="0" w:afterLines="0" w:afterAutospacing="0" w:line="360" w:lineRule="auto"/>
        <w:jc w:val="left"/>
        <w:rPr>
          <w:rFonts w:hint="eastAsia" w:ascii="宋体" w:hAnsi="宋体" w:eastAsia="宋体" w:cs="宋体"/>
          <w:b/>
          <w:color w:val="auto"/>
          <w:spacing w:val="0"/>
          <w:kern w:val="0"/>
          <w:sz w:val="24"/>
          <w:szCs w:val="24"/>
          <w:lang w:val="en-US" w:eastAsia="zh-CN" w:bidi="ar-SA"/>
        </w:rPr>
      </w:pPr>
      <w:r>
        <w:rPr>
          <w:rFonts w:hint="eastAsia" w:ascii="宋体" w:hAnsi="宋体" w:eastAsia="宋体" w:cs="宋体"/>
          <w:b/>
          <w:color w:val="auto"/>
          <w:spacing w:val="0"/>
          <w:kern w:val="0"/>
          <w:sz w:val="24"/>
          <w:szCs w:val="24"/>
          <w:shd w:val="clear" w:color="auto" w:fill="FFFFFF"/>
          <w:lang w:val="en-US" w:eastAsia="zh-CN" w:bidi="ar-SA"/>
        </w:rPr>
        <w:t>七、凡对本次采购提出询问，请按以下方式联系。</w:t>
      </w:r>
    </w:p>
    <w:p w14:paraId="21AC9BB7">
      <w:pPr>
        <w:pageBreakBefore w:val="0"/>
        <w:widowControl/>
        <w:kinsoku/>
        <w:overflowPunct/>
        <w:autoSpaceDE/>
        <w:autoSpaceDN/>
        <w:bidi w:val="0"/>
        <w:spacing w:before="0" w:beforeLines="0" w:beforeAutospacing="0" w:after="0" w:afterLines="0" w:afterAutospacing="0" w:line="360" w:lineRule="auto"/>
        <w:ind w:firstLine="420"/>
        <w:jc w:val="left"/>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shd w:val="clear" w:color="auto" w:fill="FFFFFF"/>
          <w:lang w:val="en-US" w:eastAsia="zh-CN" w:bidi="ar-SA"/>
        </w:rPr>
        <w:t>1.采购人信息</w:t>
      </w:r>
    </w:p>
    <w:p w14:paraId="01DABDA3">
      <w:pPr>
        <w:pageBreakBefore w:val="0"/>
        <w:widowControl/>
        <w:kinsoku/>
        <w:overflowPunct/>
        <w:autoSpaceDE/>
        <w:autoSpaceDN/>
        <w:bidi w:val="0"/>
        <w:spacing w:before="0" w:beforeLines="0" w:beforeAutospacing="0" w:after="0" w:afterLines="0" w:afterAutospacing="0" w:line="360" w:lineRule="auto"/>
        <w:ind w:firstLine="720" w:firstLineChars="300"/>
        <w:jc w:val="left"/>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shd w:val="clear" w:color="auto" w:fill="FFFFFF"/>
          <w:lang w:val="en-US" w:eastAsia="zh-CN" w:bidi="ar-SA"/>
        </w:rPr>
        <w:t>名称：西安经开第二中学</w:t>
      </w:r>
    </w:p>
    <w:p w14:paraId="2056FCAE">
      <w:pPr>
        <w:pageBreakBefore w:val="0"/>
        <w:widowControl/>
        <w:kinsoku/>
        <w:overflowPunct/>
        <w:autoSpaceDE/>
        <w:autoSpaceDN/>
        <w:bidi w:val="0"/>
        <w:spacing w:before="0" w:beforeLines="0" w:beforeAutospacing="0" w:after="0" w:afterLines="0" w:afterAutospacing="0" w:line="360" w:lineRule="auto"/>
        <w:ind w:firstLine="720" w:firstLineChars="300"/>
        <w:jc w:val="left"/>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shd w:val="clear" w:color="auto" w:fill="FFFFFF"/>
          <w:lang w:val="en-US" w:eastAsia="zh-CN" w:bidi="ar-SA"/>
        </w:rPr>
        <w:t>地址：西安市高陵区泾渭新城泾环南路8号</w:t>
      </w:r>
    </w:p>
    <w:p w14:paraId="4AFE3F30">
      <w:pPr>
        <w:pageBreakBefore w:val="0"/>
        <w:widowControl/>
        <w:kinsoku/>
        <w:overflowPunct/>
        <w:autoSpaceDE/>
        <w:autoSpaceDN/>
        <w:bidi w:val="0"/>
        <w:spacing w:before="0" w:beforeLines="0" w:beforeAutospacing="0" w:after="0" w:afterLines="0" w:afterAutospacing="0" w:line="360" w:lineRule="auto"/>
        <w:ind w:firstLine="720" w:firstLineChars="300"/>
        <w:jc w:val="left"/>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shd w:val="clear" w:color="auto" w:fill="FFFFFF"/>
          <w:lang w:val="en-US" w:eastAsia="zh-CN" w:bidi="ar-SA"/>
        </w:rPr>
        <w:t>联系方式：</w:t>
      </w:r>
      <w:r>
        <w:rPr>
          <w:rFonts w:hint="eastAsia" w:ascii="宋体" w:hAnsi="宋体" w:eastAsia="宋体" w:cs="宋体"/>
          <w:color w:val="auto"/>
          <w:spacing w:val="0"/>
          <w:kern w:val="0"/>
          <w:sz w:val="24"/>
          <w:szCs w:val="24"/>
          <w:lang w:val="en-US" w:eastAsia="zh-CN" w:bidi="ar-SA"/>
        </w:rPr>
        <w:t>029-86959883</w:t>
      </w:r>
    </w:p>
    <w:p w14:paraId="5E83E7E4">
      <w:pPr>
        <w:pageBreakBefore w:val="0"/>
        <w:widowControl/>
        <w:kinsoku/>
        <w:overflowPunct/>
        <w:autoSpaceDE/>
        <w:autoSpaceDN/>
        <w:bidi w:val="0"/>
        <w:spacing w:before="0" w:beforeLines="0" w:beforeAutospacing="0" w:after="0" w:afterLines="0" w:afterAutospacing="0" w:line="360" w:lineRule="auto"/>
        <w:ind w:firstLine="420"/>
        <w:jc w:val="left"/>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2.采购代理机构信息</w:t>
      </w:r>
    </w:p>
    <w:p w14:paraId="0845476C">
      <w:pPr>
        <w:pageBreakBefore w:val="0"/>
        <w:widowControl/>
        <w:kinsoku/>
        <w:overflowPunct/>
        <w:autoSpaceDE/>
        <w:autoSpaceDN/>
        <w:bidi w:val="0"/>
        <w:spacing w:before="0" w:beforeLines="0" w:beforeAutospacing="0" w:after="0" w:afterLines="0" w:afterAutospacing="0" w:line="360" w:lineRule="auto"/>
        <w:ind w:firstLine="792" w:firstLineChars="330"/>
        <w:jc w:val="left"/>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名称：陕西信鹏项目管理有限公司</w:t>
      </w:r>
    </w:p>
    <w:p w14:paraId="348F0EEE">
      <w:pPr>
        <w:pageBreakBefore w:val="0"/>
        <w:widowControl/>
        <w:kinsoku/>
        <w:overflowPunct/>
        <w:autoSpaceDE/>
        <w:autoSpaceDN/>
        <w:bidi w:val="0"/>
        <w:spacing w:before="0" w:beforeLines="0" w:beforeAutospacing="0" w:after="0" w:afterLines="0" w:afterAutospacing="0" w:line="360" w:lineRule="auto"/>
        <w:ind w:firstLine="792" w:firstLineChars="330"/>
        <w:jc w:val="left"/>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地址：陕西省西安市经济技术开发区凤城十二路凯瑞B座1单元9层A0906号房</w:t>
      </w:r>
    </w:p>
    <w:p w14:paraId="0FE34DB6">
      <w:pPr>
        <w:pageBreakBefore w:val="0"/>
        <w:widowControl/>
        <w:kinsoku/>
        <w:overflowPunct/>
        <w:autoSpaceDE/>
        <w:autoSpaceDN/>
        <w:bidi w:val="0"/>
        <w:spacing w:before="0" w:beforeLines="0" w:beforeAutospacing="0" w:after="0" w:afterLines="0" w:afterAutospacing="0" w:line="360" w:lineRule="auto"/>
        <w:ind w:firstLine="792" w:firstLineChars="330"/>
        <w:jc w:val="left"/>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联系方式：029-86688218</w:t>
      </w:r>
    </w:p>
    <w:p w14:paraId="6353008B">
      <w:pPr>
        <w:pageBreakBefore w:val="0"/>
        <w:widowControl/>
        <w:kinsoku/>
        <w:overflowPunct/>
        <w:autoSpaceDE/>
        <w:autoSpaceDN/>
        <w:bidi w:val="0"/>
        <w:spacing w:before="0" w:beforeLines="0" w:beforeAutospacing="0" w:after="0" w:afterLines="0" w:afterAutospacing="0" w:line="360" w:lineRule="auto"/>
        <w:ind w:firstLine="420"/>
        <w:jc w:val="left"/>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3.项目联系人</w:t>
      </w:r>
    </w:p>
    <w:p w14:paraId="51326494">
      <w:pPr>
        <w:pageBreakBefore w:val="0"/>
        <w:widowControl/>
        <w:kinsoku/>
        <w:overflowPunct/>
        <w:autoSpaceDE/>
        <w:autoSpaceDN/>
        <w:bidi w:val="0"/>
        <w:spacing w:before="0" w:beforeLines="0" w:beforeAutospacing="0" w:after="0" w:afterLines="0" w:afterAutospacing="0" w:line="360" w:lineRule="auto"/>
        <w:ind w:left="210" w:leftChars="100" w:firstLine="549" w:firstLineChars="229"/>
        <w:jc w:val="left"/>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项目联系人：孙媛春</w:t>
      </w:r>
    </w:p>
    <w:p w14:paraId="0765696B">
      <w:pPr>
        <w:pStyle w:val="31"/>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auto"/>
          <w:spacing w:val="0"/>
          <w:kern w:val="0"/>
          <w:sz w:val="24"/>
          <w:szCs w:val="24"/>
          <w:lang w:val="en-US" w:eastAsia="zh-CN" w:bidi="ar-SA"/>
        </w:rPr>
        <w:t>电话：029-86688218</w:t>
      </w:r>
    </w:p>
    <w:p w14:paraId="43B7E367">
      <w:pPr>
        <w:spacing w:line="360" w:lineRule="auto"/>
        <w:jc w:val="center"/>
        <w:outlineLvl w:val="0"/>
        <w:rPr>
          <w:rFonts w:hint="eastAsia" w:ascii="宋体" w:hAnsi="宋体" w:eastAsia="宋体" w:cs="宋体"/>
          <w:b/>
          <w:bCs/>
          <w:sz w:val="24"/>
          <w:szCs w:val="24"/>
        </w:rPr>
        <w:sectPr>
          <w:footerReference r:id="rId12" w:type="default"/>
          <w:pgSz w:w="11906" w:h="16838"/>
          <w:pgMar w:top="1440" w:right="1526"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957B01C">
      <w:pPr>
        <w:pStyle w:val="3"/>
        <w:bidi w:val="0"/>
        <w:rPr>
          <w:rFonts w:hint="eastAsia" w:ascii="宋体" w:hAnsi="宋体" w:eastAsia="宋体" w:cs="宋体"/>
          <w:szCs w:val="32"/>
        </w:rPr>
      </w:pPr>
      <w:bookmarkStart w:id="8" w:name="_Toc13750"/>
      <w:r>
        <w:rPr>
          <w:rFonts w:hint="eastAsia"/>
        </w:rPr>
        <w:t>第二章</w:t>
      </w:r>
      <w:r>
        <w:rPr>
          <w:rFonts w:hint="eastAsia"/>
          <w:lang w:val="en-US" w:eastAsia="zh-CN"/>
        </w:rPr>
        <w:t xml:space="preserve">  </w:t>
      </w:r>
      <w:r>
        <w:rPr>
          <w:rFonts w:hint="eastAsia"/>
        </w:rPr>
        <w:t>磋商须知</w:t>
      </w:r>
      <w:bookmarkEnd w:id="6"/>
      <w:bookmarkEnd w:id="7"/>
      <w:bookmarkEnd w:id="8"/>
    </w:p>
    <w:p w14:paraId="70A25893">
      <w:pPr>
        <w:spacing w:line="360" w:lineRule="auto"/>
        <w:jc w:val="center"/>
        <w:rPr>
          <w:rFonts w:hint="eastAsia" w:ascii="宋体" w:hAnsi="宋体" w:eastAsia="宋体" w:cs="宋体"/>
          <w:sz w:val="28"/>
          <w:szCs w:val="28"/>
        </w:rPr>
      </w:pPr>
      <w:bookmarkStart w:id="9" w:name="_Toc220257383"/>
      <w:r>
        <w:rPr>
          <w:rFonts w:hint="eastAsia" w:ascii="宋体" w:hAnsi="宋体" w:eastAsia="宋体" w:cs="宋体"/>
          <w:sz w:val="28"/>
          <w:szCs w:val="28"/>
        </w:rPr>
        <w:t>磋商须知前附表</w:t>
      </w:r>
      <w:bookmarkEnd w:id="9"/>
    </w:p>
    <w:tbl>
      <w:tblPr>
        <w:tblStyle w:val="49"/>
        <w:tblW w:w="90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98"/>
        <w:gridCol w:w="2101"/>
        <w:gridCol w:w="6243"/>
      </w:tblGrid>
      <w:tr w14:paraId="5B87B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3" w:hRule="atLeast"/>
          <w:jc w:val="center"/>
        </w:trPr>
        <w:tc>
          <w:tcPr>
            <w:tcW w:w="698" w:type="dxa"/>
            <w:shd w:val="clear" w:color="auto" w:fill="auto"/>
            <w:tcMar>
              <w:left w:w="108" w:type="dxa"/>
              <w:right w:w="108" w:type="dxa"/>
            </w:tcMar>
            <w:vAlign w:val="center"/>
          </w:tcPr>
          <w:p w14:paraId="5B09F5CA">
            <w:pPr>
              <w:keepNext w:val="0"/>
              <w:keepLines w:val="0"/>
              <w:pageBreakBefore w:val="0"/>
              <w:widowControl/>
              <w:kinsoku/>
              <w:wordWrap/>
              <w:bidi w:val="0"/>
              <w:spacing w:line="480" w:lineRule="exact"/>
              <w:ind w:right="0" w:rightChars="0"/>
              <w:jc w:val="center"/>
              <w:rPr>
                <w:rFonts w:hint="eastAsia" w:ascii="宋体" w:hAnsi="宋体" w:eastAsia="宋体" w:cs="宋体"/>
                <w:sz w:val="24"/>
                <w:szCs w:val="24"/>
              </w:rPr>
            </w:pPr>
            <w:r>
              <w:rPr>
                <w:rFonts w:hint="eastAsia" w:ascii="宋体" w:hAnsi="宋体" w:eastAsia="宋体" w:cs="宋体"/>
                <w:kern w:val="0"/>
                <w:sz w:val="24"/>
                <w:szCs w:val="24"/>
              </w:rPr>
              <w:t>序号</w:t>
            </w:r>
          </w:p>
        </w:tc>
        <w:tc>
          <w:tcPr>
            <w:tcW w:w="2101" w:type="dxa"/>
            <w:shd w:val="clear" w:color="auto" w:fill="auto"/>
            <w:tcMar>
              <w:left w:w="108" w:type="dxa"/>
              <w:right w:w="108" w:type="dxa"/>
            </w:tcMar>
            <w:vAlign w:val="center"/>
          </w:tcPr>
          <w:p w14:paraId="605A39C2">
            <w:pPr>
              <w:keepNext w:val="0"/>
              <w:keepLines w:val="0"/>
              <w:pageBreakBefore w:val="0"/>
              <w:widowControl/>
              <w:kinsoku/>
              <w:wordWrap/>
              <w:bidi w:val="0"/>
              <w:spacing w:line="480" w:lineRule="exact"/>
              <w:ind w:right="0" w:rightChars="0"/>
              <w:jc w:val="center"/>
              <w:rPr>
                <w:rFonts w:hint="eastAsia" w:ascii="宋体" w:hAnsi="宋体" w:eastAsia="宋体" w:cs="宋体"/>
                <w:sz w:val="24"/>
                <w:szCs w:val="24"/>
              </w:rPr>
            </w:pPr>
            <w:r>
              <w:rPr>
                <w:rFonts w:hint="eastAsia" w:ascii="宋体" w:hAnsi="宋体" w:eastAsia="宋体" w:cs="宋体"/>
                <w:kern w:val="0"/>
                <w:sz w:val="24"/>
                <w:szCs w:val="24"/>
              </w:rPr>
              <w:t>条款名称</w:t>
            </w:r>
          </w:p>
        </w:tc>
        <w:tc>
          <w:tcPr>
            <w:tcW w:w="6243" w:type="dxa"/>
            <w:shd w:val="clear" w:color="auto" w:fill="auto"/>
            <w:tcMar>
              <w:left w:w="108" w:type="dxa"/>
              <w:right w:w="108" w:type="dxa"/>
            </w:tcMar>
            <w:vAlign w:val="center"/>
          </w:tcPr>
          <w:p w14:paraId="260659A3">
            <w:pPr>
              <w:keepNext w:val="0"/>
              <w:keepLines w:val="0"/>
              <w:pageBreakBefore w:val="0"/>
              <w:widowControl/>
              <w:kinsoku/>
              <w:wordWrap/>
              <w:bidi w:val="0"/>
              <w:spacing w:line="480" w:lineRule="exact"/>
              <w:ind w:right="0" w:rightChars="0"/>
              <w:jc w:val="center"/>
              <w:rPr>
                <w:rFonts w:hint="eastAsia" w:ascii="宋体" w:hAnsi="宋体" w:eastAsia="宋体" w:cs="宋体"/>
                <w:sz w:val="24"/>
                <w:szCs w:val="24"/>
              </w:rPr>
            </w:pPr>
            <w:r>
              <w:rPr>
                <w:rFonts w:hint="eastAsia" w:ascii="宋体" w:hAnsi="宋体" w:eastAsia="宋体" w:cs="宋体"/>
                <w:kern w:val="0"/>
                <w:sz w:val="24"/>
                <w:szCs w:val="24"/>
              </w:rPr>
              <w:t>内容</w:t>
            </w:r>
          </w:p>
        </w:tc>
      </w:tr>
      <w:tr w14:paraId="6FAAA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49" w:hRule="atLeast"/>
          <w:jc w:val="center"/>
        </w:trPr>
        <w:tc>
          <w:tcPr>
            <w:tcW w:w="698" w:type="dxa"/>
            <w:shd w:val="clear" w:color="auto" w:fill="auto"/>
            <w:tcMar>
              <w:left w:w="108" w:type="dxa"/>
              <w:right w:w="108" w:type="dxa"/>
            </w:tcMar>
            <w:vAlign w:val="center"/>
          </w:tcPr>
          <w:p w14:paraId="6E535552">
            <w:pPr>
              <w:keepNext w:val="0"/>
              <w:keepLines w:val="0"/>
              <w:pageBreakBefore w:val="0"/>
              <w:widowControl/>
              <w:kinsoku/>
              <w:wordWrap/>
              <w:bidi w:val="0"/>
              <w:spacing w:line="480" w:lineRule="exact"/>
              <w:ind w:right="0" w:rightChars="0"/>
              <w:jc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2101" w:type="dxa"/>
            <w:shd w:val="clear" w:color="auto" w:fill="auto"/>
            <w:tcMar>
              <w:left w:w="108" w:type="dxa"/>
              <w:right w:w="108" w:type="dxa"/>
            </w:tcMar>
            <w:vAlign w:val="center"/>
          </w:tcPr>
          <w:p w14:paraId="4B3F1455">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采购人</w:t>
            </w:r>
          </w:p>
        </w:tc>
        <w:tc>
          <w:tcPr>
            <w:tcW w:w="6243" w:type="dxa"/>
            <w:shd w:val="clear" w:color="auto" w:fill="auto"/>
            <w:tcMar>
              <w:left w:w="108" w:type="dxa"/>
              <w:right w:w="108" w:type="dxa"/>
            </w:tcMar>
            <w:vAlign w:val="center"/>
          </w:tcPr>
          <w:p w14:paraId="5437D8E9">
            <w:pPr>
              <w:pStyle w:val="307"/>
              <w:keepNext w:val="0"/>
              <w:keepLines w:val="0"/>
              <w:pageBreakBefore w:val="0"/>
              <w:kinsoku/>
              <w:wordWrap/>
              <w:bidi w:val="0"/>
              <w:spacing w:line="480" w:lineRule="exact"/>
              <w:ind w:right="0" w:rightChars="0"/>
              <w:rPr>
                <w:rFonts w:hint="eastAsia" w:ascii="宋体" w:hAnsi="宋体" w:eastAsia="宋体" w:cs="宋体"/>
                <w:kern w:val="2"/>
                <w:sz w:val="24"/>
                <w:szCs w:val="24"/>
                <w:lang w:val="zh-CN" w:eastAsia="zh-CN"/>
              </w:rPr>
            </w:pPr>
            <w:r>
              <w:rPr>
                <w:rFonts w:hint="eastAsia" w:ascii="宋体" w:hAnsi="宋体" w:eastAsia="宋体" w:cs="宋体"/>
                <w:kern w:val="2"/>
                <w:sz w:val="24"/>
                <w:szCs w:val="24"/>
                <w:lang w:val="zh-CN"/>
              </w:rPr>
              <w:t>名称：</w:t>
            </w:r>
            <w:r>
              <w:rPr>
                <w:rFonts w:hint="eastAsia" w:ascii="宋体" w:hAnsi="宋体" w:eastAsia="宋体" w:cs="宋体"/>
                <w:kern w:val="2"/>
                <w:sz w:val="24"/>
                <w:szCs w:val="24"/>
                <w:lang w:eastAsia="zh-CN"/>
              </w:rPr>
              <w:t>西安经开第二中学</w:t>
            </w:r>
          </w:p>
          <w:p w14:paraId="2FBDA115">
            <w:pPr>
              <w:pStyle w:val="307"/>
              <w:keepNext w:val="0"/>
              <w:keepLines w:val="0"/>
              <w:pageBreakBefore w:val="0"/>
              <w:kinsoku/>
              <w:wordWrap/>
              <w:bidi w:val="0"/>
              <w:spacing w:line="480" w:lineRule="exact"/>
              <w:ind w:right="0" w:rightChars="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rPr>
              <w:t>地</w:t>
            </w:r>
            <w:r>
              <w:rPr>
                <w:rFonts w:hint="eastAsia" w:ascii="宋体" w:hAnsi="宋体" w:eastAsia="宋体" w:cs="宋体"/>
                <w:kern w:val="2"/>
                <w:sz w:val="24"/>
                <w:szCs w:val="24"/>
                <w:highlight w:val="none"/>
              </w:rPr>
              <w:t>址：</w:t>
            </w:r>
            <w:r>
              <w:rPr>
                <w:rFonts w:hint="eastAsia" w:ascii="宋体" w:hAnsi="宋体" w:eastAsia="宋体" w:cs="宋体"/>
                <w:kern w:val="2"/>
                <w:sz w:val="24"/>
                <w:szCs w:val="24"/>
                <w:highlight w:val="none"/>
                <w:lang w:eastAsia="zh-CN"/>
              </w:rPr>
              <w:t>西安市高陵区泾渭新城泾环南路8号</w:t>
            </w:r>
          </w:p>
          <w:p w14:paraId="06AA02BA">
            <w:pPr>
              <w:keepNext w:val="0"/>
              <w:keepLines w:val="0"/>
              <w:pageBreakBefore w:val="0"/>
              <w:kinsoku/>
              <w:wordWrap/>
              <w:bidi w:val="0"/>
              <w:adjustRightInd w:val="0"/>
              <w:snapToGrid w:val="0"/>
              <w:spacing w:line="480" w:lineRule="exact"/>
              <w:ind w:right="0" w:right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b w:val="0"/>
                <w:bCs/>
                <w:color w:val="000000"/>
                <w:sz w:val="24"/>
                <w:szCs w:val="24"/>
                <w:highlight w:val="none"/>
                <w:shd w:val="clear" w:color="auto" w:fill="FFFFFF"/>
                <w:lang w:val="en-US" w:eastAsia="zh-CN"/>
              </w:rPr>
              <w:t>赵老师</w:t>
            </w:r>
          </w:p>
          <w:p w14:paraId="21317933">
            <w:pPr>
              <w:keepNext w:val="0"/>
              <w:keepLines w:val="0"/>
              <w:pageBreakBefore w:val="0"/>
              <w:kinsoku/>
              <w:wordWrap/>
              <w:bidi w:val="0"/>
              <w:adjustRightInd w:val="0"/>
              <w:snapToGrid w:val="0"/>
              <w:spacing w:line="480" w:lineRule="exact"/>
              <w:ind w:right="0" w:rightChars="0"/>
              <w:rPr>
                <w:rFonts w:hint="eastAsia" w:ascii="宋体" w:hAnsi="宋体" w:eastAsia="宋体" w:cs="宋体"/>
                <w:sz w:val="24"/>
                <w:szCs w:val="24"/>
                <w:lang w:eastAsia="zh-CN"/>
              </w:rPr>
            </w:pP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cs="宋体"/>
                <w:b w:val="0"/>
                <w:bCs/>
                <w:color w:val="000000"/>
                <w:sz w:val="24"/>
                <w:szCs w:val="24"/>
                <w:highlight w:val="none"/>
                <w:shd w:val="clear" w:color="auto" w:fill="FFFFFF"/>
                <w:lang w:val="en-US" w:eastAsia="zh-CN"/>
              </w:rPr>
              <w:t>029-86959883</w:t>
            </w:r>
          </w:p>
        </w:tc>
      </w:tr>
      <w:tr w14:paraId="010EC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00" w:hRule="atLeast"/>
          <w:jc w:val="center"/>
        </w:trPr>
        <w:tc>
          <w:tcPr>
            <w:tcW w:w="698" w:type="dxa"/>
            <w:shd w:val="clear" w:color="auto" w:fill="auto"/>
            <w:tcMar>
              <w:left w:w="108" w:type="dxa"/>
              <w:right w:w="108" w:type="dxa"/>
            </w:tcMar>
            <w:vAlign w:val="center"/>
          </w:tcPr>
          <w:p w14:paraId="10B4895F">
            <w:pPr>
              <w:keepNext w:val="0"/>
              <w:keepLines w:val="0"/>
              <w:pageBreakBefore w:val="0"/>
              <w:widowControl/>
              <w:kinsoku/>
              <w:wordWrap/>
              <w:bidi w:val="0"/>
              <w:spacing w:line="480" w:lineRule="exact"/>
              <w:ind w:right="0" w:rightChars="0"/>
              <w:jc w:val="center"/>
              <w:rPr>
                <w:rFonts w:hint="eastAsia" w:ascii="宋体" w:hAnsi="宋体" w:eastAsia="宋体" w:cs="宋体"/>
                <w:sz w:val="24"/>
                <w:szCs w:val="24"/>
              </w:rPr>
            </w:pPr>
            <w:r>
              <w:rPr>
                <w:rFonts w:hint="eastAsia" w:ascii="宋体" w:hAnsi="宋体" w:eastAsia="宋体" w:cs="宋体"/>
                <w:kern w:val="0"/>
                <w:sz w:val="24"/>
                <w:szCs w:val="24"/>
              </w:rPr>
              <w:t>2</w:t>
            </w:r>
          </w:p>
        </w:tc>
        <w:tc>
          <w:tcPr>
            <w:tcW w:w="2101" w:type="dxa"/>
            <w:shd w:val="clear" w:color="auto" w:fill="auto"/>
            <w:tcMar>
              <w:left w:w="108" w:type="dxa"/>
              <w:right w:w="108" w:type="dxa"/>
            </w:tcMar>
            <w:vAlign w:val="center"/>
          </w:tcPr>
          <w:p w14:paraId="0BA6BA23">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采购代理机构</w:t>
            </w:r>
          </w:p>
        </w:tc>
        <w:tc>
          <w:tcPr>
            <w:tcW w:w="6243" w:type="dxa"/>
            <w:shd w:val="clear" w:color="auto" w:fill="auto"/>
            <w:tcMar>
              <w:left w:w="108" w:type="dxa"/>
              <w:right w:w="108" w:type="dxa"/>
            </w:tcMar>
            <w:vAlign w:val="center"/>
          </w:tcPr>
          <w:p w14:paraId="2412E185">
            <w:pPr>
              <w:keepNext w:val="0"/>
              <w:keepLines w:val="0"/>
              <w:pageBreakBefore w:val="0"/>
              <w:kinsoku/>
              <w:wordWrap/>
              <w:overflowPunct w:val="0"/>
              <w:topLinePunct/>
              <w:bidi w:val="0"/>
              <w:spacing w:line="480" w:lineRule="exact"/>
              <w:ind w:right="0" w:rightChars="0"/>
              <w:rPr>
                <w:rFonts w:hint="eastAsia" w:ascii="宋体" w:hAnsi="宋体" w:eastAsia="宋体" w:cs="宋体"/>
                <w:kern w:val="2"/>
                <w:sz w:val="24"/>
                <w:szCs w:val="24"/>
                <w:lang w:val="zh-CN" w:eastAsia="zh-CN"/>
              </w:rPr>
            </w:pPr>
            <w:r>
              <w:rPr>
                <w:rFonts w:hint="eastAsia" w:ascii="宋体" w:hAnsi="宋体" w:eastAsia="宋体" w:cs="宋体"/>
                <w:kern w:val="2"/>
                <w:sz w:val="24"/>
                <w:szCs w:val="24"/>
                <w:lang w:val="zh-CN"/>
              </w:rPr>
              <w:t>名称：</w:t>
            </w:r>
            <w:r>
              <w:rPr>
                <w:rFonts w:hint="eastAsia" w:ascii="宋体" w:hAnsi="宋体" w:eastAsia="宋体" w:cs="宋体"/>
                <w:kern w:val="2"/>
                <w:sz w:val="24"/>
                <w:szCs w:val="24"/>
                <w:lang w:val="zh-CN" w:eastAsia="zh-CN"/>
              </w:rPr>
              <w:t>陕西信鹏项目管理有限公司</w:t>
            </w:r>
          </w:p>
          <w:p w14:paraId="615D1F7C">
            <w:pPr>
              <w:keepNext w:val="0"/>
              <w:keepLines w:val="0"/>
              <w:pageBreakBefore w:val="0"/>
              <w:kinsoku/>
              <w:wordWrap/>
              <w:overflowPunct w:val="0"/>
              <w:topLinePunct/>
              <w:bidi w:val="0"/>
              <w:spacing w:line="480" w:lineRule="exact"/>
              <w:ind w:right="0" w:rightChars="0"/>
              <w:rPr>
                <w:rFonts w:hint="eastAsia" w:ascii="宋体" w:hAnsi="宋体" w:eastAsia="宋体" w:cs="宋体"/>
                <w:kern w:val="2"/>
                <w:sz w:val="24"/>
                <w:szCs w:val="24"/>
                <w:lang w:val="zh-CN" w:eastAsia="zh-CN"/>
              </w:rPr>
            </w:pPr>
            <w:r>
              <w:rPr>
                <w:rFonts w:hint="eastAsia" w:ascii="宋体" w:hAnsi="宋体" w:eastAsia="宋体" w:cs="宋体"/>
                <w:kern w:val="2"/>
                <w:sz w:val="24"/>
                <w:szCs w:val="24"/>
                <w:lang w:val="zh-CN" w:eastAsia="zh-CN"/>
              </w:rPr>
              <w:t>地址：西安市经济技术开发区凤城十二路凯瑞B座9层906室</w:t>
            </w:r>
          </w:p>
          <w:p w14:paraId="148DA69E">
            <w:pPr>
              <w:keepNext w:val="0"/>
              <w:keepLines w:val="0"/>
              <w:pageBreakBefore w:val="0"/>
              <w:kinsoku/>
              <w:wordWrap/>
              <w:overflowPunct w:val="0"/>
              <w:topLinePunct/>
              <w:bidi w:val="0"/>
              <w:spacing w:line="480" w:lineRule="exact"/>
              <w:ind w:right="0" w:rightChars="0"/>
              <w:rPr>
                <w:rFonts w:hint="eastAsia" w:ascii="宋体" w:hAnsi="宋体" w:eastAsia="宋体" w:cs="宋体"/>
                <w:kern w:val="2"/>
                <w:sz w:val="24"/>
                <w:szCs w:val="24"/>
                <w:lang w:val="zh-CN" w:eastAsia="zh-CN"/>
              </w:rPr>
            </w:pPr>
            <w:r>
              <w:rPr>
                <w:rFonts w:hint="eastAsia" w:ascii="宋体" w:hAnsi="宋体" w:eastAsia="宋体" w:cs="宋体"/>
                <w:kern w:val="2"/>
                <w:sz w:val="24"/>
                <w:szCs w:val="24"/>
                <w:lang w:val="zh-CN" w:eastAsia="zh-CN"/>
              </w:rPr>
              <w:t>联系人：孙媛春</w:t>
            </w:r>
          </w:p>
          <w:p w14:paraId="5BFDF63F">
            <w:pPr>
              <w:keepNext w:val="0"/>
              <w:keepLines w:val="0"/>
              <w:pageBreakBefore w:val="0"/>
              <w:kinsoku/>
              <w:wordWrap/>
              <w:overflowPunct w:val="0"/>
              <w:topLinePunct/>
              <w:bidi w:val="0"/>
              <w:spacing w:line="480" w:lineRule="exact"/>
              <w:ind w:right="0" w:rightChars="0"/>
              <w:rPr>
                <w:rFonts w:hint="eastAsia" w:ascii="宋体" w:hAnsi="宋体" w:eastAsia="宋体" w:cs="宋体"/>
                <w:kern w:val="2"/>
                <w:sz w:val="24"/>
                <w:szCs w:val="24"/>
                <w:lang w:val="zh-CN" w:eastAsia="zh-CN"/>
              </w:rPr>
            </w:pPr>
            <w:r>
              <w:rPr>
                <w:rFonts w:hint="eastAsia" w:ascii="宋体" w:hAnsi="宋体" w:eastAsia="宋体" w:cs="宋体"/>
                <w:kern w:val="2"/>
                <w:sz w:val="24"/>
                <w:szCs w:val="24"/>
                <w:lang w:val="zh-CN" w:eastAsia="zh-CN"/>
              </w:rPr>
              <w:t>电话：</w:t>
            </w:r>
            <w:r>
              <w:rPr>
                <w:rFonts w:hint="eastAsia" w:ascii="宋体" w:hAnsi="宋体" w:cs="宋体"/>
                <w:kern w:val="2"/>
                <w:sz w:val="24"/>
                <w:szCs w:val="24"/>
                <w:lang w:val="zh-CN" w:eastAsia="zh-CN"/>
              </w:rPr>
              <w:t>029-86688218</w:t>
            </w:r>
          </w:p>
          <w:p w14:paraId="305F3B4F">
            <w:pPr>
              <w:keepNext w:val="0"/>
              <w:keepLines w:val="0"/>
              <w:pageBreakBefore w:val="0"/>
              <w:kinsoku/>
              <w:wordWrap/>
              <w:overflowPunct w:val="0"/>
              <w:topLinePunct/>
              <w:bidi w:val="0"/>
              <w:spacing w:line="480" w:lineRule="exact"/>
              <w:ind w:right="0" w:rightChars="0"/>
              <w:rPr>
                <w:rFonts w:hint="eastAsia" w:ascii="宋体" w:hAnsi="宋体" w:eastAsia="宋体" w:cs="宋体"/>
                <w:sz w:val="24"/>
                <w:szCs w:val="24"/>
                <w:lang w:val="en-US" w:eastAsia="zh-CN"/>
              </w:rPr>
            </w:pPr>
            <w:r>
              <w:rPr>
                <w:rFonts w:hint="eastAsia" w:ascii="宋体" w:hAnsi="宋体" w:eastAsia="宋体" w:cs="宋体"/>
                <w:kern w:val="2"/>
                <w:sz w:val="24"/>
                <w:szCs w:val="24"/>
                <w:lang w:val="zh-CN" w:eastAsia="zh-CN"/>
              </w:rPr>
              <w:t>电子邮件：</w:t>
            </w:r>
            <w:r>
              <w:rPr>
                <w:rFonts w:hint="eastAsia" w:ascii="宋体" w:hAnsi="宋体" w:cs="宋体"/>
                <w:kern w:val="2"/>
                <w:sz w:val="24"/>
                <w:szCs w:val="24"/>
                <w:lang w:val="zh-CN" w:eastAsia="zh-CN"/>
              </w:rPr>
              <w:t>1077594061</w:t>
            </w:r>
            <w:r>
              <w:rPr>
                <w:rFonts w:hint="eastAsia" w:ascii="宋体" w:hAnsi="宋体" w:eastAsia="宋体" w:cs="宋体"/>
                <w:kern w:val="2"/>
                <w:sz w:val="24"/>
                <w:szCs w:val="24"/>
                <w:lang w:val="zh-CN" w:eastAsia="zh-CN"/>
              </w:rPr>
              <w:t>@qq.com</w:t>
            </w:r>
          </w:p>
        </w:tc>
      </w:tr>
      <w:tr w14:paraId="68CCA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1" w:hRule="atLeast"/>
          <w:jc w:val="center"/>
        </w:trPr>
        <w:tc>
          <w:tcPr>
            <w:tcW w:w="698" w:type="dxa"/>
            <w:shd w:val="clear" w:color="auto" w:fill="auto"/>
            <w:tcMar>
              <w:left w:w="108" w:type="dxa"/>
              <w:right w:w="108" w:type="dxa"/>
            </w:tcMar>
            <w:vAlign w:val="center"/>
          </w:tcPr>
          <w:p w14:paraId="17255B02">
            <w:pPr>
              <w:keepNext w:val="0"/>
              <w:keepLines w:val="0"/>
              <w:pageBreakBefore w:val="0"/>
              <w:widowControl/>
              <w:kinsoku/>
              <w:wordWrap/>
              <w:bidi w:val="0"/>
              <w:spacing w:line="480" w:lineRule="exact"/>
              <w:ind w:right="0" w:rightChars="0"/>
              <w:jc w:val="center"/>
              <w:rPr>
                <w:rFonts w:hint="eastAsia" w:ascii="宋体" w:hAnsi="宋体" w:eastAsia="宋体" w:cs="宋体"/>
                <w:sz w:val="24"/>
                <w:szCs w:val="24"/>
              </w:rPr>
            </w:pPr>
            <w:r>
              <w:rPr>
                <w:rFonts w:hint="eastAsia" w:ascii="宋体" w:hAnsi="宋体" w:eastAsia="宋体" w:cs="宋体"/>
                <w:kern w:val="0"/>
                <w:sz w:val="24"/>
                <w:szCs w:val="24"/>
              </w:rPr>
              <w:t>3</w:t>
            </w:r>
          </w:p>
        </w:tc>
        <w:tc>
          <w:tcPr>
            <w:tcW w:w="2101" w:type="dxa"/>
            <w:shd w:val="clear" w:color="auto" w:fill="auto"/>
            <w:tcMar>
              <w:left w:w="108" w:type="dxa"/>
              <w:right w:w="108" w:type="dxa"/>
            </w:tcMar>
            <w:vAlign w:val="center"/>
          </w:tcPr>
          <w:p w14:paraId="6B66DB0B">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243" w:type="dxa"/>
            <w:shd w:val="clear" w:color="auto" w:fill="auto"/>
            <w:tcMar>
              <w:left w:w="108" w:type="dxa"/>
              <w:right w:w="108" w:type="dxa"/>
            </w:tcMar>
            <w:vAlign w:val="center"/>
          </w:tcPr>
          <w:p w14:paraId="7DCBBD31">
            <w:pPr>
              <w:keepNext w:val="0"/>
              <w:keepLines w:val="0"/>
              <w:pageBreakBefore w:val="0"/>
              <w:widowControl/>
              <w:kinsoku/>
              <w:wordWrap/>
              <w:bidi w:val="0"/>
              <w:spacing w:line="480" w:lineRule="exact"/>
              <w:ind w:right="0" w:rightChars="0"/>
              <w:jc w:val="left"/>
              <w:rPr>
                <w:rFonts w:hint="eastAsia" w:ascii="宋体" w:hAnsi="宋体" w:eastAsia="宋体" w:cs="宋体"/>
                <w:sz w:val="24"/>
                <w:szCs w:val="24"/>
                <w:lang w:eastAsia="zh-CN"/>
              </w:rPr>
            </w:pPr>
            <w:r>
              <w:rPr>
                <w:rFonts w:hint="eastAsia" w:ascii="宋体" w:hAnsi="宋体" w:cs="宋体"/>
                <w:sz w:val="24"/>
                <w:szCs w:val="24"/>
                <w:lang w:eastAsia="zh-CN"/>
              </w:rPr>
              <w:t>西安经开第二中学教职工体检项目</w:t>
            </w:r>
          </w:p>
        </w:tc>
      </w:tr>
      <w:tr w14:paraId="5F793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0" w:hRule="atLeast"/>
          <w:jc w:val="center"/>
        </w:trPr>
        <w:tc>
          <w:tcPr>
            <w:tcW w:w="698" w:type="dxa"/>
            <w:shd w:val="clear" w:color="auto" w:fill="auto"/>
            <w:tcMar>
              <w:left w:w="108" w:type="dxa"/>
              <w:right w:w="108" w:type="dxa"/>
            </w:tcMar>
            <w:vAlign w:val="center"/>
          </w:tcPr>
          <w:p w14:paraId="12061AD5">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2101" w:type="dxa"/>
            <w:shd w:val="clear" w:color="auto" w:fill="auto"/>
            <w:tcMar>
              <w:left w:w="108" w:type="dxa"/>
              <w:right w:w="108" w:type="dxa"/>
            </w:tcMar>
            <w:vAlign w:val="center"/>
          </w:tcPr>
          <w:p w14:paraId="402A7BE8">
            <w:pPr>
              <w:keepNext w:val="0"/>
              <w:keepLines w:val="0"/>
              <w:pageBreakBefore w:val="0"/>
              <w:widowControl/>
              <w:kinsoku/>
              <w:wordWrap/>
              <w:bidi w:val="0"/>
              <w:spacing w:line="480" w:lineRule="exact"/>
              <w:ind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资金来源</w:t>
            </w:r>
          </w:p>
        </w:tc>
        <w:tc>
          <w:tcPr>
            <w:tcW w:w="6243" w:type="dxa"/>
            <w:shd w:val="clear" w:color="auto" w:fill="auto"/>
            <w:tcMar>
              <w:left w:w="108" w:type="dxa"/>
              <w:right w:w="108" w:type="dxa"/>
            </w:tcMar>
            <w:vAlign w:val="center"/>
          </w:tcPr>
          <w:p w14:paraId="7F7AE44C">
            <w:pPr>
              <w:keepNext w:val="0"/>
              <w:keepLines w:val="0"/>
              <w:pageBreakBefore w:val="0"/>
              <w:widowControl/>
              <w:kinsoku/>
              <w:wordWrap/>
              <w:bidi w:val="0"/>
              <w:spacing w:line="480" w:lineRule="exact"/>
              <w:ind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财政资金</w:t>
            </w:r>
          </w:p>
        </w:tc>
      </w:tr>
      <w:tr w14:paraId="5F4FE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1" w:hRule="atLeast"/>
          <w:jc w:val="center"/>
        </w:trPr>
        <w:tc>
          <w:tcPr>
            <w:tcW w:w="698" w:type="dxa"/>
            <w:shd w:val="clear" w:color="auto" w:fill="auto"/>
            <w:tcMar>
              <w:left w:w="108" w:type="dxa"/>
              <w:right w:w="108" w:type="dxa"/>
            </w:tcMar>
            <w:vAlign w:val="center"/>
          </w:tcPr>
          <w:p w14:paraId="2D35A4F5">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101" w:type="dxa"/>
            <w:shd w:val="clear" w:color="auto" w:fill="auto"/>
            <w:tcMar>
              <w:left w:w="108" w:type="dxa"/>
              <w:right w:w="108" w:type="dxa"/>
            </w:tcMar>
            <w:vAlign w:val="center"/>
          </w:tcPr>
          <w:p w14:paraId="251B76EE">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color w:val="000000" w:themeColor="text1"/>
                <w:sz w:val="24"/>
                <w:szCs w:val="24"/>
                <w14:textFill>
                  <w14:solidFill>
                    <w14:schemeClr w14:val="tx1"/>
                  </w14:solidFill>
                </w14:textFill>
              </w:rPr>
              <w:t>项目概算</w:t>
            </w:r>
          </w:p>
        </w:tc>
        <w:tc>
          <w:tcPr>
            <w:tcW w:w="6243" w:type="dxa"/>
            <w:shd w:val="clear" w:color="auto" w:fill="auto"/>
            <w:tcMar>
              <w:left w:w="108" w:type="dxa"/>
              <w:right w:w="108" w:type="dxa"/>
            </w:tcMar>
            <w:vAlign w:val="center"/>
          </w:tcPr>
          <w:p w14:paraId="555D92B1">
            <w:pPr>
              <w:keepNext w:val="0"/>
              <w:keepLines w:val="0"/>
              <w:pageBreakBefore w:val="0"/>
              <w:widowControl/>
              <w:kinsoku/>
              <w:wordWrap/>
              <w:bidi w:val="0"/>
              <w:spacing w:line="480" w:lineRule="exact"/>
              <w:ind w:right="0" w:rightChars="0"/>
              <w:jc w:val="left"/>
              <w:rPr>
                <w:rFonts w:hint="eastAsia" w:ascii="宋体" w:hAnsi="宋体" w:eastAsia="宋体" w:cs="宋体"/>
                <w:sz w:val="24"/>
                <w:szCs w:val="24"/>
              </w:rPr>
            </w:pPr>
            <w:r>
              <w:rPr>
                <w:rFonts w:hint="eastAsia" w:ascii="宋体" w:hAnsi="宋体" w:cs="宋体"/>
                <w:color w:val="000000" w:themeColor="text1"/>
                <w:sz w:val="24"/>
                <w:szCs w:val="24"/>
                <w:lang w:val="en-US" w:eastAsia="zh-CN"/>
                <w14:textFill>
                  <w14:solidFill>
                    <w14:schemeClr w14:val="tx1"/>
                  </w14:solidFill>
                </w14:textFill>
              </w:rPr>
              <w:t>158100.00</w:t>
            </w:r>
            <w:r>
              <w:rPr>
                <w:rFonts w:hint="eastAsia" w:ascii="宋体" w:hAnsi="宋体" w:eastAsia="宋体" w:cs="宋体"/>
                <w:color w:val="000000" w:themeColor="text1"/>
                <w:sz w:val="24"/>
                <w:szCs w:val="24"/>
                <w:lang w:eastAsia="zh-CN"/>
                <w14:textFill>
                  <w14:solidFill>
                    <w14:schemeClr w14:val="tx1"/>
                  </w14:solidFill>
                </w14:textFill>
              </w:rPr>
              <w:t>元</w:t>
            </w:r>
          </w:p>
        </w:tc>
      </w:tr>
      <w:tr w14:paraId="7ACBC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3" w:hRule="atLeast"/>
          <w:jc w:val="center"/>
        </w:trPr>
        <w:tc>
          <w:tcPr>
            <w:tcW w:w="698" w:type="dxa"/>
            <w:shd w:val="clear" w:color="auto" w:fill="auto"/>
            <w:tcMar>
              <w:left w:w="108" w:type="dxa"/>
              <w:right w:w="108" w:type="dxa"/>
            </w:tcMar>
            <w:vAlign w:val="center"/>
          </w:tcPr>
          <w:p w14:paraId="3FF3C7CE">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101" w:type="dxa"/>
            <w:shd w:val="clear" w:color="auto" w:fill="auto"/>
            <w:tcMar>
              <w:left w:w="108" w:type="dxa"/>
              <w:right w:w="108" w:type="dxa"/>
            </w:tcMar>
            <w:vAlign w:val="center"/>
          </w:tcPr>
          <w:p w14:paraId="4A1B559C">
            <w:pPr>
              <w:keepNext w:val="0"/>
              <w:keepLines w:val="0"/>
              <w:pageBreakBefore w:val="0"/>
              <w:widowControl/>
              <w:kinsoku/>
              <w:wordWrap/>
              <w:bidi w:val="0"/>
              <w:spacing w:line="480" w:lineRule="exact"/>
              <w:ind w:right="0" w:rightChars="0"/>
              <w:jc w:val="center"/>
              <w:rPr>
                <w:rFonts w:hint="eastAsia" w:ascii="宋体" w:hAnsi="宋体" w:eastAsia="宋体" w:cs="宋体"/>
                <w:sz w:val="24"/>
                <w:szCs w:val="24"/>
              </w:rPr>
            </w:pPr>
            <w:r>
              <w:rPr>
                <w:rFonts w:hint="eastAsia" w:ascii="宋体" w:hAnsi="宋体" w:eastAsia="宋体" w:cs="宋体"/>
                <w:sz w:val="24"/>
                <w:szCs w:val="24"/>
              </w:rPr>
              <w:t>采购方式</w:t>
            </w:r>
          </w:p>
        </w:tc>
        <w:tc>
          <w:tcPr>
            <w:tcW w:w="6243" w:type="dxa"/>
            <w:shd w:val="clear" w:color="auto" w:fill="auto"/>
            <w:tcMar>
              <w:left w:w="108" w:type="dxa"/>
              <w:right w:w="108" w:type="dxa"/>
            </w:tcMar>
            <w:vAlign w:val="center"/>
          </w:tcPr>
          <w:p w14:paraId="37A4CB1F">
            <w:pPr>
              <w:keepNext w:val="0"/>
              <w:keepLines w:val="0"/>
              <w:pageBreakBefore w:val="0"/>
              <w:widowControl/>
              <w:kinsoku/>
              <w:wordWrap/>
              <w:bidi w:val="0"/>
              <w:spacing w:line="480" w:lineRule="exact"/>
              <w:ind w:right="0" w:rightChars="0"/>
              <w:rPr>
                <w:rFonts w:hint="eastAsia" w:ascii="宋体" w:hAnsi="宋体" w:eastAsia="宋体" w:cs="宋体"/>
                <w:sz w:val="24"/>
                <w:szCs w:val="24"/>
              </w:rPr>
            </w:pPr>
            <w:r>
              <w:rPr>
                <w:rFonts w:hint="eastAsia" w:ascii="宋体" w:hAnsi="宋体" w:eastAsia="宋体" w:cs="宋体"/>
                <w:sz w:val="24"/>
                <w:szCs w:val="24"/>
              </w:rPr>
              <w:t>竞争性磋商</w:t>
            </w:r>
          </w:p>
        </w:tc>
      </w:tr>
      <w:tr w14:paraId="7E8BA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98" w:type="dxa"/>
            <w:shd w:val="clear" w:color="auto" w:fill="auto"/>
            <w:tcMar>
              <w:left w:w="108" w:type="dxa"/>
              <w:right w:w="108" w:type="dxa"/>
            </w:tcMar>
            <w:vAlign w:val="center"/>
          </w:tcPr>
          <w:p w14:paraId="6EBC6AEC">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101" w:type="dxa"/>
            <w:shd w:val="clear" w:color="auto" w:fill="auto"/>
            <w:tcMar>
              <w:left w:w="108" w:type="dxa"/>
              <w:right w:w="108" w:type="dxa"/>
            </w:tcMar>
            <w:vAlign w:val="center"/>
          </w:tcPr>
          <w:p w14:paraId="03926BFA">
            <w:pPr>
              <w:keepNext w:val="0"/>
              <w:keepLines w:val="0"/>
              <w:pageBreakBefore w:val="0"/>
              <w:widowControl/>
              <w:kinsoku/>
              <w:wordWrap/>
              <w:bidi w:val="0"/>
              <w:spacing w:line="480" w:lineRule="exact"/>
              <w:ind w:right="0" w:right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采购内容</w:t>
            </w:r>
          </w:p>
        </w:tc>
        <w:tc>
          <w:tcPr>
            <w:tcW w:w="6243" w:type="dxa"/>
            <w:shd w:val="clear" w:color="auto" w:fill="auto"/>
            <w:tcMar>
              <w:left w:w="108" w:type="dxa"/>
              <w:right w:w="108" w:type="dxa"/>
            </w:tcMar>
            <w:vAlign w:val="center"/>
          </w:tcPr>
          <w:p w14:paraId="6C362F84">
            <w:pPr>
              <w:keepNext w:val="0"/>
              <w:keepLines w:val="0"/>
              <w:pageBreakBefore w:val="0"/>
              <w:widowControl/>
              <w:kinsoku/>
              <w:wordWrap/>
              <w:bidi w:val="0"/>
              <w:spacing w:line="480" w:lineRule="exact"/>
              <w:ind w:right="0" w:rightChars="0"/>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西安经开第二中学教职工体检项目</w:t>
            </w:r>
          </w:p>
          <w:p w14:paraId="296F37A8">
            <w:pPr>
              <w:keepNext w:val="0"/>
              <w:keepLines w:val="0"/>
              <w:pageBreakBefore w:val="0"/>
              <w:widowControl/>
              <w:kinsoku/>
              <w:wordWrap/>
              <w:bidi w:val="0"/>
              <w:spacing w:line="480" w:lineRule="exact"/>
              <w:ind w:right="0" w:rightChars="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服务内容：详见第四章“采购内容及要求”</w:t>
            </w:r>
          </w:p>
        </w:tc>
      </w:tr>
      <w:tr w14:paraId="0335F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698" w:type="dxa"/>
            <w:shd w:val="clear" w:color="auto" w:fill="auto"/>
            <w:tcMar>
              <w:left w:w="108" w:type="dxa"/>
              <w:right w:w="108" w:type="dxa"/>
            </w:tcMar>
            <w:vAlign w:val="center"/>
          </w:tcPr>
          <w:p w14:paraId="1D5F0BB9">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101" w:type="dxa"/>
            <w:shd w:val="clear" w:color="auto" w:fill="auto"/>
            <w:tcMar>
              <w:left w:w="108" w:type="dxa"/>
              <w:right w:w="108" w:type="dxa"/>
            </w:tcMar>
            <w:vAlign w:val="center"/>
          </w:tcPr>
          <w:p w14:paraId="07E22801">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磋商有效期</w:t>
            </w:r>
          </w:p>
        </w:tc>
        <w:tc>
          <w:tcPr>
            <w:tcW w:w="6243" w:type="dxa"/>
            <w:shd w:val="clear" w:color="auto" w:fill="auto"/>
            <w:tcMar>
              <w:left w:w="108" w:type="dxa"/>
              <w:right w:w="108" w:type="dxa"/>
            </w:tcMar>
            <w:vAlign w:val="center"/>
          </w:tcPr>
          <w:p w14:paraId="028FDCFE">
            <w:pPr>
              <w:keepNext w:val="0"/>
              <w:keepLines w:val="0"/>
              <w:pageBreakBefore w:val="0"/>
              <w:widowControl/>
              <w:kinsoku/>
              <w:wordWrap/>
              <w:bidi w:val="0"/>
              <w:spacing w:line="480" w:lineRule="exact"/>
              <w:ind w:right="0" w:rightChars="0"/>
              <w:jc w:val="left"/>
              <w:rPr>
                <w:rFonts w:hint="eastAsia" w:ascii="宋体" w:hAnsi="宋体" w:eastAsia="宋体" w:cs="宋体"/>
                <w:kern w:val="0"/>
                <w:sz w:val="24"/>
                <w:szCs w:val="24"/>
              </w:rPr>
            </w:pPr>
            <w:r>
              <w:rPr>
                <w:rFonts w:hint="eastAsia" w:ascii="宋体" w:hAnsi="宋体" w:eastAsia="宋体" w:cs="宋体"/>
                <w:kern w:val="0"/>
                <w:sz w:val="24"/>
                <w:szCs w:val="24"/>
              </w:rPr>
              <w:t>自磋商响应文件递交之日起</w:t>
            </w:r>
            <w:r>
              <w:rPr>
                <w:rFonts w:hint="eastAsia" w:ascii="宋体" w:hAnsi="宋体" w:eastAsia="宋体" w:cs="宋体"/>
                <w:kern w:val="0"/>
                <w:sz w:val="24"/>
                <w:szCs w:val="24"/>
                <w:u w:val="single"/>
              </w:rPr>
              <w:t>90</w:t>
            </w:r>
            <w:r>
              <w:rPr>
                <w:rFonts w:hint="eastAsia" w:ascii="宋体" w:hAnsi="宋体" w:eastAsia="宋体" w:cs="宋体"/>
                <w:kern w:val="0"/>
                <w:sz w:val="24"/>
                <w:szCs w:val="24"/>
              </w:rPr>
              <w:t>日历天</w:t>
            </w:r>
          </w:p>
        </w:tc>
      </w:tr>
      <w:tr w14:paraId="111CD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2" w:hRule="atLeast"/>
          <w:jc w:val="center"/>
        </w:trPr>
        <w:tc>
          <w:tcPr>
            <w:tcW w:w="698" w:type="dxa"/>
            <w:shd w:val="clear" w:color="auto" w:fill="auto"/>
            <w:tcMar>
              <w:left w:w="108" w:type="dxa"/>
              <w:right w:w="108" w:type="dxa"/>
            </w:tcMar>
            <w:vAlign w:val="center"/>
          </w:tcPr>
          <w:p w14:paraId="2C55AD72">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101" w:type="dxa"/>
            <w:shd w:val="clear" w:color="auto" w:fill="auto"/>
            <w:tcMar>
              <w:left w:w="108" w:type="dxa"/>
              <w:right w:w="108" w:type="dxa"/>
            </w:tcMar>
            <w:vAlign w:val="center"/>
          </w:tcPr>
          <w:p w14:paraId="2A437574">
            <w:pPr>
              <w:keepNext w:val="0"/>
              <w:keepLines w:val="0"/>
              <w:pageBreakBefore w:val="0"/>
              <w:kinsoku/>
              <w:wordWrap/>
              <w:bidi w:val="0"/>
              <w:adjustRightInd w:val="0"/>
              <w:snapToGrid w:val="0"/>
              <w:spacing w:line="480" w:lineRule="exact"/>
              <w:ind w:right="0" w:right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服务期</w:t>
            </w:r>
          </w:p>
        </w:tc>
        <w:tc>
          <w:tcPr>
            <w:tcW w:w="6243" w:type="dxa"/>
            <w:shd w:val="clear" w:color="auto" w:fill="auto"/>
            <w:tcMar>
              <w:left w:w="108" w:type="dxa"/>
              <w:right w:w="108" w:type="dxa"/>
            </w:tcMar>
            <w:vAlign w:val="center"/>
          </w:tcPr>
          <w:p w14:paraId="5DF5DA13">
            <w:pPr>
              <w:keepNext w:val="0"/>
              <w:keepLines w:val="0"/>
              <w:pageBreakBefore w:val="0"/>
              <w:kinsoku/>
              <w:wordWrap/>
              <w:bidi w:val="0"/>
              <w:adjustRightInd w:val="0"/>
              <w:snapToGrid w:val="0"/>
              <w:spacing w:line="480" w:lineRule="exact"/>
              <w:ind w:right="0" w:rightChars="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合同签订之日起1个月内</w:t>
            </w:r>
          </w:p>
        </w:tc>
      </w:tr>
      <w:tr w14:paraId="54772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 w:hRule="atLeast"/>
          <w:jc w:val="center"/>
        </w:trPr>
        <w:tc>
          <w:tcPr>
            <w:tcW w:w="698" w:type="dxa"/>
            <w:shd w:val="clear" w:color="auto" w:fill="auto"/>
            <w:tcMar>
              <w:left w:w="108" w:type="dxa"/>
              <w:right w:w="108" w:type="dxa"/>
            </w:tcMar>
            <w:vAlign w:val="center"/>
          </w:tcPr>
          <w:p w14:paraId="492D7A2F">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101" w:type="dxa"/>
            <w:shd w:val="clear" w:color="auto" w:fill="auto"/>
            <w:tcMar>
              <w:left w:w="108" w:type="dxa"/>
              <w:right w:w="108" w:type="dxa"/>
            </w:tcMar>
            <w:vAlign w:val="center"/>
          </w:tcPr>
          <w:p w14:paraId="54D9BB6A">
            <w:pPr>
              <w:keepNext w:val="0"/>
              <w:keepLines w:val="0"/>
              <w:pageBreakBefore w:val="0"/>
              <w:widowControl/>
              <w:kinsoku/>
              <w:wordWrap/>
              <w:bidi w:val="0"/>
              <w:spacing w:line="480" w:lineRule="exact"/>
              <w:ind w:right="0" w:rightChars="0"/>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是否专门</w:t>
            </w:r>
          </w:p>
          <w:p w14:paraId="4EB01E1B">
            <w:pPr>
              <w:keepNext w:val="0"/>
              <w:keepLines w:val="0"/>
              <w:pageBreakBefore w:val="0"/>
              <w:widowControl/>
              <w:kinsoku/>
              <w:wordWrap/>
              <w:bidi w:val="0"/>
              <w:spacing w:line="480" w:lineRule="exact"/>
              <w:ind w:right="0" w:right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zh-CN"/>
              </w:rPr>
              <w:t>面向中小企业</w:t>
            </w:r>
          </w:p>
        </w:tc>
        <w:tc>
          <w:tcPr>
            <w:tcW w:w="6243" w:type="dxa"/>
            <w:shd w:val="clear" w:color="auto" w:fill="auto"/>
            <w:tcMar>
              <w:left w:w="108" w:type="dxa"/>
              <w:right w:w="108" w:type="dxa"/>
            </w:tcMar>
            <w:vAlign w:val="center"/>
          </w:tcPr>
          <w:p w14:paraId="2E270CAD">
            <w:pPr>
              <w:keepNext w:val="0"/>
              <w:keepLines w:val="0"/>
              <w:pageBreakBefore w:val="0"/>
              <w:widowControl/>
              <w:kinsoku/>
              <w:wordWrap/>
              <w:bidi w:val="0"/>
              <w:spacing w:line="480" w:lineRule="exact"/>
              <w:ind w:right="0" w:rightChars="0"/>
              <w:jc w:val="both"/>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否</w:t>
            </w:r>
          </w:p>
        </w:tc>
      </w:tr>
      <w:tr w14:paraId="6E6E0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0" w:hRule="atLeast"/>
          <w:jc w:val="center"/>
        </w:trPr>
        <w:tc>
          <w:tcPr>
            <w:tcW w:w="698" w:type="dxa"/>
            <w:shd w:val="clear" w:color="auto" w:fill="auto"/>
            <w:tcMar>
              <w:left w:w="108" w:type="dxa"/>
              <w:right w:w="108" w:type="dxa"/>
            </w:tcMar>
            <w:vAlign w:val="center"/>
          </w:tcPr>
          <w:p w14:paraId="59D90A2A">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101" w:type="dxa"/>
            <w:shd w:val="clear" w:color="auto" w:fill="auto"/>
            <w:tcMar>
              <w:left w:w="108" w:type="dxa"/>
              <w:right w:w="108" w:type="dxa"/>
            </w:tcMar>
            <w:vAlign w:val="center"/>
          </w:tcPr>
          <w:p w14:paraId="2FFBDE4D">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sz w:val="24"/>
                <w:szCs w:val="24"/>
              </w:rPr>
              <w:t>磋商响应单位资格条件、能力</w:t>
            </w:r>
          </w:p>
        </w:tc>
        <w:tc>
          <w:tcPr>
            <w:tcW w:w="6243" w:type="dxa"/>
            <w:shd w:val="clear" w:color="auto" w:fill="auto"/>
            <w:tcMar>
              <w:left w:w="108" w:type="dxa"/>
              <w:right w:w="108" w:type="dxa"/>
            </w:tcMar>
            <w:vAlign w:val="center"/>
          </w:tcPr>
          <w:p w14:paraId="43C0C2A4">
            <w:pPr>
              <w:keepNext w:val="0"/>
              <w:keepLines w:val="0"/>
              <w:pageBreakBefore w:val="0"/>
              <w:widowControl w:val="0"/>
              <w:numPr>
                <w:ilvl w:val="0"/>
                <w:numId w:val="0"/>
              </w:numPr>
              <w:kinsoku/>
              <w:wordWrap w:val="0"/>
              <w:overflowPunct w:val="0"/>
              <w:topLinePunct/>
              <w:autoSpaceDE/>
              <w:autoSpaceDN/>
              <w:bidi w:val="0"/>
              <w:adjustRightInd/>
              <w:snapToGrid/>
              <w:spacing w:line="480" w:lineRule="exact"/>
              <w:ind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（1）供应商为具有独立承担民事责任能力的法人或其他组织。企业法人应提供合法有效的标识有统一社会信用代码的营业执照；事业法人应提供事业单位法人证书；其他组织应提供合法登记证明文件；</w:t>
            </w:r>
          </w:p>
          <w:p w14:paraId="75761CA5">
            <w:pPr>
              <w:keepNext w:val="0"/>
              <w:keepLines w:val="0"/>
              <w:pageBreakBefore w:val="0"/>
              <w:widowControl w:val="0"/>
              <w:numPr>
                <w:ilvl w:val="0"/>
                <w:numId w:val="0"/>
              </w:numPr>
              <w:kinsoku/>
              <w:wordWrap w:val="0"/>
              <w:overflowPunct w:val="0"/>
              <w:topLinePunct/>
              <w:autoSpaceDE/>
              <w:autoSpaceDN/>
              <w:bidi w:val="0"/>
              <w:adjustRightInd/>
              <w:snapToGrid/>
              <w:spacing w:line="480" w:lineRule="exact"/>
              <w:ind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（2）供应商须具备卫生行政部门颁发的《医疗机构执业许可证》(诊疗科目中有开展健康体检服务的科目)、《放射诊疗许可证》；</w:t>
            </w:r>
          </w:p>
          <w:p w14:paraId="365DABF9">
            <w:pPr>
              <w:keepNext w:val="0"/>
              <w:keepLines w:val="0"/>
              <w:pageBreakBefore w:val="0"/>
              <w:widowControl w:val="0"/>
              <w:numPr>
                <w:ilvl w:val="0"/>
                <w:numId w:val="0"/>
              </w:numPr>
              <w:kinsoku/>
              <w:wordWrap w:val="0"/>
              <w:overflowPunct w:val="0"/>
              <w:topLinePunct/>
              <w:autoSpaceDE/>
              <w:autoSpaceDN/>
              <w:bidi w:val="0"/>
              <w:adjustRightInd/>
              <w:snapToGrid/>
              <w:spacing w:line="480" w:lineRule="exact"/>
              <w:ind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（3）财务状况报告：提供2024年经审计的财务报告或开标前三个月内开户银行开具的资信证明；</w:t>
            </w:r>
          </w:p>
          <w:p w14:paraId="61D44648">
            <w:pPr>
              <w:keepNext w:val="0"/>
              <w:keepLines w:val="0"/>
              <w:pageBreakBefore w:val="0"/>
              <w:widowControl w:val="0"/>
              <w:numPr>
                <w:ilvl w:val="0"/>
                <w:numId w:val="0"/>
              </w:numPr>
              <w:kinsoku/>
              <w:wordWrap w:val="0"/>
              <w:overflowPunct w:val="0"/>
              <w:topLinePunct/>
              <w:autoSpaceDE/>
              <w:autoSpaceDN/>
              <w:bidi w:val="0"/>
              <w:adjustRightInd/>
              <w:snapToGrid/>
              <w:spacing w:line="480" w:lineRule="exact"/>
              <w:ind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（4）税收缴纳证明：提供2025年04月至今已缴纳的至少一个月的纳税证明或完税证明（任意税种），依法免税的单位应提供相关证明材料；</w:t>
            </w:r>
          </w:p>
          <w:p w14:paraId="1ECAB649">
            <w:pPr>
              <w:keepNext w:val="0"/>
              <w:keepLines w:val="0"/>
              <w:pageBreakBefore w:val="0"/>
              <w:widowControl w:val="0"/>
              <w:numPr>
                <w:ilvl w:val="0"/>
                <w:numId w:val="0"/>
              </w:numPr>
              <w:kinsoku/>
              <w:wordWrap w:val="0"/>
              <w:overflowPunct w:val="0"/>
              <w:topLinePunct/>
              <w:autoSpaceDE/>
              <w:autoSpaceDN/>
              <w:bidi w:val="0"/>
              <w:adjustRightInd/>
              <w:snapToGrid/>
              <w:spacing w:line="480" w:lineRule="exact"/>
              <w:ind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（5）社会保障资金缴纳证明：提供2025年04月至今已缴存的至少一个月的社会保障资金缴存单据或社保机构开具的社会保险参保缴费情况证明，依法不需要缴纳社会保障资金的单位应提供相关证明材料；</w:t>
            </w:r>
          </w:p>
          <w:p w14:paraId="5D877070">
            <w:pPr>
              <w:keepNext w:val="0"/>
              <w:keepLines w:val="0"/>
              <w:pageBreakBefore w:val="0"/>
              <w:widowControl w:val="0"/>
              <w:numPr>
                <w:ilvl w:val="0"/>
                <w:numId w:val="0"/>
              </w:numPr>
              <w:kinsoku/>
              <w:wordWrap w:val="0"/>
              <w:overflowPunct w:val="0"/>
              <w:topLinePunct/>
              <w:autoSpaceDE/>
              <w:autoSpaceDN/>
              <w:bidi w:val="0"/>
              <w:adjustRightInd/>
              <w:snapToGrid/>
              <w:spacing w:line="480" w:lineRule="exact"/>
              <w:ind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（6）提供具有履行本合同所必需的设备和专业技术能力的声明；</w:t>
            </w:r>
          </w:p>
          <w:p w14:paraId="0520E11E">
            <w:pPr>
              <w:keepNext w:val="0"/>
              <w:keepLines w:val="0"/>
              <w:pageBreakBefore w:val="0"/>
              <w:widowControl w:val="0"/>
              <w:numPr>
                <w:ilvl w:val="0"/>
                <w:numId w:val="0"/>
              </w:numPr>
              <w:kinsoku/>
              <w:wordWrap w:val="0"/>
              <w:overflowPunct w:val="0"/>
              <w:topLinePunct/>
              <w:autoSpaceDE/>
              <w:autoSpaceDN/>
              <w:bidi w:val="0"/>
              <w:adjustRightInd/>
              <w:snapToGrid/>
              <w:spacing w:line="480" w:lineRule="exact"/>
              <w:ind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（7）参加本次政府采购活动前3年内在经营活动中没有重大违纪，以及未被列入失信被执行人、重大税收违法失信主体、政府采购严重违法失信行为记录名单的书面声明；</w:t>
            </w:r>
          </w:p>
          <w:p w14:paraId="0CDBD3DB">
            <w:pPr>
              <w:keepNext w:val="0"/>
              <w:keepLines w:val="0"/>
              <w:pageBreakBefore w:val="0"/>
              <w:widowControl w:val="0"/>
              <w:numPr>
                <w:ilvl w:val="0"/>
                <w:numId w:val="0"/>
              </w:numPr>
              <w:kinsoku/>
              <w:wordWrap w:val="0"/>
              <w:overflowPunct w:val="0"/>
              <w:topLinePunct/>
              <w:autoSpaceDE/>
              <w:autoSpaceDN/>
              <w:bidi w:val="0"/>
              <w:adjustRightInd/>
              <w:snapToGrid/>
              <w:spacing w:line="480" w:lineRule="exact"/>
              <w:ind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供应商应授权合法的人员参加投标全过程，其中法定代表人直接参加投标的，须出具法人身份证，并与营业执照上信息一致。法定代表人授权代表参加投标的，须出具法定代表人授权书、授权代表身份证以及被授权人在磋商截止日前6个月内在本单位已缴存的至少1个月的社会保险参保缴费证明</w:t>
            </w:r>
            <w:r>
              <w:rPr>
                <w:rFonts w:hint="eastAsia" w:ascii="宋体" w:hAnsi="宋体" w:eastAsia="宋体" w:cs="宋体"/>
                <w:sz w:val="24"/>
                <w:szCs w:val="24"/>
                <w:lang w:val="en-US" w:eastAsia="zh-CN"/>
              </w:rPr>
              <w:t>；</w:t>
            </w:r>
          </w:p>
          <w:p w14:paraId="5C7391A6">
            <w:pPr>
              <w:keepNext w:val="0"/>
              <w:keepLines w:val="0"/>
              <w:pageBreakBefore w:val="0"/>
              <w:widowControl w:val="0"/>
              <w:numPr>
                <w:ilvl w:val="0"/>
                <w:numId w:val="0"/>
              </w:numPr>
              <w:kinsoku/>
              <w:wordWrap w:val="0"/>
              <w:overflowPunct w:val="0"/>
              <w:topLinePunct/>
              <w:autoSpaceDE/>
              <w:autoSpaceDN/>
              <w:bidi w:val="0"/>
              <w:adjustRightInd/>
              <w:snapToGrid/>
              <w:spacing w:line="480" w:lineRule="exact"/>
              <w:ind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（9）供应商单位负责人不得为同一人或者存在控股、管理关系。</w:t>
            </w:r>
          </w:p>
          <w:p w14:paraId="08730B7A">
            <w:pPr>
              <w:keepNext w:val="0"/>
              <w:keepLines w:val="0"/>
              <w:pageBreakBefore w:val="0"/>
              <w:widowControl w:val="0"/>
              <w:numPr>
                <w:ilvl w:val="0"/>
                <w:numId w:val="0"/>
              </w:numPr>
              <w:kinsoku/>
              <w:wordWrap w:val="0"/>
              <w:overflowPunct w:val="0"/>
              <w:topLinePunct/>
              <w:autoSpaceDE/>
              <w:autoSpaceDN/>
              <w:bidi w:val="0"/>
              <w:adjustRightInd/>
              <w:snapToGrid/>
              <w:spacing w:line="480" w:lineRule="exact"/>
              <w:ind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eastAsia="zh-CN"/>
              </w:rPr>
              <w:t>注：</w:t>
            </w:r>
            <w:r>
              <w:rPr>
                <w:rFonts w:hint="eastAsia" w:ascii="宋体" w:hAnsi="宋体" w:eastAsia="宋体" w:cs="宋体"/>
                <w:sz w:val="24"/>
                <w:szCs w:val="24"/>
              </w:rPr>
              <w:t>本项目</w:t>
            </w:r>
            <w:r>
              <w:rPr>
                <w:rFonts w:hint="eastAsia" w:ascii="宋体" w:hAnsi="宋体" w:eastAsia="宋体" w:cs="宋体"/>
                <w:sz w:val="24"/>
                <w:szCs w:val="24"/>
                <w:lang w:eastAsia="zh-CN"/>
              </w:rPr>
              <w:t>不</w:t>
            </w:r>
            <w:r>
              <w:rPr>
                <w:rFonts w:hint="eastAsia" w:ascii="宋体" w:hAnsi="宋体" w:eastAsia="宋体" w:cs="宋体"/>
                <w:sz w:val="24"/>
                <w:szCs w:val="24"/>
              </w:rPr>
              <w:t>接受联合体磋商</w:t>
            </w:r>
            <w:r>
              <w:rPr>
                <w:rFonts w:hint="eastAsia" w:ascii="宋体" w:hAnsi="宋体" w:eastAsia="宋体" w:cs="宋体"/>
                <w:sz w:val="24"/>
                <w:szCs w:val="24"/>
                <w:lang w:eastAsia="zh-CN"/>
              </w:rPr>
              <w:t>。</w:t>
            </w:r>
          </w:p>
        </w:tc>
      </w:tr>
      <w:tr w14:paraId="2FFF2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5" w:hRule="atLeast"/>
          <w:jc w:val="center"/>
        </w:trPr>
        <w:tc>
          <w:tcPr>
            <w:tcW w:w="698" w:type="dxa"/>
            <w:shd w:val="clear" w:color="auto" w:fill="auto"/>
            <w:tcMar>
              <w:left w:w="108" w:type="dxa"/>
              <w:right w:w="108" w:type="dxa"/>
            </w:tcMar>
            <w:vAlign w:val="center"/>
          </w:tcPr>
          <w:p w14:paraId="3611432D">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101" w:type="dxa"/>
            <w:shd w:val="clear" w:color="auto" w:fill="auto"/>
            <w:tcMar>
              <w:left w:w="108" w:type="dxa"/>
              <w:right w:w="108" w:type="dxa"/>
            </w:tcMar>
            <w:vAlign w:val="center"/>
          </w:tcPr>
          <w:p w14:paraId="7375E6C4">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highlight w:val="red"/>
              </w:rPr>
            </w:pPr>
            <w:r>
              <w:rPr>
                <w:rFonts w:hint="eastAsia" w:ascii="宋体" w:hAnsi="宋体" w:eastAsia="宋体" w:cs="宋体"/>
                <w:sz w:val="24"/>
                <w:szCs w:val="24"/>
              </w:rPr>
              <w:t>磋商答疑会</w:t>
            </w:r>
          </w:p>
        </w:tc>
        <w:tc>
          <w:tcPr>
            <w:tcW w:w="6243" w:type="dxa"/>
            <w:shd w:val="clear" w:color="auto" w:fill="auto"/>
            <w:tcMar>
              <w:left w:w="108" w:type="dxa"/>
              <w:right w:w="108" w:type="dxa"/>
            </w:tcMar>
            <w:vAlign w:val="center"/>
          </w:tcPr>
          <w:p w14:paraId="07544CE6">
            <w:pPr>
              <w:keepNext w:val="0"/>
              <w:keepLines w:val="0"/>
              <w:pageBreakBefore w:val="0"/>
              <w:widowControl/>
              <w:kinsoku/>
              <w:wordWrap/>
              <w:bidi w:val="0"/>
              <w:spacing w:line="480" w:lineRule="exact"/>
              <w:ind w:right="0" w:rightChars="0"/>
              <w:rPr>
                <w:rFonts w:hint="eastAsia" w:ascii="宋体" w:hAnsi="宋体" w:eastAsia="宋体" w:cs="宋体"/>
                <w:kern w:val="0"/>
                <w:sz w:val="24"/>
                <w:szCs w:val="24"/>
                <w:highlight w:val="red"/>
              </w:rPr>
            </w:pPr>
            <w:r>
              <w:rPr>
                <w:rFonts w:hint="eastAsia" w:ascii="宋体" w:hAnsi="宋体" w:eastAsia="宋体" w:cs="宋体"/>
                <w:sz w:val="24"/>
                <w:szCs w:val="24"/>
              </w:rPr>
              <w:t>不召开，相关事宜以书面提问和答复方式进行</w:t>
            </w:r>
          </w:p>
        </w:tc>
      </w:tr>
      <w:tr w14:paraId="53287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6" w:hRule="atLeast"/>
          <w:jc w:val="center"/>
        </w:trPr>
        <w:tc>
          <w:tcPr>
            <w:tcW w:w="698" w:type="dxa"/>
            <w:shd w:val="clear" w:color="auto" w:fill="auto"/>
            <w:tcMar>
              <w:left w:w="108" w:type="dxa"/>
              <w:right w:w="108" w:type="dxa"/>
            </w:tcMar>
            <w:vAlign w:val="center"/>
          </w:tcPr>
          <w:p w14:paraId="31BF5EEF">
            <w:pPr>
              <w:keepNext w:val="0"/>
              <w:keepLines w:val="0"/>
              <w:pageBreakBefore w:val="0"/>
              <w:kinsoku/>
              <w:wordWrap/>
              <w:bidi w:val="0"/>
              <w:adjustRightInd w:val="0"/>
              <w:snapToGrid w:val="0"/>
              <w:spacing w:line="480" w:lineRule="exact"/>
              <w:ind w:right="0" w:right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p>
        </w:tc>
        <w:tc>
          <w:tcPr>
            <w:tcW w:w="2101" w:type="dxa"/>
            <w:shd w:val="clear" w:color="auto" w:fill="auto"/>
            <w:tcMar>
              <w:left w:w="108" w:type="dxa"/>
              <w:right w:w="108" w:type="dxa"/>
            </w:tcMar>
            <w:vAlign w:val="center"/>
          </w:tcPr>
          <w:p w14:paraId="3DDC1D2C">
            <w:pPr>
              <w:keepNext w:val="0"/>
              <w:keepLines w:val="0"/>
              <w:pageBreakBefore w:val="0"/>
              <w:kinsoku/>
              <w:wordWrap/>
              <w:bidi w:val="0"/>
              <w:adjustRightInd w:val="0"/>
              <w:snapToGrid w:val="0"/>
              <w:spacing w:line="480" w:lineRule="exact"/>
              <w:ind w:right="0" w:right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响应</w:t>
            </w:r>
            <w:r>
              <w:rPr>
                <w:rFonts w:hint="eastAsia" w:ascii="宋体" w:hAnsi="宋体" w:eastAsia="宋体" w:cs="宋体"/>
                <w:bCs/>
                <w:sz w:val="24"/>
                <w:szCs w:val="24"/>
                <w:highlight w:val="none"/>
              </w:rPr>
              <w:t>文件份数</w:t>
            </w:r>
          </w:p>
          <w:p w14:paraId="03EA4C49">
            <w:pPr>
              <w:keepNext w:val="0"/>
              <w:keepLines w:val="0"/>
              <w:pageBreakBefore w:val="0"/>
              <w:kinsoku/>
              <w:wordWrap/>
              <w:bidi w:val="0"/>
              <w:adjustRightInd w:val="0"/>
              <w:snapToGrid w:val="0"/>
              <w:spacing w:line="480" w:lineRule="exact"/>
              <w:ind w:right="0" w:right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响应文件的装订、密封和标记</w:t>
            </w:r>
          </w:p>
        </w:tc>
        <w:tc>
          <w:tcPr>
            <w:tcW w:w="6243" w:type="dxa"/>
            <w:shd w:val="clear" w:color="auto" w:fill="auto"/>
            <w:tcMar>
              <w:left w:w="108" w:type="dxa"/>
              <w:right w:w="108" w:type="dxa"/>
            </w:tcMar>
            <w:vAlign w:val="center"/>
          </w:tcPr>
          <w:p w14:paraId="6807B02A">
            <w:pPr>
              <w:keepNext w:val="0"/>
              <w:keepLines w:val="0"/>
              <w:pageBreakBefore w:val="0"/>
              <w:kinsoku/>
              <w:wordWrap/>
              <w:bidi w:val="0"/>
              <w:adjustRightInd w:val="0"/>
              <w:snapToGrid w:val="0"/>
              <w:spacing w:line="480" w:lineRule="exact"/>
              <w:ind w:right="0" w:right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正本 1 份、副本 2 份、电子文件（U盘） 1 份</w:t>
            </w:r>
          </w:p>
          <w:p w14:paraId="485A58B6">
            <w:pPr>
              <w:keepNext w:val="0"/>
              <w:keepLines w:val="0"/>
              <w:pageBreakBefore w:val="0"/>
              <w:kinsoku/>
              <w:wordWrap/>
              <w:bidi w:val="0"/>
              <w:adjustRightInd w:val="0"/>
              <w:snapToGrid w:val="0"/>
              <w:spacing w:line="480" w:lineRule="exact"/>
              <w:ind w:right="0" w:right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响应文件正、副本分别装订成册，胶装（不允许用可换页的活页夹装订），装订应牢固，内容较多时可分册装订但应注明册序号。</w:t>
            </w:r>
          </w:p>
          <w:p w14:paraId="2529D6EE">
            <w:pPr>
              <w:keepNext w:val="0"/>
              <w:keepLines w:val="0"/>
              <w:pageBreakBefore w:val="0"/>
              <w:kinsoku/>
              <w:wordWrap/>
              <w:bidi w:val="0"/>
              <w:adjustRightInd w:val="0"/>
              <w:snapToGrid w:val="0"/>
              <w:spacing w:line="480" w:lineRule="exact"/>
              <w:ind w:right="0" w:right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响应文件的正本，副本，电子版文件（U盘）分别封装在封袋（包）内，共计三个封袋。全部封袋须密封（封袋不得破损），在封袋（包）正面粘贴标识，封袋（包）封口处用封条密封，封线处加盖单位公章。</w:t>
            </w:r>
          </w:p>
          <w:p w14:paraId="1F155309">
            <w:pPr>
              <w:keepNext w:val="0"/>
              <w:keepLines w:val="0"/>
              <w:pageBreakBefore w:val="0"/>
              <w:kinsoku/>
              <w:wordWrap/>
              <w:bidi w:val="0"/>
              <w:adjustRightInd w:val="0"/>
              <w:snapToGrid w:val="0"/>
              <w:spacing w:line="480" w:lineRule="exact"/>
              <w:ind w:right="0" w:rightChars="0"/>
              <w:rPr>
                <w:rFonts w:hint="eastAsia" w:ascii="宋体" w:hAnsi="宋体" w:eastAsia="宋体" w:cs="宋体"/>
                <w:sz w:val="24"/>
                <w:szCs w:val="24"/>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eastAsia="zh-CN"/>
              </w:rPr>
              <w:t>、电子版文件1份（电子版以U盘方式递交，须注明项目编号、供应商名称。内容为Word版本与PDF版本，PDF版本须与</w:t>
            </w:r>
            <w:r>
              <w:rPr>
                <w:rFonts w:hint="eastAsia" w:ascii="宋体" w:hAnsi="宋体" w:eastAsia="宋体" w:cs="宋体"/>
                <w:bCs/>
                <w:sz w:val="24"/>
                <w:szCs w:val="24"/>
                <w:highlight w:val="none"/>
                <w:lang w:val="en-US" w:eastAsia="zh-CN"/>
              </w:rPr>
              <w:t>响应</w:t>
            </w:r>
            <w:r>
              <w:rPr>
                <w:rFonts w:hint="eastAsia" w:ascii="宋体" w:hAnsi="宋体" w:eastAsia="宋体" w:cs="宋体"/>
                <w:bCs/>
                <w:sz w:val="24"/>
                <w:szCs w:val="24"/>
                <w:highlight w:val="none"/>
                <w:lang w:eastAsia="zh-CN"/>
              </w:rPr>
              <w:t>文件正本完全一致，包含签字及盖章内容）</w:t>
            </w:r>
            <w:r>
              <w:rPr>
                <w:rFonts w:hint="eastAsia" w:ascii="宋体" w:hAnsi="宋体" w:eastAsia="宋体" w:cs="宋体"/>
                <w:bCs/>
                <w:sz w:val="24"/>
                <w:szCs w:val="24"/>
                <w:highlight w:val="none"/>
              </w:rPr>
              <w:t>。</w:t>
            </w:r>
          </w:p>
        </w:tc>
      </w:tr>
      <w:tr w14:paraId="13B8C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6" w:hRule="atLeast"/>
          <w:jc w:val="center"/>
        </w:trPr>
        <w:tc>
          <w:tcPr>
            <w:tcW w:w="698" w:type="dxa"/>
            <w:shd w:val="clear" w:color="auto" w:fill="auto"/>
            <w:tcMar>
              <w:left w:w="108" w:type="dxa"/>
              <w:right w:w="108" w:type="dxa"/>
            </w:tcMar>
            <w:vAlign w:val="center"/>
          </w:tcPr>
          <w:p w14:paraId="3CDE18BA">
            <w:pPr>
              <w:keepNext w:val="0"/>
              <w:keepLines w:val="0"/>
              <w:pageBreakBefore w:val="0"/>
              <w:kinsoku/>
              <w:wordWrap/>
              <w:bidi w:val="0"/>
              <w:adjustRightInd w:val="0"/>
              <w:snapToGrid w:val="0"/>
              <w:spacing w:line="480" w:lineRule="exact"/>
              <w:ind w:right="0" w:rightChars="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14</w:t>
            </w:r>
          </w:p>
        </w:tc>
        <w:tc>
          <w:tcPr>
            <w:tcW w:w="2101" w:type="dxa"/>
            <w:shd w:val="clear" w:color="auto" w:fill="auto"/>
            <w:tcMar>
              <w:left w:w="108" w:type="dxa"/>
              <w:right w:w="108" w:type="dxa"/>
            </w:tcMar>
            <w:vAlign w:val="center"/>
          </w:tcPr>
          <w:p w14:paraId="5FCA191F">
            <w:pPr>
              <w:keepNext w:val="0"/>
              <w:keepLines w:val="0"/>
              <w:pageBreakBefore w:val="0"/>
              <w:kinsoku/>
              <w:wordWrap/>
              <w:bidi w:val="0"/>
              <w:adjustRightInd w:val="0"/>
              <w:snapToGrid w:val="0"/>
              <w:spacing w:line="480" w:lineRule="exact"/>
              <w:ind w:right="0" w:right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响应文件封套上应载明的信息</w:t>
            </w:r>
          </w:p>
        </w:tc>
        <w:tc>
          <w:tcPr>
            <w:tcW w:w="6243" w:type="dxa"/>
            <w:shd w:val="clear" w:color="auto" w:fill="auto"/>
            <w:tcMar>
              <w:left w:w="108" w:type="dxa"/>
              <w:right w:w="108" w:type="dxa"/>
            </w:tcMar>
            <w:vAlign w:val="center"/>
          </w:tcPr>
          <w:p w14:paraId="04042043">
            <w:pPr>
              <w:keepNext w:val="0"/>
              <w:keepLines w:val="0"/>
              <w:pageBreakBefore w:val="0"/>
              <w:kinsoku/>
              <w:wordWrap/>
              <w:bidi w:val="0"/>
              <w:adjustRightInd w:val="0"/>
              <w:snapToGrid w:val="0"/>
              <w:spacing w:line="480" w:lineRule="exact"/>
              <w:ind w:right="0" w:right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磋商响应文件（正本、副本、U盘）</w:t>
            </w:r>
          </w:p>
          <w:p w14:paraId="4A82A129">
            <w:pPr>
              <w:keepNext w:val="0"/>
              <w:keepLines w:val="0"/>
              <w:pageBreakBefore w:val="0"/>
              <w:kinsoku/>
              <w:wordWrap/>
              <w:bidi w:val="0"/>
              <w:adjustRightInd w:val="0"/>
              <w:snapToGrid w:val="0"/>
              <w:spacing w:line="480" w:lineRule="exact"/>
              <w:ind w:right="0" w:right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项目名称</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val="en-US" w:eastAsia="zh-CN"/>
              </w:rPr>
              <w:t xml:space="preserve">                            </w:t>
            </w:r>
          </w:p>
          <w:p w14:paraId="0E40638B">
            <w:pPr>
              <w:keepNext w:val="0"/>
              <w:keepLines w:val="0"/>
              <w:pageBreakBefore w:val="0"/>
              <w:kinsoku/>
              <w:wordWrap/>
              <w:bidi w:val="0"/>
              <w:adjustRightInd w:val="0"/>
              <w:snapToGrid w:val="0"/>
              <w:spacing w:line="480" w:lineRule="exact"/>
              <w:ind w:right="0" w:right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项目编号：</w:t>
            </w:r>
            <w:r>
              <w:rPr>
                <w:rFonts w:hint="eastAsia" w:ascii="宋体" w:hAnsi="宋体" w:eastAsia="宋体" w:cs="宋体"/>
                <w:bCs/>
                <w:sz w:val="24"/>
                <w:szCs w:val="24"/>
                <w:highlight w:val="none"/>
                <w:u w:val="single"/>
                <w:lang w:val="en-US" w:eastAsia="zh-CN"/>
              </w:rPr>
              <w:t xml:space="preserve">                            </w:t>
            </w:r>
          </w:p>
          <w:p w14:paraId="3148DF7B">
            <w:pPr>
              <w:keepNext w:val="0"/>
              <w:keepLines w:val="0"/>
              <w:pageBreakBefore w:val="0"/>
              <w:kinsoku/>
              <w:wordWrap/>
              <w:bidi w:val="0"/>
              <w:adjustRightInd w:val="0"/>
              <w:snapToGrid w:val="0"/>
              <w:spacing w:line="480" w:lineRule="exact"/>
              <w:ind w:right="0" w:rightChars="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供应商名称：</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lang w:val="en-US" w:eastAsia="zh-CN"/>
              </w:rPr>
              <w:t>公章</w:t>
            </w:r>
            <w:r>
              <w:rPr>
                <w:rFonts w:hint="eastAsia" w:ascii="宋体" w:hAnsi="宋体" w:eastAsia="宋体" w:cs="宋体"/>
                <w:bCs/>
                <w:sz w:val="24"/>
                <w:szCs w:val="24"/>
                <w:highlight w:val="none"/>
                <w:u w:val="single"/>
                <w:lang w:eastAsia="zh-CN"/>
              </w:rPr>
              <w:t>）</w:t>
            </w:r>
          </w:p>
          <w:p w14:paraId="33EF24D4">
            <w:pPr>
              <w:keepNext w:val="0"/>
              <w:keepLines w:val="0"/>
              <w:pageBreakBefore w:val="0"/>
              <w:kinsoku/>
              <w:wordWrap/>
              <w:bidi w:val="0"/>
              <w:adjustRightInd w:val="0"/>
              <w:snapToGrid w:val="0"/>
              <w:spacing w:line="480" w:lineRule="exact"/>
              <w:ind w:right="0" w:right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供应商地址：</w:t>
            </w:r>
            <w:r>
              <w:rPr>
                <w:rFonts w:hint="eastAsia" w:ascii="宋体" w:hAnsi="宋体" w:eastAsia="宋体" w:cs="宋体"/>
                <w:bCs/>
                <w:sz w:val="24"/>
                <w:szCs w:val="24"/>
                <w:highlight w:val="none"/>
                <w:u w:val="single"/>
                <w:lang w:val="en-US" w:eastAsia="zh-CN"/>
              </w:rPr>
              <w:t xml:space="preserve">                            </w:t>
            </w:r>
          </w:p>
          <w:p w14:paraId="0608A23F">
            <w:pPr>
              <w:keepNext w:val="0"/>
              <w:keepLines w:val="0"/>
              <w:pageBreakBefore w:val="0"/>
              <w:kinsoku/>
              <w:wordWrap/>
              <w:bidi w:val="0"/>
              <w:adjustRightInd w:val="0"/>
              <w:snapToGrid w:val="0"/>
              <w:spacing w:line="480" w:lineRule="exact"/>
              <w:ind w:right="0" w:right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法定代表人或被授权人：</w:t>
            </w:r>
            <w:r>
              <w:rPr>
                <w:rFonts w:hint="eastAsia" w:ascii="宋体" w:hAnsi="宋体" w:eastAsia="宋体" w:cs="宋体"/>
                <w:bCs/>
                <w:sz w:val="24"/>
                <w:szCs w:val="24"/>
                <w:highlight w:val="none"/>
                <w:u w:val="single"/>
                <w:lang w:val="en-US" w:eastAsia="zh-CN"/>
              </w:rPr>
              <w:t xml:space="preserve">   （签字或盖章）</w:t>
            </w:r>
          </w:p>
          <w:p w14:paraId="7D4FB075">
            <w:pPr>
              <w:keepNext w:val="0"/>
              <w:keepLines w:val="0"/>
              <w:pageBreakBefore w:val="0"/>
              <w:kinsoku/>
              <w:wordWrap/>
              <w:bidi w:val="0"/>
              <w:adjustRightInd w:val="0"/>
              <w:snapToGrid w:val="0"/>
              <w:spacing w:line="480" w:lineRule="exact"/>
              <w:ind w:right="0" w:rightChars="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在</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年**月**日**时**分之前不得启封</w:t>
            </w:r>
          </w:p>
        </w:tc>
      </w:tr>
      <w:tr w14:paraId="1D9D1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98" w:type="dxa"/>
            <w:shd w:val="clear" w:color="auto" w:fill="auto"/>
            <w:tcMar>
              <w:left w:w="108" w:type="dxa"/>
              <w:right w:w="108" w:type="dxa"/>
            </w:tcMar>
            <w:vAlign w:val="center"/>
          </w:tcPr>
          <w:p w14:paraId="2C6BA6D8">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5</w:t>
            </w:r>
          </w:p>
        </w:tc>
        <w:tc>
          <w:tcPr>
            <w:tcW w:w="2101" w:type="dxa"/>
            <w:shd w:val="clear" w:color="auto" w:fill="auto"/>
            <w:tcMar>
              <w:left w:w="108" w:type="dxa"/>
              <w:right w:w="108" w:type="dxa"/>
            </w:tcMar>
            <w:vAlign w:val="center"/>
          </w:tcPr>
          <w:p w14:paraId="4CA0C19C">
            <w:pPr>
              <w:keepNext w:val="0"/>
              <w:keepLines w:val="0"/>
              <w:pageBreakBefore w:val="0"/>
              <w:kinsoku/>
              <w:wordWrap/>
              <w:overflowPunct w:val="0"/>
              <w:topLinePunct/>
              <w:bidi w:val="0"/>
              <w:spacing w:line="480" w:lineRule="exact"/>
              <w:ind w:right="0" w:rightChars="0"/>
              <w:jc w:val="center"/>
              <w:rPr>
                <w:rFonts w:hint="eastAsia" w:ascii="宋体" w:hAnsi="宋体" w:eastAsia="宋体" w:cs="宋体"/>
                <w:sz w:val="24"/>
                <w:szCs w:val="24"/>
              </w:rPr>
            </w:pPr>
            <w:r>
              <w:rPr>
                <w:rFonts w:hint="eastAsia" w:ascii="宋体" w:hAnsi="宋体" w:eastAsia="宋体" w:cs="宋体"/>
                <w:sz w:val="24"/>
                <w:szCs w:val="24"/>
              </w:rPr>
              <w:t>首次响应文件</w:t>
            </w:r>
          </w:p>
          <w:p w14:paraId="073FE0C6">
            <w:pPr>
              <w:keepNext w:val="0"/>
              <w:keepLines w:val="0"/>
              <w:pageBreakBefore w:val="0"/>
              <w:kinsoku/>
              <w:wordWrap/>
              <w:overflowPunct w:val="0"/>
              <w:topLinePunct/>
              <w:bidi w:val="0"/>
              <w:spacing w:line="480" w:lineRule="exact"/>
              <w:ind w:right="0" w:rightChars="0"/>
              <w:jc w:val="center"/>
              <w:rPr>
                <w:rFonts w:hint="eastAsia" w:ascii="宋体" w:hAnsi="宋体" w:eastAsia="宋体" w:cs="宋体"/>
                <w:sz w:val="24"/>
                <w:szCs w:val="24"/>
              </w:rPr>
            </w:pPr>
            <w:r>
              <w:rPr>
                <w:rFonts w:hint="eastAsia" w:ascii="宋体" w:hAnsi="宋体" w:eastAsia="宋体" w:cs="宋体"/>
                <w:sz w:val="24"/>
                <w:szCs w:val="24"/>
              </w:rPr>
              <w:t>递交地点</w:t>
            </w:r>
          </w:p>
        </w:tc>
        <w:tc>
          <w:tcPr>
            <w:tcW w:w="6243" w:type="dxa"/>
            <w:shd w:val="clear" w:color="auto" w:fill="auto"/>
            <w:tcMar>
              <w:left w:w="108" w:type="dxa"/>
              <w:right w:w="108" w:type="dxa"/>
            </w:tcMar>
            <w:vAlign w:val="center"/>
          </w:tcPr>
          <w:p w14:paraId="71376C85">
            <w:pPr>
              <w:keepNext w:val="0"/>
              <w:keepLines w:val="0"/>
              <w:pageBreakBefore w:val="0"/>
              <w:kinsoku/>
              <w:wordWrap/>
              <w:overflowPunct w:val="0"/>
              <w:topLinePunct/>
              <w:bidi w:val="0"/>
              <w:spacing w:line="480" w:lineRule="exact"/>
              <w:ind w:right="0" w:rightChars="0"/>
              <w:rPr>
                <w:rFonts w:hint="eastAsia" w:ascii="宋体" w:hAnsi="宋体" w:eastAsia="宋体" w:cs="宋体"/>
                <w:kern w:val="0"/>
                <w:sz w:val="24"/>
                <w:szCs w:val="24"/>
              </w:rPr>
            </w:pPr>
            <w:r>
              <w:rPr>
                <w:rFonts w:hint="eastAsia" w:ascii="宋体" w:hAnsi="宋体" w:eastAsia="宋体" w:cs="宋体"/>
                <w:sz w:val="24"/>
                <w:szCs w:val="24"/>
                <w:lang w:eastAsia="zh-CN"/>
              </w:rPr>
              <w:t>陕西信鹏项目管理有限公司</w:t>
            </w:r>
            <w:r>
              <w:rPr>
                <w:rFonts w:hint="eastAsia" w:ascii="宋体" w:hAnsi="宋体" w:eastAsia="宋体" w:cs="宋体"/>
                <w:sz w:val="24"/>
                <w:szCs w:val="24"/>
              </w:rPr>
              <w:t>（</w:t>
            </w:r>
            <w:r>
              <w:rPr>
                <w:rFonts w:hint="eastAsia" w:ascii="宋体" w:hAnsi="宋体" w:eastAsia="宋体" w:cs="宋体"/>
                <w:sz w:val="24"/>
                <w:szCs w:val="24"/>
                <w:lang w:eastAsia="zh-CN"/>
              </w:rPr>
              <w:t>西安市经济技术开发区凤城十二路凯瑞B座9层906室</w:t>
            </w:r>
            <w:r>
              <w:rPr>
                <w:rFonts w:hint="eastAsia" w:ascii="宋体" w:hAnsi="宋体" w:eastAsia="宋体" w:cs="宋体"/>
                <w:sz w:val="24"/>
                <w:szCs w:val="24"/>
              </w:rPr>
              <w:t>）</w:t>
            </w:r>
          </w:p>
        </w:tc>
      </w:tr>
      <w:tr w14:paraId="1A85E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98" w:type="dxa"/>
            <w:shd w:val="clear" w:color="auto" w:fill="auto"/>
            <w:tcMar>
              <w:left w:w="108" w:type="dxa"/>
              <w:right w:w="108" w:type="dxa"/>
            </w:tcMar>
            <w:vAlign w:val="center"/>
          </w:tcPr>
          <w:p w14:paraId="557F9BCE">
            <w:pPr>
              <w:keepNext w:val="0"/>
              <w:keepLines w:val="0"/>
              <w:pageBreakBefore w:val="0"/>
              <w:widowControl/>
              <w:kinsoku/>
              <w:wordWrap/>
              <w:bidi w:val="0"/>
              <w:spacing w:line="480" w:lineRule="exact"/>
              <w:ind w:right="0" w:rightChars="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6</w:t>
            </w:r>
          </w:p>
        </w:tc>
        <w:tc>
          <w:tcPr>
            <w:tcW w:w="2101" w:type="dxa"/>
            <w:shd w:val="clear" w:color="auto" w:fill="auto"/>
            <w:tcMar>
              <w:left w:w="108" w:type="dxa"/>
              <w:right w:w="108" w:type="dxa"/>
            </w:tcMar>
            <w:vAlign w:val="center"/>
          </w:tcPr>
          <w:p w14:paraId="6F1E959A">
            <w:pPr>
              <w:keepNext w:val="0"/>
              <w:keepLines w:val="0"/>
              <w:pageBreakBefore w:val="0"/>
              <w:kinsoku/>
              <w:wordWrap/>
              <w:bidi w:val="0"/>
              <w:snapToGrid w:val="0"/>
              <w:spacing w:before="0" w:beforeAutospacing="0" w:after="0" w:afterAutospacing="0" w:line="480" w:lineRule="exact"/>
              <w:ind w:right="0" w:rightChars="0"/>
              <w:jc w:val="center"/>
              <w:textAlignment w:val="baseline"/>
              <w:rPr>
                <w:rFonts w:hint="eastAsia" w:ascii="宋体" w:hAnsi="宋体" w:eastAsia="宋体" w:cs="宋体"/>
                <w:sz w:val="24"/>
                <w:szCs w:val="24"/>
              </w:rPr>
            </w:pPr>
            <w:r>
              <w:rPr>
                <w:rStyle w:val="309"/>
                <w:rFonts w:hint="eastAsia" w:ascii="宋体" w:hAnsi="宋体" w:eastAsia="宋体" w:cs="宋体"/>
                <w:b w:val="0"/>
                <w:i w:val="0"/>
                <w:caps w:val="0"/>
                <w:spacing w:val="0"/>
                <w:w w:val="100"/>
                <w:kern w:val="2"/>
                <w:sz w:val="24"/>
                <w:szCs w:val="24"/>
                <w:highlight w:val="none"/>
                <w:lang w:val="en-US" w:eastAsia="zh-CN" w:bidi="ar-SA"/>
              </w:rPr>
              <w:t>封套要求</w:t>
            </w:r>
          </w:p>
        </w:tc>
        <w:tc>
          <w:tcPr>
            <w:tcW w:w="6243" w:type="dxa"/>
            <w:shd w:val="clear" w:color="auto" w:fill="auto"/>
            <w:tcMar>
              <w:left w:w="108" w:type="dxa"/>
              <w:right w:w="108" w:type="dxa"/>
            </w:tcMar>
            <w:vAlign w:val="center"/>
          </w:tcPr>
          <w:p w14:paraId="54D93F69">
            <w:pPr>
              <w:pStyle w:val="310"/>
              <w:keepNext w:val="0"/>
              <w:keepLines w:val="0"/>
              <w:pageBreakBefore w:val="0"/>
              <w:widowControl/>
              <w:kinsoku/>
              <w:wordWrap/>
              <w:bidi w:val="0"/>
              <w:snapToGrid w:val="0"/>
              <w:spacing w:before="0" w:beforeAutospacing="0" w:after="0" w:afterAutospacing="0" w:line="480" w:lineRule="exact"/>
              <w:ind w:right="0" w:rightChars="0"/>
              <w:jc w:val="both"/>
              <w:textAlignment w:val="baseline"/>
              <w:rPr>
                <w:rFonts w:hint="eastAsia" w:ascii="宋体" w:hAnsi="宋体" w:eastAsia="宋体" w:cs="宋体"/>
                <w:sz w:val="24"/>
                <w:szCs w:val="24"/>
                <w:highlight w:val="none"/>
              </w:rPr>
            </w:pPr>
            <w:r>
              <w:rPr>
                <w:rStyle w:val="309"/>
                <w:rFonts w:hint="eastAsia" w:ascii="宋体" w:hAnsi="宋体" w:eastAsia="宋体" w:cs="宋体"/>
                <w:b w:val="0"/>
                <w:i w:val="0"/>
                <w:caps w:val="0"/>
                <w:spacing w:val="0"/>
                <w:w w:val="100"/>
                <w:kern w:val="2"/>
                <w:sz w:val="24"/>
                <w:szCs w:val="24"/>
                <w:highlight w:val="none"/>
                <w:lang w:val="en-US" w:eastAsia="zh-CN" w:bidi="ar-SA"/>
              </w:rPr>
              <w:t>（写明）</w:t>
            </w:r>
            <w:r>
              <w:rPr>
                <w:rStyle w:val="309"/>
                <w:rFonts w:hint="eastAsia" w:ascii="宋体" w:hAnsi="宋体" w:eastAsia="宋体" w:cs="宋体"/>
                <w:b w:val="0"/>
                <w:i w:val="0"/>
                <w:caps w:val="0"/>
                <w:spacing w:val="0"/>
                <w:w w:val="100"/>
                <w:kern w:val="0"/>
                <w:sz w:val="24"/>
                <w:szCs w:val="24"/>
                <w:highlight w:val="none"/>
                <w:lang w:val="en-US" w:eastAsia="zh-CN" w:bidi="ar-SA"/>
              </w:rPr>
              <w:t>项目名称、项目编号、磋商响应单位名称、磋商响应单位地址、磋商响应文件在（</w:t>
            </w:r>
            <w:r>
              <w:rPr>
                <w:rStyle w:val="309"/>
                <w:rFonts w:hint="eastAsia" w:ascii="宋体" w:hAnsi="宋体" w:eastAsia="宋体" w:cs="宋体"/>
                <w:b w:val="0"/>
                <w:i w:val="0"/>
                <w:caps w:val="0"/>
                <w:spacing w:val="0"/>
                <w:w w:val="100"/>
                <w:kern w:val="0"/>
                <w:sz w:val="24"/>
                <w:szCs w:val="24"/>
                <w:highlight w:val="none"/>
                <w:u w:val="single"/>
                <w:lang w:val="en-US" w:eastAsia="zh-CN" w:bidi="ar-SA"/>
              </w:rPr>
              <w:t xml:space="preserve">     </w:t>
            </w:r>
            <w:r>
              <w:rPr>
                <w:rStyle w:val="309"/>
                <w:rFonts w:hint="eastAsia" w:ascii="宋体" w:hAnsi="宋体" w:eastAsia="宋体" w:cs="宋体"/>
                <w:b w:val="0"/>
                <w:i w:val="0"/>
                <w:caps w:val="0"/>
                <w:spacing w:val="0"/>
                <w:w w:val="100"/>
                <w:kern w:val="0"/>
                <w:sz w:val="24"/>
                <w:szCs w:val="24"/>
                <w:highlight w:val="none"/>
                <w:lang w:val="en-US" w:eastAsia="zh-CN" w:bidi="ar-SA"/>
              </w:rPr>
              <w:t>年</w:t>
            </w:r>
            <w:r>
              <w:rPr>
                <w:rStyle w:val="309"/>
                <w:rFonts w:hint="eastAsia" w:ascii="宋体" w:hAnsi="宋体" w:eastAsia="宋体" w:cs="宋体"/>
                <w:b w:val="0"/>
                <w:i w:val="0"/>
                <w:caps w:val="0"/>
                <w:spacing w:val="0"/>
                <w:w w:val="100"/>
                <w:kern w:val="0"/>
                <w:sz w:val="24"/>
                <w:szCs w:val="24"/>
                <w:highlight w:val="none"/>
                <w:u w:val="single" w:color="000000"/>
                <w:lang w:val="en-US" w:eastAsia="zh-CN" w:bidi="ar-SA"/>
              </w:rPr>
              <w:t xml:space="preserve">  </w:t>
            </w:r>
            <w:r>
              <w:rPr>
                <w:rStyle w:val="309"/>
                <w:rFonts w:hint="eastAsia" w:ascii="宋体" w:hAnsi="宋体" w:eastAsia="宋体" w:cs="宋体"/>
                <w:b w:val="0"/>
                <w:i w:val="0"/>
                <w:caps w:val="0"/>
                <w:spacing w:val="0"/>
                <w:w w:val="100"/>
                <w:kern w:val="0"/>
                <w:sz w:val="24"/>
                <w:szCs w:val="24"/>
                <w:highlight w:val="none"/>
                <w:lang w:val="en-US" w:eastAsia="zh-CN" w:bidi="ar-SA"/>
              </w:rPr>
              <w:t>月</w:t>
            </w:r>
            <w:r>
              <w:rPr>
                <w:rStyle w:val="309"/>
                <w:rFonts w:hint="eastAsia" w:ascii="宋体" w:hAnsi="宋体" w:eastAsia="宋体" w:cs="宋体"/>
                <w:b w:val="0"/>
                <w:i w:val="0"/>
                <w:caps w:val="0"/>
                <w:spacing w:val="0"/>
                <w:w w:val="100"/>
                <w:kern w:val="0"/>
                <w:sz w:val="24"/>
                <w:szCs w:val="24"/>
                <w:highlight w:val="none"/>
                <w:u w:val="single" w:color="000000"/>
                <w:lang w:val="en-US" w:eastAsia="zh-CN" w:bidi="ar-SA"/>
              </w:rPr>
              <w:t xml:space="preserve">  </w:t>
            </w:r>
            <w:r>
              <w:rPr>
                <w:rStyle w:val="309"/>
                <w:rFonts w:hint="eastAsia" w:ascii="宋体" w:hAnsi="宋体" w:eastAsia="宋体" w:cs="宋体"/>
                <w:b w:val="0"/>
                <w:i w:val="0"/>
                <w:caps w:val="0"/>
                <w:spacing w:val="0"/>
                <w:w w:val="100"/>
                <w:kern w:val="0"/>
                <w:sz w:val="24"/>
                <w:szCs w:val="24"/>
                <w:highlight w:val="none"/>
                <w:lang w:val="en-US" w:eastAsia="zh-CN" w:bidi="ar-SA"/>
              </w:rPr>
              <w:t>日</w:t>
            </w:r>
            <w:r>
              <w:rPr>
                <w:rStyle w:val="309"/>
                <w:rFonts w:hint="eastAsia" w:ascii="宋体" w:hAnsi="宋体" w:eastAsia="宋体" w:cs="宋体"/>
                <w:b w:val="0"/>
                <w:i w:val="0"/>
                <w:caps w:val="0"/>
                <w:spacing w:val="0"/>
                <w:w w:val="100"/>
                <w:kern w:val="0"/>
                <w:sz w:val="24"/>
                <w:szCs w:val="24"/>
                <w:highlight w:val="none"/>
                <w:u w:val="single" w:color="000000"/>
                <w:lang w:val="en-US" w:eastAsia="zh-CN" w:bidi="ar-SA"/>
              </w:rPr>
              <w:t xml:space="preserve">  </w:t>
            </w:r>
            <w:r>
              <w:rPr>
                <w:rStyle w:val="309"/>
                <w:rFonts w:hint="eastAsia" w:ascii="宋体" w:hAnsi="宋体" w:eastAsia="宋体" w:cs="宋体"/>
                <w:b w:val="0"/>
                <w:i w:val="0"/>
                <w:caps w:val="0"/>
                <w:spacing w:val="0"/>
                <w:w w:val="100"/>
                <w:kern w:val="0"/>
                <w:sz w:val="24"/>
                <w:szCs w:val="24"/>
                <w:highlight w:val="none"/>
                <w:lang w:val="en-US" w:eastAsia="zh-CN" w:bidi="ar-SA"/>
              </w:rPr>
              <w:t>时</w:t>
            </w:r>
            <w:r>
              <w:rPr>
                <w:rStyle w:val="309"/>
                <w:rFonts w:hint="eastAsia" w:ascii="宋体" w:hAnsi="宋体" w:eastAsia="宋体" w:cs="宋体"/>
                <w:b w:val="0"/>
                <w:i w:val="0"/>
                <w:caps w:val="0"/>
                <w:spacing w:val="0"/>
                <w:w w:val="100"/>
                <w:kern w:val="0"/>
                <w:sz w:val="24"/>
                <w:szCs w:val="24"/>
                <w:highlight w:val="none"/>
                <w:u w:val="single" w:color="000000"/>
                <w:lang w:val="en-US" w:eastAsia="zh-CN" w:bidi="ar-SA"/>
              </w:rPr>
              <w:t xml:space="preserve">  </w:t>
            </w:r>
            <w:r>
              <w:rPr>
                <w:rStyle w:val="309"/>
                <w:rFonts w:hint="eastAsia" w:ascii="宋体" w:hAnsi="宋体" w:eastAsia="宋体" w:cs="宋体"/>
                <w:b w:val="0"/>
                <w:i w:val="0"/>
                <w:caps w:val="0"/>
                <w:spacing w:val="0"/>
                <w:w w:val="100"/>
                <w:kern w:val="0"/>
                <w:sz w:val="24"/>
                <w:szCs w:val="24"/>
                <w:highlight w:val="none"/>
                <w:lang w:val="en-US" w:eastAsia="zh-CN" w:bidi="ar-SA"/>
              </w:rPr>
              <w:t>分前不得开启）等字样</w:t>
            </w:r>
          </w:p>
        </w:tc>
      </w:tr>
      <w:tr w14:paraId="0FA10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4" w:hRule="atLeast"/>
          <w:jc w:val="center"/>
        </w:trPr>
        <w:tc>
          <w:tcPr>
            <w:tcW w:w="698" w:type="dxa"/>
            <w:shd w:val="clear" w:color="auto" w:fill="auto"/>
            <w:tcMar>
              <w:left w:w="108" w:type="dxa"/>
              <w:right w:w="108" w:type="dxa"/>
            </w:tcMar>
            <w:vAlign w:val="center"/>
          </w:tcPr>
          <w:p w14:paraId="0390BEC3">
            <w:pPr>
              <w:keepNext w:val="0"/>
              <w:keepLines w:val="0"/>
              <w:pageBreakBefore w:val="0"/>
              <w:widowControl/>
              <w:kinsoku/>
              <w:wordWrap/>
              <w:bidi w:val="0"/>
              <w:spacing w:line="480" w:lineRule="exact"/>
              <w:ind w:right="0" w:rightChars="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7</w:t>
            </w:r>
          </w:p>
        </w:tc>
        <w:tc>
          <w:tcPr>
            <w:tcW w:w="2101" w:type="dxa"/>
            <w:shd w:val="clear" w:color="auto" w:fill="auto"/>
            <w:tcMar>
              <w:left w:w="108" w:type="dxa"/>
              <w:right w:w="108" w:type="dxa"/>
            </w:tcMar>
            <w:vAlign w:val="center"/>
          </w:tcPr>
          <w:p w14:paraId="2E7A145F">
            <w:pPr>
              <w:keepNext w:val="0"/>
              <w:keepLines w:val="0"/>
              <w:pageBreakBefore w:val="0"/>
              <w:kinsoku/>
              <w:wordWrap/>
              <w:overflowPunct w:val="0"/>
              <w:topLinePunct/>
              <w:bidi w:val="0"/>
              <w:spacing w:line="480" w:lineRule="exact"/>
              <w:ind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澄清或者修改时间</w:t>
            </w:r>
          </w:p>
        </w:tc>
        <w:tc>
          <w:tcPr>
            <w:tcW w:w="6243" w:type="dxa"/>
            <w:shd w:val="clear" w:color="auto" w:fill="auto"/>
            <w:tcMar>
              <w:left w:w="108" w:type="dxa"/>
              <w:right w:w="108" w:type="dxa"/>
            </w:tcMar>
            <w:vAlign w:val="center"/>
          </w:tcPr>
          <w:p w14:paraId="1F79F2C7">
            <w:pPr>
              <w:keepNext w:val="0"/>
              <w:keepLines w:val="0"/>
              <w:pageBreakBefore w:val="0"/>
              <w:kinsoku/>
              <w:wordWrap/>
              <w:bidi w:val="0"/>
              <w:adjustRightInd w:val="0"/>
              <w:snapToGrid w:val="0"/>
              <w:spacing w:line="480" w:lineRule="exact"/>
              <w:ind w:right="0" w:righ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1、对已发出的磋商文件进行必要澄清或者修改的，在原刊登磋商公告的媒体上发布更正公告，并以书面形式通知所有磋商文件收受人。</w:t>
            </w:r>
          </w:p>
          <w:p w14:paraId="2C791207">
            <w:pPr>
              <w:keepNext w:val="0"/>
              <w:keepLines w:val="0"/>
              <w:pageBreakBefore w:val="0"/>
              <w:kinsoku/>
              <w:wordWrap/>
              <w:bidi w:val="0"/>
              <w:adjustRightInd w:val="0"/>
              <w:snapToGrid w:val="0"/>
              <w:spacing w:line="480" w:lineRule="exact"/>
              <w:ind w:right="0" w:righ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澄清或修改的内容可能影响响应文件编制的，采购人或者采购代理机构应当在提交首次响应文件截止之日3个工作日前，以书面形式通知所有接受磋商文件的供应商，如果澄清或者修改时间距本章磋商须知前附表规定的磋商截止时间不足3个工作日，将相应顺延提交响应文件的截止时间。</w:t>
            </w:r>
          </w:p>
          <w:p w14:paraId="2A3B267C">
            <w:pPr>
              <w:keepNext w:val="0"/>
              <w:keepLines w:val="0"/>
              <w:pageBreakBefore w:val="0"/>
              <w:kinsoku/>
              <w:wordWrap/>
              <w:bidi w:val="0"/>
              <w:adjustRightInd w:val="0"/>
              <w:snapToGrid w:val="0"/>
              <w:spacing w:line="480" w:lineRule="exact"/>
              <w:ind w:right="0" w:righ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3、澄清或者修改内容为磋商文件的组成部分，对所有领取磋商文件的供应商均具有约束力。</w:t>
            </w:r>
          </w:p>
        </w:tc>
      </w:tr>
      <w:tr w14:paraId="5B88E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4" w:hRule="atLeast"/>
          <w:jc w:val="center"/>
        </w:trPr>
        <w:tc>
          <w:tcPr>
            <w:tcW w:w="698" w:type="dxa"/>
            <w:shd w:val="clear" w:color="auto" w:fill="auto"/>
            <w:tcMar>
              <w:left w:w="108" w:type="dxa"/>
              <w:right w:w="108" w:type="dxa"/>
            </w:tcMar>
            <w:vAlign w:val="center"/>
          </w:tcPr>
          <w:p w14:paraId="05D58D37">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8</w:t>
            </w:r>
          </w:p>
        </w:tc>
        <w:tc>
          <w:tcPr>
            <w:tcW w:w="2101" w:type="dxa"/>
            <w:shd w:val="clear" w:color="auto" w:fill="auto"/>
            <w:tcMar>
              <w:left w:w="108" w:type="dxa"/>
              <w:right w:w="108" w:type="dxa"/>
            </w:tcMar>
            <w:vAlign w:val="center"/>
          </w:tcPr>
          <w:p w14:paraId="06BD541F">
            <w:pPr>
              <w:keepNext w:val="0"/>
              <w:keepLines w:val="0"/>
              <w:pageBreakBefore w:val="0"/>
              <w:kinsoku/>
              <w:wordWrap/>
              <w:overflowPunct w:val="0"/>
              <w:topLinePunct/>
              <w:bidi w:val="0"/>
              <w:spacing w:line="480" w:lineRule="exact"/>
              <w:ind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首次响应文件</w:t>
            </w:r>
          </w:p>
          <w:p w14:paraId="75E9EA23">
            <w:pPr>
              <w:keepNext w:val="0"/>
              <w:keepLines w:val="0"/>
              <w:pageBreakBefore w:val="0"/>
              <w:kinsoku/>
              <w:wordWrap/>
              <w:overflowPunct w:val="0"/>
              <w:topLinePunct/>
              <w:bidi w:val="0"/>
              <w:spacing w:line="480" w:lineRule="exact"/>
              <w:ind w:right="0" w:right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递交截止时间</w:t>
            </w:r>
          </w:p>
        </w:tc>
        <w:tc>
          <w:tcPr>
            <w:tcW w:w="6243" w:type="dxa"/>
            <w:shd w:val="clear" w:color="auto" w:fill="auto"/>
            <w:tcMar>
              <w:left w:w="108" w:type="dxa"/>
              <w:right w:w="108" w:type="dxa"/>
            </w:tcMar>
            <w:vAlign w:val="center"/>
          </w:tcPr>
          <w:p w14:paraId="73C92013">
            <w:pPr>
              <w:keepNext w:val="0"/>
              <w:keepLines w:val="0"/>
              <w:pageBreakBefore w:val="0"/>
              <w:kinsoku/>
              <w:wordWrap/>
              <w:bidi w:val="0"/>
              <w:adjustRightInd w:val="0"/>
              <w:snapToGrid w:val="0"/>
              <w:spacing w:line="480" w:lineRule="exact"/>
              <w:ind w:right="0" w:rightChars="0"/>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2025年12月09日14时30分</w:t>
            </w:r>
            <w:r>
              <w:rPr>
                <w:rFonts w:hint="eastAsia" w:ascii="宋体" w:hAnsi="宋体" w:eastAsia="宋体" w:cs="宋体"/>
                <w:kern w:val="0"/>
                <w:sz w:val="24"/>
                <w:szCs w:val="24"/>
                <w:highlight w:val="none"/>
              </w:rPr>
              <w:t>00秒</w:t>
            </w:r>
          </w:p>
        </w:tc>
      </w:tr>
      <w:tr w14:paraId="719D0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5" w:hRule="atLeast"/>
          <w:jc w:val="center"/>
        </w:trPr>
        <w:tc>
          <w:tcPr>
            <w:tcW w:w="698" w:type="dxa"/>
            <w:shd w:val="clear" w:color="auto" w:fill="auto"/>
            <w:tcMar>
              <w:left w:w="108" w:type="dxa"/>
              <w:right w:w="108" w:type="dxa"/>
            </w:tcMar>
            <w:vAlign w:val="center"/>
          </w:tcPr>
          <w:p w14:paraId="718A3EF9">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9</w:t>
            </w:r>
          </w:p>
        </w:tc>
        <w:tc>
          <w:tcPr>
            <w:tcW w:w="2101" w:type="dxa"/>
            <w:shd w:val="clear" w:color="auto" w:fill="auto"/>
            <w:tcMar>
              <w:left w:w="108" w:type="dxa"/>
              <w:right w:w="108" w:type="dxa"/>
            </w:tcMar>
            <w:vAlign w:val="center"/>
          </w:tcPr>
          <w:p w14:paraId="37D75A9B">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sz w:val="24"/>
                <w:szCs w:val="24"/>
              </w:rPr>
              <w:t>磋商时间和地点</w:t>
            </w:r>
          </w:p>
        </w:tc>
        <w:tc>
          <w:tcPr>
            <w:tcW w:w="6243" w:type="dxa"/>
            <w:shd w:val="clear" w:color="auto" w:fill="auto"/>
            <w:tcMar>
              <w:left w:w="108" w:type="dxa"/>
              <w:right w:w="108" w:type="dxa"/>
            </w:tcMar>
            <w:vAlign w:val="center"/>
          </w:tcPr>
          <w:p w14:paraId="2A7D51B6">
            <w:pPr>
              <w:keepNext w:val="0"/>
              <w:keepLines w:val="0"/>
              <w:pageBreakBefore w:val="0"/>
              <w:kinsoku/>
              <w:wordWrap/>
              <w:overflowPunct w:val="0"/>
              <w:topLinePunct/>
              <w:bidi w:val="0"/>
              <w:spacing w:line="480" w:lineRule="exact"/>
              <w:ind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磋商时间：</w:t>
            </w:r>
            <w:r>
              <w:rPr>
                <w:rFonts w:hint="eastAsia" w:ascii="宋体" w:hAnsi="宋体" w:cs="宋体"/>
                <w:kern w:val="0"/>
                <w:sz w:val="24"/>
                <w:szCs w:val="24"/>
                <w:highlight w:val="none"/>
                <w:lang w:val="en-US" w:eastAsia="zh-CN"/>
              </w:rPr>
              <w:t>2025年12月09日14时30分</w:t>
            </w:r>
            <w:r>
              <w:rPr>
                <w:rFonts w:hint="eastAsia" w:ascii="宋体" w:hAnsi="宋体" w:eastAsia="宋体" w:cs="宋体"/>
                <w:kern w:val="0"/>
                <w:sz w:val="24"/>
                <w:szCs w:val="24"/>
                <w:highlight w:val="none"/>
              </w:rPr>
              <w:t>00秒</w:t>
            </w:r>
          </w:p>
          <w:p w14:paraId="5148AA2F">
            <w:pPr>
              <w:keepNext w:val="0"/>
              <w:keepLines w:val="0"/>
              <w:pageBreakBefore w:val="0"/>
              <w:kinsoku/>
              <w:wordWrap/>
              <w:overflowPunct w:val="0"/>
              <w:topLinePunct/>
              <w:bidi w:val="0"/>
              <w:spacing w:line="480" w:lineRule="exact"/>
              <w:ind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磋商地点：同递交响应文件地点。</w:t>
            </w:r>
          </w:p>
        </w:tc>
      </w:tr>
      <w:tr w14:paraId="4EBF3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5" w:hRule="atLeast"/>
          <w:jc w:val="center"/>
        </w:trPr>
        <w:tc>
          <w:tcPr>
            <w:tcW w:w="698" w:type="dxa"/>
            <w:shd w:val="clear" w:color="auto" w:fill="auto"/>
            <w:tcMar>
              <w:left w:w="108" w:type="dxa"/>
              <w:right w:w="108" w:type="dxa"/>
            </w:tcMar>
            <w:vAlign w:val="center"/>
          </w:tcPr>
          <w:p w14:paraId="70559F74">
            <w:pPr>
              <w:keepNext w:val="0"/>
              <w:keepLines w:val="0"/>
              <w:pageBreakBefore w:val="0"/>
              <w:widowControl/>
              <w:kinsoku/>
              <w:wordWrap/>
              <w:bidi w:val="0"/>
              <w:spacing w:line="480" w:lineRule="exact"/>
              <w:ind w:right="0" w:rightChars="0"/>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20</w:t>
            </w:r>
          </w:p>
        </w:tc>
        <w:tc>
          <w:tcPr>
            <w:tcW w:w="2101" w:type="dxa"/>
            <w:shd w:val="clear" w:color="auto" w:fill="auto"/>
            <w:tcMar>
              <w:left w:w="108" w:type="dxa"/>
              <w:right w:w="108" w:type="dxa"/>
            </w:tcMar>
            <w:vAlign w:val="center"/>
          </w:tcPr>
          <w:p w14:paraId="73C7CCE4">
            <w:pPr>
              <w:pStyle w:val="307"/>
              <w:keepNext w:val="0"/>
              <w:keepLines w:val="0"/>
              <w:pageBreakBefore w:val="0"/>
              <w:kinsoku/>
              <w:wordWrap/>
              <w:bidi w:val="0"/>
              <w:spacing w:line="480" w:lineRule="exact"/>
              <w:ind w:right="0" w:rightChars="0"/>
              <w:jc w:val="center"/>
              <w:rPr>
                <w:rFonts w:hint="eastAsia" w:ascii="宋体" w:hAnsi="宋体" w:eastAsia="宋体" w:cs="宋体"/>
                <w:sz w:val="24"/>
                <w:szCs w:val="24"/>
                <w:highlight w:val="none"/>
                <w:lang w:val="zh-CN" w:eastAsia="zh-CN" w:bidi="ar-SA"/>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现场查验身份证明材料原件</w:t>
            </w:r>
          </w:p>
        </w:tc>
        <w:tc>
          <w:tcPr>
            <w:tcW w:w="6243" w:type="dxa"/>
            <w:shd w:val="clear" w:color="auto" w:fill="auto"/>
            <w:tcMar>
              <w:left w:w="108" w:type="dxa"/>
              <w:right w:w="108" w:type="dxa"/>
            </w:tcMar>
            <w:vAlign w:val="center"/>
          </w:tcPr>
          <w:p w14:paraId="16752D6A">
            <w:pPr>
              <w:keepNext w:val="0"/>
              <w:keepLines w:val="0"/>
              <w:pageBreakBefore w:val="0"/>
              <w:kinsoku/>
              <w:wordWrap/>
              <w:bidi w:val="0"/>
              <w:spacing w:line="480" w:lineRule="exact"/>
              <w:ind w:right="0" w:rightChars="0"/>
              <w:jc w:val="left"/>
              <w:rPr>
                <w:rStyle w:val="309"/>
                <w:rFonts w:hint="eastAsia" w:ascii="宋体" w:hAnsi="宋体" w:eastAsia="宋体" w:cs="宋体"/>
                <w:b w:val="0"/>
                <w:i w:val="0"/>
                <w:caps w:val="0"/>
                <w:spacing w:val="0"/>
                <w:w w:val="100"/>
                <w:kern w:val="0"/>
                <w:sz w:val="24"/>
                <w:szCs w:val="24"/>
                <w:highlight w:val="none"/>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由监标人现场查验</w:t>
            </w:r>
            <w:r>
              <w:rPr>
                <w:rStyle w:val="309"/>
                <w:rFonts w:hint="eastAsia" w:ascii="宋体" w:hAnsi="宋体" w:eastAsia="宋体" w:cs="宋体"/>
                <w:b w:val="0"/>
                <w:i w:val="0"/>
                <w:caps w:val="0"/>
                <w:spacing w:val="0"/>
                <w:w w:val="100"/>
                <w:kern w:val="0"/>
                <w:sz w:val="24"/>
                <w:szCs w:val="24"/>
                <w:highlight w:val="none"/>
              </w:rPr>
              <w:t>以下</w:t>
            </w:r>
            <w:r>
              <w:rPr>
                <w:rStyle w:val="309"/>
                <w:rFonts w:hint="eastAsia" w:ascii="宋体" w:hAnsi="宋体" w:eastAsia="宋体" w:cs="宋体"/>
                <w:b w:val="0"/>
                <w:i w:val="0"/>
                <w:caps w:val="0"/>
                <w:spacing w:val="0"/>
                <w:w w:val="100"/>
                <w:kern w:val="0"/>
                <w:sz w:val="24"/>
                <w:szCs w:val="24"/>
                <w:highlight w:val="none"/>
                <w:lang w:val="zh-CN" w:eastAsia="zh-CN"/>
              </w:rPr>
              <w:t>身份证明材料</w:t>
            </w:r>
            <w:r>
              <w:rPr>
                <w:rStyle w:val="309"/>
                <w:rFonts w:hint="eastAsia" w:ascii="宋体" w:hAnsi="宋体" w:eastAsia="宋体" w:cs="宋体"/>
                <w:b w:val="0"/>
                <w:i w:val="0"/>
                <w:caps w:val="0"/>
                <w:spacing w:val="0"/>
                <w:w w:val="100"/>
                <w:kern w:val="0"/>
                <w:sz w:val="24"/>
                <w:szCs w:val="24"/>
                <w:highlight w:val="none"/>
              </w:rPr>
              <w:t>原件：</w:t>
            </w:r>
          </w:p>
          <w:p w14:paraId="270A6262">
            <w:pPr>
              <w:pStyle w:val="307"/>
              <w:keepNext w:val="0"/>
              <w:keepLines w:val="0"/>
              <w:pageBreakBefore w:val="0"/>
              <w:numPr>
                <w:ilvl w:val="0"/>
                <w:numId w:val="2"/>
              </w:numPr>
              <w:kinsoku/>
              <w:wordWrap/>
              <w:bidi w:val="0"/>
              <w:spacing w:line="480" w:lineRule="exact"/>
              <w:ind w:right="0" w:rightChars="0"/>
              <w:jc w:val="both"/>
              <w:rPr>
                <w:rStyle w:val="309"/>
                <w:rFonts w:hint="eastAsia" w:ascii="宋体" w:hAnsi="宋体" w:eastAsia="宋体" w:cs="宋体"/>
                <w:b w:val="0"/>
                <w:i w:val="0"/>
                <w:caps w:val="0"/>
                <w:spacing w:val="0"/>
                <w:w w:val="100"/>
                <w:kern w:val="0"/>
                <w:sz w:val="24"/>
                <w:szCs w:val="24"/>
                <w:highlight w:val="none"/>
                <w:lang w:eastAsia="zh-CN"/>
              </w:rPr>
            </w:pPr>
            <w:r>
              <w:rPr>
                <w:rStyle w:val="309"/>
                <w:rFonts w:hint="eastAsia" w:ascii="宋体" w:hAnsi="宋体" w:eastAsia="宋体" w:cs="宋体"/>
                <w:b w:val="0"/>
                <w:i w:val="0"/>
                <w:caps w:val="0"/>
                <w:spacing w:val="0"/>
                <w:w w:val="100"/>
                <w:kern w:val="0"/>
                <w:sz w:val="24"/>
                <w:szCs w:val="24"/>
                <w:highlight w:val="none"/>
                <w:lang w:eastAsia="zh-CN"/>
              </w:rPr>
              <w:t>法定代表人参加磋商时，提供本人身份证；</w:t>
            </w:r>
          </w:p>
          <w:p w14:paraId="20A3ED5D">
            <w:pPr>
              <w:pStyle w:val="307"/>
              <w:keepNext w:val="0"/>
              <w:keepLines w:val="0"/>
              <w:pageBreakBefore w:val="0"/>
              <w:numPr>
                <w:ilvl w:val="0"/>
                <w:numId w:val="2"/>
              </w:numPr>
              <w:kinsoku/>
              <w:wordWrap/>
              <w:bidi w:val="0"/>
              <w:spacing w:line="480" w:lineRule="exact"/>
              <w:ind w:right="0" w:rightChars="0"/>
              <w:jc w:val="both"/>
              <w:rPr>
                <w:rFonts w:hint="eastAsia" w:ascii="宋体" w:hAnsi="宋体" w:eastAsia="宋体" w:cs="宋体"/>
                <w:kern w:val="2"/>
                <w:sz w:val="24"/>
                <w:szCs w:val="24"/>
                <w:highlight w:val="none"/>
                <w:lang w:val="en-US" w:eastAsia="zh-CN" w:bidi="ar-SA"/>
              </w:rPr>
            </w:pPr>
            <w:r>
              <w:rPr>
                <w:rStyle w:val="309"/>
                <w:rFonts w:hint="eastAsia" w:ascii="宋体" w:hAnsi="宋体" w:eastAsia="宋体" w:cs="宋体"/>
                <w:b w:val="0"/>
                <w:i w:val="0"/>
                <w:caps w:val="0"/>
                <w:spacing w:val="0"/>
                <w:w w:val="100"/>
                <w:kern w:val="0"/>
                <w:sz w:val="24"/>
                <w:szCs w:val="24"/>
                <w:highlight w:val="none"/>
                <w:lang w:eastAsia="zh-CN"/>
              </w:rPr>
              <w:t>授权代表参加磋商时，提供法定代表人授权书和被授权人身份证。</w:t>
            </w:r>
          </w:p>
        </w:tc>
      </w:tr>
      <w:tr w14:paraId="5B0ED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5" w:hRule="atLeast"/>
          <w:jc w:val="center"/>
        </w:trPr>
        <w:tc>
          <w:tcPr>
            <w:tcW w:w="698" w:type="dxa"/>
            <w:shd w:val="clear" w:color="auto" w:fill="auto"/>
            <w:tcMar>
              <w:left w:w="108" w:type="dxa"/>
              <w:right w:w="108" w:type="dxa"/>
            </w:tcMar>
            <w:vAlign w:val="center"/>
          </w:tcPr>
          <w:p w14:paraId="3A360039">
            <w:pPr>
              <w:keepNext w:val="0"/>
              <w:keepLines w:val="0"/>
              <w:pageBreakBefore w:val="0"/>
              <w:widowControl/>
              <w:kinsoku/>
              <w:wordWrap/>
              <w:bidi w:val="0"/>
              <w:spacing w:line="480" w:lineRule="exact"/>
              <w:ind w:right="0" w:rightChars="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ascii="宋体" w:hAnsi="宋体" w:cs="宋体"/>
                <w:kern w:val="0"/>
                <w:sz w:val="24"/>
                <w:szCs w:val="24"/>
                <w:lang w:val="en-US" w:eastAsia="zh-CN" w:bidi="ar-SA"/>
              </w:rPr>
              <w:t>1</w:t>
            </w:r>
          </w:p>
        </w:tc>
        <w:tc>
          <w:tcPr>
            <w:tcW w:w="2101" w:type="dxa"/>
            <w:shd w:val="clear" w:color="auto" w:fill="auto"/>
            <w:tcMar>
              <w:left w:w="108" w:type="dxa"/>
              <w:right w:w="108" w:type="dxa"/>
            </w:tcMar>
            <w:vAlign w:val="center"/>
          </w:tcPr>
          <w:p w14:paraId="061F017C">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sz w:val="24"/>
                <w:szCs w:val="24"/>
              </w:rPr>
              <w:t>磋商小组的组建</w:t>
            </w:r>
          </w:p>
        </w:tc>
        <w:tc>
          <w:tcPr>
            <w:tcW w:w="6243" w:type="dxa"/>
            <w:shd w:val="clear" w:color="auto" w:fill="auto"/>
            <w:tcMar>
              <w:left w:w="108" w:type="dxa"/>
              <w:right w:w="108" w:type="dxa"/>
            </w:tcMar>
            <w:vAlign w:val="center"/>
          </w:tcPr>
          <w:p w14:paraId="39911E84">
            <w:pPr>
              <w:pStyle w:val="307"/>
              <w:keepNext w:val="0"/>
              <w:keepLines w:val="0"/>
              <w:pageBreakBefore w:val="0"/>
              <w:kinsoku/>
              <w:wordWrap/>
              <w:bidi w:val="0"/>
              <w:spacing w:line="480" w:lineRule="exact"/>
              <w:ind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磋商小组构成：3人，</w:t>
            </w:r>
            <w:r>
              <w:rPr>
                <w:rFonts w:hint="eastAsia" w:ascii="宋体" w:hAnsi="宋体" w:eastAsia="宋体" w:cs="宋体"/>
                <w:color w:val="000000" w:themeColor="text1"/>
                <w:sz w:val="24"/>
                <w:szCs w:val="24"/>
                <w:highlight w:val="none"/>
                <w:lang w:val="zh-CN"/>
                <w14:textFill>
                  <w14:solidFill>
                    <w14:schemeClr w14:val="tx1"/>
                  </w14:solidFill>
                </w14:textFill>
              </w:rPr>
              <w:t>其中采购人代表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lang w:val="zh-CN"/>
                <w14:textFill>
                  <w14:solidFill>
                    <w14:schemeClr w14:val="tx1"/>
                  </w14:solidFill>
                </w14:textFill>
              </w:rPr>
              <w:t>人，磋商专家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z w:val="24"/>
                <w:szCs w:val="24"/>
                <w:highlight w:val="none"/>
                <w:lang w:val="zh-CN"/>
                <w14:textFill>
                  <w14:solidFill>
                    <w14:schemeClr w14:val="tx1"/>
                  </w14:solidFill>
                </w14:textFill>
              </w:rPr>
              <w:t>人。</w:t>
            </w:r>
          </w:p>
          <w:p w14:paraId="6D63D25B">
            <w:pPr>
              <w:keepNext w:val="0"/>
              <w:keepLines w:val="0"/>
              <w:pageBreakBefore w:val="0"/>
              <w:widowControl/>
              <w:kinsoku/>
              <w:wordWrap/>
              <w:bidi w:val="0"/>
              <w:spacing w:line="480" w:lineRule="exact"/>
              <w:ind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磋商专家确定方式：按照相关规定，专家评委在陕西省政府采购评审专家库中随机抽取产生</w:t>
            </w:r>
          </w:p>
        </w:tc>
      </w:tr>
      <w:tr w14:paraId="543A6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8" w:hRule="atLeast"/>
          <w:jc w:val="center"/>
        </w:trPr>
        <w:tc>
          <w:tcPr>
            <w:tcW w:w="698" w:type="dxa"/>
            <w:shd w:val="clear" w:color="auto" w:fill="auto"/>
            <w:tcMar>
              <w:left w:w="108" w:type="dxa"/>
              <w:right w:w="108" w:type="dxa"/>
            </w:tcMar>
            <w:vAlign w:val="center"/>
          </w:tcPr>
          <w:p w14:paraId="12775BC2">
            <w:pPr>
              <w:keepNext w:val="0"/>
              <w:keepLines w:val="0"/>
              <w:pageBreakBefore w:val="0"/>
              <w:widowControl/>
              <w:kinsoku/>
              <w:wordWrap/>
              <w:bidi w:val="0"/>
              <w:spacing w:line="480" w:lineRule="exact"/>
              <w:ind w:right="0" w:rightChars="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2</w:t>
            </w:r>
          </w:p>
        </w:tc>
        <w:tc>
          <w:tcPr>
            <w:tcW w:w="2101" w:type="dxa"/>
            <w:shd w:val="clear" w:color="auto" w:fill="auto"/>
            <w:tcMar>
              <w:left w:w="108" w:type="dxa"/>
              <w:right w:w="108" w:type="dxa"/>
            </w:tcMar>
            <w:vAlign w:val="center"/>
          </w:tcPr>
          <w:p w14:paraId="1E804DB2">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rPr>
            </w:pPr>
            <w:r>
              <w:rPr>
                <w:rFonts w:hint="eastAsia" w:ascii="宋体" w:hAnsi="宋体" w:eastAsia="宋体" w:cs="宋体"/>
                <w:sz w:val="24"/>
                <w:szCs w:val="24"/>
              </w:rPr>
              <w:t>磋商办法</w:t>
            </w:r>
          </w:p>
        </w:tc>
        <w:tc>
          <w:tcPr>
            <w:tcW w:w="6243" w:type="dxa"/>
            <w:shd w:val="clear" w:color="auto" w:fill="auto"/>
            <w:tcMar>
              <w:left w:w="108" w:type="dxa"/>
              <w:right w:w="108" w:type="dxa"/>
            </w:tcMar>
            <w:vAlign w:val="center"/>
          </w:tcPr>
          <w:p w14:paraId="29E7B326">
            <w:pPr>
              <w:keepNext w:val="0"/>
              <w:keepLines w:val="0"/>
              <w:pageBreakBefore w:val="0"/>
              <w:widowControl/>
              <w:kinsoku/>
              <w:wordWrap/>
              <w:bidi w:val="0"/>
              <w:spacing w:line="480" w:lineRule="exact"/>
              <w:ind w:right="0" w:rightChars="0"/>
              <w:rPr>
                <w:rFonts w:hint="eastAsia" w:ascii="宋体" w:hAnsi="宋体" w:eastAsia="宋体" w:cs="宋体"/>
                <w:sz w:val="24"/>
                <w:szCs w:val="24"/>
              </w:rPr>
            </w:pPr>
            <w:r>
              <w:rPr>
                <w:rFonts w:hint="eastAsia" w:ascii="宋体" w:hAnsi="宋体" w:eastAsia="宋体" w:cs="宋体"/>
                <w:sz w:val="24"/>
                <w:szCs w:val="24"/>
              </w:rPr>
              <w:t>综合评分法</w:t>
            </w:r>
          </w:p>
        </w:tc>
      </w:tr>
      <w:tr w14:paraId="6282B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8" w:hRule="atLeast"/>
          <w:jc w:val="center"/>
        </w:trPr>
        <w:tc>
          <w:tcPr>
            <w:tcW w:w="698" w:type="dxa"/>
            <w:shd w:val="clear" w:color="auto" w:fill="auto"/>
            <w:tcMar>
              <w:left w:w="108" w:type="dxa"/>
              <w:right w:w="108" w:type="dxa"/>
            </w:tcMar>
            <w:vAlign w:val="center"/>
          </w:tcPr>
          <w:p w14:paraId="469C25A4">
            <w:pPr>
              <w:keepNext w:val="0"/>
              <w:keepLines w:val="0"/>
              <w:pageBreakBefore w:val="0"/>
              <w:widowControl/>
              <w:kinsoku/>
              <w:wordWrap/>
              <w:bidi w:val="0"/>
              <w:spacing w:line="480" w:lineRule="exact"/>
              <w:ind w:right="0" w:right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23</w:t>
            </w:r>
          </w:p>
        </w:tc>
        <w:tc>
          <w:tcPr>
            <w:tcW w:w="2101" w:type="dxa"/>
            <w:shd w:val="clear" w:color="auto" w:fill="auto"/>
            <w:tcMar>
              <w:left w:w="108" w:type="dxa"/>
              <w:right w:w="108" w:type="dxa"/>
            </w:tcMar>
            <w:vAlign w:val="center"/>
          </w:tcPr>
          <w:p w14:paraId="07BEBA90">
            <w:pPr>
              <w:keepNext w:val="0"/>
              <w:keepLines w:val="0"/>
              <w:pageBreakBefore w:val="0"/>
              <w:kinsoku/>
              <w:wordWrap/>
              <w:bidi w:val="0"/>
              <w:snapToGrid w:val="0"/>
              <w:spacing w:line="480" w:lineRule="exact"/>
              <w:ind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签字或盖章要求</w:t>
            </w:r>
          </w:p>
        </w:tc>
        <w:tc>
          <w:tcPr>
            <w:tcW w:w="6243" w:type="dxa"/>
            <w:shd w:val="clear" w:color="auto" w:fill="auto"/>
            <w:tcMar>
              <w:left w:w="108" w:type="dxa"/>
              <w:right w:w="108" w:type="dxa"/>
            </w:tcMar>
            <w:vAlign w:val="center"/>
          </w:tcPr>
          <w:p w14:paraId="29985320">
            <w:pPr>
              <w:keepNext w:val="0"/>
              <w:keepLines w:val="0"/>
              <w:pageBreakBefore w:val="0"/>
              <w:kinsoku/>
              <w:wordWrap/>
              <w:bidi w:val="0"/>
              <w:snapToGrid w:val="0"/>
              <w:spacing w:line="480" w:lineRule="exact"/>
              <w:ind w:right="0" w:right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xml:space="preserve">磋商响应文件中要求盖章签字的地方，均应按要求加盖磋商供应商印章，并经法人或授权委托人签字或盖章（包括但不限于磋商函、报价表、供应商营业执照、财务、纳税、社保、业绩等证明资料）。副本可以为正本的复印件。 </w:t>
            </w:r>
          </w:p>
        </w:tc>
      </w:tr>
      <w:tr w14:paraId="41C8A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8" w:hRule="atLeast"/>
          <w:jc w:val="center"/>
        </w:trPr>
        <w:tc>
          <w:tcPr>
            <w:tcW w:w="698" w:type="dxa"/>
            <w:shd w:val="clear" w:color="auto" w:fill="auto"/>
            <w:tcMar>
              <w:left w:w="108" w:type="dxa"/>
              <w:right w:w="108" w:type="dxa"/>
            </w:tcMar>
            <w:vAlign w:val="center"/>
          </w:tcPr>
          <w:p w14:paraId="4AA9C984">
            <w:pPr>
              <w:keepNext w:val="0"/>
              <w:keepLines w:val="0"/>
              <w:pageBreakBefore w:val="0"/>
              <w:widowControl/>
              <w:kinsoku/>
              <w:wordWrap/>
              <w:bidi w:val="0"/>
              <w:spacing w:line="480" w:lineRule="exact"/>
              <w:ind w:right="0" w:rightChars="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4</w:t>
            </w:r>
          </w:p>
        </w:tc>
        <w:tc>
          <w:tcPr>
            <w:tcW w:w="2101" w:type="dxa"/>
            <w:shd w:val="clear" w:color="auto" w:fill="auto"/>
            <w:tcMar>
              <w:left w:w="108" w:type="dxa"/>
              <w:right w:w="108" w:type="dxa"/>
            </w:tcMar>
            <w:vAlign w:val="center"/>
          </w:tcPr>
          <w:p w14:paraId="3E74E569">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解释权</w:t>
            </w:r>
          </w:p>
        </w:tc>
        <w:tc>
          <w:tcPr>
            <w:tcW w:w="6243" w:type="dxa"/>
            <w:shd w:val="clear" w:color="auto" w:fill="auto"/>
            <w:tcMar>
              <w:left w:w="108" w:type="dxa"/>
              <w:right w:w="108" w:type="dxa"/>
            </w:tcMar>
            <w:vAlign w:val="center"/>
          </w:tcPr>
          <w:p w14:paraId="0CF17C07">
            <w:pPr>
              <w:keepNext w:val="0"/>
              <w:keepLines w:val="0"/>
              <w:pageBreakBefore w:val="0"/>
              <w:widowControl/>
              <w:kinsoku/>
              <w:wordWrap/>
              <w:bidi w:val="0"/>
              <w:spacing w:line="480" w:lineRule="exac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本磋商文件解释权归采购人和采购代理机构</w:t>
            </w:r>
          </w:p>
        </w:tc>
      </w:tr>
      <w:tr w14:paraId="2D129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698" w:type="dxa"/>
            <w:shd w:val="clear" w:color="auto" w:fill="auto"/>
            <w:tcMar>
              <w:left w:w="108" w:type="dxa"/>
              <w:right w:w="108" w:type="dxa"/>
            </w:tcMar>
            <w:vAlign w:val="center"/>
          </w:tcPr>
          <w:p w14:paraId="181ECF72">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5</w:t>
            </w:r>
          </w:p>
        </w:tc>
        <w:tc>
          <w:tcPr>
            <w:tcW w:w="2101" w:type="dxa"/>
            <w:shd w:val="clear" w:color="auto" w:fill="auto"/>
            <w:tcMar>
              <w:left w:w="108" w:type="dxa"/>
              <w:right w:w="108" w:type="dxa"/>
            </w:tcMar>
            <w:vAlign w:val="center"/>
          </w:tcPr>
          <w:p w14:paraId="6B84D9D5">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rPr>
              <w:t>代理服务费</w:t>
            </w:r>
          </w:p>
        </w:tc>
        <w:tc>
          <w:tcPr>
            <w:tcW w:w="6243" w:type="dxa"/>
            <w:shd w:val="clear" w:color="auto" w:fill="auto"/>
            <w:tcMar>
              <w:left w:w="108" w:type="dxa"/>
              <w:right w:w="108" w:type="dxa"/>
            </w:tcMar>
            <w:vAlign w:val="center"/>
          </w:tcPr>
          <w:p w14:paraId="753288F2">
            <w:pPr>
              <w:keepNext w:val="0"/>
              <w:keepLines w:val="0"/>
              <w:pageBreakBefore w:val="0"/>
              <w:widowControl/>
              <w:kinsoku/>
              <w:wordWrap/>
              <w:bidi w:val="0"/>
              <w:spacing w:line="480" w:lineRule="exact"/>
              <w:ind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参照国家计委《招标代理服务费管理暂行办法》（计价格【2002】1980号）文件及国家发改委文件发改价格【2011】534号文规定的标准收取，低于伍仟元的按伍仟元收取。</w:t>
            </w:r>
            <w:r>
              <w:rPr>
                <w:rFonts w:hint="eastAsia" w:ascii="宋体" w:hAnsi="宋体" w:eastAsia="宋体" w:cs="宋体"/>
                <w:sz w:val="24"/>
                <w:szCs w:val="24"/>
                <w:highlight w:val="none"/>
              </w:rPr>
              <w:t>由成交供应商支付代理服务费。</w:t>
            </w:r>
          </w:p>
          <w:p w14:paraId="452BA59E">
            <w:pPr>
              <w:keepNext w:val="0"/>
              <w:keepLines w:val="0"/>
              <w:pageBreakBefore w:val="0"/>
              <w:widowControl/>
              <w:kinsoku/>
              <w:wordWrap/>
              <w:bidi w:val="0"/>
              <w:spacing w:line="480" w:lineRule="exact"/>
              <w:ind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2、支付方式：成交供应商应在领取通知书</w:t>
            </w:r>
            <w:r>
              <w:rPr>
                <w:rFonts w:hint="eastAsia" w:ascii="宋体" w:hAnsi="宋体" w:eastAsia="宋体" w:cs="宋体"/>
                <w:sz w:val="24"/>
                <w:szCs w:val="24"/>
                <w:highlight w:val="none"/>
                <w:lang w:val="en-US" w:eastAsia="zh-CN"/>
              </w:rPr>
              <w:t>前</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eastAsia="zh-CN"/>
              </w:rPr>
              <w:t>陕西信鹏项目管理有限公司</w:t>
            </w:r>
            <w:r>
              <w:rPr>
                <w:rFonts w:hint="eastAsia" w:ascii="宋体" w:hAnsi="宋体" w:eastAsia="宋体" w:cs="宋体"/>
                <w:sz w:val="24"/>
                <w:szCs w:val="24"/>
                <w:highlight w:val="none"/>
              </w:rPr>
              <w:t>交纳本项目代理服务费。</w:t>
            </w:r>
          </w:p>
          <w:p w14:paraId="607F6D4C">
            <w:pPr>
              <w:keepNext w:val="0"/>
              <w:keepLines w:val="0"/>
              <w:pageBreakBefore w:val="0"/>
              <w:widowControl/>
              <w:kinsoku/>
              <w:wordWrap/>
              <w:bidi w:val="0"/>
              <w:spacing w:line="480" w:lineRule="exact"/>
              <w:ind w:right="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缴纳方式：银行转账</w:t>
            </w:r>
          </w:p>
          <w:p w14:paraId="14568240">
            <w:pPr>
              <w:keepNext w:val="0"/>
              <w:keepLines w:val="0"/>
              <w:pageBreakBefore w:val="0"/>
              <w:widowControl/>
              <w:kinsoku/>
              <w:wordWrap/>
              <w:bidi w:val="0"/>
              <w:spacing w:line="480" w:lineRule="exact"/>
              <w:ind w:right="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账户名称：陕西信鹏项目管理有限公司</w:t>
            </w:r>
          </w:p>
          <w:p w14:paraId="1EC80981">
            <w:pPr>
              <w:keepNext w:val="0"/>
              <w:keepLines w:val="0"/>
              <w:pageBreakBefore w:val="0"/>
              <w:widowControl/>
              <w:kinsoku/>
              <w:wordWrap/>
              <w:bidi w:val="0"/>
              <w:spacing w:line="480" w:lineRule="exact"/>
              <w:ind w:right="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开户行名称：中国民生银行股份有限公司西安文景路支行</w:t>
            </w:r>
          </w:p>
          <w:p w14:paraId="14F6C325">
            <w:pPr>
              <w:keepNext w:val="0"/>
              <w:keepLines w:val="0"/>
              <w:pageBreakBefore w:val="0"/>
              <w:widowControl/>
              <w:kinsoku/>
              <w:wordWrap/>
              <w:bidi w:val="0"/>
              <w:spacing w:line="480" w:lineRule="exact"/>
              <w:ind w:right="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开户行账号：171673847</w:t>
            </w:r>
          </w:p>
          <w:p w14:paraId="185349F4">
            <w:pPr>
              <w:keepNext w:val="0"/>
              <w:keepLines w:val="0"/>
              <w:pageBreakBefore w:val="0"/>
              <w:widowControl/>
              <w:kinsoku/>
              <w:wordWrap/>
              <w:bidi w:val="0"/>
              <w:spacing w:line="480" w:lineRule="exact"/>
              <w:ind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、采购代理服务费低于</w:t>
            </w:r>
            <w:r>
              <w:rPr>
                <w:rFonts w:hint="eastAsia" w:ascii="宋体" w:hAnsi="宋体" w:eastAsia="宋体" w:cs="宋体"/>
                <w:sz w:val="24"/>
                <w:szCs w:val="24"/>
                <w:highlight w:val="none"/>
                <w:lang w:val="en-US" w:eastAsia="zh-CN"/>
              </w:rPr>
              <w:t>伍仟元</w:t>
            </w:r>
            <w:r>
              <w:rPr>
                <w:rFonts w:hint="eastAsia" w:ascii="宋体" w:hAnsi="宋体" w:eastAsia="宋体" w:cs="宋体"/>
                <w:sz w:val="24"/>
                <w:szCs w:val="24"/>
                <w:highlight w:val="none"/>
              </w:rPr>
              <w:t>的按</w:t>
            </w:r>
            <w:r>
              <w:rPr>
                <w:rFonts w:hint="eastAsia" w:ascii="宋体" w:hAnsi="宋体" w:eastAsia="宋体" w:cs="宋体"/>
                <w:sz w:val="24"/>
                <w:szCs w:val="24"/>
                <w:highlight w:val="none"/>
                <w:lang w:val="en-US" w:eastAsia="zh-CN"/>
              </w:rPr>
              <w:t>伍仟元</w:t>
            </w:r>
            <w:r>
              <w:rPr>
                <w:rFonts w:hint="eastAsia" w:ascii="宋体" w:hAnsi="宋体" w:eastAsia="宋体" w:cs="宋体"/>
                <w:sz w:val="24"/>
                <w:szCs w:val="24"/>
                <w:highlight w:val="none"/>
              </w:rPr>
              <w:t>收取。</w:t>
            </w:r>
          </w:p>
        </w:tc>
      </w:tr>
      <w:tr w14:paraId="38ED5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698" w:type="dxa"/>
            <w:shd w:val="clear" w:color="auto" w:fill="auto"/>
            <w:tcMar>
              <w:left w:w="108" w:type="dxa"/>
              <w:right w:w="108" w:type="dxa"/>
            </w:tcMar>
            <w:vAlign w:val="center"/>
          </w:tcPr>
          <w:p w14:paraId="09BE7EED">
            <w:pPr>
              <w:keepNext w:val="0"/>
              <w:keepLines w:val="0"/>
              <w:pageBreakBefore w:val="0"/>
              <w:widowControl/>
              <w:kinsoku/>
              <w:wordWrap/>
              <w:bidi w:val="0"/>
              <w:spacing w:line="480" w:lineRule="exact"/>
              <w:ind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6</w:t>
            </w:r>
          </w:p>
        </w:tc>
        <w:tc>
          <w:tcPr>
            <w:tcW w:w="2101" w:type="dxa"/>
            <w:shd w:val="clear" w:color="auto" w:fill="auto"/>
            <w:tcMar>
              <w:left w:w="108" w:type="dxa"/>
              <w:right w:w="108" w:type="dxa"/>
            </w:tcMar>
            <w:vAlign w:val="center"/>
          </w:tcPr>
          <w:p w14:paraId="3424F5E1">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磋商最高限价</w:t>
            </w:r>
          </w:p>
        </w:tc>
        <w:tc>
          <w:tcPr>
            <w:tcW w:w="6243" w:type="dxa"/>
            <w:shd w:val="clear" w:color="auto" w:fill="auto"/>
            <w:tcMar>
              <w:left w:w="108" w:type="dxa"/>
              <w:right w:w="108" w:type="dxa"/>
            </w:tcMar>
            <w:vAlign w:val="center"/>
          </w:tcPr>
          <w:p w14:paraId="16E716D0">
            <w:pPr>
              <w:pStyle w:val="311"/>
              <w:keepNext w:val="0"/>
              <w:keepLines w:val="0"/>
              <w:pageBreakBefore w:val="0"/>
              <w:kinsoku/>
              <w:wordWrap/>
              <w:bidi w:val="0"/>
              <w:spacing w:line="480" w:lineRule="exact"/>
              <w:ind w:right="0" w:righ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最高限价：158100.00元</w:t>
            </w:r>
          </w:p>
          <w:p w14:paraId="67BA08DD">
            <w:pPr>
              <w:pStyle w:val="311"/>
              <w:keepNext w:val="0"/>
              <w:keepLines w:val="0"/>
              <w:pageBreakBefore w:val="0"/>
              <w:kinsoku/>
              <w:wordWrap/>
              <w:bidi w:val="0"/>
              <w:spacing w:line="480" w:lineRule="exact"/>
              <w:ind w:right="0" w:rightChars="0"/>
              <w:rPr>
                <w:rFonts w:hint="eastAsia" w:ascii="宋体" w:hAnsi="宋体" w:eastAsia="宋体" w:cs="宋体"/>
                <w:kern w:val="0"/>
                <w:sz w:val="24"/>
                <w:szCs w:val="24"/>
                <w:highlight w:val="none"/>
                <w:lang w:val="en-US" w:eastAsia="zh-CN" w:bidi="ar-SA"/>
              </w:rPr>
            </w:pPr>
            <w:r>
              <w:rPr>
                <w:rFonts w:hint="eastAsia" w:ascii="宋体" w:hAnsi="宋体" w:eastAsia="宋体" w:cs="宋体"/>
                <w:color w:val="000000" w:themeColor="text1"/>
                <w:kern w:val="0"/>
                <w:sz w:val="24"/>
                <w:szCs w:val="24"/>
                <w:highlight w:val="none"/>
                <w14:textFill>
                  <w14:solidFill>
                    <w14:schemeClr w14:val="tx1"/>
                  </w14:solidFill>
                </w14:textFill>
              </w:rPr>
              <w:t>首次报价超出最高限价的磋商响应单位不进入下一步磋商程序。</w:t>
            </w:r>
          </w:p>
        </w:tc>
      </w:tr>
      <w:tr w14:paraId="5C172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4" w:hRule="atLeast"/>
          <w:jc w:val="center"/>
        </w:trPr>
        <w:tc>
          <w:tcPr>
            <w:tcW w:w="698" w:type="dxa"/>
            <w:shd w:val="clear" w:color="auto" w:fill="auto"/>
            <w:tcMar>
              <w:left w:w="108" w:type="dxa"/>
              <w:right w:w="108" w:type="dxa"/>
            </w:tcMar>
            <w:vAlign w:val="center"/>
          </w:tcPr>
          <w:p w14:paraId="452C3644">
            <w:pPr>
              <w:keepNext w:val="0"/>
              <w:keepLines w:val="0"/>
              <w:pageBreakBefore w:val="0"/>
              <w:widowControl/>
              <w:kinsoku/>
              <w:wordWrap/>
              <w:bidi w:val="0"/>
              <w:spacing w:line="480" w:lineRule="exact"/>
              <w:ind w:right="0" w:rightChars="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7</w:t>
            </w:r>
          </w:p>
        </w:tc>
        <w:tc>
          <w:tcPr>
            <w:tcW w:w="2101" w:type="dxa"/>
            <w:shd w:val="clear" w:color="auto" w:fill="auto"/>
            <w:tcMar>
              <w:left w:w="108" w:type="dxa"/>
              <w:right w:w="108" w:type="dxa"/>
            </w:tcMar>
            <w:vAlign w:val="center"/>
          </w:tcPr>
          <w:p w14:paraId="233C836D">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highlight w:val="yellow"/>
                <w:lang w:val="en-US" w:eastAsia="zh-CN" w:bidi="ar-SA"/>
              </w:rPr>
            </w:pP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lang w:eastAsia="zh-CN"/>
              </w:rPr>
              <w:t>报价</w:t>
            </w:r>
          </w:p>
        </w:tc>
        <w:tc>
          <w:tcPr>
            <w:tcW w:w="6243" w:type="dxa"/>
            <w:shd w:val="clear" w:color="auto" w:fill="auto"/>
            <w:tcMar>
              <w:left w:w="108" w:type="dxa"/>
              <w:right w:w="108" w:type="dxa"/>
            </w:tcMar>
            <w:vAlign w:val="center"/>
          </w:tcPr>
          <w:p w14:paraId="4DEB6819">
            <w:pPr>
              <w:keepNext w:val="0"/>
              <w:keepLines w:val="0"/>
              <w:pageBreakBefore w:val="0"/>
              <w:widowControl/>
              <w:kinsoku/>
              <w:wordWrap/>
              <w:bidi w:val="0"/>
              <w:spacing w:line="480" w:lineRule="exact"/>
              <w:ind w:right="0" w:rightChars="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总价及分项报价</w:t>
            </w:r>
          </w:p>
          <w:p w14:paraId="5A3D0585">
            <w:pPr>
              <w:keepNext w:val="0"/>
              <w:keepLines w:val="0"/>
              <w:pageBreakBefore w:val="0"/>
              <w:widowControl/>
              <w:kinsoku/>
              <w:wordWrap/>
              <w:bidi w:val="0"/>
              <w:spacing w:line="480" w:lineRule="exact"/>
              <w:ind w:right="0" w:rightChars="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1）报价应包含完成该项目工作所发生的全部费用以及供应商利润、税金和政策性文件规定及合同包含的所有风险、责任等一切费用；</w:t>
            </w:r>
          </w:p>
          <w:p w14:paraId="3F7BC150">
            <w:pPr>
              <w:keepNext w:val="0"/>
              <w:keepLines w:val="0"/>
              <w:pageBreakBefore w:val="0"/>
              <w:widowControl/>
              <w:kinsoku/>
              <w:wordWrap/>
              <w:bidi w:val="0"/>
              <w:spacing w:line="480" w:lineRule="exact"/>
              <w:ind w:right="0" w:rightChars="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2）供应商必须对所投项目全部内容进行完整报价，并列出明细及价格组成。采购人不接受（将拒绝）只对项目部分内容进行报价的磋商响应。</w:t>
            </w:r>
          </w:p>
          <w:p w14:paraId="6E6F6E54">
            <w:pPr>
              <w:keepNext w:val="0"/>
              <w:keepLines w:val="0"/>
              <w:pageBreakBefore w:val="0"/>
              <w:widowControl/>
              <w:kinsoku/>
              <w:wordWrap/>
              <w:bidi w:val="0"/>
              <w:spacing w:line="480" w:lineRule="exact"/>
              <w:ind w:right="0" w:rightChars="0"/>
              <w:jc w:val="left"/>
              <w:rPr>
                <w:rFonts w:hint="eastAsia" w:ascii="宋体" w:hAnsi="宋体" w:eastAsia="宋体" w:cs="宋体"/>
                <w:color w:val="000000" w:themeColor="text1"/>
                <w:kern w:val="0"/>
                <w:sz w:val="24"/>
                <w:szCs w:val="24"/>
                <w:highlight w:val="yellow"/>
                <w:lang w:val="en-US" w:eastAsia="zh-CN" w:bidi="ar-SA"/>
                <w14:textFill>
                  <w14:solidFill>
                    <w14:schemeClr w14:val="tx1"/>
                  </w14:solidFill>
                </w14:textFill>
              </w:rPr>
            </w:pPr>
            <w:r>
              <w:rPr>
                <w:rFonts w:hint="eastAsia" w:ascii="宋体" w:hAnsi="宋体" w:eastAsia="宋体" w:cs="宋体"/>
                <w:b/>
                <w:sz w:val="24"/>
                <w:szCs w:val="24"/>
                <w:highlight w:val="none"/>
              </w:rPr>
              <w:t>注：投标报价超过最高限价的，投标无效。</w:t>
            </w:r>
          </w:p>
        </w:tc>
      </w:tr>
      <w:tr w14:paraId="1DB95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4" w:hRule="atLeast"/>
          <w:jc w:val="center"/>
        </w:trPr>
        <w:tc>
          <w:tcPr>
            <w:tcW w:w="698" w:type="dxa"/>
            <w:shd w:val="clear" w:color="auto" w:fill="auto"/>
            <w:tcMar>
              <w:left w:w="108" w:type="dxa"/>
              <w:right w:w="108" w:type="dxa"/>
            </w:tcMar>
            <w:vAlign w:val="center"/>
          </w:tcPr>
          <w:p w14:paraId="5232AFC9">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2</w:t>
            </w:r>
            <w:r>
              <w:rPr>
                <w:rFonts w:hint="eastAsia" w:ascii="宋体" w:hAnsi="宋体" w:cs="宋体"/>
                <w:kern w:val="0"/>
                <w:sz w:val="24"/>
                <w:szCs w:val="24"/>
                <w:highlight w:val="none"/>
                <w:lang w:val="en-US" w:eastAsia="zh-CN"/>
              </w:rPr>
              <w:t>8</w:t>
            </w:r>
          </w:p>
        </w:tc>
        <w:tc>
          <w:tcPr>
            <w:tcW w:w="2101" w:type="dxa"/>
            <w:shd w:val="clear" w:color="auto" w:fill="auto"/>
            <w:tcMar>
              <w:left w:w="108" w:type="dxa"/>
              <w:right w:w="108" w:type="dxa"/>
            </w:tcMar>
            <w:vAlign w:val="center"/>
          </w:tcPr>
          <w:p w14:paraId="375F84E0">
            <w:pPr>
              <w:keepNext w:val="0"/>
              <w:keepLines w:val="0"/>
              <w:pageBreakBefore w:val="0"/>
              <w:widowControl/>
              <w:kinsoku/>
              <w:wordWrap/>
              <w:bidi w:val="0"/>
              <w:spacing w:line="480" w:lineRule="exact"/>
              <w:ind w:right="0" w:rightChars="0"/>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rPr>
              <w:t>磋商保证金</w:t>
            </w:r>
          </w:p>
        </w:tc>
        <w:tc>
          <w:tcPr>
            <w:tcW w:w="6243" w:type="dxa"/>
            <w:shd w:val="clear" w:color="auto" w:fill="auto"/>
            <w:tcMar>
              <w:left w:w="108" w:type="dxa"/>
              <w:right w:w="108" w:type="dxa"/>
            </w:tcMar>
            <w:vAlign w:val="center"/>
          </w:tcPr>
          <w:p w14:paraId="6B76D921">
            <w:pPr>
              <w:keepNext w:val="0"/>
              <w:keepLines w:val="0"/>
              <w:pageBreakBefore w:val="0"/>
              <w:widowControl/>
              <w:kinsoku/>
              <w:wordWrap/>
              <w:bidi w:val="0"/>
              <w:spacing w:line="480" w:lineRule="exact"/>
              <w:ind w:right="0" w:righ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本项目不收取磋商保证金</w:t>
            </w:r>
          </w:p>
        </w:tc>
      </w:tr>
      <w:tr w14:paraId="127B5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698" w:type="dxa"/>
            <w:shd w:val="clear" w:color="auto" w:fill="auto"/>
            <w:tcMar>
              <w:left w:w="108" w:type="dxa"/>
              <w:right w:w="108" w:type="dxa"/>
            </w:tcMar>
            <w:vAlign w:val="center"/>
          </w:tcPr>
          <w:p w14:paraId="5103BC66">
            <w:pPr>
              <w:keepNext w:val="0"/>
              <w:keepLines w:val="0"/>
              <w:pageBreakBefore w:val="0"/>
              <w:widowControl/>
              <w:kinsoku/>
              <w:wordWrap/>
              <w:bidi w:val="0"/>
              <w:spacing w:line="480" w:lineRule="exact"/>
              <w:ind w:right="0" w:rightChars="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9</w:t>
            </w:r>
          </w:p>
        </w:tc>
        <w:tc>
          <w:tcPr>
            <w:tcW w:w="2101" w:type="dxa"/>
            <w:shd w:val="clear" w:color="auto" w:fill="auto"/>
            <w:tcMar>
              <w:left w:w="108" w:type="dxa"/>
              <w:right w:w="108" w:type="dxa"/>
            </w:tcMar>
            <w:vAlign w:val="center"/>
          </w:tcPr>
          <w:p w14:paraId="055AE35D">
            <w:pPr>
              <w:keepNext w:val="0"/>
              <w:keepLines w:val="0"/>
              <w:pageBreakBefore w:val="0"/>
              <w:widowControl/>
              <w:kinsoku/>
              <w:wordWrap/>
              <w:bidi w:val="0"/>
              <w:spacing w:line="480" w:lineRule="exact"/>
              <w:ind w:right="0" w:rightChars="0"/>
              <w:jc w:val="center"/>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所属行业</w:t>
            </w:r>
          </w:p>
        </w:tc>
        <w:tc>
          <w:tcPr>
            <w:tcW w:w="6243" w:type="dxa"/>
            <w:shd w:val="clear" w:color="auto" w:fill="auto"/>
            <w:tcMar>
              <w:left w:w="108" w:type="dxa"/>
              <w:right w:w="108" w:type="dxa"/>
            </w:tcMar>
            <w:vAlign w:val="center"/>
          </w:tcPr>
          <w:p w14:paraId="2D32180D">
            <w:pPr>
              <w:keepNext w:val="0"/>
              <w:keepLines w:val="0"/>
              <w:pageBreakBefore w:val="0"/>
              <w:widowControl/>
              <w:kinsoku/>
              <w:wordWrap/>
              <w:bidi w:val="0"/>
              <w:spacing w:line="480" w:lineRule="exact"/>
              <w:ind w:right="0" w:rightChars="0"/>
              <w:jc w:val="left"/>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其他未列明行业</w:t>
            </w:r>
          </w:p>
          <w:p w14:paraId="2D0FBEA7">
            <w:pPr>
              <w:keepNext w:val="0"/>
              <w:keepLines w:val="0"/>
              <w:pageBreakBefore w:val="0"/>
              <w:widowControl/>
              <w:kinsoku/>
              <w:wordWrap/>
              <w:bidi w:val="0"/>
              <w:spacing w:line="480" w:lineRule="exact"/>
              <w:ind w:right="0" w:rightChars="0"/>
              <w:jc w:val="left"/>
              <w:rPr>
                <w:rFonts w:hint="eastAsia" w:ascii="宋体" w:hAnsi="宋体" w:eastAsia="宋体" w:cs="宋体"/>
                <w:b/>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划分标准</w:t>
            </w:r>
            <w:r>
              <w:rPr>
                <w:rFonts w:hint="eastAsia" w:ascii="宋体" w:hAnsi="宋体" w:cs="宋体"/>
                <w:b w:val="0"/>
                <w:bCs/>
                <w:kern w:val="2"/>
                <w:sz w:val="24"/>
                <w:szCs w:val="24"/>
                <w:highlight w:val="none"/>
                <w:lang w:val="en-US" w:eastAsia="zh-CN" w:bidi="ar-SA"/>
              </w:rPr>
              <w:t>：</w:t>
            </w:r>
            <w:r>
              <w:rPr>
                <w:rFonts w:hint="eastAsia" w:ascii="宋体" w:hAnsi="宋体" w:eastAsia="宋体" w:cs="宋体"/>
                <w:b w:val="0"/>
                <w:bCs/>
                <w:kern w:val="2"/>
                <w:sz w:val="24"/>
                <w:szCs w:val="24"/>
                <w:highlight w:val="none"/>
                <w:lang w:val="en-US" w:eastAsia="zh-CN" w:bidi="ar-SA"/>
              </w:rPr>
              <w:t>从业人员300人以下的为中小微型企业。其中，从业人员100人及以上的为中型企业;从业人员10人及以上的为小型企业</w:t>
            </w:r>
            <w:r>
              <w:rPr>
                <w:rFonts w:hint="eastAsia" w:ascii="宋体" w:hAnsi="宋体" w:cs="宋体"/>
                <w:b w:val="0"/>
                <w:bCs/>
                <w:kern w:val="2"/>
                <w:sz w:val="24"/>
                <w:szCs w:val="24"/>
                <w:highlight w:val="none"/>
                <w:lang w:val="en-US" w:eastAsia="zh-CN" w:bidi="ar-SA"/>
              </w:rPr>
              <w:t>；</w:t>
            </w:r>
            <w:r>
              <w:rPr>
                <w:rFonts w:hint="eastAsia" w:ascii="宋体" w:hAnsi="宋体" w:eastAsia="宋体" w:cs="宋体"/>
                <w:b w:val="0"/>
                <w:bCs/>
                <w:kern w:val="2"/>
                <w:sz w:val="24"/>
                <w:szCs w:val="24"/>
                <w:highlight w:val="none"/>
                <w:lang w:val="en-US" w:eastAsia="zh-CN" w:bidi="ar-SA"/>
              </w:rPr>
              <w:t>从业人员10人以下的为微型企业。</w:t>
            </w:r>
          </w:p>
        </w:tc>
      </w:tr>
      <w:tr w14:paraId="5CB96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698" w:type="dxa"/>
            <w:shd w:val="clear" w:color="auto" w:fill="auto"/>
            <w:tcMar>
              <w:left w:w="108" w:type="dxa"/>
              <w:right w:w="108" w:type="dxa"/>
            </w:tcMar>
            <w:vAlign w:val="center"/>
          </w:tcPr>
          <w:p w14:paraId="2A6886FD">
            <w:pPr>
              <w:keepNext w:val="0"/>
              <w:keepLines w:val="0"/>
              <w:pageBreakBefore w:val="0"/>
              <w:widowControl/>
              <w:kinsoku/>
              <w:wordWrap/>
              <w:bidi w:val="0"/>
              <w:spacing w:line="480" w:lineRule="exact"/>
              <w:ind w:right="0" w:rightChars="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30</w:t>
            </w:r>
          </w:p>
        </w:tc>
        <w:tc>
          <w:tcPr>
            <w:tcW w:w="2101" w:type="dxa"/>
            <w:shd w:val="clear" w:color="auto" w:fill="auto"/>
            <w:tcMar>
              <w:left w:w="108" w:type="dxa"/>
              <w:right w:w="108" w:type="dxa"/>
            </w:tcMar>
            <w:vAlign w:val="center"/>
          </w:tcPr>
          <w:p w14:paraId="38285A32">
            <w:pPr>
              <w:keepNext w:val="0"/>
              <w:keepLines w:val="0"/>
              <w:pageBreakBefore w:val="0"/>
              <w:widowControl/>
              <w:kinsoku/>
              <w:wordWrap/>
              <w:bidi w:val="0"/>
              <w:spacing w:line="480" w:lineRule="exact"/>
              <w:ind w:right="0" w:right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其他</w:t>
            </w:r>
          </w:p>
        </w:tc>
        <w:tc>
          <w:tcPr>
            <w:tcW w:w="6243" w:type="dxa"/>
            <w:shd w:val="clear" w:color="auto" w:fill="auto"/>
            <w:tcMar>
              <w:left w:w="108" w:type="dxa"/>
              <w:right w:w="108" w:type="dxa"/>
            </w:tcMar>
            <w:vAlign w:val="center"/>
          </w:tcPr>
          <w:p w14:paraId="55019CD1">
            <w:pPr>
              <w:keepNext w:val="0"/>
              <w:keepLines w:val="0"/>
              <w:pageBreakBefore w:val="0"/>
              <w:widowControl/>
              <w:kinsoku/>
              <w:wordWrap/>
              <w:bidi w:val="0"/>
              <w:spacing w:line="480" w:lineRule="exact"/>
              <w:ind w:right="0" w:rightChars="0"/>
              <w:jc w:val="left"/>
              <w:rPr>
                <w:rFonts w:hint="eastAsia" w:ascii="宋体" w:hAnsi="宋体" w:eastAsia="宋体" w:cs="宋体"/>
                <w:b/>
                <w:kern w:val="2"/>
                <w:sz w:val="24"/>
                <w:szCs w:val="24"/>
                <w:highlight w:val="none"/>
                <w:lang w:val="en-US" w:eastAsia="zh-CN" w:bidi="ar-SA"/>
              </w:rPr>
            </w:pPr>
            <w:r>
              <w:rPr>
                <w:rFonts w:hint="eastAsia" w:ascii="宋体" w:hAnsi="宋体" w:eastAsia="宋体" w:cs="宋体"/>
                <w:b w:val="0"/>
                <w:bCs/>
                <w:sz w:val="24"/>
                <w:szCs w:val="24"/>
                <w:highlight w:val="none"/>
              </w:rPr>
              <w:t>正文与前附表表述不一致时，以供应商前附表为准。</w:t>
            </w:r>
          </w:p>
        </w:tc>
      </w:tr>
    </w:tbl>
    <w:p w14:paraId="7A4A38AC">
      <w:pPr>
        <w:pStyle w:val="8"/>
        <w:ind w:firstLine="0" w:firstLineChars="0"/>
        <w:rPr>
          <w:rFonts w:hint="eastAsia" w:ascii="宋体" w:hAnsi="宋体" w:eastAsia="宋体" w:cs="宋体"/>
        </w:rPr>
      </w:pPr>
    </w:p>
    <w:p w14:paraId="4171CA5D">
      <w:pPr>
        <w:pStyle w:val="8"/>
        <w:ind w:firstLine="0" w:firstLineChars="0"/>
        <w:rPr>
          <w:rFonts w:hint="eastAsia" w:ascii="宋体" w:hAnsi="宋体" w:eastAsia="宋体" w:cs="宋体"/>
        </w:rPr>
      </w:pPr>
    </w:p>
    <w:p w14:paraId="26F573BD">
      <w:pPr>
        <w:pStyle w:val="8"/>
        <w:ind w:firstLine="0" w:firstLineChars="0"/>
        <w:rPr>
          <w:rFonts w:hint="eastAsia" w:ascii="宋体" w:hAnsi="宋体" w:eastAsia="宋体" w:cs="宋体"/>
        </w:rPr>
      </w:pPr>
    </w:p>
    <w:p w14:paraId="1911E320">
      <w:pPr>
        <w:rPr>
          <w:rFonts w:hint="eastAsia" w:ascii="宋体" w:hAnsi="宋体" w:eastAsia="宋体" w:cs="宋体"/>
          <w:b/>
          <w:sz w:val="24"/>
        </w:rPr>
        <w:sectPr>
          <w:pgSz w:w="11906" w:h="16838"/>
          <w:pgMar w:top="1440" w:right="1526"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6274F52">
      <w:pPr>
        <w:pageBreakBefore w:val="0"/>
        <w:wordWrap/>
        <w:bidi w:val="0"/>
        <w:adjustRightInd w:val="0"/>
        <w:snapToGrid w:val="0"/>
        <w:spacing w:line="360" w:lineRule="auto"/>
        <w:jc w:val="center"/>
        <w:textAlignment w:val="auto"/>
        <w:rPr>
          <w:rFonts w:hint="eastAsia" w:ascii="宋体" w:hAnsi="宋体" w:eastAsia="宋体" w:cs="宋体"/>
          <w:b/>
          <w:sz w:val="24"/>
        </w:rPr>
      </w:pPr>
      <w:r>
        <w:rPr>
          <w:rFonts w:hint="eastAsia" w:ascii="宋体" w:hAnsi="宋体" w:eastAsia="宋体" w:cs="宋体"/>
          <w:b/>
          <w:sz w:val="24"/>
        </w:rPr>
        <w:t>一、总则</w:t>
      </w:r>
    </w:p>
    <w:p w14:paraId="2BE8A377">
      <w:pPr>
        <w:pageBreakBefore w:val="0"/>
        <w:wordWrap/>
        <w:bidi w:val="0"/>
        <w:adjustRightInd w:val="0"/>
        <w:snapToGrid w:val="0"/>
        <w:spacing w:line="360" w:lineRule="auto"/>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1、适用范围</w:t>
      </w:r>
    </w:p>
    <w:p w14:paraId="09FDEC32">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rPr>
        <w:t>1.1本磋商</w:t>
      </w:r>
      <w:r>
        <w:rPr>
          <w:rFonts w:hint="eastAsia" w:ascii="宋体" w:hAnsi="宋体" w:eastAsia="宋体" w:cs="宋体"/>
          <w:bCs/>
          <w:sz w:val="24"/>
          <w:highlight w:val="none"/>
        </w:rPr>
        <w:t>文件仅适用于本磋商文件中所述项目的采购。</w:t>
      </w:r>
    </w:p>
    <w:p w14:paraId="4BE0D29F">
      <w:pPr>
        <w:pageBreakBefore w:val="0"/>
        <w:wordWrap/>
        <w:bidi w:val="0"/>
        <w:adjustRightInd w:val="0"/>
        <w:snapToGrid w:val="0"/>
        <w:spacing w:line="360" w:lineRule="auto"/>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2、有关定义</w:t>
      </w:r>
    </w:p>
    <w:p w14:paraId="0E159ECF">
      <w:pPr>
        <w:pageBreakBefore w:val="0"/>
        <w:wordWrap/>
        <w:bidi w:val="0"/>
        <w:adjustRightInd w:val="0"/>
        <w:snapToGrid w:val="0"/>
        <w:spacing w:line="360" w:lineRule="auto"/>
        <w:ind w:firstLine="480" w:firstLineChars="200"/>
        <w:textAlignment w:val="auto"/>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2.1采购人：</w:t>
      </w:r>
      <w:r>
        <w:rPr>
          <w:rFonts w:hint="eastAsia" w:ascii="宋体" w:hAnsi="宋体" w:eastAsia="宋体" w:cs="宋体"/>
          <w:sz w:val="24"/>
          <w:szCs w:val="24"/>
          <w:lang w:val="zh-CN" w:eastAsia="zh-CN"/>
        </w:rPr>
        <w:t>西安经开第二中学</w:t>
      </w:r>
      <w:r>
        <w:rPr>
          <w:rFonts w:hint="eastAsia" w:ascii="宋体" w:hAnsi="宋体" w:eastAsia="宋体" w:cs="宋体"/>
          <w:sz w:val="24"/>
          <w:szCs w:val="24"/>
          <w:lang w:val="zh-CN"/>
        </w:rPr>
        <w:t>。</w:t>
      </w:r>
    </w:p>
    <w:p w14:paraId="577BF72F">
      <w:pPr>
        <w:pageBreakBefore w:val="0"/>
        <w:wordWrap/>
        <w:bidi w:val="0"/>
        <w:adjustRightInd w:val="0"/>
        <w:snapToGrid w:val="0"/>
        <w:spacing w:line="360" w:lineRule="auto"/>
        <w:ind w:firstLine="480" w:firstLineChars="200"/>
        <w:textAlignment w:val="auto"/>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2.2监督机构：</w:t>
      </w:r>
      <w:r>
        <w:rPr>
          <w:rFonts w:hint="eastAsia" w:ascii="宋体" w:hAnsi="宋体" w:eastAsia="宋体" w:cs="宋体"/>
          <w:sz w:val="24"/>
          <w:szCs w:val="24"/>
          <w:lang w:val="zh-CN"/>
        </w:rPr>
        <w:t>西安经济技术开发区财政金融局。</w:t>
      </w:r>
    </w:p>
    <w:p w14:paraId="59167601">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highlight w:val="none"/>
          <w:lang w:eastAsia="zh-CN"/>
        </w:rPr>
      </w:pPr>
      <w:r>
        <w:rPr>
          <w:rFonts w:hint="eastAsia" w:ascii="宋体" w:hAnsi="宋体" w:eastAsia="宋体" w:cs="宋体"/>
          <w:bCs/>
          <w:sz w:val="24"/>
          <w:highlight w:val="none"/>
        </w:rPr>
        <w:t>2.3采购代理机构：</w:t>
      </w:r>
      <w:r>
        <w:rPr>
          <w:rFonts w:hint="eastAsia" w:ascii="宋体" w:hAnsi="宋体" w:eastAsia="宋体" w:cs="宋体"/>
          <w:sz w:val="24"/>
          <w:szCs w:val="24"/>
          <w:lang w:val="zh-CN" w:eastAsia="zh-CN"/>
        </w:rPr>
        <w:t>陕西信鹏项目管理有限公司</w:t>
      </w:r>
      <w:r>
        <w:rPr>
          <w:rFonts w:hint="eastAsia" w:ascii="宋体" w:hAnsi="宋体" w:eastAsia="宋体" w:cs="宋体"/>
          <w:sz w:val="24"/>
          <w:szCs w:val="24"/>
          <w:lang w:val="zh-CN"/>
        </w:rPr>
        <w:t>。</w:t>
      </w:r>
    </w:p>
    <w:p w14:paraId="21C26B2B">
      <w:pPr>
        <w:autoSpaceDE w:val="0"/>
        <w:autoSpaceDN w:val="0"/>
        <w:adjustRightInd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en-US" w:eastAsia="zh-CN"/>
        </w:rPr>
        <w:t>3</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sz w:val="24"/>
          <w:szCs w:val="24"/>
          <w:lang w:val="zh-CN"/>
        </w:rPr>
        <w:t>招标范围、服务期、服务地点</w:t>
      </w:r>
    </w:p>
    <w:p w14:paraId="67FCD854">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.1 招标范围：见投标人须知前附表。</w:t>
      </w:r>
    </w:p>
    <w:p w14:paraId="570197A8">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 xml:space="preserve">.2 </w:t>
      </w:r>
      <w:r>
        <w:rPr>
          <w:rFonts w:hint="eastAsia" w:ascii="宋体" w:hAnsi="宋体" w:eastAsia="宋体" w:cs="宋体"/>
          <w:sz w:val="24"/>
          <w:szCs w:val="24"/>
          <w:lang w:eastAsia="zh-CN"/>
        </w:rPr>
        <w:t>服务</w:t>
      </w:r>
      <w:r>
        <w:rPr>
          <w:rFonts w:hint="eastAsia" w:ascii="宋体" w:hAnsi="宋体" w:eastAsia="宋体" w:cs="宋体"/>
          <w:sz w:val="24"/>
          <w:szCs w:val="24"/>
        </w:rPr>
        <w:t>期</w:t>
      </w:r>
      <w:r>
        <w:rPr>
          <w:rFonts w:hint="eastAsia" w:ascii="宋体" w:hAnsi="宋体" w:eastAsia="宋体" w:cs="宋体"/>
          <w:sz w:val="24"/>
          <w:szCs w:val="24"/>
          <w:lang w:val="zh-CN"/>
        </w:rPr>
        <w:t>：见投标人须知前附表。</w:t>
      </w:r>
    </w:p>
    <w:p w14:paraId="47A60C33">
      <w:pPr>
        <w:autoSpaceDE w:val="0"/>
        <w:autoSpaceDN w:val="0"/>
        <w:adjustRightInd w:val="0"/>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szCs w:val="24"/>
          <w:lang w:val="en-US" w:eastAsia="zh-CN"/>
        </w:rPr>
        <w:t>3.3 服务地点：采购人指定地点</w:t>
      </w:r>
    </w:p>
    <w:p w14:paraId="27D95270">
      <w:pPr>
        <w:autoSpaceDE w:val="0"/>
        <w:autoSpaceDN w:val="0"/>
        <w:adjustRightInd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bCs/>
          <w:color w:val="000000" w:themeColor="text1"/>
          <w:sz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sz w:val="24"/>
          <w:szCs w:val="24"/>
          <w:lang w:val="zh-CN"/>
        </w:rPr>
        <w:t>投标人资格要求</w:t>
      </w:r>
    </w:p>
    <w:p w14:paraId="2E7BCB72">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zh-CN"/>
        </w:rPr>
        <w:t>.1 投标人应具备的资格条件：见投标人须知前附表。</w:t>
      </w:r>
    </w:p>
    <w:p w14:paraId="3C754666">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 xml:space="preserve"> 投标人不得存在下列情形之一，否则按无效投标处理：</w:t>
      </w:r>
    </w:p>
    <w:p w14:paraId="349FCE6B">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（1）与</w:t>
      </w:r>
      <w:r>
        <w:rPr>
          <w:rFonts w:hint="eastAsia" w:ascii="宋体" w:hAnsi="宋体" w:cs="宋体"/>
          <w:sz w:val="24"/>
          <w:szCs w:val="24"/>
          <w:lang w:val="zh-CN"/>
        </w:rPr>
        <w:t>采购人</w:t>
      </w:r>
      <w:r>
        <w:rPr>
          <w:rFonts w:hint="eastAsia" w:ascii="宋体" w:hAnsi="宋体" w:eastAsia="宋体" w:cs="宋体"/>
          <w:sz w:val="24"/>
          <w:szCs w:val="24"/>
          <w:lang w:val="zh-CN"/>
        </w:rPr>
        <w:t>存在利害关系且可能影响招标公正性；</w:t>
      </w:r>
    </w:p>
    <w:p w14:paraId="5B0305AB">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（2）单位负责人为同一人或者存在直接控股、管理关系；</w:t>
      </w:r>
    </w:p>
    <w:p w14:paraId="718CE00C">
      <w:pPr>
        <w:autoSpaceDE w:val="0"/>
        <w:autoSpaceDN w:val="0"/>
        <w:adjustRightInd w:val="0"/>
        <w:spacing w:line="360" w:lineRule="auto"/>
        <w:ind w:firstLine="480" w:firstLineChars="200"/>
        <w:rPr>
          <w:rFonts w:hint="eastAsia" w:ascii="宋体" w:hAnsi="宋体" w:eastAsia="宋体" w:cs="宋体"/>
        </w:rPr>
      </w:pPr>
      <w:r>
        <w:rPr>
          <w:rFonts w:hint="eastAsia" w:ascii="宋体" w:hAnsi="宋体" w:eastAsia="宋体" w:cs="宋体"/>
          <w:sz w:val="24"/>
          <w:szCs w:val="24"/>
          <w:lang w:val="zh-CN"/>
        </w:rPr>
        <w:t>（3）</w:t>
      </w:r>
      <w:r>
        <w:rPr>
          <w:rFonts w:hint="eastAsia" w:ascii="宋体" w:hAnsi="宋体" w:eastAsia="宋体" w:cs="宋体"/>
          <w:sz w:val="24"/>
          <w:szCs w:val="24"/>
        </w:rPr>
        <w:t>法律法规规定的其他情形。</w:t>
      </w:r>
    </w:p>
    <w:p w14:paraId="538E6451">
      <w:pPr>
        <w:pageBreakBefore w:val="0"/>
        <w:wordWrap/>
        <w:bidi w:val="0"/>
        <w:adjustRightInd w:val="0"/>
        <w:snapToGrid w:val="0"/>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5</w:t>
      </w:r>
      <w:r>
        <w:rPr>
          <w:rFonts w:hint="eastAsia" w:ascii="宋体" w:hAnsi="宋体" w:eastAsia="宋体" w:cs="宋体"/>
          <w:b/>
          <w:bCs/>
          <w:sz w:val="24"/>
        </w:rPr>
        <w:t>、合格的磋商响应单位</w:t>
      </w:r>
    </w:p>
    <w:p w14:paraId="55837E16">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5</w:t>
      </w:r>
      <w:r>
        <w:rPr>
          <w:rFonts w:hint="eastAsia" w:ascii="宋体" w:hAnsi="宋体" w:eastAsia="宋体" w:cs="宋体"/>
          <w:bCs/>
          <w:sz w:val="24"/>
        </w:rPr>
        <w:t>.1合格磋商响应单位应具备磋商公告中要求磋商响应单位需具备的资格条件和能力。</w:t>
      </w:r>
    </w:p>
    <w:p w14:paraId="46EFC8EA">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5</w:t>
      </w:r>
      <w:r>
        <w:rPr>
          <w:rFonts w:hint="eastAsia" w:ascii="宋体" w:hAnsi="宋体" w:eastAsia="宋体" w:cs="宋体"/>
          <w:bCs/>
          <w:sz w:val="24"/>
        </w:rPr>
        <w:t>.2合格磋商响应单位是响应磋商公告、已在采购人或采购代理机构处</w:t>
      </w:r>
      <w:r>
        <w:rPr>
          <w:rFonts w:hint="eastAsia" w:ascii="宋体" w:hAnsi="宋体" w:cs="宋体"/>
          <w:bCs/>
          <w:sz w:val="24"/>
          <w:lang w:val="en-US" w:eastAsia="zh-CN"/>
        </w:rPr>
        <w:t>获取</w:t>
      </w:r>
      <w:r>
        <w:rPr>
          <w:rFonts w:hint="eastAsia" w:ascii="宋体" w:hAnsi="宋体" w:eastAsia="宋体" w:cs="宋体"/>
          <w:bCs/>
          <w:sz w:val="24"/>
        </w:rPr>
        <w:t>磋商文件并参加磋商的法人。任何未在采购人或采购代理机构处</w:t>
      </w:r>
      <w:r>
        <w:rPr>
          <w:rFonts w:hint="eastAsia" w:ascii="宋体" w:hAnsi="宋体" w:cs="宋体"/>
          <w:bCs/>
          <w:sz w:val="24"/>
          <w:lang w:val="en-US" w:eastAsia="zh-CN"/>
        </w:rPr>
        <w:t>获取</w:t>
      </w:r>
      <w:r>
        <w:rPr>
          <w:rFonts w:hint="eastAsia" w:ascii="宋体" w:hAnsi="宋体" w:eastAsia="宋体" w:cs="宋体"/>
          <w:bCs/>
          <w:sz w:val="24"/>
        </w:rPr>
        <w:t>磋商文件的法人或其他组织均不得参加磋商。</w:t>
      </w:r>
    </w:p>
    <w:p w14:paraId="47C19062">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5</w:t>
      </w:r>
      <w:r>
        <w:rPr>
          <w:rFonts w:hint="eastAsia" w:ascii="宋体" w:hAnsi="宋体" w:eastAsia="宋体" w:cs="宋体"/>
          <w:bCs/>
          <w:sz w:val="24"/>
        </w:rPr>
        <w:t>.3本项目不接受联合体磋商。</w:t>
      </w:r>
    </w:p>
    <w:p w14:paraId="4A0D6722">
      <w:pPr>
        <w:pageBreakBefore w:val="0"/>
        <w:wordWrap/>
        <w:bidi w:val="0"/>
        <w:adjustRightInd w:val="0"/>
        <w:snapToGrid w:val="0"/>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6</w:t>
      </w:r>
      <w:r>
        <w:rPr>
          <w:rFonts w:hint="eastAsia" w:ascii="宋体" w:hAnsi="宋体" w:eastAsia="宋体" w:cs="宋体"/>
          <w:b/>
          <w:bCs/>
          <w:sz w:val="24"/>
          <w:lang w:eastAsia="zh-CN"/>
        </w:rPr>
        <w:t>、</w:t>
      </w:r>
      <w:r>
        <w:rPr>
          <w:rFonts w:hint="eastAsia" w:ascii="宋体" w:hAnsi="宋体" w:eastAsia="宋体" w:cs="宋体"/>
          <w:b/>
          <w:bCs/>
          <w:sz w:val="24"/>
        </w:rPr>
        <w:t>磋商费用</w:t>
      </w:r>
    </w:p>
    <w:p w14:paraId="1582D8F3">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供应商准备和参加</w:t>
      </w:r>
      <w:r>
        <w:rPr>
          <w:rFonts w:hint="eastAsia" w:ascii="宋体" w:hAnsi="宋体" w:eastAsia="宋体" w:cs="宋体"/>
          <w:bCs/>
          <w:sz w:val="24"/>
          <w:highlight w:val="none"/>
          <w:lang w:val="en-US" w:eastAsia="zh-CN"/>
        </w:rPr>
        <w:t>磋商</w:t>
      </w:r>
      <w:r>
        <w:rPr>
          <w:rFonts w:hint="eastAsia" w:ascii="宋体" w:hAnsi="宋体" w:eastAsia="宋体" w:cs="宋体"/>
          <w:bCs/>
          <w:sz w:val="24"/>
          <w:highlight w:val="none"/>
        </w:rPr>
        <w:t>釆购活动所发生的各种费用由供应商自行承担。</w:t>
      </w:r>
    </w:p>
    <w:p w14:paraId="2E4211A1">
      <w:pPr>
        <w:pageBreakBefore w:val="0"/>
        <w:wordWrap/>
        <w:bidi w:val="0"/>
        <w:adjustRightInd w:val="0"/>
        <w:snapToGrid w:val="0"/>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7</w:t>
      </w:r>
      <w:r>
        <w:rPr>
          <w:rFonts w:hint="eastAsia" w:ascii="宋体" w:hAnsi="宋体" w:eastAsia="宋体" w:cs="宋体"/>
          <w:b/>
          <w:bCs/>
          <w:sz w:val="24"/>
          <w:lang w:eastAsia="zh-CN"/>
        </w:rPr>
        <w:t>、</w:t>
      </w:r>
      <w:r>
        <w:rPr>
          <w:rFonts w:hint="eastAsia" w:ascii="宋体" w:hAnsi="宋体" w:eastAsia="宋体" w:cs="宋体"/>
          <w:b/>
          <w:bCs/>
          <w:sz w:val="24"/>
        </w:rPr>
        <w:t>语言文字和计量单位</w:t>
      </w:r>
    </w:p>
    <w:p w14:paraId="66C01BC4">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7</w:t>
      </w:r>
      <w:r>
        <w:rPr>
          <w:rFonts w:hint="eastAsia" w:ascii="宋体" w:hAnsi="宋体" w:eastAsia="宋体" w:cs="宋体"/>
          <w:bCs/>
          <w:sz w:val="24"/>
        </w:rPr>
        <w:t>.1磋商文件以及磋商响应单位与采购代理机构和采购人就有关磋商的所有来往函电均应使用简体中文书写。专用术语使用外文的，应附有中文注释。</w:t>
      </w:r>
    </w:p>
    <w:p w14:paraId="23A08CE6">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7</w:t>
      </w:r>
      <w:r>
        <w:rPr>
          <w:rFonts w:hint="eastAsia" w:ascii="宋体" w:hAnsi="宋体" w:eastAsia="宋体" w:cs="宋体"/>
          <w:bCs/>
          <w:sz w:val="24"/>
        </w:rPr>
        <w:t>.2除磋商文件另有规定外，均使用中华人民共和国法定计量单位。</w:t>
      </w:r>
    </w:p>
    <w:p w14:paraId="7B4E64E4">
      <w:pPr>
        <w:pageBreakBefore w:val="0"/>
        <w:wordWrap/>
        <w:bidi w:val="0"/>
        <w:adjustRightInd w:val="0"/>
        <w:snapToGrid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sz w:val="24"/>
          <w:lang w:val="en-US" w:eastAsia="zh-CN"/>
        </w:rPr>
        <w:t>8</w:t>
      </w:r>
      <w:r>
        <w:rPr>
          <w:rFonts w:hint="eastAsia" w:ascii="宋体" w:hAnsi="宋体" w:eastAsia="宋体" w:cs="宋体"/>
          <w:b/>
          <w:bCs/>
          <w:sz w:val="24"/>
          <w:lang w:eastAsia="zh-CN"/>
        </w:rPr>
        <w:t>、</w:t>
      </w:r>
      <w:r>
        <w:rPr>
          <w:rFonts w:hint="eastAsia" w:ascii="宋体" w:hAnsi="宋体" w:eastAsia="宋体" w:cs="宋体"/>
          <w:b/>
          <w:bCs/>
          <w:sz w:val="24"/>
        </w:rPr>
        <w:t>现场踏勘</w:t>
      </w:r>
    </w:p>
    <w:p w14:paraId="5C43A10F">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.1</w:t>
      </w:r>
      <w:r>
        <w:rPr>
          <w:rFonts w:hint="eastAsia" w:ascii="宋体" w:hAnsi="宋体" w:eastAsia="宋体" w:cs="宋体"/>
          <w:bCs/>
          <w:color w:val="000000" w:themeColor="text1"/>
          <w:sz w:val="24"/>
          <w14:textFill>
            <w14:solidFill>
              <w14:schemeClr w14:val="tx1"/>
            </w14:solidFill>
          </w14:textFill>
        </w:rPr>
        <w:t>磋商响应单位自行组织踏勘项目现场</w:t>
      </w:r>
      <w:r>
        <w:rPr>
          <w:rFonts w:hint="eastAsia" w:ascii="宋体" w:hAnsi="宋体" w:eastAsia="宋体" w:cs="宋体"/>
          <w:bCs/>
          <w:sz w:val="24"/>
        </w:rPr>
        <w:t>。</w:t>
      </w:r>
    </w:p>
    <w:p w14:paraId="0277EBDB">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.2磋商响应单位踏勘现场发生的费用自理。磋商响应单位自行负责在踏勘现场中所发生的人员伤亡和财产损失。磋商响应单位也不得因进入现场的踏勘而使采购人承担有关的责任和蒙受损失。</w:t>
      </w:r>
    </w:p>
    <w:p w14:paraId="59227745">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3在踏勘现场中采购人介绍的项目场地和相关的周边环境情况以及有关现场的数据和资料，是采购人现有的能被磋商响应单位作参考使用的资料，供磋商响应单位在编制磋商响应文件时参考，采购人不对磋商响应单位据此作出的判断、推论、理解和决策负责。</w:t>
      </w:r>
    </w:p>
    <w:p w14:paraId="7B318D3F">
      <w:pPr>
        <w:pageBreakBefore w:val="0"/>
        <w:wordWrap/>
        <w:bidi w:val="0"/>
        <w:adjustRightInd w:val="0"/>
        <w:snapToGrid w:val="0"/>
        <w:spacing w:line="360" w:lineRule="auto"/>
        <w:ind w:firstLine="480" w:firstLineChars="200"/>
        <w:textAlignment w:val="auto"/>
        <w:rPr>
          <w:rFonts w:hint="eastAsia" w:ascii="宋体" w:hAnsi="宋体" w:eastAsia="宋体" w:cs="宋体"/>
          <w:bCs/>
          <w:kern w:val="0"/>
          <w:sz w:val="24"/>
        </w:rPr>
      </w:pPr>
      <w:r>
        <w:rPr>
          <w:rFonts w:hint="eastAsia" w:ascii="宋体" w:hAnsi="宋体" w:eastAsia="宋体" w:cs="宋体"/>
          <w:bCs/>
          <w:sz w:val="24"/>
          <w:lang w:val="en-US" w:eastAsia="zh-CN"/>
        </w:rPr>
        <w:t>8</w:t>
      </w:r>
      <w:r>
        <w:rPr>
          <w:rFonts w:hint="eastAsia" w:ascii="宋体" w:hAnsi="宋体" w:eastAsia="宋体" w:cs="宋体"/>
          <w:bCs/>
          <w:sz w:val="24"/>
        </w:rPr>
        <w:t>.4磋商响应单位应当根据踏勘的现场实际情况及其影响因素在磋商报价中综合考虑。一旦响应成交，不得再以现场条件复杂、不清楚、报价时未考虑等各种理由要求对报价进行调整。</w:t>
      </w:r>
    </w:p>
    <w:p w14:paraId="54FC1EC9">
      <w:pPr>
        <w:pStyle w:val="4"/>
        <w:pageBreakBefore w:val="0"/>
        <w:wordWrap/>
        <w:bidi w:val="0"/>
        <w:adjustRightInd w:val="0"/>
        <w:snapToGrid w:val="0"/>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二、磋商文件</w:t>
      </w:r>
    </w:p>
    <w:p w14:paraId="202FBCB9">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1、磋商文件的构成</w:t>
      </w:r>
    </w:p>
    <w:p w14:paraId="578C9802">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1.1本磋商文件包括下列内容：</w:t>
      </w:r>
    </w:p>
    <w:p w14:paraId="1F82EE01">
      <w:pPr>
        <w:pageBreakBefore w:val="0"/>
        <w:wordWrap/>
        <w:bidi w:val="0"/>
        <w:adjustRightInd w:val="0"/>
        <w:snapToGrid w:val="0"/>
        <w:spacing w:line="360" w:lineRule="auto"/>
        <w:ind w:firstLine="960" w:firstLineChars="400"/>
        <w:textAlignment w:val="auto"/>
        <w:rPr>
          <w:rFonts w:hint="eastAsia" w:ascii="宋体" w:hAnsi="宋体" w:eastAsia="宋体" w:cs="宋体"/>
          <w:bCs/>
          <w:sz w:val="24"/>
        </w:rPr>
      </w:pPr>
      <w:r>
        <w:rPr>
          <w:rFonts w:hint="eastAsia" w:ascii="宋体" w:hAnsi="宋体" w:eastAsia="宋体" w:cs="宋体"/>
          <w:bCs/>
          <w:sz w:val="24"/>
        </w:rPr>
        <w:t>第一章</w:t>
      </w:r>
      <w:r>
        <w:rPr>
          <w:rFonts w:hint="eastAsia" w:ascii="宋体" w:hAnsi="宋体" w:eastAsia="宋体" w:cs="宋体"/>
          <w:bCs/>
          <w:sz w:val="24"/>
          <w:lang w:val="en-US" w:eastAsia="zh-CN"/>
        </w:rPr>
        <w:t xml:space="preserve">  </w:t>
      </w:r>
      <w:r>
        <w:rPr>
          <w:rFonts w:hint="eastAsia" w:ascii="宋体" w:hAnsi="宋体" w:eastAsia="宋体" w:cs="宋体"/>
          <w:bCs/>
          <w:sz w:val="24"/>
        </w:rPr>
        <w:t>磋商公告</w:t>
      </w:r>
    </w:p>
    <w:p w14:paraId="0C4EC0CD">
      <w:pPr>
        <w:pageBreakBefore w:val="0"/>
        <w:wordWrap/>
        <w:bidi w:val="0"/>
        <w:adjustRightInd w:val="0"/>
        <w:snapToGrid w:val="0"/>
        <w:spacing w:line="360" w:lineRule="auto"/>
        <w:ind w:firstLine="960" w:firstLineChars="400"/>
        <w:textAlignment w:val="auto"/>
        <w:rPr>
          <w:rFonts w:hint="eastAsia" w:ascii="宋体" w:hAnsi="宋体" w:eastAsia="宋体" w:cs="宋体"/>
          <w:bCs/>
          <w:sz w:val="24"/>
        </w:rPr>
      </w:pPr>
      <w:r>
        <w:rPr>
          <w:rFonts w:hint="eastAsia" w:ascii="宋体" w:hAnsi="宋体" w:eastAsia="宋体" w:cs="宋体"/>
          <w:bCs/>
          <w:sz w:val="24"/>
        </w:rPr>
        <w:t>第二章  磋商须知</w:t>
      </w:r>
    </w:p>
    <w:p w14:paraId="29CDC857">
      <w:pPr>
        <w:pageBreakBefore w:val="0"/>
        <w:wordWrap/>
        <w:bidi w:val="0"/>
        <w:adjustRightInd w:val="0"/>
        <w:snapToGrid w:val="0"/>
        <w:spacing w:line="360" w:lineRule="auto"/>
        <w:ind w:firstLine="960" w:firstLineChars="400"/>
        <w:textAlignment w:val="auto"/>
        <w:rPr>
          <w:rFonts w:hint="eastAsia" w:ascii="宋体" w:hAnsi="宋体" w:eastAsia="宋体" w:cs="宋体"/>
          <w:bCs/>
          <w:sz w:val="24"/>
        </w:rPr>
      </w:pPr>
      <w:r>
        <w:rPr>
          <w:rFonts w:hint="eastAsia" w:ascii="宋体" w:hAnsi="宋体" w:eastAsia="宋体" w:cs="宋体"/>
          <w:bCs/>
          <w:sz w:val="24"/>
        </w:rPr>
        <w:t>第三章  磋商及</w:t>
      </w:r>
      <w:r>
        <w:rPr>
          <w:rFonts w:hint="eastAsia" w:ascii="宋体" w:hAnsi="宋体" w:eastAsia="宋体" w:cs="宋体"/>
          <w:bCs/>
          <w:sz w:val="24"/>
          <w:lang w:eastAsia="zh-CN"/>
        </w:rPr>
        <w:t>评审</w:t>
      </w:r>
      <w:r>
        <w:rPr>
          <w:rFonts w:hint="eastAsia" w:ascii="宋体" w:hAnsi="宋体" w:eastAsia="宋体" w:cs="宋体"/>
          <w:bCs/>
          <w:sz w:val="24"/>
        </w:rPr>
        <w:t>标准</w:t>
      </w:r>
    </w:p>
    <w:p w14:paraId="2190E744">
      <w:pPr>
        <w:pageBreakBefore w:val="0"/>
        <w:wordWrap/>
        <w:bidi w:val="0"/>
        <w:adjustRightInd w:val="0"/>
        <w:snapToGrid w:val="0"/>
        <w:spacing w:line="360" w:lineRule="auto"/>
        <w:ind w:firstLine="960" w:firstLineChars="400"/>
        <w:textAlignment w:val="auto"/>
        <w:rPr>
          <w:rFonts w:hint="eastAsia" w:ascii="宋体" w:hAnsi="宋体" w:eastAsia="宋体" w:cs="宋体"/>
          <w:bCs/>
          <w:sz w:val="24"/>
        </w:rPr>
      </w:pPr>
      <w:r>
        <w:rPr>
          <w:rFonts w:hint="eastAsia" w:ascii="宋体" w:hAnsi="宋体" w:eastAsia="宋体" w:cs="宋体"/>
          <w:bCs/>
          <w:sz w:val="24"/>
        </w:rPr>
        <w:t>第四章  采购内容及要求</w:t>
      </w:r>
    </w:p>
    <w:p w14:paraId="193AA648">
      <w:pPr>
        <w:pageBreakBefore w:val="0"/>
        <w:wordWrap/>
        <w:bidi w:val="0"/>
        <w:adjustRightInd w:val="0"/>
        <w:snapToGrid w:val="0"/>
        <w:spacing w:line="360" w:lineRule="auto"/>
        <w:ind w:firstLine="960" w:firstLineChars="400"/>
        <w:textAlignment w:val="auto"/>
        <w:rPr>
          <w:rFonts w:hint="eastAsia" w:ascii="宋体" w:hAnsi="宋体" w:eastAsia="宋体" w:cs="宋体"/>
          <w:bCs/>
          <w:sz w:val="24"/>
        </w:rPr>
      </w:pPr>
      <w:r>
        <w:rPr>
          <w:rFonts w:hint="eastAsia" w:ascii="宋体" w:hAnsi="宋体" w:eastAsia="宋体" w:cs="宋体"/>
          <w:bCs/>
          <w:sz w:val="24"/>
        </w:rPr>
        <w:t>第五章  合同草案条款</w:t>
      </w:r>
    </w:p>
    <w:p w14:paraId="7227F770">
      <w:pPr>
        <w:pageBreakBefore w:val="0"/>
        <w:wordWrap/>
        <w:bidi w:val="0"/>
        <w:adjustRightInd w:val="0"/>
        <w:snapToGrid w:val="0"/>
        <w:spacing w:line="360" w:lineRule="auto"/>
        <w:ind w:firstLine="960" w:firstLineChars="400"/>
        <w:textAlignment w:val="auto"/>
        <w:rPr>
          <w:rFonts w:hint="eastAsia" w:ascii="宋体" w:hAnsi="宋体" w:eastAsia="宋体" w:cs="宋体"/>
          <w:bCs/>
          <w:sz w:val="24"/>
        </w:rPr>
      </w:pPr>
      <w:r>
        <w:rPr>
          <w:rFonts w:hint="eastAsia" w:ascii="宋体" w:hAnsi="宋体" w:eastAsia="宋体" w:cs="宋体"/>
          <w:bCs/>
          <w:sz w:val="24"/>
        </w:rPr>
        <w:t>第六章  磋商文件格式</w:t>
      </w:r>
    </w:p>
    <w:p w14:paraId="19527FAD">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1.2采购代理机构以书面形式发给磋商响应单位的关于对磋商文件的澄清、修改、补充通知等均是本磋商文件的组成部分，对采购人和磋商响应单位起约束作用。</w:t>
      </w:r>
    </w:p>
    <w:p w14:paraId="73B79674">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2、澄清与答疑</w:t>
      </w:r>
    </w:p>
    <w:p w14:paraId="463AAECD">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2.1任何要求对磋商文件进行澄清（答疑）的磋商响应单位，应在磋商截止日期3天前以书面形式（加盖磋商响应单位公章并注明单位名称、联系人及电话）送达采购代理机构。采购代理机构将在</w:t>
      </w:r>
      <w:r>
        <w:rPr>
          <w:rFonts w:hint="eastAsia" w:ascii="宋体" w:hAnsi="宋体" w:cs="宋体"/>
          <w:bCs/>
          <w:sz w:val="24"/>
          <w:lang w:eastAsia="zh-CN"/>
        </w:rPr>
        <w:t>陕西省政府采购网</w:t>
      </w:r>
      <w:r>
        <w:rPr>
          <w:rFonts w:hint="eastAsia" w:ascii="宋体" w:hAnsi="宋体" w:eastAsia="宋体" w:cs="宋体"/>
          <w:bCs/>
          <w:sz w:val="24"/>
        </w:rPr>
        <w:t>发布澄清公告，各磋商响应单位应密切关注网站发布的有关澄清公告。</w:t>
      </w:r>
    </w:p>
    <w:p w14:paraId="74AE2EA7">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2.2磋商响应单位在规定的时间内未对磋商文件要求澄清或提出疑问的，采购代理机构将视其为同意。</w:t>
      </w:r>
    </w:p>
    <w:p w14:paraId="478774CE">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3、磋商文件的修改</w:t>
      </w:r>
    </w:p>
    <w:p w14:paraId="75AF65C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kern w:val="0"/>
          <w:sz w:val="24"/>
        </w:rPr>
      </w:pPr>
      <w:r>
        <w:rPr>
          <w:rFonts w:hint="eastAsia" w:ascii="宋体" w:hAnsi="宋体" w:eastAsia="宋体" w:cs="宋体"/>
          <w:bCs/>
          <w:snapToGrid w:val="0"/>
          <w:kern w:val="0"/>
          <w:sz w:val="24"/>
        </w:rPr>
        <w:t>3.1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磋商响应单位；不足5日的，采购人、采购代理机构应当顺延提交首次响应文件截止时间。</w:t>
      </w:r>
    </w:p>
    <w:p w14:paraId="5D2871D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kern w:val="0"/>
          <w:sz w:val="24"/>
        </w:rPr>
      </w:pPr>
      <w:r>
        <w:rPr>
          <w:rFonts w:hint="eastAsia" w:ascii="宋体" w:hAnsi="宋体" w:eastAsia="宋体" w:cs="宋体"/>
          <w:bCs/>
          <w:snapToGrid w:val="0"/>
          <w:kern w:val="0"/>
          <w:sz w:val="24"/>
        </w:rPr>
        <w:t>3.2补充（变更）公告将在</w:t>
      </w:r>
      <w:r>
        <w:rPr>
          <w:rFonts w:hint="eastAsia" w:ascii="宋体" w:hAnsi="宋体" w:cs="宋体"/>
          <w:bCs/>
          <w:snapToGrid w:val="0"/>
          <w:kern w:val="0"/>
          <w:sz w:val="24"/>
          <w:lang w:eastAsia="zh-CN"/>
        </w:rPr>
        <w:t>陕西省政府采购网</w:t>
      </w:r>
      <w:r>
        <w:rPr>
          <w:rFonts w:hint="eastAsia" w:ascii="宋体" w:hAnsi="宋体" w:eastAsia="宋体" w:cs="宋体"/>
          <w:bCs/>
          <w:snapToGrid w:val="0"/>
          <w:kern w:val="0"/>
          <w:sz w:val="24"/>
        </w:rPr>
        <w:t>上公布。磋商响应单位有义务在采购活动期间预览</w:t>
      </w:r>
      <w:r>
        <w:rPr>
          <w:rFonts w:hint="eastAsia" w:ascii="宋体" w:hAnsi="宋体" w:cs="宋体"/>
          <w:bCs/>
          <w:snapToGrid w:val="0"/>
          <w:kern w:val="0"/>
          <w:sz w:val="24"/>
          <w:lang w:eastAsia="zh-CN"/>
        </w:rPr>
        <w:t>陕西省政府采购网</w:t>
      </w:r>
      <w:r>
        <w:rPr>
          <w:rFonts w:hint="eastAsia" w:ascii="宋体" w:hAnsi="宋体" w:eastAsia="宋体" w:cs="宋体"/>
          <w:bCs/>
          <w:snapToGrid w:val="0"/>
          <w:kern w:val="0"/>
          <w:sz w:val="24"/>
        </w:rPr>
        <w:t>，采购代理机构在网上公布的与本次磋商项目有关的信息视为已送达各磋商响应单位。修改后的内容是磋商文件的组成部分。</w:t>
      </w:r>
    </w:p>
    <w:p w14:paraId="41DE8F7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kern w:val="0"/>
          <w:sz w:val="24"/>
          <w:lang w:val="zh-CN"/>
        </w:rPr>
      </w:pPr>
      <w:r>
        <w:rPr>
          <w:rFonts w:hint="eastAsia" w:ascii="宋体" w:hAnsi="宋体" w:eastAsia="宋体" w:cs="宋体"/>
          <w:bCs/>
          <w:snapToGrid w:val="0"/>
          <w:kern w:val="0"/>
          <w:sz w:val="24"/>
        </w:rPr>
        <w:t>3.3</w:t>
      </w:r>
      <w:r>
        <w:rPr>
          <w:rFonts w:hint="eastAsia" w:ascii="宋体" w:hAnsi="宋体" w:eastAsia="宋体" w:cs="宋体"/>
          <w:bCs/>
          <w:snapToGrid w:val="0"/>
          <w:kern w:val="0"/>
          <w:sz w:val="24"/>
          <w:lang w:val="zh-CN"/>
        </w:rPr>
        <w:t>磋商文件的解释权归采购人和采购代理机构。</w:t>
      </w:r>
    </w:p>
    <w:p w14:paraId="3749C137">
      <w:pPr>
        <w:pStyle w:val="4"/>
        <w:pageBreakBefore w:val="0"/>
        <w:wordWrap/>
        <w:bidi w:val="0"/>
        <w:adjustRightInd w:val="0"/>
        <w:snapToGrid w:val="0"/>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三、响应文件</w:t>
      </w:r>
    </w:p>
    <w:p w14:paraId="79311316">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1、响应文件编制</w:t>
      </w:r>
    </w:p>
    <w:p w14:paraId="4B7B978C">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val="zh-CN"/>
        </w:rPr>
      </w:pPr>
      <w:r>
        <w:rPr>
          <w:rFonts w:hint="eastAsia" w:ascii="宋体" w:hAnsi="宋体" w:eastAsia="宋体" w:cs="宋体"/>
          <w:bCs/>
          <w:sz w:val="24"/>
        </w:rPr>
        <w:t>1.1</w:t>
      </w:r>
      <w:r>
        <w:rPr>
          <w:rFonts w:hint="eastAsia" w:ascii="宋体" w:hAnsi="宋体" w:eastAsia="宋体" w:cs="宋体"/>
          <w:bCs/>
          <w:sz w:val="24"/>
          <w:lang w:val="zh-CN"/>
        </w:rPr>
        <w:t>各磋商响应单位应仔细阅读磋商文件中的所有事项、格式、条款和要求，对磋商文件的实质性要求和条件作出响应、提交相应资料。</w:t>
      </w:r>
    </w:p>
    <w:p w14:paraId="5293C2E3">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1.2以下内容如有缺失或无效按无效文件处理</w:t>
      </w:r>
    </w:p>
    <w:p w14:paraId="5E3975C9">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1.2.1</w:t>
      </w:r>
      <w:r>
        <w:rPr>
          <w:rFonts w:hint="eastAsia" w:ascii="宋体" w:hAnsi="宋体" w:eastAsia="宋体" w:cs="宋体"/>
          <w:bCs/>
          <w:sz w:val="24"/>
          <w:lang w:val="en-US" w:eastAsia="zh-CN"/>
        </w:rPr>
        <w:t>资格部分</w:t>
      </w:r>
      <w:r>
        <w:rPr>
          <w:rFonts w:hint="eastAsia" w:ascii="宋体" w:hAnsi="宋体" w:eastAsia="宋体" w:cs="宋体"/>
          <w:bCs/>
          <w:sz w:val="24"/>
        </w:rPr>
        <w:t>：</w:t>
      </w:r>
    </w:p>
    <w:p w14:paraId="2B411EFE">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val="en-US" w:eastAsia="zh-CN"/>
        </w:rPr>
      </w:pPr>
      <w:r>
        <w:rPr>
          <w:rFonts w:hint="eastAsia" w:ascii="宋体" w:hAnsi="宋体" w:eastAsia="宋体" w:cs="宋体"/>
          <w:bCs/>
          <w:sz w:val="24"/>
          <w:lang w:val="en-US" w:eastAsia="zh-CN"/>
        </w:rPr>
        <w:t>（详见磋商须知前附表第11款）</w:t>
      </w:r>
    </w:p>
    <w:p w14:paraId="26A703CC">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val="en-US" w:eastAsia="zh-CN"/>
        </w:rPr>
      </w:pPr>
      <w:r>
        <w:rPr>
          <w:rFonts w:hint="eastAsia" w:ascii="宋体" w:hAnsi="宋体" w:eastAsia="宋体" w:cs="宋体"/>
          <w:bCs/>
          <w:sz w:val="24"/>
        </w:rPr>
        <w:t>1.2.2商务</w:t>
      </w:r>
      <w:r>
        <w:rPr>
          <w:rFonts w:hint="eastAsia" w:ascii="宋体" w:hAnsi="宋体" w:eastAsia="宋体" w:cs="宋体"/>
          <w:bCs/>
          <w:sz w:val="24"/>
          <w:lang w:val="en-US" w:eastAsia="zh-CN"/>
        </w:rPr>
        <w:t>部分</w:t>
      </w:r>
    </w:p>
    <w:p w14:paraId="6BB6E85B">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（1）磋商响应函</w:t>
      </w:r>
    </w:p>
    <w:p w14:paraId="4E8B3A84">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val="zh-CN" w:eastAsia="zh-CN"/>
        </w:rPr>
      </w:pPr>
      <w:r>
        <w:rPr>
          <w:rFonts w:hint="eastAsia" w:ascii="宋体" w:hAnsi="宋体" w:eastAsia="宋体" w:cs="宋体"/>
          <w:bCs/>
          <w:sz w:val="24"/>
        </w:rPr>
        <w:t>（2）</w:t>
      </w:r>
      <w:r>
        <w:rPr>
          <w:rFonts w:hint="eastAsia" w:ascii="宋体" w:hAnsi="宋体" w:eastAsia="宋体" w:cs="宋体"/>
          <w:bCs/>
          <w:sz w:val="24"/>
          <w:lang w:eastAsia="zh-CN"/>
        </w:rPr>
        <w:t>首次</w:t>
      </w:r>
      <w:r>
        <w:rPr>
          <w:rFonts w:hint="eastAsia" w:ascii="宋体" w:hAnsi="宋体" w:eastAsia="宋体" w:cs="宋体"/>
          <w:bCs/>
          <w:sz w:val="24"/>
          <w:lang w:val="zh-CN" w:eastAsia="zh-CN"/>
        </w:rPr>
        <w:t>磋商报价表</w:t>
      </w:r>
    </w:p>
    <w:p w14:paraId="03C81C31">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val="zh-CN"/>
        </w:rPr>
      </w:pPr>
      <w:r>
        <w:rPr>
          <w:rFonts w:hint="eastAsia" w:ascii="宋体" w:hAnsi="宋体" w:eastAsia="宋体" w:cs="宋体"/>
          <w:bCs/>
          <w:sz w:val="24"/>
          <w:lang w:val="zh-CN"/>
        </w:rPr>
        <w:t>（3）</w:t>
      </w:r>
      <w:r>
        <w:rPr>
          <w:rFonts w:hint="eastAsia" w:ascii="宋体" w:hAnsi="宋体" w:eastAsia="宋体" w:cs="宋体"/>
          <w:bCs/>
          <w:sz w:val="24"/>
          <w:lang w:val="en-US" w:eastAsia="zh-CN"/>
        </w:rPr>
        <w:t>分项</w:t>
      </w:r>
      <w:r>
        <w:rPr>
          <w:rFonts w:hint="eastAsia" w:ascii="宋体" w:hAnsi="宋体" w:eastAsia="宋体" w:cs="宋体"/>
          <w:bCs/>
          <w:sz w:val="24"/>
          <w:lang w:val="zh-CN"/>
        </w:rPr>
        <w:t>报价表</w:t>
      </w:r>
    </w:p>
    <w:p w14:paraId="7E336FB3">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val="en-US" w:eastAsia="zh-CN"/>
        </w:rPr>
      </w:pPr>
      <w:r>
        <w:rPr>
          <w:rFonts w:hint="eastAsia" w:ascii="宋体" w:hAnsi="宋体" w:eastAsia="宋体" w:cs="宋体"/>
          <w:bCs/>
          <w:sz w:val="24"/>
          <w:lang w:val="zh-CN"/>
        </w:rPr>
        <w:t>1.2.3技术</w:t>
      </w:r>
      <w:r>
        <w:rPr>
          <w:rFonts w:hint="eastAsia" w:ascii="宋体" w:hAnsi="宋体" w:eastAsia="宋体" w:cs="宋体"/>
          <w:bCs/>
          <w:sz w:val="24"/>
          <w:lang w:val="en-US" w:eastAsia="zh-CN"/>
        </w:rPr>
        <w:t>部分</w:t>
      </w:r>
    </w:p>
    <w:p w14:paraId="4C077480">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val="zh-CN"/>
        </w:rPr>
      </w:pPr>
      <w:r>
        <w:rPr>
          <w:rFonts w:hint="eastAsia" w:ascii="宋体" w:hAnsi="宋体" w:eastAsia="宋体" w:cs="宋体"/>
          <w:bCs/>
          <w:sz w:val="24"/>
          <w:lang w:val="zh-CN" w:eastAsia="zh-CN"/>
        </w:rPr>
        <w:t>（</w:t>
      </w:r>
      <w:r>
        <w:rPr>
          <w:rFonts w:hint="eastAsia" w:ascii="宋体" w:hAnsi="宋体" w:eastAsia="宋体" w:cs="宋体"/>
          <w:bCs/>
          <w:sz w:val="24"/>
          <w:lang w:val="en-US" w:eastAsia="zh-CN"/>
        </w:rPr>
        <w:t>1）</w:t>
      </w:r>
      <w:r>
        <w:rPr>
          <w:rFonts w:hint="eastAsia" w:ascii="宋体" w:hAnsi="宋体" w:eastAsia="宋体" w:cs="宋体"/>
          <w:bCs/>
          <w:sz w:val="24"/>
          <w:lang w:val="zh-CN"/>
        </w:rPr>
        <w:t>设备情况</w:t>
      </w:r>
    </w:p>
    <w:p w14:paraId="4BACE280">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val="zh-CN"/>
        </w:rPr>
      </w:pPr>
      <w:r>
        <w:rPr>
          <w:rFonts w:hint="eastAsia" w:ascii="宋体" w:hAnsi="宋体" w:eastAsia="宋体" w:cs="宋体"/>
          <w:bCs/>
          <w:sz w:val="24"/>
          <w:lang w:val="zh-CN" w:eastAsia="zh-CN"/>
        </w:rPr>
        <w:t>（</w:t>
      </w:r>
      <w:r>
        <w:rPr>
          <w:rFonts w:hint="eastAsia" w:ascii="宋体" w:hAnsi="宋体" w:eastAsia="宋体" w:cs="宋体"/>
          <w:bCs/>
          <w:sz w:val="24"/>
          <w:lang w:val="en-US" w:eastAsia="zh-CN"/>
        </w:rPr>
        <w:t>2）</w:t>
      </w:r>
      <w:r>
        <w:rPr>
          <w:rFonts w:hint="eastAsia" w:ascii="宋体" w:hAnsi="宋体" w:eastAsia="宋体" w:cs="宋体"/>
          <w:bCs/>
          <w:sz w:val="24"/>
          <w:lang w:val="zh-CN"/>
        </w:rPr>
        <w:t>组织服务方案</w:t>
      </w:r>
    </w:p>
    <w:p w14:paraId="5B5D2441">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val="zh-CN"/>
        </w:rPr>
      </w:pPr>
      <w:r>
        <w:rPr>
          <w:rFonts w:hint="eastAsia" w:ascii="宋体" w:hAnsi="宋体" w:eastAsia="宋体" w:cs="宋体"/>
          <w:bCs/>
          <w:sz w:val="24"/>
          <w:lang w:val="zh-CN" w:eastAsia="zh-CN"/>
        </w:rPr>
        <w:t>（</w:t>
      </w:r>
      <w:r>
        <w:rPr>
          <w:rFonts w:hint="eastAsia" w:ascii="宋体" w:hAnsi="宋体" w:eastAsia="宋体" w:cs="宋体"/>
          <w:bCs/>
          <w:sz w:val="24"/>
          <w:lang w:val="en-US" w:eastAsia="zh-CN"/>
        </w:rPr>
        <w:t>3）</w:t>
      </w:r>
      <w:r>
        <w:rPr>
          <w:rFonts w:hint="eastAsia" w:ascii="宋体" w:hAnsi="宋体" w:eastAsia="宋体" w:cs="宋体"/>
          <w:bCs/>
          <w:sz w:val="24"/>
          <w:lang w:val="zh-CN"/>
        </w:rPr>
        <w:t>主检医生职称</w:t>
      </w:r>
    </w:p>
    <w:p w14:paraId="4081B52A">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val="zh-CN"/>
        </w:rPr>
      </w:pPr>
      <w:r>
        <w:rPr>
          <w:rFonts w:hint="eastAsia" w:ascii="宋体" w:hAnsi="宋体" w:eastAsia="宋体" w:cs="宋体"/>
          <w:bCs/>
          <w:sz w:val="24"/>
          <w:lang w:val="zh-CN" w:eastAsia="zh-CN"/>
        </w:rPr>
        <w:t>（</w:t>
      </w:r>
      <w:r>
        <w:rPr>
          <w:rFonts w:hint="eastAsia" w:ascii="宋体" w:hAnsi="宋体" w:eastAsia="宋体" w:cs="宋体"/>
          <w:bCs/>
          <w:sz w:val="24"/>
          <w:lang w:val="en-US" w:eastAsia="zh-CN"/>
        </w:rPr>
        <w:t>4）</w:t>
      </w:r>
      <w:r>
        <w:rPr>
          <w:rFonts w:hint="eastAsia" w:ascii="宋体" w:hAnsi="宋体" w:eastAsia="宋体" w:cs="宋体"/>
          <w:bCs/>
          <w:sz w:val="24"/>
          <w:lang w:val="zh-CN" w:eastAsia="zh-CN"/>
        </w:rPr>
        <w:t>体检场所</w:t>
      </w:r>
    </w:p>
    <w:p w14:paraId="713B141E">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val="zh-CN"/>
        </w:rPr>
      </w:pPr>
      <w:r>
        <w:rPr>
          <w:rFonts w:hint="eastAsia" w:ascii="宋体" w:hAnsi="宋体" w:eastAsia="宋体" w:cs="宋体"/>
          <w:bCs/>
          <w:sz w:val="24"/>
          <w:lang w:val="zh-CN" w:eastAsia="zh-CN"/>
        </w:rPr>
        <w:t>（</w:t>
      </w:r>
      <w:r>
        <w:rPr>
          <w:rFonts w:hint="eastAsia" w:ascii="宋体" w:hAnsi="宋体" w:eastAsia="宋体" w:cs="宋体"/>
          <w:bCs/>
          <w:sz w:val="24"/>
          <w:lang w:val="en-US" w:eastAsia="zh-CN"/>
        </w:rPr>
        <w:t>5）</w:t>
      </w:r>
      <w:r>
        <w:rPr>
          <w:rFonts w:hint="eastAsia" w:ascii="宋体" w:hAnsi="宋体" w:eastAsia="宋体" w:cs="宋体"/>
          <w:bCs/>
          <w:sz w:val="24"/>
          <w:lang w:val="zh-CN"/>
        </w:rPr>
        <w:t>业绩</w:t>
      </w:r>
    </w:p>
    <w:p w14:paraId="7BB2B0BD">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val="zh-CN"/>
        </w:rPr>
      </w:pPr>
      <w:r>
        <w:rPr>
          <w:rFonts w:hint="eastAsia" w:ascii="宋体" w:hAnsi="宋体" w:eastAsia="宋体" w:cs="宋体"/>
          <w:bCs/>
          <w:sz w:val="24"/>
          <w:lang w:val="zh-CN" w:eastAsia="zh-CN"/>
        </w:rPr>
        <w:t>（</w:t>
      </w:r>
      <w:r>
        <w:rPr>
          <w:rFonts w:hint="eastAsia" w:ascii="宋体" w:hAnsi="宋体" w:eastAsia="宋体" w:cs="宋体"/>
          <w:bCs/>
          <w:sz w:val="24"/>
          <w:lang w:val="en-US" w:eastAsia="zh-CN"/>
        </w:rPr>
        <w:t>6）</w:t>
      </w:r>
      <w:r>
        <w:rPr>
          <w:rFonts w:hint="eastAsia" w:ascii="宋体" w:hAnsi="宋体" w:eastAsia="宋体" w:cs="宋体"/>
          <w:bCs/>
          <w:sz w:val="24"/>
          <w:lang w:val="zh-CN"/>
        </w:rPr>
        <w:t>交通情况</w:t>
      </w:r>
    </w:p>
    <w:p w14:paraId="329988FE">
      <w:pPr>
        <w:pageBreakBefore w:val="0"/>
        <w:wordWrap/>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sz w:val="24"/>
          <w:lang w:val="zh-CN" w:eastAsia="zh-CN"/>
        </w:rPr>
        <w:t>（</w:t>
      </w:r>
      <w:r>
        <w:rPr>
          <w:rFonts w:hint="eastAsia" w:ascii="宋体" w:hAnsi="宋体" w:eastAsia="宋体" w:cs="宋体"/>
          <w:bCs/>
          <w:sz w:val="24"/>
          <w:lang w:val="en-US" w:eastAsia="zh-CN"/>
        </w:rPr>
        <w:t>7）</w:t>
      </w:r>
      <w:r>
        <w:rPr>
          <w:rFonts w:hint="eastAsia" w:ascii="宋体" w:hAnsi="宋体" w:eastAsia="宋体" w:cs="宋体"/>
          <w:bCs/>
          <w:sz w:val="24"/>
          <w:lang w:val="zh-CN"/>
        </w:rPr>
        <w:t>服务承诺</w:t>
      </w:r>
    </w:p>
    <w:p w14:paraId="18D1BE1F">
      <w:pPr>
        <w:pStyle w:val="314"/>
        <w:numPr>
          <w:ilvl w:val="0"/>
          <w:numId w:val="0"/>
        </w:numPr>
        <w:spacing w:line="360" w:lineRule="auto"/>
        <w:ind w:left="538" w:leftChars="0"/>
        <w:rPr>
          <w:rFonts w:hint="eastAsia" w:ascii="宋体" w:hAnsi="宋体" w:eastAsia="宋体" w:cs="宋体"/>
          <w:bCs/>
          <w:sz w:val="24"/>
        </w:rPr>
      </w:pPr>
      <w:r>
        <w:rPr>
          <w:rFonts w:hint="eastAsia" w:ascii="宋体" w:hAnsi="宋体" w:eastAsia="宋体" w:cs="宋体"/>
          <w:bCs/>
          <w:sz w:val="24"/>
        </w:rPr>
        <w:t>1.3</w:t>
      </w:r>
      <w:r>
        <w:rPr>
          <w:rFonts w:hint="eastAsia" w:ascii="宋体" w:hAnsi="宋体" w:eastAsia="宋体" w:cs="宋体"/>
          <w:bCs/>
          <w:sz w:val="24"/>
          <w:lang w:val="zh-CN"/>
        </w:rPr>
        <w:t>磋商响应单位应以采购代理机构提供的响应文件格式编制响应文件，</w:t>
      </w:r>
      <w:r>
        <w:rPr>
          <w:rFonts w:hint="eastAsia" w:ascii="宋体" w:hAnsi="宋体" w:eastAsia="宋体" w:cs="宋体"/>
          <w:bCs/>
          <w:sz w:val="24"/>
        </w:rPr>
        <w:t>响应文件格式中的表格不能满足填写时可按照格式表格扩展。</w:t>
      </w:r>
    </w:p>
    <w:p w14:paraId="2B6F3D98">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1.4磋商响应单位必须保证响应文件所提供的全部信息和资料是真实和有效的，提供虚假信息和资料的，除按无效文件处理外，还将按照政府采购的有关规定进行处罚。</w:t>
      </w:r>
    </w:p>
    <w:p w14:paraId="580A2952">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1.5磋商响应单位提交的资料将被保密，且不予退还（原件除外）。</w:t>
      </w:r>
    </w:p>
    <w:p w14:paraId="73A0BB43">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2、响应文件的印制及签署</w:t>
      </w:r>
    </w:p>
    <w:p w14:paraId="170F4903">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2.1磋商响应文件的正本和所有的副本均需用A4幅面纸张打印（宜双面打印）或用不褪色的蓝（黑）墨水填写，注明“正本”“副本”字样。</w:t>
      </w:r>
    </w:p>
    <w:p w14:paraId="638008FE">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2.2本次磋商需提交纸质响应文件共三份，其中正本1份，副本2份，电子版文件1份</w:t>
      </w:r>
      <w:r>
        <w:rPr>
          <w:rFonts w:hint="eastAsia" w:ascii="宋体" w:hAnsi="宋体" w:eastAsia="宋体" w:cs="宋体"/>
          <w:b/>
          <w:bCs w:val="0"/>
          <w:sz w:val="24"/>
        </w:rPr>
        <w:t>（电子版以U盘方式递交，须注明项目编号、供应商名称。内容为Word版本与PDF版本，PDF版本须与投标文件正本完全一致，包含签字及盖章内容，否则将按无效文件处理）</w:t>
      </w:r>
      <w:r>
        <w:rPr>
          <w:rFonts w:hint="eastAsia" w:ascii="宋体" w:hAnsi="宋体" w:eastAsia="宋体" w:cs="宋体"/>
          <w:bCs/>
          <w:sz w:val="24"/>
        </w:rPr>
        <w:t>。</w:t>
      </w:r>
    </w:p>
    <w:p w14:paraId="3676A0FF">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2.3磋商响应单位应在响应文件中指定落款处，按文件要求盖章或签字；</w:t>
      </w:r>
    </w:p>
    <w:p w14:paraId="19E9512A">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2.4磋商响应单位名称应填写全称，否则按无效投标处理（含不填）；</w:t>
      </w:r>
    </w:p>
    <w:p w14:paraId="3F937061">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2.5响应文件的任何行间插字、涂改和增删，必须由法定代表人或被授权人在改动处签字或盖章方为有效；</w:t>
      </w:r>
    </w:p>
    <w:p w14:paraId="1213B1CA">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2.6响应文件因字迹潦草或表达不清所引起的对磋商响应单位不利后果由磋商响应单位自行负责；</w:t>
      </w:r>
    </w:p>
    <w:p w14:paraId="64CC5960">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bCs/>
          <w:sz w:val="24"/>
          <w:lang w:val="en-US" w:eastAsia="zh-CN"/>
        </w:rPr>
        <w:t>7</w:t>
      </w:r>
      <w:r>
        <w:rPr>
          <w:rFonts w:hint="eastAsia" w:ascii="宋体" w:hAnsi="宋体" w:eastAsia="宋体" w:cs="宋体"/>
          <w:bCs/>
          <w:sz w:val="24"/>
        </w:rPr>
        <w:t>以电报、电话、传真、电子邮件等形式的响应磋商一概不予接受。</w:t>
      </w:r>
    </w:p>
    <w:p w14:paraId="1693BF19">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3、响应文件的装订、密封和标记</w:t>
      </w:r>
    </w:p>
    <w:p w14:paraId="313935A6">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3.1响应文件正、副本分别装订成册，胶装（不允许用可换页的活页夹装订），装订应牢固，内容较多时可分册装订但应注明册序号。</w:t>
      </w:r>
    </w:p>
    <w:p w14:paraId="2996A246">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3.2响应文件的正本，副本，电子版文件（U盘）分别封装在封袋（包）内，共计三个封袋。全部封袋须密封（封袋不得破损），在封袋（包）正面粘贴标识，封袋（包）封口处用封条密封，封线处加盖单位公章。</w:t>
      </w:r>
    </w:p>
    <w:p w14:paraId="480C3C27">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3.3电子版文件载体上应标明磋商响应单位名称。</w:t>
      </w:r>
    </w:p>
    <w:p w14:paraId="6095E6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3.4如果响应文件未按上述要求装订、密封、签署、标识的，采购代理机构将拒绝接收。</w:t>
      </w:r>
    </w:p>
    <w:p w14:paraId="364C2C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color w:val="000000" w:themeColor="text1"/>
          <w:sz w:val="24"/>
          <w14:textFill>
            <w14:solidFill>
              <w14:schemeClr w14:val="tx1"/>
            </w14:solidFill>
          </w14:textFill>
        </w:rPr>
        <w:t>3.</w:t>
      </w:r>
      <w:r>
        <w:rPr>
          <w:rFonts w:hint="eastAsia" w:ascii="宋体" w:hAnsi="宋体" w:eastAsia="宋体" w:cs="宋体"/>
          <w:bCs/>
          <w:color w:val="000000" w:themeColor="text1"/>
          <w:sz w:val="24"/>
          <w:lang w:val="en-US" w:eastAsia="zh-CN"/>
          <w14:textFill>
            <w14:solidFill>
              <w14:schemeClr w14:val="tx1"/>
            </w14:solidFill>
          </w14:textFill>
        </w:rPr>
        <w:t>5</w:t>
      </w:r>
      <w:r>
        <w:rPr>
          <w:rFonts w:hint="eastAsia" w:ascii="宋体" w:hAnsi="宋体" w:eastAsia="宋体" w:cs="宋体"/>
          <w:bCs/>
          <w:color w:val="000000" w:themeColor="text1"/>
          <w:sz w:val="24"/>
          <w:lang w:eastAsia="zh-CN"/>
          <w14:textFill>
            <w14:solidFill>
              <w14:schemeClr w14:val="tx1"/>
            </w14:solidFill>
          </w14:textFill>
        </w:rPr>
        <w:t>评审</w:t>
      </w:r>
      <w:r>
        <w:rPr>
          <w:rFonts w:hint="eastAsia" w:ascii="宋体" w:hAnsi="宋体" w:eastAsia="宋体" w:cs="宋体"/>
          <w:bCs/>
          <w:color w:val="000000" w:themeColor="text1"/>
          <w:sz w:val="24"/>
          <w14:textFill>
            <w14:solidFill>
              <w14:schemeClr w14:val="tx1"/>
            </w14:solidFill>
          </w14:textFill>
        </w:rPr>
        <w:t>所需的原件资料用文件袋袋装提供不需密封（如需），</w:t>
      </w:r>
      <w:r>
        <w:rPr>
          <w:rFonts w:hint="eastAsia" w:ascii="宋体" w:hAnsi="宋体" w:eastAsia="宋体" w:cs="宋体"/>
          <w:bCs/>
          <w:sz w:val="24"/>
        </w:rPr>
        <w:t>文件袋上应标明单位名称。</w:t>
      </w:r>
    </w:p>
    <w:p w14:paraId="2556F308">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4、报价</w:t>
      </w:r>
    </w:p>
    <w:p w14:paraId="4DB3A920">
      <w:pPr>
        <w:pageBreakBefore w:val="0"/>
        <w:wordWrap/>
        <w:bidi w:val="0"/>
        <w:adjustRightInd w:val="0"/>
        <w:snapToGrid w:val="0"/>
        <w:spacing w:line="360" w:lineRule="auto"/>
        <w:ind w:firstLine="480" w:firstLineChars="200"/>
        <w:textAlignment w:val="auto"/>
        <w:rPr>
          <w:rFonts w:hint="eastAsia" w:ascii="宋体" w:hAnsi="宋体" w:eastAsia="宋体" w:cs="宋体"/>
          <w:sz w:val="24"/>
          <w:highlight w:val="green"/>
        </w:rPr>
      </w:pPr>
      <w:r>
        <w:rPr>
          <w:rFonts w:hint="eastAsia" w:ascii="宋体" w:hAnsi="宋体" w:eastAsia="宋体" w:cs="宋体"/>
          <w:bCs/>
          <w:sz w:val="24"/>
        </w:rPr>
        <w:t>4.1磋商响应单位应按照磋商文件规定的服务要求，在责任范围和合同条件下进行报价，在响应文件中的</w:t>
      </w:r>
      <w:r>
        <w:rPr>
          <w:rFonts w:hint="eastAsia" w:ascii="宋体" w:hAnsi="宋体" w:eastAsia="宋体" w:cs="宋体"/>
          <w:bCs/>
          <w:sz w:val="24"/>
          <w:lang w:eastAsia="zh-CN"/>
        </w:rPr>
        <w:t>首次磋商报价表</w:t>
      </w:r>
      <w:r>
        <w:rPr>
          <w:rFonts w:hint="eastAsia" w:ascii="宋体" w:hAnsi="宋体" w:eastAsia="宋体" w:cs="宋体"/>
          <w:bCs/>
          <w:sz w:val="24"/>
        </w:rPr>
        <w:t>上按要求标明投标总价等项，任何有选择或可调整的报价将不予接受，并按无效投标处理。</w:t>
      </w:r>
    </w:p>
    <w:p w14:paraId="751ECC76">
      <w:pPr>
        <w:pageBreakBefore w:val="0"/>
        <w:widowControl/>
        <w:wordWrap/>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bCs/>
          <w:sz w:val="24"/>
        </w:rPr>
        <w:t>4.2磋商</w:t>
      </w:r>
      <w:r>
        <w:rPr>
          <w:rFonts w:hint="eastAsia" w:ascii="宋体" w:hAnsi="宋体" w:eastAsia="宋体" w:cs="宋体"/>
          <w:color w:val="000000" w:themeColor="text1"/>
          <w:kern w:val="0"/>
          <w:sz w:val="24"/>
          <w14:textFill>
            <w14:solidFill>
              <w14:schemeClr w14:val="tx1"/>
            </w14:solidFill>
          </w14:textFill>
        </w:rPr>
        <w:t>响应单位磋商报价金额不得超过</w:t>
      </w:r>
      <w:r>
        <w:rPr>
          <w:rFonts w:hint="eastAsia" w:ascii="宋体" w:hAnsi="宋体" w:eastAsia="宋体" w:cs="宋体"/>
          <w:kern w:val="0"/>
          <w:sz w:val="24"/>
        </w:rPr>
        <w:t>采购预算或者最高限价，</w:t>
      </w:r>
      <w:r>
        <w:rPr>
          <w:rFonts w:hint="eastAsia" w:ascii="宋体" w:hAnsi="宋体" w:eastAsia="宋体" w:cs="宋体"/>
          <w:color w:val="000000" w:themeColor="text1"/>
          <w:kern w:val="0"/>
          <w:sz w:val="24"/>
          <w14:textFill>
            <w14:solidFill>
              <w14:schemeClr w14:val="tx1"/>
            </w14:solidFill>
          </w14:textFill>
        </w:rPr>
        <w:t>首次</w:t>
      </w:r>
      <w:r>
        <w:rPr>
          <w:rFonts w:hint="eastAsia" w:ascii="宋体" w:hAnsi="宋体" w:eastAsia="宋体" w:cs="宋体"/>
          <w:kern w:val="0"/>
          <w:sz w:val="24"/>
        </w:rPr>
        <w:t>报价超出采购预算或者最高限价的磋商响应单位不进入下一步磋商程序。</w:t>
      </w:r>
    </w:p>
    <w:p w14:paraId="24837ACA">
      <w:pPr>
        <w:pageBreakBefore w:val="0"/>
        <w:widowControl/>
        <w:wordWrap/>
        <w:bidi w:val="0"/>
        <w:spacing w:line="360" w:lineRule="auto"/>
        <w:ind w:firstLine="480" w:firstLineChars="200"/>
        <w:jc w:val="left"/>
        <w:textAlignment w:val="auto"/>
        <w:rPr>
          <w:rFonts w:hint="eastAsia" w:ascii="宋体" w:hAnsi="宋体" w:eastAsia="宋体" w:cs="宋体"/>
          <w:bCs/>
          <w:sz w:val="24"/>
        </w:rPr>
      </w:pPr>
      <w:r>
        <w:rPr>
          <w:rFonts w:hint="eastAsia" w:ascii="宋体" w:hAnsi="宋体" w:eastAsia="宋体" w:cs="宋体"/>
          <w:bCs/>
          <w:sz w:val="24"/>
        </w:rPr>
        <w:t>4.3最低报价不是中标的唯一依据。</w:t>
      </w:r>
    </w:p>
    <w:p w14:paraId="627F32AA">
      <w:pPr>
        <w:pageBreakBefore w:val="0"/>
        <w:widowControl/>
        <w:wordWrap/>
        <w:bidi w:val="0"/>
        <w:spacing w:line="360" w:lineRule="auto"/>
        <w:ind w:firstLine="480" w:firstLineChars="200"/>
        <w:jc w:val="left"/>
        <w:textAlignment w:val="auto"/>
        <w:rPr>
          <w:rFonts w:hint="eastAsia" w:ascii="宋体" w:hAnsi="宋体" w:eastAsia="宋体" w:cs="宋体"/>
          <w:bCs/>
          <w:sz w:val="24"/>
        </w:rPr>
      </w:pPr>
      <w:r>
        <w:rPr>
          <w:rFonts w:hint="eastAsia" w:ascii="宋体" w:hAnsi="宋体" w:eastAsia="宋体" w:cs="宋体"/>
          <w:bCs/>
          <w:sz w:val="24"/>
        </w:rPr>
        <w:t>4.4投标货币：一律用人民币填报。</w:t>
      </w:r>
    </w:p>
    <w:p w14:paraId="6A2AC07E">
      <w:pPr>
        <w:pageBreakBefore w:val="0"/>
        <w:widowControl/>
        <w:wordWrap/>
        <w:bidi w:val="0"/>
        <w:spacing w:line="360" w:lineRule="auto"/>
        <w:ind w:firstLine="480" w:firstLineChars="200"/>
        <w:jc w:val="left"/>
        <w:textAlignment w:val="auto"/>
        <w:rPr>
          <w:rFonts w:hint="eastAsia" w:ascii="宋体" w:hAnsi="宋体" w:eastAsia="宋体" w:cs="宋体"/>
          <w:bCs/>
          <w:sz w:val="24"/>
        </w:rPr>
      </w:pPr>
      <w:r>
        <w:rPr>
          <w:rFonts w:hint="eastAsia" w:ascii="宋体" w:hAnsi="宋体" w:eastAsia="宋体" w:cs="宋体"/>
          <w:bCs/>
          <w:sz w:val="24"/>
        </w:rPr>
        <w:t>4.5本项目采用两次报价。响应文件中的报价为第一次报价，磋商最终响应函中的报价为第二次报价即最终报价，</w:t>
      </w:r>
      <w:r>
        <w:rPr>
          <w:rFonts w:hint="eastAsia" w:ascii="宋体" w:hAnsi="宋体" w:eastAsia="宋体" w:cs="宋体"/>
          <w:bCs/>
          <w:sz w:val="24"/>
          <w:lang w:eastAsia="zh-CN"/>
        </w:rPr>
        <w:t>首次</w:t>
      </w:r>
      <w:r>
        <w:rPr>
          <w:rFonts w:hint="eastAsia" w:ascii="宋体" w:hAnsi="宋体" w:eastAsia="宋体" w:cs="宋体"/>
          <w:bCs/>
          <w:sz w:val="24"/>
        </w:rPr>
        <w:t>报价不得超过磋商最高限价，最终报价不得超过第一次报价，评审以最终报价为依据。</w:t>
      </w:r>
    </w:p>
    <w:p w14:paraId="61A13586">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bCs/>
          <w:sz w:val="24"/>
        </w:rPr>
        <w:t>4.6磋商响应单位的最终报价在合同执行过程中固定不变，不得以任何理由予以变更。</w:t>
      </w:r>
    </w:p>
    <w:p w14:paraId="7CCFD4D2">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5、首次响应文件递交</w:t>
      </w:r>
    </w:p>
    <w:p w14:paraId="7EBA0D4A">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磋商响应单位法定代表人或其授权代表人应在磋商须知前附表规定的首次响应文件递交截止时间前将响应文件（须密封）和</w:t>
      </w:r>
      <w:r>
        <w:rPr>
          <w:rFonts w:hint="eastAsia" w:ascii="宋体" w:hAnsi="宋体" w:eastAsia="宋体" w:cs="宋体"/>
          <w:sz w:val="24"/>
          <w:lang w:eastAsia="zh-CN"/>
        </w:rPr>
        <w:t>评审</w:t>
      </w:r>
      <w:r>
        <w:rPr>
          <w:rFonts w:hint="eastAsia" w:ascii="宋体" w:hAnsi="宋体" w:eastAsia="宋体" w:cs="宋体"/>
          <w:sz w:val="24"/>
        </w:rPr>
        <w:t>所需原件（如有）送达指定地点，在截止时间后送达的响应文件和任何补充资料采购代理机构将拒绝接收。</w:t>
      </w:r>
    </w:p>
    <w:p w14:paraId="28B32DC5">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6、响应文件的补充、修改和撤回</w:t>
      </w:r>
    </w:p>
    <w:p w14:paraId="7F146F2D">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6.1在首次响应文件递交截止时间前，磋商响应单位可以书面形式提出补充、修改或撤回其递交的响应文件。</w:t>
      </w:r>
    </w:p>
    <w:p w14:paraId="22CD0CFF">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6.2磋商响应单位的补充、修改材料或撤回通知，应按规定进行编制、密封、标记和递交，且在密封袋上标明“磋商响应文件补充”“磋商响应文件修改”或“磋商响应文件撤回通知”字样。</w:t>
      </w:r>
    </w:p>
    <w:p w14:paraId="7A6F84CC">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6.3在首次响应文件递交截止时间至磋商文件规定的磋商有效期终止日之间的这段时间内，磋商响应单位不能撤回响应文件，否则其响应保证金将不予退还（磋商后退出除外）。</w:t>
      </w:r>
    </w:p>
    <w:p w14:paraId="50069ED2">
      <w:pPr>
        <w:pStyle w:val="4"/>
        <w:pageBreakBefore w:val="0"/>
        <w:wordWrap/>
        <w:bidi w:val="0"/>
        <w:adjustRightInd w:val="0"/>
        <w:snapToGrid w:val="0"/>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四、磋商与评审</w:t>
      </w:r>
    </w:p>
    <w:p w14:paraId="1B049139">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、磋商</w:t>
      </w:r>
    </w:p>
    <w:p w14:paraId="40C4B43A">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1.1采购代理机构将在规定的时间和地点组织召开磋商大会。磋商响应单位应派法定代表人或授权代表参加，参加磋商的代表应签名报到以证明其出席。政府采购监督管理部门可以视情况到场监督磋商情况。</w:t>
      </w:r>
    </w:p>
    <w:p w14:paraId="4F52A661">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1.2磋商大会由采购代理机构主持，会议主要内容：</w:t>
      </w:r>
    </w:p>
    <w:p w14:paraId="6B3B55B8">
      <w:pPr>
        <w:pStyle w:val="8"/>
        <w:pageBreakBefore w:val="0"/>
        <w:wordWrap/>
        <w:bidi w:val="0"/>
        <w:spacing w:line="360" w:lineRule="auto"/>
        <w:ind w:firstLine="480"/>
        <w:textAlignment w:val="auto"/>
        <w:rPr>
          <w:rFonts w:hint="eastAsia" w:ascii="宋体" w:hAnsi="宋体" w:eastAsia="宋体" w:cs="宋体"/>
          <w:sz w:val="24"/>
          <w:highlight w:val="none"/>
        </w:rPr>
      </w:pPr>
      <w:r>
        <w:rPr>
          <w:rFonts w:hint="eastAsia" w:ascii="宋体" w:hAnsi="宋体" w:eastAsia="宋体" w:cs="宋体"/>
          <w:sz w:val="24"/>
        </w:rPr>
        <w:t>（1）宣布会场纪律</w:t>
      </w:r>
      <w:r>
        <w:rPr>
          <w:rFonts w:hint="eastAsia" w:ascii="宋体" w:hAnsi="宋体" w:eastAsia="宋体" w:cs="宋体"/>
          <w:sz w:val="24"/>
          <w:highlight w:val="none"/>
        </w:rPr>
        <w:t>；</w:t>
      </w:r>
    </w:p>
    <w:p w14:paraId="1AB00B3C">
      <w:pPr>
        <w:pStyle w:val="8"/>
        <w:pageBreakBefore w:val="0"/>
        <w:wordWrap/>
        <w:bidi w:val="0"/>
        <w:spacing w:line="360" w:lineRule="auto"/>
        <w:ind w:firstLine="480"/>
        <w:textAlignment w:val="auto"/>
        <w:rPr>
          <w:rFonts w:hint="eastAsia" w:ascii="宋体" w:hAnsi="宋体" w:eastAsia="宋体" w:cs="宋体"/>
          <w:sz w:val="24"/>
          <w:highlight w:val="none"/>
        </w:rPr>
      </w:pPr>
      <w:r>
        <w:rPr>
          <w:rFonts w:hint="eastAsia" w:ascii="宋体" w:hAnsi="宋体" w:eastAsia="宋体" w:cs="宋体"/>
          <w:sz w:val="24"/>
          <w:highlight w:val="none"/>
        </w:rPr>
        <w:t>（2）介绍参加磋商大会的单位及工作人员；</w:t>
      </w:r>
    </w:p>
    <w:p w14:paraId="213DBD3B">
      <w:pPr>
        <w:pStyle w:val="8"/>
        <w:pageBreakBefore w:val="0"/>
        <w:wordWrap/>
        <w:bidi w:val="0"/>
        <w:spacing w:line="360" w:lineRule="auto"/>
        <w:ind w:firstLine="48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由</w:t>
      </w:r>
      <w:r>
        <w:rPr>
          <w:rFonts w:hint="eastAsia" w:ascii="宋体" w:hAnsi="宋体" w:eastAsia="宋体" w:cs="宋体"/>
          <w:sz w:val="24"/>
          <w:highlight w:val="none"/>
          <w:lang w:eastAsia="zh-CN"/>
        </w:rPr>
        <w:t>监标人查验身份证明材料</w:t>
      </w:r>
      <w:r>
        <w:rPr>
          <w:rFonts w:hint="eastAsia" w:ascii="宋体" w:hAnsi="宋体" w:eastAsia="宋体" w:cs="宋体"/>
          <w:sz w:val="24"/>
          <w:highlight w:val="none"/>
          <w:lang w:val="en-US" w:eastAsia="zh-CN"/>
        </w:rPr>
        <w:t>并宣布查验结果</w:t>
      </w:r>
      <w:r>
        <w:rPr>
          <w:rFonts w:hint="eastAsia" w:ascii="宋体" w:hAnsi="宋体" w:eastAsia="宋体" w:cs="宋体"/>
          <w:sz w:val="24"/>
          <w:highlight w:val="none"/>
          <w:lang w:eastAsia="zh-CN"/>
        </w:rPr>
        <w:t>。法定代表人参加磋商时，提供本人身份证；授权代表参加磋商时，提供法定代表人授权书和被授权人身份证；</w:t>
      </w:r>
    </w:p>
    <w:p w14:paraId="7AD117EA">
      <w:pPr>
        <w:pStyle w:val="8"/>
        <w:pageBreakBefore w:val="0"/>
        <w:wordWrap/>
        <w:bidi w:val="0"/>
        <w:spacing w:line="360" w:lineRule="auto"/>
        <w:ind w:firstLine="480"/>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）所有磋商响应单位共同检查响应文件的密封情况，当众宣布检查结果；</w:t>
      </w:r>
    </w:p>
    <w:p w14:paraId="66DC93E3">
      <w:pPr>
        <w:pStyle w:val="8"/>
        <w:pageBreakBefore w:val="0"/>
        <w:wordWrap/>
        <w:bidi w:val="0"/>
        <w:spacing w:line="360" w:lineRule="auto"/>
        <w:ind w:firstLine="480"/>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）现场工作人员按签到先后顺序当众开启响应文件；</w:t>
      </w:r>
    </w:p>
    <w:p w14:paraId="3273E8C5">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）响应文件初审（磋商响应单位离场</w:t>
      </w:r>
      <w:r>
        <w:rPr>
          <w:rFonts w:hint="eastAsia" w:ascii="宋体" w:hAnsi="宋体" w:eastAsia="宋体" w:cs="宋体"/>
          <w:sz w:val="24"/>
        </w:rPr>
        <w:t>）；</w:t>
      </w:r>
    </w:p>
    <w:p w14:paraId="3997995F">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）根据情况，磋商小组集中与单一磋商响应单位一对一磋商；</w:t>
      </w:r>
    </w:p>
    <w:p w14:paraId="26A04CBD">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）磋商响应单位磋商响应及递交最终响应函（含最终报价）；</w:t>
      </w:r>
    </w:p>
    <w:p w14:paraId="513BEF4A">
      <w:pPr>
        <w:pStyle w:val="8"/>
        <w:pageBreakBefore w:val="0"/>
        <w:wordWrap/>
        <w:bidi w:val="0"/>
        <w:spacing w:line="360" w:lineRule="auto"/>
        <w:ind w:firstLine="480"/>
        <w:textAlignment w:val="auto"/>
        <w:rPr>
          <w:rFonts w:hint="eastAsia" w:ascii="宋体" w:hAnsi="宋体" w:eastAsia="宋体" w:cs="宋体"/>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）磋商大会结束</w:t>
      </w:r>
      <w:r>
        <w:rPr>
          <w:rFonts w:hint="eastAsia" w:ascii="宋体" w:hAnsi="宋体" w:eastAsia="宋体" w:cs="宋体"/>
          <w:sz w:val="24"/>
          <w:lang w:eastAsia="zh-CN"/>
        </w:rPr>
        <w:t>。</w:t>
      </w:r>
    </w:p>
    <w:p w14:paraId="0C568495">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2、响应文件的评审和比较</w:t>
      </w:r>
    </w:p>
    <w:p w14:paraId="697298D7">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2.1磋商小组将按照磋商文件规定的评审办法进行评审。</w:t>
      </w:r>
    </w:p>
    <w:p w14:paraId="1614DDB1">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2.2磋商方法具体见第</w:t>
      </w:r>
      <w:r>
        <w:rPr>
          <w:rFonts w:hint="eastAsia" w:ascii="宋体" w:hAnsi="宋体" w:cs="宋体"/>
          <w:sz w:val="24"/>
          <w:lang w:val="en-US" w:eastAsia="zh-CN"/>
        </w:rPr>
        <w:t>三</w:t>
      </w:r>
      <w:r>
        <w:rPr>
          <w:rFonts w:hint="eastAsia" w:ascii="宋体" w:hAnsi="宋体" w:eastAsia="宋体" w:cs="宋体"/>
          <w:sz w:val="24"/>
        </w:rPr>
        <w:t>章。</w:t>
      </w:r>
    </w:p>
    <w:p w14:paraId="544B3EBA">
      <w:pPr>
        <w:pStyle w:val="8"/>
        <w:pageBreakBefore w:val="0"/>
        <w:wordWrap/>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3、推荐成交候选人</w:t>
      </w:r>
    </w:p>
    <w:p w14:paraId="31D969CE">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3.1</w:t>
      </w:r>
      <w:r>
        <w:rPr>
          <w:rFonts w:hint="eastAsia" w:ascii="宋体" w:hAnsi="宋体" w:eastAsia="宋体" w:cs="宋体"/>
          <w:bCs/>
          <w:spacing w:val="-4"/>
          <w:sz w:val="24"/>
        </w:rPr>
        <w:t>磋商小组将磋商情况及评审结果写成书面报告，按照综合得分由高至低顺序，推荐3名成交候选</w:t>
      </w:r>
      <w:r>
        <w:rPr>
          <w:rFonts w:hint="eastAsia" w:ascii="宋体" w:hAnsi="宋体" w:eastAsia="宋体" w:cs="宋体"/>
          <w:bCs/>
          <w:sz w:val="24"/>
        </w:rPr>
        <w:t>人。</w:t>
      </w:r>
    </w:p>
    <w:p w14:paraId="3E29A3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3.2成交候选人综合得分相同的，按磋商报价由低到高顺序排列。得分且磋商报价相同的，按技术指标优劣顺序排列。</w:t>
      </w:r>
    </w:p>
    <w:p w14:paraId="1829F6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4、磋商过程的保密</w:t>
      </w:r>
    </w:p>
    <w:p w14:paraId="7AA2E302">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凡属于对响应文件的审查、澄清、评审和比较有关的资料、成交候选人的推荐情况，以及与磋商有关的其它任何情况均严格保密，任何磋商响应单位不得向磋商小组人员或其他有关人员索问磋商过程的情况和材料。采购代理机构不向未成交磋商响应单位解释未成交原因，不退还响应文件。</w:t>
      </w:r>
    </w:p>
    <w:p w14:paraId="2ADC4629">
      <w:pPr>
        <w:pStyle w:val="4"/>
        <w:pageBreakBefore w:val="0"/>
        <w:wordWrap/>
        <w:bidi w:val="0"/>
        <w:adjustRightInd w:val="0"/>
        <w:snapToGrid w:val="0"/>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五、确定磋商响应单位</w:t>
      </w:r>
    </w:p>
    <w:p w14:paraId="2A3B137A">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1、确定磋商响应单位的原则</w:t>
      </w:r>
    </w:p>
    <w:p w14:paraId="661B3EF6">
      <w:pPr>
        <w:pStyle w:val="19"/>
        <w:pageBreakBefore w:val="0"/>
        <w:wordWrap/>
        <w:bidi w:val="0"/>
        <w:adjustRightInd w:val="0"/>
        <w:snapToGrid w:val="0"/>
        <w:spacing w:after="0" w:line="360" w:lineRule="auto"/>
        <w:ind w:left="0" w:leftChars="0" w:firstLine="480" w:firstLineChars="200"/>
        <w:textAlignment w:val="auto"/>
        <w:rPr>
          <w:rFonts w:hint="eastAsia" w:ascii="宋体" w:hAnsi="宋体" w:eastAsia="宋体" w:cs="宋体"/>
          <w:bCs/>
          <w:sz w:val="24"/>
        </w:rPr>
      </w:pPr>
      <w:r>
        <w:rPr>
          <w:rFonts w:hint="eastAsia" w:ascii="宋体" w:hAnsi="宋体" w:eastAsia="宋体" w:cs="宋体"/>
          <w:bCs/>
          <w:sz w:val="24"/>
        </w:rPr>
        <w:t>采购人根据磋商小组推荐的成交候选人名单，按排序确定磋商响应单位。</w:t>
      </w:r>
    </w:p>
    <w:p w14:paraId="693D3DA1">
      <w:pPr>
        <w:pStyle w:val="19"/>
        <w:pageBreakBefore w:val="0"/>
        <w:wordWrap/>
        <w:bidi w:val="0"/>
        <w:adjustRightInd w:val="0"/>
        <w:snapToGrid w:val="0"/>
        <w:spacing w:after="0" w:line="360" w:lineRule="auto"/>
        <w:ind w:left="0" w:leftChars="0" w:firstLine="480" w:firstLineChars="200"/>
        <w:textAlignment w:val="auto"/>
        <w:rPr>
          <w:rFonts w:hint="eastAsia" w:ascii="宋体" w:hAnsi="宋体" w:eastAsia="宋体" w:cs="宋体"/>
          <w:bCs/>
          <w:sz w:val="24"/>
        </w:rPr>
      </w:pPr>
      <w:r>
        <w:rPr>
          <w:rFonts w:hint="eastAsia" w:ascii="宋体" w:hAnsi="宋体" w:eastAsia="宋体" w:cs="宋体"/>
          <w:bCs/>
          <w:sz w:val="24"/>
        </w:rPr>
        <w:t>2、确定磋商响应单位的程序</w:t>
      </w:r>
    </w:p>
    <w:p w14:paraId="14A378E8">
      <w:pPr>
        <w:pStyle w:val="19"/>
        <w:pageBreakBefore w:val="0"/>
        <w:wordWrap/>
        <w:bidi w:val="0"/>
        <w:adjustRightInd w:val="0"/>
        <w:snapToGrid w:val="0"/>
        <w:spacing w:after="0"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2.1采购代理机构在磋商结束后</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个工作日内将磋商报告送采购人。</w:t>
      </w:r>
    </w:p>
    <w:p w14:paraId="02A1C440">
      <w:pPr>
        <w:pStyle w:val="19"/>
        <w:pageBreakBefore w:val="0"/>
        <w:wordWrap/>
        <w:bidi w:val="0"/>
        <w:adjustRightInd w:val="0"/>
        <w:snapToGrid w:val="0"/>
        <w:spacing w:after="0"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2.2采购人在收到磋商报告后</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个工作日内，按照磋商报告中推荐的成交候选人顺序确定成交人，同时复函</w:t>
      </w:r>
      <w:r>
        <w:rPr>
          <w:rFonts w:hint="eastAsia" w:ascii="宋体" w:hAnsi="宋体" w:eastAsia="宋体" w:cs="宋体"/>
          <w:bCs/>
          <w:sz w:val="24"/>
          <w:highlight w:val="none"/>
          <w:lang w:eastAsia="zh-CN"/>
        </w:rPr>
        <w:t>至</w:t>
      </w:r>
      <w:r>
        <w:rPr>
          <w:rFonts w:hint="eastAsia" w:ascii="宋体" w:hAnsi="宋体" w:eastAsia="宋体" w:cs="宋体"/>
          <w:bCs/>
          <w:sz w:val="24"/>
          <w:highlight w:val="none"/>
        </w:rPr>
        <w:t>采购代理机构。</w:t>
      </w:r>
    </w:p>
    <w:p w14:paraId="270A221D">
      <w:pPr>
        <w:pStyle w:val="19"/>
        <w:pageBreakBefore w:val="0"/>
        <w:wordWrap/>
        <w:bidi w:val="0"/>
        <w:adjustRightInd w:val="0"/>
        <w:snapToGrid w:val="0"/>
        <w:spacing w:after="0" w:line="360" w:lineRule="auto"/>
        <w:ind w:left="0" w:leftChars="0" w:firstLine="480" w:firstLineChars="200"/>
        <w:textAlignment w:val="auto"/>
        <w:rPr>
          <w:rFonts w:hint="eastAsia" w:ascii="宋体" w:hAnsi="宋体" w:eastAsia="宋体" w:cs="宋体"/>
          <w:bCs/>
          <w:sz w:val="24"/>
        </w:rPr>
      </w:pPr>
      <w:r>
        <w:rPr>
          <w:rFonts w:hint="eastAsia" w:ascii="宋体" w:hAnsi="宋体" w:eastAsia="宋体" w:cs="宋体"/>
          <w:bCs/>
          <w:sz w:val="24"/>
        </w:rPr>
        <w:t>2.3采购代理机构收到采购人定标通知（成交复函）后，在</w:t>
      </w:r>
      <w:r>
        <w:rPr>
          <w:rFonts w:hint="eastAsia" w:ascii="宋体" w:hAnsi="宋体" w:cs="宋体"/>
          <w:bCs/>
          <w:snapToGrid w:val="0"/>
          <w:kern w:val="0"/>
          <w:sz w:val="24"/>
          <w:lang w:eastAsia="zh-CN"/>
        </w:rPr>
        <w:t>陕西省政府采购网</w:t>
      </w:r>
      <w:r>
        <w:rPr>
          <w:rFonts w:hint="eastAsia" w:ascii="宋体" w:hAnsi="宋体" w:eastAsia="宋体" w:cs="宋体"/>
          <w:bCs/>
          <w:sz w:val="24"/>
        </w:rPr>
        <w:t>发布公告，公示期满无异议后，以书面形式发出成交通知书。如有特殊原因也可延期发出，但发出时间不超过磋商有效期。</w:t>
      </w:r>
    </w:p>
    <w:p w14:paraId="6E6B1D32">
      <w:pPr>
        <w:pStyle w:val="19"/>
        <w:pageBreakBefore w:val="0"/>
        <w:wordWrap/>
        <w:bidi w:val="0"/>
        <w:adjustRightInd w:val="0"/>
        <w:snapToGrid w:val="0"/>
        <w:spacing w:after="0" w:line="360" w:lineRule="auto"/>
        <w:ind w:left="0" w:leftChars="0" w:firstLine="480" w:firstLineChars="200"/>
        <w:textAlignment w:val="auto"/>
        <w:rPr>
          <w:rFonts w:hint="eastAsia" w:ascii="宋体" w:hAnsi="宋体" w:eastAsia="宋体" w:cs="宋体"/>
          <w:bCs/>
          <w:sz w:val="24"/>
        </w:rPr>
      </w:pPr>
      <w:r>
        <w:rPr>
          <w:rFonts w:hint="eastAsia" w:ascii="宋体" w:hAnsi="宋体" w:eastAsia="宋体" w:cs="宋体"/>
          <w:bCs/>
          <w:sz w:val="24"/>
        </w:rPr>
        <w:t>2.4成交通知书作为签订合同的法律依据。成交通知书发出后，采购人改变磋商结果，或者成交人无正当理由放弃的，应当承担相应的法律责任。</w:t>
      </w:r>
    </w:p>
    <w:p w14:paraId="300CE041">
      <w:pPr>
        <w:pStyle w:val="19"/>
        <w:pageBreakBefore w:val="0"/>
        <w:wordWrap/>
        <w:bidi w:val="0"/>
        <w:adjustRightInd w:val="0"/>
        <w:snapToGrid w:val="0"/>
        <w:spacing w:after="0" w:line="360" w:lineRule="auto"/>
        <w:ind w:left="0" w:leftChars="0" w:firstLine="480" w:firstLineChars="200"/>
        <w:textAlignment w:val="auto"/>
        <w:rPr>
          <w:rFonts w:hint="eastAsia" w:ascii="宋体" w:hAnsi="宋体" w:eastAsia="宋体" w:cs="宋体"/>
          <w:bCs/>
          <w:sz w:val="24"/>
        </w:rPr>
      </w:pPr>
      <w:r>
        <w:rPr>
          <w:rFonts w:hint="eastAsia" w:ascii="宋体" w:hAnsi="宋体" w:eastAsia="宋体" w:cs="宋体"/>
          <w:bCs/>
          <w:sz w:val="24"/>
        </w:rPr>
        <w:t>3、磋商结果的公示和异议</w:t>
      </w:r>
    </w:p>
    <w:p w14:paraId="34E5FFE1">
      <w:pPr>
        <w:pageBreakBefore w:val="0"/>
        <w:wordWrap/>
        <w:bidi w:val="0"/>
        <w:adjustRightInd w:val="0"/>
        <w:snapToGrid w:val="0"/>
        <w:spacing w:line="360" w:lineRule="auto"/>
        <w:ind w:firstLine="480" w:firstLineChars="200"/>
        <w:textAlignment w:val="auto"/>
        <w:rPr>
          <w:rFonts w:hint="default" w:ascii="宋体" w:hAnsi="宋体" w:eastAsia="宋体" w:cs="宋体"/>
          <w:bCs/>
          <w:sz w:val="24"/>
          <w:lang w:val="en-US" w:eastAsia="zh-CN"/>
        </w:rPr>
      </w:pPr>
      <w:r>
        <w:rPr>
          <w:rFonts w:hint="eastAsia" w:ascii="宋体" w:hAnsi="宋体" w:cs="宋体"/>
          <w:bCs/>
          <w:sz w:val="24"/>
          <w:lang w:val="en-US" w:eastAsia="zh-CN"/>
        </w:rPr>
        <w:t>3.1磋商结束后，</w:t>
      </w:r>
      <w:r>
        <w:rPr>
          <w:rFonts w:hint="eastAsia" w:ascii="宋体" w:hAnsi="宋体" w:eastAsia="宋体" w:cs="宋体"/>
          <w:bCs/>
          <w:sz w:val="24"/>
        </w:rPr>
        <w:t>采购人或采购代理机构自成交磋商响应单位确定之日起1个工作日在</w:t>
      </w:r>
      <w:r>
        <w:rPr>
          <w:rFonts w:hint="eastAsia" w:ascii="宋体" w:hAnsi="宋体" w:cs="宋体"/>
          <w:bCs/>
          <w:snapToGrid w:val="0"/>
          <w:kern w:val="0"/>
          <w:sz w:val="24"/>
          <w:lang w:eastAsia="zh-CN"/>
        </w:rPr>
        <w:t>陕西省政府采购网</w:t>
      </w:r>
      <w:r>
        <w:rPr>
          <w:rFonts w:hint="eastAsia" w:ascii="宋体" w:hAnsi="宋体" w:eastAsia="宋体" w:cs="宋体"/>
          <w:bCs/>
          <w:sz w:val="24"/>
        </w:rPr>
        <w:t>公告</w:t>
      </w:r>
      <w:r>
        <w:rPr>
          <w:rFonts w:hint="eastAsia" w:ascii="宋体" w:hAnsi="宋体" w:cs="宋体"/>
          <w:bCs/>
          <w:sz w:val="24"/>
          <w:lang w:eastAsia="zh-CN"/>
        </w:rPr>
        <w:t>成交</w:t>
      </w:r>
      <w:r>
        <w:rPr>
          <w:rFonts w:hint="eastAsia" w:ascii="宋体" w:hAnsi="宋体" w:eastAsia="宋体" w:cs="宋体"/>
          <w:bCs/>
          <w:sz w:val="24"/>
        </w:rPr>
        <w:t>结果，公示期</w:t>
      </w:r>
      <w:r>
        <w:rPr>
          <w:rFonts w:hint="eastAsia" w:ascii="宋体" w:hAnsi="宋体" w:cs="宋体"/>
          <w:bCs/>
          <w:sz w:val="24"/>
          <w:lang w:val="en-US" w:eastAsia="zh-CN"/>
        </w:rPr>
        <w:t>1</w:t>
      </w:r>
      <w:r>
        <w:rPr>
          <w:rFonts w:hint="eastAsia" w:ascii="宋体" w:hAnsi="宋体" w:eastAsia="宋体" w:cs="宋体"/>
          <w:bCs/>
          <w:sz w:val="24"/>
        </w:rPr>
        <w:t>个</w:t>
      </w:r>
      <w:r>
        <w:rPr>
          <w:rFonts w:hint="eastAsia" w:ascii="宋体" w:hAnsi="宋体" w:cs="宋体"/>
          <w:bCs/>
          <w:sz w:val="24"/>
          <w:lang w:val="en-US" w:eastAsia="zh-CN"/>
        </w:rPr>
        <w:t>工作日</w:t>
      </w:r>
      <w:r>
        <w:rPr>
          <w:rFonts w:hint="eastAsia" w:ascii="宋体" w:hAnsi="宋体" w:eastAsia="宋体" w:cs="宋体"/>
          <w:bCs/>
          <w:sz w:val="24"/>
        </w:rPr>
        <w:t>。</w:t>
      </w:r>
    </w:p>
    <w:p w14:paraId="18E304FE">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3.</w:t>
      </w:r>
      <w:r>
        <w:rPr>
          <w:rFonts w:hint="eastAsia" w:ascii="宋体" w:hAnsi="宋体" w:cs="宋体"/>
          <w:bCs/>
          <w:sz w:val="24"/>
          <w:lang w:val="en-US" w:eastAsia="zh-CN"/>
        </w:rPr>
        <w:t>2</w:t>
      </w:r>
      <w:r>
        <w:rPr>
          <w:rFonts w:hint="eastAsia" w:ascii="宋体" w:hAnsi="宋体" w:eastAsia="宋体" w:cs="宋体"/>
          <w:bCs/>
          <w:sz w:val="24"/>
        </w:rPr>
        <w:t>磋商响应单位或者其他利害关系人对磋商结果有异议的，可以在知道或者应知其权益受到损害之日起7个工作日内，以书面形式向采购人或代理机构提出质疑。</w:t>
      </w:r>
    </w:p>
    <w:p w14:paraId="61AEA413">
      <w:pPr>
        <w:pStyle w:val="4"/>
        <w:pageBreakBefore w:val="0"/>
        <w:wordWrap/>
        <w:bidi w:val="0"/>
        <w:adjustRightInd w:val="0"/>
        <w:snapToGrid w:val="0"/>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六、签订合同</w:t>
      </w:r>
    </w:p>
    <w:p w14:paraId="6B3E3BBF">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1、签订合同</w:t>
      </w:r>
    </w:p>
    <w:p w14:paraId="5598D3BF">
      <w:pPr>
        <w:pStyle w:val="19"/>
        <w:pageBreakBefore w:val="0"/>
        <w:wordWrap/>
        <w:bidi w:val="0"/>
        <w:adjustRightInd w:val="0"/>
        <w:snapToGrid w:val="0"/>
        <w:spacing w:after="0" w:line="360" w:lineRule="auto"/>
        <w:ind w:left="0" w:leftChars="0" w:firstLine="480" w:firstLineChars="200"/>
        <w:textAlignment w:val="auto"/>
        <w:rPr>
          <w:rFonts w:hint="eastAsia" w:ascii="宋体" w:hAnsi="宋体" w:eastAsia="宋体" w:cs="宋体"/>
          <w:bCs/>
          <w:sz w:val="24"/>
        </w:rPr>
      </w:pPr>
      <w:r>
        <w:rPr>
          <w:rFonts w:hint="eastAsia" w:ascii="宋体" w:hAnsi="宋体" w:eastAsia="宋体" w:cs="宋体"/>
          <w:bCs/>
          <w:sz w:val="24"/>
        </w:rPr>
        <w:t>1.1采购人和成交磋商响应单位应当自成交通知书发出之日起</w:t>
      </w:r>
      <w:r>
        <w:rPr>
          <w:rFonts w:hint="eastAsia" w:ascii="宋体" w:hAnsi="宋体" w:cs="宋体"/>
          <w:bCs/>
          <w:sz w:val="24"/>
          <w:lang w:val="en-US" w:eastAsia="zh-CN"/>
        </w:rPr>
        <w:t>25</w:t>
      </w:r>
      <w:r>
        <w:rPr>
          <w:rFonts w:hint="eastAsia" w:ascii="宋体" w:hAnsi="宋体" w:eastAsia="宋体" w:cs="宋体"/>
          <w:bCs/>
          <w:sz w:val="24"/>
        </w:rPr>
        <w:t>天内，根据磋商文件和成交磋商响应单位的响应文件订立书面合同。</w:t>
      </w:r>
    </w:p>
    <w:p w14:paraId="33FE4177">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1.2成交通知书、磋商文件、响应文件及其澄清文件等，均为合同的组成部分，与合同具有同等法律效力。</w:t>
      </w:r>
    </w:p>
    <w:p w14:paraId="24FB7C08">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1.3发出成交通知书后，因成交磋商响应单位的原因，不与采购人签订合同的，采购人将废除其成交资格。</w:t>
      </w:r>
    </w:p>
    <w:p w14:paraId="2E39DABE">
      <w:pPr>
        <w:pageBreakBefore w:val="0"/>
        <w:numPr>
          <w:ilvl w:val="0"/>
          <w:numId w:val="3"/>
        </w:numPr>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履约保证金</w:t>
      </w:r>
    </w:p>
    <w:p w14:paraId="2ECBAD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成交磋商响应单位与采购人签订合同后，成交磋商响应单位应向采购人提交履约保证金，形式见合同要求</w:t>
      </w:r>
      <w:r>
        <w:rPr>
          <w:rFonts w:hint="eastAsia" w:ascii="宋体" w:hAnsi="宋体" w:cs="宋体"/>
          <w:bCs/>
          <w:sz w:val="24"/>
          <w:lang w:eastAsia="zh-CN"/>
        </w:rPr>
        <w:t>，</w:t>
      </w:r>
      <w:r>
        <w:rPr>
          <w:rFonts w:hint="eastAsia" w:ascii="宋体" w:hAnsi="宋体" w:cs="宋体"/>
          <w:bCs/>
          <w:sz w:val="24"/>
          <w:lang w:val="en-US" w:eastAsia="zh-CN"/>
        </w:rPr>
        <w:t>本项目无需缴纳履约保证金</w:t>
      </w:r>
      <w:r>
        <w:rPr>
          <w:rFonts w:hint="eastAsia" w:ascii="宋体" w:hAnsi="宋体" w:eastAsia="宋体" w:cs="宋体"/>
          <w:bCs/>
          <w:sz w:val="24"/>
        </w:rPr>
        <w:t>。</w:t>
      </w:r>
    </w:p>
    <w:p w14:paraId="038C9B0B">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3、签订合同时变更数量的权力</w:t>
      </w:r>
    </w:p>
    <w:p w14:paraId="43404EDF">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采购合同履行过程中，采购人需要追加与合同标的相同的货物或者服务的，在不改变合同其他条款的前提下，可以与成交磋商响应单位协商签订补充合同，但不得超过原合同采购金额的百分之十。</w:t>
      </w:r>
    </w:p>
    <w:p w14:paraId="15ACF227">
      <w:pPr>
        <w:pStyle w:val="4"/>
        <w:pageBreakBefore w:val="0"/>
        <w:wordWrap/>
        <w:bidi w:val="0"/>
        <w:adjustRightInd w:val="0"/>
        <w:snapToGrid w:val="0"/>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val="zh-CN"/>
        </w:rPr>
        <w:t>询问与质疑</w:t>
      </w:r>
    </w:p>
    <w:p w14:paraId="444414C0">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val="zh-CN"/>
        </w:rPr>
      </w:pPr>
      <w:r>
        <w:rPr>
          <w:rFonts w:hint="eastAsia" w:ascii="宋体" w:hAnsi="宋体" w:eastAsia="宋体" w:cs="宋体"/>
          <w:bCs/>
          <w:sz w:val="24"/>
        </w:rPr>
        <w:t>1、</w:t>
      </w:r>
      <w:r>
        <w:rPr>
          <w:rFonts w:hint="eastAsia" w:ascii="宋体" w:hAnsi="宋体" w:eastAsia="宋体" w:cs="宋体"/>
          <w:bCs/>
          <w:sz w:val="24"/>
          <w:lang w:val="zh-CN"/>
        </w:rPr>
        <w:t>磋商程序受《中华人民共和国政府采购法》和相关法律及行政命令约束，并受到严格的内部监督，以确保授予合同过程的公平公正。</w:t>
      </w:r>
    </w:p>
    <w:p w14:paraId="4A5CFDD2">
      <w:pPr>
        <w:pageBreakBefore w:val="0"/>
        <w:wordWrap/>
        <w:bidi w:val="0"/>
        <w:adjustRightInd w:val="0"/>
        <w:snapToGrid w:val="0"/>
        <w:spacing w:line="360" w:lineRule="auto"/>
        <w:ind w:firstLine="480" w:firstLineChars="200"/>
        <w:textAlignment w:val="auto"/>
        <w:rPr>
          <w:rFonts w:hint="eastAsia" w:ascii="宋体" w:hAnsi="宋体" w:eastAsia="宋体" w:cs="宋体"/>
          <w:color w:val="000000"/>
          <w:kern w:val="0"/>
          <w:sz w:val="24"/>
          <w:lang w:val="zh-CN"/>
        </w:rPr>
      </w:pPr>
      <w:r>
        <w:rPr>
          <w:rFonts w:hint="eastAsia" w:ascii="宋体" w:hAnsi="宋体" w:cs="宋体"/>
          <w:bCs/>
          <w:sz w:val="24"/>
          <w:lang w:val="en-US" w:eastAsia="zh-CN"/>
        </w:rPr>
        <w:t>2</w:t>
      </w:r>
      <w:r>
        <w:rPr>
          <w:rFonts w:hint="eastAsia" w:ascii="宋体" w:hAnsi="宋体" w:eastAsia="宋体" w:cs="宋体"/>
          <w:bCs/>
          <w:sz w:val="24"/>
        </w:rPr>
        <w:t>、</w:t>
      </w:r>
      <w:r>
        <w:rPr>
          <w:rFonts w:hint="eastAsia" w:ascii="宋体" w:hAnsi="宋体" w:eastAsia="宋体" w:cs="宋体"/>
          <w:bCs/>
          <w:sz w:val="24"/>
          <w:lang w:val="zh-CN"/>
        </w:rPr>
        <w:t>磋商响应单位对磋商文件条款或技术、商务参数有异议的，应当在磋商前通过</w:t>
      </w:r>
      <w:r>
        <w:rPr>
          <w:rFonts w:hint="eastAsia" w:ascii="宋体" w:hAnsi="宋体" w:eastAsia="宋体" w:cs="宋体"/>
          <w:color w:val="000000"/>
          <w:kern w:val="0"/>
          <w:sz w:val="24"/>
          <w:lang w:val="zh-CN"/>
        </w:rPr>
        <w:t>澄清或修改程序提出。</w:t>
      </w:r>
    </w:p>
    <w:p w14:paraId="31211D6C">
      <w:pPr>
        <w:pageBreakBefore w:val="0"/>
        <w:wordWrap/>
        <w:bidi w:val="0"/>
        <w:spacing w:line="360" w:lineRule="auto"/>
        <w:ind w:firstLine="480" w:firstLineChars="200"/>
        <w:textAlignment w:val="auto"/>
        <w:rPr>
          <w:rFonts w:hint="eastAsia" w:ascii="宋体" w:hAnsi="宋体" w:eastAsia="宋体" w:cs="宋体"/>
          <w:color w:val="000000"/>
          <w:kern w:val="0"/>
          <w:sz w:val="24"/>
          <w:lang w:val="zh-CN"/>
        </w:rPr>
      </w:pP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w:t>
      </w:r>
      <w:r>
        <w:rPr>
          <w:rFonts w:hint="eastAsia" w:ascii="宋体" w:hAnsi="宋体" w:eastAsia="宋体" w:cs="宋体"/>
          <w:color w:val="000000"/>
          <w:kern w:val="0"/>
          <w:sz w:val="24"/>
          <w:lang w:val="zh-CN"/>
        </w:rPr>
        <w:t>磋商响应单位对采购事项有疑问的，可以向采购代理机构（或采购人）提出询问。</w:t>
      </w:r>
    </w:p>
    <w:p w14:paraId="44DFB02B">
      <w:pPr>
        <w:pageBreakBefore w:val="0"/>
        <w:wordWrap/>
        <w:bidi w:val="0"/>
        <w:spacing w:line="360" w:lineRule="auto"/>
        <w:ind w:firstLine="480" w:firstLineChars="200"/>
        <w:textAlignment w:val="auto"/>
        <w:rPr>
          <w:rFonts w:hint="eastAsia" w:ascii="宋体" w:hAnsi="宋体" w:eastAsia="宋体" w:cs="宋体"/>
          <w:color w:val="000000"/>
          <w:kern w:val="0"/>
          <w:sz w:val="24"/>
          <w:lang w:val="zh-CN"/>
        </w:rPr>
      </w:pPr>
      <w:r>
        <w:rPr>
          <w:rFonts w:hint="eastAsia" w:ascii="宋体" w:hAnsi="宋体" w:cs="宋体"/>
          <w:color w:val="000000"/>
          <w:kern w:val="0"/>
          <w:sz w:val="24"/>
          <w:lang w:val="en-US" w:eastAsia="zh-CN"/>
        </w:rPr>
        <w:t>4</w:t>
      </w:r>
      <w:r>
        <w:rPr>
          <w:rFonts w:hint="eastAsia" w:ascii="宋体" w:hAnsi="宋体" w:eastAsia="宋体" w:cs="宋体"/>
          <w:color w:val="000000"/>
          <w:kern w:val="0"/>
          <w:sz w:val="24"/>
        </w:rPr>
        <w:t>、</w:t>
      </w:r>
      <w:r>
        <w:rPr>
          <w:rFonts w:hint="eastAsia" w:ascii="宋体" w:hAnsi="宋体" w:eastAsia="宋体" w:cs="宋体"/>
          <w:color w:val="000000"/>
          <w:kern w:val="0"/>
          <w:sz w:val="24"/>
          <w:lang w:val="zh-CN"/>
        </w:rPr>
        <w:t>磋商响应单位认为其磋商响应文件未获公平评审或采购过程和磋商结果使自己的合法权益受到损害的，应当在知道或者应知其权益受到损害之日起7个工作日内提出质疑。</w:t>
      </w:r>
    </w:p>
    <w:p w14:paraId="49E805E0">
      <w:pPr>
        <w:pageBreakBefore w:val="0"/>
        <w:wordWrap/>
        <w:bidi w:val="0"/>
        <w:spacing w:line="360" w:lineRule="auto"/>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w:t>
      </w:r>
      <w:r>
        <w:rPr>
          <w:rFonts w:hint="eastAsia" w:ascii="宋体" w:hAnsi="宋体" w:eastAsia="宋体" w:cs="宋体"/>
          <w:color w:val="000000"/>
          <w:kern w:val="0"/>
          <w:sz w:val="24"/>
        </w:rPr>
        <w:t>、</w:t>
      </w:r>
      <w:r>
        <w:rPr>
          <w:rFonts w:hint="eastAsia" w:ascii="宋体" w:hAnsi="宋体" w:eastAsia="宋体" w:cs="宋体"/>
          <w:color w:val="000000"/>
          <w:kern w:val="0"/>
          <w:sz w:val="24"/>
          <w:lang w:val="zh-CN"/>
        </w:rPr>
        <w:t>质疑应当以书面形式向采购代理机构（或采购人）提出</w:t>
      </w:r>
      <w:r>
        <w:rPr>
          <w:rFonts w:hint="eastAsia" w:ascii="宋体" w:hAnsi="宋体" w:cs="宋体"/>
          <w:color w:val="000000"/>
          <w:kern w:val="0"/>
          <w:sz w:val="24"/>
          <w:lang w:val="en-US" w:eastAsia="zh-CN"/>
        </w:rPr>
        <w:t>.</w:t>
      </w:r>
    </w:p>
    <w:p w14:paraId="4AF63C87">
      <w:pPr>
        <w:pageBreakBefore w:val="0"/>
        <w:wordWrap/>
        <w:bidi w:val="0"/>
        <w:spacing w:line="360" w:lineRule="auto"/>
        <w:ind w:firstLine="480" w:firstLineChars="200"/>
        <w:textAlignment w:val="auto"/>
        <w:rPr>
          <w:rFonts w:hint="eastAsia" w:ascii="宋体" w:hAnsi="宋体" w:eastAsia="宋体" w:cs="宋体"/>
          <w:color w:val="000000"/>
          <w:kern w:val="0"/>
          <w:sz w:val="24"/>
          <w:lang w:val="zh-CN" w:eastAsia="zh-CN"/>
        </w:rPr>
      </w:pPr>
      <w:r>
        <w:rPr>
          <w:rFonts w:hint="eastAsia" w:ascii="宋体" w:hAnsi="宋体" w:cs="宋体"/>
          <w:color w:val="000000"/>
          <w:kern w:val="0"/>
          <w:sz w:val="24"/>
          <w:lang w:val="en-US" w:eastAsia="zh-CN"/>
        </w:rPr>
        <w:t>6、</w:t>
      </w:r>
      <w:r>
        <w:rPr>
          <w:rFonts w:hint="eastAsia" w:ascii="宋体" w:hAnsi="宋体" w:eastAsia="宋体" w:cs="宋体"/>
          <w:color w:val="000000"/>
          <w:kern w:val="0"/>
          <w:sz w:val="24"/>
          <w:lang w:val="zh-CN" w:eastAsia="zh-CN"/>
        </w:rPr>
        <w:t>书面质疑函应按照财政部国库司制定的《政府采购供应商质疑函范本》（见下方链接）进行填写，签字、盖章后提交至采购人、采购代理机构。</w:t>
      </w:r>
    </w:p>
    <w:p w14:paraId="25C0A4B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eastAsia="zh-CN"/>
        </w:rPr>
        <w:t>质疑函范本地址：http://gks.mof.gov.cn/ztztz/zhengfucaigouguanli/201802/t20180201_2804589.htm</w:t>
      </w:r>
    </w:p>
    <w:p w14:paraId="500B7648">
      <w:pPr>
        <w:pageBreakBefore w:val="0"/>
        <w:wordWrap/>
        <w:bidi w:val="0"/>
        <w:spacing w:line="360" w:lineRule="auto"/>
        <w:ind w:firstLine="480" w:firstLineChars="200"/>
        <w:textAlignment w:val="auto"/>
        <w:rPr>
          <w:rFonts w:hint="eastAsia" w:ascii="宋体" w:hAnsi="宋体" w:eastAsia="宋体" w:cs="宋体"/>
          <w:color w:val="000000"/>
          <w:kern w:val="0"/>
          <w:sz w:val="24"/>
          <w:lang w:val="zh-CN" w:eastAsia="zh-CN"/>
        </w:rPr>
      </w:pPr>
      <w:r>
        <w:rPr>
          <w:rFonts w:hint="eastAsia" w:ascii="宋体" w:hAnsi="宋体" w:cs="宋体"/>
          <w:color w:val="000000"/>
          <w:kern w:val="0"/>
          <w:sz w:val="24"/>
          <w:lang w:val="en-US" w:eastAsia="zh-CN"/>
        </w:rPr>
        <w:t>7、</w:t>
      </w:r>
      <w:r>
        <w:rPr>
          <w:rFonts w:hint="eastAsia" w:ascii="宋体" w:hAnsi="宋体" w:eastAsia="宋体" w:cs="宋体"/>
          <w:color w:val="000000"/>
          <w:kern w:val="0"/>
          <w:sz w:val="24"/>
          <w:lang w:val="zh-CN" w:eastAsia="zh-CN"/>
        </w:rPr>
        <w:t>在法定质疑期内，针对同一采购程序环节的质疑应当一次性提出。采购人、采购代理机构将在收到书面质疑后7个工作日内做出答复，并以书面形式通知质疑人和其他有关供应商。</w:t>
      </w:r>
    </w:p>
    <w:p w14:paraId="53E47931">
      <w:pPr>
        <w:pageBreakBefore w:val="0"/>
        <w:wordWrap/>
        <w:bidi w:val="0"/>
        <w:spacing w:line="360" w:lineRule="auto"/>
        <w:ind w:firstLine="480" w:firstLineChars="200"/>
        <w:textAlignment w:val="auto"/>
        <w:rPr>
          <w:rFonts w:hint="eastAsia" w:ascii="宋体" w:hAnsi="宋体" w:eastAsia="宋体" w:cs="宋体"/>
          <w:color w:val="000000"/>
          <w:kern w:val="0"/>
          <w:sz w:val="24"/>
          <w:lang w:val="zh-CN"/>
        </w:rPr>
      </w:pPr>
      <w:r>
        <w:rPr>
          <w:rFonts w:hint="eastAsia" w:ascii="宋体" w:hAnsi="宋体" w:cs="宋体"/>
          <w:color w:val="000000"/>
          <w:kern w:val="0"/>
          <w:sz w:val="24"/>
          <w:lang w:val="en-US" w:eastAsia="zh-CN"/>
        </w:rPr>
        <w:t>8</w:t>
      </w:r>
      <w:r>
        <w:rPr>
          <w:rFonts w:hint="eastAsia" w:ascii="宋体" w:hAnsi="宋体" w:eastAsia="宋体" w:cs="宋体"/>
          <w:color w:val="000000"/>
          <w:kern w:val="0"/>
          <w:sz w:val="24"/>
        </w:rPr>
        <w:t>、</w:t>
      </w:r>
      <w:r>
        <w:rPr>
          <w:rFonts w:hint="eastAsia" w:ascii="宋体" w:hAnsi="宋体" w:eastAsia="宋体" w:cs="宋体"/>
          <w:color w:val="000000"/>
          <w:kern w:val="0"/>
          <w:sz w:val="24"/>
          <w:lang w:val="zh-CN"/>
        </w:rPr>
        <w:t>质疑应按照“谁主张、谁举证”的原则，质疑书应当附相关证明材料。质疑材料应为简体中文，一式二份。</w:t>
      </w:r>
    </w:p>
    <w:p w14:paraId="082F50F2">
      <w:pPr>
        <w:pageBreakBefore w:val="0"/>
        <w:wordWrap/>
        <w:bidi w:val="0"/>
        <w:spacing w:line="360" w:lineRule="auto"/>
        <w:ind w:firstLine="480" w:firstLineChars="200"/>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eastAsia="zh-CN"/>
        </w:rPr>
        <w:t>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1693D907">
      <w:pPr>
        <w:pageBreakBefore w:val="0"/>
        <w:wordWrap/>
        <w:bidi w:val="0"/>
        <w:spacing w:line="360" w:lineRule="auto"/>
        <w:ind w:firstLine="480" w:firstLineChars="200"/>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rPr>
        <w:t>9、</w:t>
      </w:r>
      <w:r>
        <w:rPr>
          <w:rFonts w:hint="eastAsia" w:ascii="宋体" w:hAnsi="宋体" w:eastAsia="宋体" w:cs="宋体"/>
          <w:color w:val="000000"/>
          <w:kern w:val="0"/>
          <w:sz w:val="24"/>
          <w:lang w:val="zh-CN"/>
        </w:rPr>
        <w:t>有下列情形之一的，属于无效质疑，采购代理机构（或采购人）可不予受理：</w:t>
      </w:r>
    </w:p>
    <w:p w14:paraId="774E571C">
      <w:pPr>
        <w:pageBreakBefore w:val="0"/>
        <w:wordWrap/>
        <w:bidi w:val="0"/>
        <w:spacing w:line="360" w:lineRule="auto"/>
        <w:ind w:firstLine="480" w:firstLineChars="200"/>
        <w:textAlignment w:val="auto"/>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eastAsia="zh-CN"/>
        </w:rPr>
        <w:t>（1）对采购文件提出质疑的质疑人不是依法获取采购文件的潜在投标人；对采购过程、中标结果提出质疑的质疑人不是参与本次政府采购项目的投标人；</w:t>
      </w:r>
    </w:p>
    <w:p w14:paraId="24A92232">
      <w:pPr>
        <w:pageBreakBefore w:val="0"/>
        <w:wordWrap/>
        <w:bidi w:val="0"/>
        <w:spacing w:line="360" w:lineRule="auto"/>
        <w:ind w:firstLine="480" w:firstLineChars="200"/>
        <w:textAlignment w:val="auto"/>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eastAsia="zh-CN"/>
        </w:rPr>
        <w:t>（2）超过法定期限或未以书面形式提出的；</w:t>
      </w:r>
    </w:p>
    <w:p w14:paraId="6071E13F">
      <w:pPr>
        <w:pageBreakBefore w:val="0"/>
        <w:wordWrap/>
        <w:bidi w:val="0"/>
        <w:spacing w:line="360" w:lineRule="auto"/>
        <w:ind w:firstLine="480" w:firstLineChars="200"/>
        <w:textAlignment w:val="auto"/>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eastAsia="zh-CN"/>
        </w:rPr>
        <w:t>（3）缺乏必要的证明材料，或捏造事实、提供虚假材料，或以非法手段取得证明材料的；</w:t>
      </w:r>
    </w:p>
    <w:p w14:paraId="3310A469">
      <w:pPr>
        <w:pageBreakBefore w:val="0"/>
        <w:wordWrap/>
        <w:bidi w:val="0"/>
        <w:spacing w:line="360" w:lineRule="auto"/>
        <w:ind w:firstLine="480" w:firstLineChars="200"/>
        <w:textAlignment w:val="auto"/>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eastAsia="zh-CN"/>
        </w:rPr>
        <w:t>（4）质疑函没有合法有效的签字、盖章或委托授权书的（代理人提出质疑和投诉，应当提交投标人签署的授权委托书）；</w:t>
      </w:r>
    </w:p>
    <w:p w14:paraId="42086277">
      <w:pPr>
        <w:pageBreakBefore w:val="0"/>
        <w:wordWrap/>
        <w:bidi w:val="0"/>
        <w:spacing w:line="360" w:lineRule="auto"/>
        <w:ind w:firstLine="480" w:firstLineChars="200"/>
        <w:textAlignment w:val="auto"/>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eastAsia="zh-CN"/>
        </w:rPr>
        <w:t>（5）针对同一采购程序环节又提出其他质疑事项的，或质疑答复后就同一事项再次提出质疑的；</w:t>
      </w:r>
    </w:p>
    <w:p w14:paraId="6F4BF02F">
      <w:pPr>
        <w:pageBreakBefore w:val="0"/>
        <w:wordWrap/>
        <w:bidi w:val="0"/>
        <w:spacing w:line="360" w:lineRule="auto"/>
        <w:ind w:firstLine="480" w:firstLineChars="200"/>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eastAsia="zh-CN"/>
        </w:rPr>
        <w:t>（6）不符合法律、法规、规章和政府采购监管机构规定的其他条件的。</w:t>
      </w:r>
    </w:p>
    <w:p w14:paraId="5D4739C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rPr>
        <w:t>10、</w:t>
      </w:r>
      <w:r>
        <w:rPr>
          <w:rFonts w:hint="eastAsia" w:ascii="宋体" w:hAnsi="宋体" w:eastAsia="宋体" w:cs="宋体"/>
          <w:color w:val="000000"/>
          <w:kern w:val="0"/>
          <w:sz w:val="24"/>
          <w:lang w:val="zh-CN"/>
        </w:rPr>
        <w:t>采购代理机构（或采购人）将在收到书面质疑后7个工作日内审查质疑事项，做出答复或相关处理决定，并以书面形式通知</w:t>
      </w:r>
      <w:r>
        <w:rPr>
          <w:rFonts w:hint="eastAsia" w:ascii="宋体" w:hAnsi="宋体" w:cs="宋体"/>
          <w:color w:val="000000"/>
          <w:kern w:val="0"/>
          <w:sz w:val="24"/>
          <w:lang w:val="zh-CN"/>
        </w:rPr>
        <w:t>质疑单位</w:t>
      </w:r>
      <w:r>
        <w:rPr>
          <w:rFonts w:hint="eastAsia" w:ascii="宋体" w:hAnsi="宋体" w:eastAsia="宋体" w:cs="宋体"/>
          <w:color w:val="000000"/>
          <w:kern w:val="0"/>
          <w:sz w:val="24"/>
          <w:lang w:val="zh-CN"/>
        </w:rPr>
        <w:t>和其他有关磋商响应单位，但答复的内</w:t>
      </w:r>
      <w:r>
        <w:rPr>
          <w:rFonts w:hint="eastAsia" w:ascii="宋体" w:hAnsi="宋体" w:eastAsia="宋体" w:cs="宋体"/>
          <w:color w:val="000000"/>
          <w:kern w:val="0"/>
          <w:sz w:val="24"/>
          <w:highlight w:val="none"/>
          <w:lang w:val="zh-CN"/>
        </w:rPr>
        <w:t>容不涉及商业秘密。</w:t>
      </w:r>
    </w:p>
    <w:p w14:paraId="1A781CE3">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rPr>
        <w:t>11、</w:t>
      </w:r>
      <w:r>
        <w:rPr>
          <w:rFonts w:hint="eastAsia" w:ascii="宋体" w:hAnsi="宋体" w:eastAsia="宋体" w:cs="宋体"/>
          <w:color w:val="000000"/>
          <w:kern w:val="0"/>
          <w:sz w:val="24"/>
          <w:highlight w:val="none"/>
          <w:lang w:val="zh-CN" w:eastAsia="zh-CN"/>
        </w:rPr>
        <w:t>质疑单位对采购人、采购代理机构的答复不满意，或者采购人、采购代理机构未在规定的时间内做出答复的，可以在答复期满后15个工作日内按照《政府采购质疑和投诉办法》（财政部94号令）相关规定向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cs="宋体"/>
          <w:color w:val="000000"/>
          <w:kern w:val="0"/>
          <w:sz w:val="24"/>
          <w:highlight w:val="none"/>
          <w:lang w:val="en-US" w:eastAsia="zh-CN"/>
        </w:rPr>
        <w:t>政府采购监管部门</w:t>
      </w:r>
      <w:r>
        <w:rPr>
          <w:rFonts w:hint="eastAsia" w:ascii="宋体" w:hAnsi="宋体" w:eastAsia="宋体" w:cs="宋体"/>
          <w:color w:val="000000"/>
          <w:kern w:val="0"/>
          <w:sz w:val="24"/>
          <w:highlight w:val="none"/>
          <w:lang w:val="zh-CN" w:eastAsia="zh-CN"/>
        </w:rPr>
        <w:t>提出投诉。</w:t>
      </w:r>
    </w:p>
    <w:p w14:paraId="693007EE">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000000"/>
          <w:kern w:val="0"/>
          <w:sz w:val="24"/>
          <w:highlight w:val="none"/>
          <w:lang w:val="zh-CN" w:eastAsia="zh-CN"/>
        </w:rPr>
      </w:pPr>
      <w:r>
        <w:rPr>
          <w:rFonts w:hint="eastAsia" w:ascii="宋体" w:hAnsi="宋体" w:cs="宋体"/>
          <w:color w:val="000000"/>
          <w:kern w:val="0"/>
          <w:sz w:val="24"/>
          <w:highlight w:val="none"/>
          <w:lang w:val="en-US" w:eastAsia="zh-CN"/>
        </w:rPr>
        <w:t>供应商</w:t>
      </w:r>
      <w:r>
        <w:rPr>
          <w:rFonts w:hint="eastAsia" w:ascii="宋体" w:hAnsi="宋体" w:eastAsia="宋体" w:cs="宋体"/>
          <w:color w:val="000000"/>
          <w:kern w:val="0"/>
          <w:sz w:val="24"/>
          <w:highlight w:val="none"/>
          <w:lang w:val="zh-CN" w:eastAsia="zh-CN"/>
        </w:rPr>
        <w:t>投诉的事项不得超出已质疑事项的范围。供应商提出投诉时，应当提交投诉书和必要的证明材料，并按财政部《投诉书范本》给定的格式进行填写。</w:t>
      </w:r>
    </w:p>
    <w:p w14:paraId="08141912">
      <w:pPr>
        <w:pStyle w:val="19"/>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zh-CN" w:eastAsia="zh-CN"/>
        </w:rPr>
        <w:t>投诉书范本地址：http://gks.mof.gov.cn/ztztz/zhengfucaigouguanli/201802/t20180201_2804588.htm</w:t>
      </w:r>
    </w:p>
    <w:p w14:paraId="42F4C7D4">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12、恶意质疑、投诉的法律后果</w:t>
      </w:r>
    </w:p>
    <w:p w14:paraId="31D02CAD">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（1）对捏造事实、提供虚假材料进行质疑、投诉的行为予以严肃处理：</w:t>
      </w:r>
    </w:p>
    <w:p w14:paraId="350040BD">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6DA51C3E">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（2）对捏造事实诬告陷害他人、诽谤他人的法律适用：</w:t>
      </w:r>
    </w:p>
    <w:p w14:paraId="59BBE29F">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《中华人民共和国刑法》第243条【诬告陷害罪】捏造事实诬告陷害他人，意图使他人受刑事追究，情节严重的，处三年以下有期徒刑、拘役或者管制；造成严重后果的，处三年以上十年以下有期徒刑。</w:t>
      </w:r>
    </w:p>
    <w:p w14:paraId="257051AD">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《中华人民共和国刑法》第246条【侮辱罪、诽谤罪】以暴力或者其他方法公然侮辱他人或者捏造事实诽谤他人，情节严重的，处三年以下有期徒刑、拘役、管制或者剥夺政治权利。</w:t>
      </w:r>
    </w:p>
    <w:p w14:paraId="3A9C33E8">
      <w:pPr>
        <w:pStyle w:val="4"/>
        <w:pageBreakBefore w:val="0"/>
        <w:wordWrap/>
        <w:bidi w:val="0"/>
        <w:adjustRightInd w:val="0"/>
        <w:snapToGrid w:val="0"/>
        <w:spacing w:before="0" w:after="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八、其他</w:t>
      </w:r>
    </w:p>
    <w:p w14:paraId="62B30BC9">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1、</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代理服务费</w:t>
      </w:r>
    </w:p>
    <w:p w14:paraId="2DC78677">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1.1</w:t>
      </w:r>
      <w:r>
        <w:rPr>
          <w:rFonts w:hint="eastAsia" w:ascii="宋体" w:hAnsi="宋体" w:eastAsia="宋体" w:cs="宋体"/>
          <w:sz w:val="24"/>
          <w:highlight w:val="none"/>
          <w:lang w:val="en-US" w:eastAsia="zh-CN"/>
        </w:rPr>
        <w:t>参照</w:t>
      </w:r>
      <w:r>
        <w:rPr>
          <w:rFonts w:hint="eastAsia" w:ascii="宋体" w:hAnsi="宋体" w:eastAsia="宋体" w:cs="宋体"/>
          <w:sz w:val="24"/>
          <w:highlight w:val="none"/>
        </w:rPr>
        <w:t>国家计委《</w:t>
      </w:r>
      <w:r>
        <w:rPr>
          <w:rFonts w:hint="eastAsia" w:ascii="宋体" w:hAnsi="宋体" w:cs="宋体"/>
          <w:sz w:val="24"/>
          <w:highlight w:val="none"/>
          <w:lang w:val="en-US" w:eastAsia="zh-CN"/>
        </w:rPr>
        <w:t>招标</w:t>
      </w:r>
      <w:r>
        <w:rPr>
          <w:rFonts w:hint="eastAsia" w:ascii="宋体" w:hAnsi="宋体" w:eastAsia="宋体" w:cs="宋体"/>
          <w:sz w:val="24"/>
          <w:highlight w:val="none"/>
          <w:lang w:eastAsia="zh-CN"/>
        </w:rPr>
        <w:t>代理</w:t>
      </w:r>
      <w:r>
        <w:rPr>
          <w:rFonts w:hint="eastAsia" w:ascii="宋体" w:hAnsi="宋体" w:eastAsia="宋体" w:cs="宋体"/>
          <w:sz w:val="24"/>
          <w:highlight w:val="none"/>
        </w:rPr>
        <w:t>服务费管理暂行办法》（计价格【2002】1980号）文件及国家发改委文件发改价格【2011】534号文规定的标准</w:t>
      </w:r>
      <w:r>
        <w:rPr>
          <w:rFonts w:hint="eastAsia" w:ascii="宋体" w:hAnsi="宋体" w:eastAsia="宋体" w:cs="宋体"/>
          <w:sz w:val="24"/>
          <w:highlight w:val="none"/>
          <w:lang w:eastAsia="zh-CN"/>
        </w:rPr>
        <w:t>收取，低于</w:t>
      </w:r>
      <w:r>
        <w:rPr>
          <w:rFonts w:hint="eastAsia" w:ascii="宋体" w:hAnsi="宋体" w:eastAsia="宋体" w:cs="宋体"/>
          <w:sz w:val="24"/>
          <w:highlight w:val="none"/>
          <w:lang w:val="en-US" w:eastAsia="zh-CN"/>
        </w:rPr>
        <w:t>伍仟元</w:t>
      </w:r>
      <w:r>
        <w:rPr>
          <w:rFonts w:hint="eastAsia" w:ascii="宋体" w:hAnsi="宋体" w:eastAsia="宋体" w:cs="宋体"/>
          <w:sz w:val="24"/>
          <w:highlight w:val="none"/>
          <w:lang w:eastAsia="zh-CN"/>
        </w:rPr>
        <w:t>的按</w:t>
      </w:r>
      <w:r>
        <w:rPr>
          <w:rFonts w:hint="eastAsia" w:ascii="宋体" w:hAnsi="宋体" w:eastAsia="宋体" w:cs="宋体"/>
          <w:sz w:val="24"/>
          <w:highlight w:val="none"/>
          <w:lang w:val="en-US" w:eastAsia="zh-CN"/>
        </w:rPr>
        <w:t>伍仟元</w:t>
      </w:r>
      <w:r>
        <w:rPr>
          <w:rFonts w:hint="eastAsia" w:ascii="宋体" w:hAnsi="宋体" w:eastAsia="宋体" w:cs="宋体"/>
          <w:sz w:val="24"/>
          <w:highlight w:val="none"/>
          <w:lang w:eastAsia="zh-CN"/>
        </w:rPr>
        <w:t>收取</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由</w:t>
      </w:r>
      <w:r>
        <w:rPr>
          <w:rFonts w:hint="eastAsia" w:ascii="宋体" w:hAnsi="宋体" w:eastAsia="宋体" w:cs="宋体"/>
          <w:sz w:val="24"/>
          <w:highlight w:val="none"/>
          <w:lang w:val="en-US" w:eastAsia="zh-CN"/>
        </w:rPr>
        <w:t>成交</w:t>
      </w:r>
      <w:r>
        <w:rPr>
          <w:rFonts w:hint="eastAsia" w:ascii="宋体" w:hAnsi="宋体" w:cs="宋体"/>
          <w:sz w:val="24"/>
          <w:highlight w:val="none"/>
          <w:lang w:val="en-US" w:eastAsia="zh-CN"/>
        </w:rPr>
        <w:t>单位</w:t>
      </w:r>
      <w:r>
        <w:rPr>
          <w:rFonts w:hint="eastAsia" w:ascii="宋体" w:hAnsi="宋体" w:eastAsia="宋体" w:cs="宋体"/>
          <w:sz w:val="24"/>
          <w:highlight w:val="none"/>
        </w:rPr>
        <w:t>进行支付。</w:t>
      </w:r>
    </w:p>
    <w:p w14:paraId="08F5E04B">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2采购</w:t>
      </w:r>
      <w:r>
        <w:rPr>
          <w:rFonts w:hint="eastAsia" w:ascii="宋体" w:hAnsi="宋体" w:eastAsia="宋体" w:cs="宋体"/>
          <w:bCs/>
          <w:sz w:val="24"/>
          <w:highlight w:val="none"/>
        </w:rPr>
        <w:t>代理服务费以银行转账形式缴纳。</w:t>
      </w:r>
    </w:p>
    <w:p w14:paraId="4EEDC02A">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服务费交纳信息</w:t>
      </w:r>
    </w:p>
    <w:p w14:paraId="695BEBE0">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eastAsia="zh-CN"/>
        </w:rPr>
      </w:pPr>
      <w:r>
        <w:rPr>
          <w:rFonts w:hint="eastAsia" w:ascii="宋体" w:hAnsi="宋体" w:eastAsia="宋体" w:cs="宋体"/>
          <w:bCs/>
          <w:sz w:val="24"/>
        </w:rPr>
        <w:t>户    名：</w:t>
      </w:r>
      <w:r>
        <w:rPr>
          <w:rFonts w:hint="eastAsia" w:ascii="宋体" w:hAnsi="宋体" w:eastAsia="宋体" w:cs="宋体"/>
          <w:bCs/>
          <w:sz w:val="24"/>
          <w:lang w:eastAsia="zh-CN"/>
        </w:rPr>
        <w:t>陕西信鹏项目管理有限公司</w:t>
      </w:r>
    </w:p>
    <w:p w14:paraId="2CE74CDC">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eastAsia="zh-CN"/>
        </w:rPr>
      </w:pPr>
      <w:r>
        <w:rPr>
          <w:rFonts w:hint="eastAsia" w:ascii="宋体" w:hAnsi="宋体" w:eastAsia="宋体" w:cs="宋体"/>
          <w:bCs/>
          <w:sz w:val="24"/>
        </w:rPr>
        <w:t>开户银行：</w:t>
      </w:r>
      <w:r>
        <w:rPr>
          <w:rFonts w:hint="eastAsia" w:ascii="宋体" w:hAnsi="宋体" w:eastAsia="宋体" w:cs="宋体"/>
          <w:bCs/>
          <w:sz w:val="24"/>
          <w:lang w:eastAsia="zh-CN"/>
        </w:rPr>
        <w:t>中国民生银行股份有限公司西安文景路支行</w:t>
      </w:r>
    </w:p>
    <w:p w14:paraId="268141F9">
      <w:pPr>
        <w:pageBreakBefore w:val="0"/>
        <w:wordWrap/>
        <w:bidi w:val="0"/>
        <w:adjustRightInd w:val="0"/>
        <w:snapToGrid w:val="0"/>
        <w:spacing w:line="360" w:lineRule="auto"/>
        <w:ind w:firstLine="480" w:firstLineChars="200"/>
        <w:textAlignment w:val="auto"/>
        <w:rPr>
          <w:rFonts w:hint="eastAsia" w:ascii="宋体" w:hAnsi="宋体" w:eastAsia="宋体" w:cs="宋体"/>
          <w:bCs/>
          <w:sz w:val="24"/>
          <w:lang w:eastAsia="zh-CN"/>
        </w:rPr>
      </w:pPr>
      <w:r>
        <w:rPr>
          <w:rFonts w:hint="eastAsia" w:ascii="宋体" w:hAnsi="宋体" w:eastAsia="宋体" w:cs="宋体"/>
          <w:bCs/>
          <w:sz w:val="24"/>
        </w:rPr>
        <w:t>账    号：</w:t>
      </w:r>
      <w:r>
        <w:rPr>
          <w:rFonts w:hint="eastAsia" w:ascii="宋体" w:hAnsi="宋体" w:eastAsia="宋体" w:cs="宋体"/>
          <w:bCs/>
          <w:sz w:val="24"/>
          <w:lang w:eastAsia="zh-CN"/>
        </w:rPr>
        <w:t>171673847</w:t>
      </w:r>
    </w:p>
    <w:p w14:paraId="20DE3D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2</w:t>
      </w:r>
      <w:r>
        <w:rPr>
          <w:rFonts w:hint="eastAsia" w:ascii="宋体" w:hAnsi="宋体" w:eastAsia="宋体" w:cs="宋体"/>
          <w:sz w:val="24"/>
          <w:lang w:val="zh-CN"/>
        </w:rPr>
        <w:t>、</w:t>
      </w:r>
      <w:r>
        <w:rPr>
          <w:rFonts w:hint="eastAsia" w:ascii="宋体" w:hAnsi="宋体" w:eastAsia="宋体" w:cs="宋体"/>
          <w:sz w:val="24"/>
        </w:rPr>
        <w:t>在采购过程中符合要求磋商响应单位或者报价未超出采购预算的磋商响应单位不足</w:t>
      </w:r>
      <w:r>
        <w:rPr>
          <w:rFonts w:hint="eastAsia" w:ascii="宋体" w:hAnsi="宋体" w:eastAsia="宋体" w:cs="宋体"/>
          <w:sz w:val="24"/>
          <w:lang w:val="zh-CN"/>
        </w:rPr>
        <w:t>3家的，采购代理机构请示监督机构后，终止竞争性磋商活动或继续磋商。</w:t>
      </w:r>
    </w:p>
    <w:p w14:paraId="2F772A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3</w:t>
      </w:r>
      <w:r>
        <w:rPr>
          <w:rFonts w:hint="eastAsia" w:ascii="宋体" w:hAnsi="宋体" w:eastAsia="宋体" w:cs="宋体"/>
          <w:sz w:val="24"/>
          <w:lang w:val="zh-CN"/>
        </w:rPr>
        <w:t>、确定成交单位后，成交单位无正当理由拖延或拒签合同，采购人有权取消其成交资格，并报请监督机构予以通报，取消其进入政府采购市场的资格，并按规定予以处罚。</w:t>
      </w:r>
    </w:p>
    <w:p w14:paraId="44382B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4、西安市政府采购信用担保及信用融资政策</w:t>
      </w:r>
    </w:p>
    <w:p w14:paraId="72902A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为发挥政府采购促进中小企业发展的政策功能，西安市财政局制定了《西安市政府采购信用担保及信用融资工作实施方案（试行）》（市财发〔2014〕167号，以下简称《实施方案》），为参与西安市市级政府采购项目的投标人提供政府采购信用担保和融资服务。投标人在交纳投 标保证金、履约保证金时可自愿选择通过担保函的形式交纳，投标人违约，开具担保函单位承担连带责任。</w:t>
      </w:r>
    </w:p>
    <w:p w14:paraId="3BA81F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1C27FC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《实施方案》链接地址：</w:t>
      </w:r>
    </w:p>
    <w:p w14:paraId="7E99B9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http://xaczj.xa.gov.cn/ztzl/zfcg/cgfg/5db90552fd850863a9e4594d.html</w:t>
      </w:r>
    </w:p>
    <w:p w14:paraId="73F307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《合作机构名单》链接地址：</w:t>
      </w:r>
    </w:p>
    <w:p w14:paraId="151FAE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http://xaczj.xa.gov.cn/ztzl/zfcg/cgfg/5db9054565cbd804f69e97e0.html</w:t>
      </w:r>
    </w:p>
    <w:p w14:paraId="7D2DC6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5、对中小企业、监狱企业、残疾人福利性单位的优惠政策</w:t>
      </w:r>
    </w:p>
    <w:p w14:paraId="22987E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投标人提供的货物既有中小企业制造货物，也有大型企业制造货物的，不享受中小企业扶持政策。</w:t>
      </w:r>
    </w:p>
    <w:p w14:paraId="0F03BE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（2）根据财政部、司法部联合下发的《关于政府采购支持监狱企业发展有关问题的通知》（财库〔2014〕68号）的规定，监狱企业视同小型、微型企业。</w:t>
      </w:r>
    </w:p>
    <w:p w14:paraId="270DE5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8B054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7F22A9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6、节能、环保产品采购政策</w:t>
      </w:r>
    </w:p>
    <w:p w14:paraId="795FFE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7B200F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21CF53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（3）《节能产品政府采购品目清单》见财政部、发展改革委《关于印发节能产品政府采购品目清单的通知》（财库〔2019〕19号）附件。</w:t>
      </w:r>
    </w:p>
    <w:p w14:paraId="0952BE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（4）《环境标志产品政府采购品目清单》见财政部、生态环境部《关于印发环境标志产品政府采购品目清单的通知》（财库〔2019〕18号）附件。</w:t>
      </w:r>
    </w:p>
    <w:p w14:paraId="5E29B5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（5）“国家确定的认证机构”名单见市场监管总局《关于发布参与实施政府采购节能产品、环境标志产品认证机构名录的公告》（2019年第16号）。</w:t>
      </w:r>
    </w:p>
    <w:p w14:paraId="57B398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7、陕西省中小企业政府采购信用融资办法</w:t>
      </w:r>
    </w:p>
    <w:p w14:paraId="1714396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496CB37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链接地址：https://www.ccgp-shaanxi.gov.cn/freecms/site/shaanxi/ggxx/info/oldweb/8a85be356681a7110166a93e45510044.html</w:t>
      </w:r>
    </w:p>
    <w:p w14:paraId="4429F1F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8、关于信用记录的查询和使用</w:t>
      </w:r>
    </w:p>
    <w:p w14:paraId="304A41F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根据财政部《关于在政府采购活动中查询及使用信用记录有关问题的通知》（财库〔2016〕125号）第二条有关要求，采购人将在资格审查阶段通过【信用中国】（https://www.creditchina.gov.cn/）和【中国政府采购网】（</w:t>
      </w:r>
      <w:r>
        <w:rPr>
          <w:rFonts w:hint="eastAsia" w:ascii="宋体" w:hAnsi="宋体" w:cs="宋体"/>
          <w:sz w:val="24"/>
          <w:lang w:val="en-US" w:eastAsia="zh-CN"/>
        </w:rPr>
        <w:fldChar w:fldCharType="begin"/>
      </w:r>
      <w:r>
        <w:rPr>
          <w:rFonts w:hint="eastAsia" w:ascii="宋体" w:hAnsi="宋体" w:cs="宋体"/>
          <w:sz w:val="24"/>
          <w:lang w:val="en-US" w:eastAsia="zh-CN"/>
        </w:rPr>
        <w:instrText xml:space="preserve"> HYPERLINK "http://www.ccgp.gov.cn/" </w:instrText>
      </w:r>
      <w:r>
        <w:rPr>
          <w:rFonts w:hint="eastAsia" w:ascii="宋体" w:hAnsi="宋体" w:cs="宋体"/>
          <w:sz w:val="24"/>
          <w:lang w:val="en-US" w:eastAsia="zh-CN"/>
        </w:rPr>
        <w:fldChar w:fldCharType="separate"/>
      </w:r>
      <w:r>
        <w:rPr>
          <w:rFonts w:hint="eastAsia" w:ascii="宋体" w:hAnsi="宋体" w:cs="宋体"/>
          <w:sz w:val="24"/>
          <w:lang w:val="en-US" w:eastAsia="zh-CN"/>
        </w:rPr>
        <w:t>http://www.ccgp.gov.cn/）</w:t>
      </w:r>
      <w:r>
        <w:rPr>
          <w:rFonts w:hint="eastAsia" w:ascii="宋体" w:hAnsi="宋体" w:cs="宋体"/>
          <w:sz w:val="24"/>
          <w:lang w:val="en-US" w:eastAsia="zh-CN"/>
        </w:rPr>
        <w:fldChar w:fldCharType="end"/>
      </w:r>
      <w:r>
        <w:rPr>
          <w:rFonts w:hint="eastAsia" w:ascii="宋体" w:hAnsi="宋体" w:cs="宋体"/>
          <w:sz w:val="24"/>
          <w:lang w:val="en-US" w:eastAsia="zh-CN"/>
        </w:rPr>
        <w:t>对供应商的信用情况进行甄别。</w:t>
      </w:r>
    </w:p>
    <w:p w14:paraId="1E2F888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（2）对列入失信被执行人、重大税收违法失信主体、政府采购严重违法失信行为记录名单及其他不符合《中华人民共和国政府采购法》第二十二条规定条件的供应商，将拒绝其参与政府采购活动。</w:t>
      </w:r>
    </w:p>
    <w:p w14:paraId="16173F1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（3）供应商在参加政府采购活动前3年内因违法经营被禁止在一定期限内参加政府采购活动，期限届满的，可以参加政府采购活动的，但供应商应提供相关证明材料。</w:t>
      </w:r>
    </w:p>
    <w:p w14:paraId="4C18A51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（4）信用记录查询结果打印后，将与其他采购文件一并保存。</w:t>
      </w:r>
    </w:p>
    <w:p w14:paraId="2748182E">
      <w:pPr>
        <w:pStyle w:val="2"/>
        <w:pageBreakBefore w:val="0"/>
        <w:wordWrap/>
        <w:bidi w:val="0"/>
        <w:spacing w:after="0" w:line="360" w:lineRule="auto"/>
        <w:textAlignment w:val="auto"/>
        <w:rPr>
          <w:rFonts w:hint="eastAsia" w:ascii="宋体" w:hAnsi="宋体" w:eastAsia="宋体" w:cs="宋体"/>
          <w:lang w:val="zh-CN"/>
        </w:rPr>
      </w:pPr>
      <w:r>
        <w:rPr>
          <w:rFonts w:hint="eastAsia" w:ascii="宋体" w:hAnsi="宋体" w:eastAsia="宋体" w:cs="宋体"/>
          <w:lang w:val="zh-CN"/>
        </w:rPr>
        <w:br w:type="page"/>
      </w:r>
    </w:p>
    <w:p w14:paraId="768A752B">
      <w:pPr>
        <w:pStyle w:val="3"/>
        <w:bidi w:val="0"/>
        <w:rPr>
          <w:rFonts w:hint="eastAsia"/>
        </w:rPr>
      </w:pPr>
      <w:bookmarkStart w:id="10" w:name="_Toc414957201"/>
      <w:bookmarkStart w:id="11" w:name="_Toc414957515"/>
      <w:bookmarkStart w:id="12" w:name="_Toc22540"/>
      <w:bookmarkStart w:id="13" w:name="_Toc6721"/>
      <w:bookmarkStart w:id="14" w:name="_Toc23091"/>
      <w:bookmarkStart w:id="15" w:name="_Toc7350"/>
      <w:r>
        <w:rPr>
          <w:rFonts w:hint="eastAsia"/>
        </w:rPr>
        <w:t>第</w:t>
      </w:r>
      <w:r>
        <w:rPr>
          <w:rFonts w:hint="eastAsia"/>
          <w:lang w:val="en-US" w:eastAsia="zh-CN"/>
        </w:rPr>
        <w:t>三</w:t>
      </w:r>
      <w:r>
        <w:rPr>
          <w:rFonts w:hint="eastAsia"/>
        </w:rPr>
        <w:t>章</w:t>
      </w:r>
      <w:r>
        <w:rPr>
          <w:rFonts w:hint="eastAsia"/>
          <w:lang w:val="en-US" w:eastAsia="zh-CN"/>
        </w:rPr>
        <w:t xml:space="preserve">  </w:t>
      </w:r>
      <w:r>
        <w:rPr>
          <w:rFonts w:hint="eastAsia"/>
        </w:rPr>
        <w:t>磋商及评审</w:t>
      </w:r>
      <w:bookmarkEnd w:id="10"/>
      <w:bookmarkEnd w:id="11"/>
      <w:bookmarkEnd w:id="12"/>
      <w:r>
        <w:rPr>
          <w:rFonts w:hint="eastAsia"/>
        </w:rPr>
        <w:t>办法</w:t>
      </w:r>
      <w:bookmarkEnd w:id="13"/>
      <w:bookmarkEnd w:id="14"/>
      <w:bookmarkEnd w:id="15"/>
    </w:p>
    <w:p w14:paraId="0D2B38D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1、总则</w:t>
      </w:r>
    </w:p>
    <w:p w14:paraId="603B67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参照</w:t>
      </w:r>
      <w:r>
        <w:rPr>
          <w:rFonts w:hint="eastAsia" w:ascii="宋体" w:hAnsi="宋体" w:eastAsia="宋体" w:cs="宋体"/>
          <w:sz w:val="24"/>
        </w:rPr>
        <w:t>《政府采购竞争性磋商采购方式管理暂行办法》等法律规章，结合采购项目特点制定本磋商办法。</w:t>
      </w:r>
    </w:p>
    <w:p w14:paraId="61B41B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2.1磋商小组组成：在磋商开始前，组建磋商小组，磋商小组由采购人代表和有关专业评审专家共3人以上单数组成，其中评审专家人数不得少于磋商小组成员总数的2/3。</w:t>
      </w:r>
    </w:p>
    <w:p w14:paraId="16B482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2.2磋商小组按照磋商文件规定的磋商方法和评审标准进行磋商、评审，并独立履行下列职责：</w:t>
      </w:r>
    </w:p>
    <w:p w14:paraId="28D5AD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（1）审查磋商响应文件是否符合磋商文件要求，并作出评价；</w:t>
      </w:r>
    </w:p>
    <w:p w14:paraId="63A16A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（2）要求磋商响应单位对其文件有关事项作出解释或者澄清；</w:t>
      </w:r>
    </w:p>
    <w:p w14:paraId="45E8E1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（3）推荐成交候选磋商响应单位名单；</w:t>
      </w:r>
    </w:p>
    <w:p w14:paraId="01ABF0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（4）向采购单位或者有关部门报告非法干预磋商工作的行为</w:t>
      </w:r>
      <w:r>
        <w:rPr>
          <w:rFonts w:hint="eastAsia" w:ascii="宋体" w:hAnsi="宋体" w:eastAsia="宋体" w:cs="宋体"/>
          <w:sz w:val="24"/>
          <w:highlight w:val="none"/>
          <w:lang w:eastAsia="zh-CN"/>
        </w:rPr>
        <w:t>；</w:t>
      </w:r>
    </w:p>
    <w:p w14:paraId="162113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（5）解答有关方面对政府采购评审工作中有关问题的询问，配合采购人或者政府采购代理机构答复磋商响应单位质疑，配合财政部门的投诉处理工作等事宜</w:t>
      </w:r>
      <w:r>
        <w:rPr>
          <w:rFonts w:hint="eastAsia" w:ascii="宋体" w:hAnsi="宋体" w:eastAsia="宋体" w:cs="宋体"/>
          <w:sz w:val="24"/>
          <w:highlight w:val="none"/>
          <w:lang w:eastAsia="zh-CN"/>
        </w:rPr>
        <w:t>；</w:t>
      </w:r>
    </w:p>
    <w:p w14:paraId="006836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（6）法律、法规和规章规定的其他义务。</w:t>
      </w:r>
    </w:p>
    <w:p w14:paraId="471D9FD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评审</w:t>
      </w:r>
      <w:r>
        <w:rPr>
          <w:rFonts w:hint="eastAsia" w:ascii="宋体" w:hAnsi="宋体" w:eastAsia="宋体" w:cs="宋体"/>
          <w:sz w:val="24"/>
        </w:rPr>
        <w:t>办法</w:t>
      </w:r>
    </w:p>
    <w:p w14:paraId="35F1B1C2">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3.1采用综合评审法</w:t>
      </w:r>
    </w:p>
    <w:p w14:paraId="05D05D2D">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3.2评审程序：初步评审、磋商、详细评审。每一步评审不符合者，不进入下一步评审。</w:t>
      </w:r>
    </w:p>
    <w:p w14:paraId="3306385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4、初步评审及无效投标文件评定</w:t>
      </w:r>
    </w:p>
    <w:p w14:paraId="72949FF0">
      <w:pPr>
        <w:pStyle w:val="17"/>
        <w:widowControl/>
        <w:adjustRightInd w:val="0"/>
        <w:snapToGrid w:val="0"/>
        <w:spacing w:line="360" w:lineRule="auto"/>
        <w:ind w:firstLine="480" w:firstLineChars="200"/>
        <w:jc w:val="both"/>
        <w:rPr>
          <w:rFonts w:hint="eastAsia" w:ascii="宋体" w:hAnsi="宋体" w:eastAsia="宋体" w:cs="宋体"/>
          <w:sz w:val="24"/>
          <w:lang w:eastAsia="zh-CN"/>
        </w:rPr>
      </w:pPr>
      <w:r>
        <w:rPr>
          <w:rFonts w:hint="eastAsia" w:ascii="宋体" w:hAnsi="宋体" w:eastAsia="宋体" w:cs="宋体"/>
          <w:sz w:val="24"/>
        </w:rPr>
        <w:t>4.1初步评审分为资格性审查和符合性审查</w:t>
      </w:r>
      <w:r>
        <w:rPr>
          <w:rFonts w:hint="eastAsia" w:ascii="宋体" w:hAnsi="宋体" w:eastAsia="宋体" w:cs="宋体"/>
          <w:sz w:val="24"/>
          <w:lang w:eastAsia="zh-CN"/>
        </w:rPr>
        <w:t>。</w:t>
      </w:r>
    </w:p>
    <w:p w14:paraId="201E45E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4.2无效磋商响应文件评定</w:t>
      </w:r>
    </w:p>
    <w:p w14:paraId="10D6A75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（1）磋商响应单位没有经过正常渠道</w:t>
      </w:r>
      <w:r>
        <w:rPr>
          <w:rFonts w:hint="eastAsia" w:ascii="宋体" w:hAnsi="宋体" w:cs="宋体"/>
          <w:sz w:val="24"/>
          <w:lang w:val="en-US" w:eastAsia="zh-CN"/>
        </w:rPr>
        <w:t>获取</w:t>
      </w:r>
      <w:r>
        <w:rPr>
          <w:rFonts w:hint="eastAsia" w:ascii="宋体" w:hAnsi="宋体" w:eastAsia="宋体" w:cs="宋体"/>
          <w:sz w:val="24"/>
        </w:rPr>
        <w:t>磋商文件或磋商响应单位的名称与登记领取磋商文件单位的名称或与营业执照不符；</w:t>
      </w:r>
    </w:p>
    <w:p w14:paraId="56F32C4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（2）响应文件中未提交法定代表人授权书（法定代表人直接投标未按要求提交其有效身份证）或授权书的合法性或有效性不符合磋商文件规定。</w:t>
      </w:r>
    </w:p>
    <w:p w14:paraId="42AEC0C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）响应文件未按招标文件的规定进行签署、盖章的；响应文件份数不符合磋商文件规定的；</w:t>
      </w:r>
    </w:p>
    <w:p w14:paraId="574E278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）不具备磋商文件中规定的资格要求的或证明文件不齐全的；</w:t>
      </w:r>
    </w:p>
    <w:p w14:paraId="1DD7240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）报价超过规定的最高限价的；</w:t>
      </w:r>
    </w:p>
    <w:p w14:paraId="25A73D5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）响应文件中含有采购人不能接受的附加条件的;</w:t>
      </w:r>
    </w:p>
    <w:p w14:paraId="1D083CA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）无磋商有效期或磋商有效期不足的；</w:t>
      </w:r>
    </w:p>
    <w:p w14:paraId="06C5950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）磋商内容出现严重漏项或数量与要求不符的；</w:t>
      </w:r>
    </w:p>
    <w:p w14:paraId="18B05F99">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）报价明显低于其他通过符合性审查磋商响应单位的报价，且在现场规定的时间内不能提供有效证明材料、经评委认定形成不正当竞争的</w:t>
      </w:r>
      <w:r>
        <w:rPr>
          <w:rFonts w:hint="eastAsia" w:ascii="宋体" w:hAnsi="宋体" w:eastAsia="宋体" w:cs="宋体"/>
          <w:sz w:val="24"/>
          <w:lang w:eastAsia="zh-CN"/>
        </w:rPr>
        <w:t>；</w:t>
      </w:r>
    </w:p>
    <w:p w14:paraId="39690E75">
      <w:pPr>
        <w:adjustRightInd w:val="0"/>
        <w:snapToGrid w:val="0"/>
        <w:spacing w:line="360" w:lineRule="auto"/>
        <w:ind w:firstLine="480" w:firstLineChars="200"/>
        <w:rPr>
          <w:rFonts w:hint="eastAsia" w:ascii="宋体" w:hAnsi="宋体" w:eastAsia="宋体" w:cs="宋体"/>
          <w:sz w:val="21"/>
          <w:szCs w:val="21"/>
          <w:lang w:eastAsia="zh-CN"/>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）提供虚假证明，开具虚假资质，出现虚假应答或故意隐瞒行为，除按无效标处理外，还进行相应的处罚</w:t>
      </w:r>
      <w:r>
        <w:rPr>
          <w:rFonts w:hint="eastAsia" w:ascii="宋体" w:hAnsi="宋体" w:eastAsia="宋体" w:cs="宋体"/>
          <w:sz w:val="24"/>
          <w:lang w:eastAsia="zh-CN"/>
        </w:rPr>
        <w:t>；</w:t>
      </w:r>
    </w:p>
    <w:p w14:paraId="129A109B">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）不符合法律、法规和磋商文件规定的其他实质性要求的</w:t>
      </w:r>
      <w:r>
        <w:rPr>
          <w:rFonts w:hint="eastAsia" w:ascii="宋体" w:hAnsi="宋体" w:eastAsia="宋体" w:cs="宋体"/>
          <w:sz w:val="24"/>
          <w:lang w:eastAsia="zh-CN"/>
        </w:rPr>
        <w:t>；</w:t>
      </w:r>
    </w:p>
    <w:p w14:paraId="0ECD17FB">
      <w:pPr>
        <w:pStyle w:val="8"/>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）被列入失信被执行人、重大税收违法案件当事人名单、政府采购严重违法失信行为记录名单的单位。</w:t>
      </w:r>
    </w:p>
    <w:p w14:paraId="1E7384C2">
      <w:pPr>
        <w:adjustRightInd w:val="0"/>
        <w:snapToGrid w:val="0"/>
        <w:spacing w:line="360" w:lineRule="auto"/>
        <w:ind w:firstLine="480" w:firstLineChars="200"/>
        <w:rPr>
          <w:rFonts w:hint="eastAsia" w:ascii="宋体" w:hAnsi="宋体" w:eastAsia="宋体" w:cs="宋体"/>
          <w:sz w:val="24"/>
        </w:rPr>
      </w:pPr>
    </w:p>
    <w:p w14:paraId="3C04764E">
      <w:pPr>
        <w:adjustRightInd w:val="0"/>
        <w:snapToGrid w:val="0"/>
        <w:spacing w:line="324" w:lineRule="auto"/>
        <w:jc w:val="center"/>
        <w:outlineLvl w:val="1"/>
        <w:rPr>
          <w:rFonts w:hint="eastAsia" w:ascii="宋体" w:hAnsi="宋体" w:eastAsia="宋体" w:cs="宋体"/>
          <w:b/>
          <w:bCs/>
          <w:spacing w:val="-6"/>
          <w:sz w:val="24"/>
        </w:rPr>
      </w:pPr>
    </w:p>
    <w:p w14:paraId="16F836D7">
      <w:pPr>
        <w:adjustRightInd w:val="0"/>
        <w:snapToGrid w:val="0"/>
        <w:spacing w:line="240" w:lineRule="auto"/>
        <w:jc w:val="center"/>
        <w:outlineLvl w:val="1"/>
        <w:rPr>
          <w:rFonts w:hint="eastAsia" w:ascii="宋体" w:hAnsi="宋体" w:eastAsia="宋体" w:cs="宋体"/>
          <w:b/>
          <w:bCs/>
          <w:spacing w:val="-6"/>
          <w:sz w:val="32"/>
          <w:szCs w:val="32"/>
        </w:rPr>
      </w:pPr>
      <w:r>
        <w:rPr>
          <w:rFonts w:hint="eastAsia" w:ascii="宋体" w:hAnsi="宋体" w:eastAsia="宋体" w:cs="宋体"/>
          <w:b/>
          <w:bCs/>
          <w:spacing w:val="-6"/>
          <w:sz w:val="24"/>
        </w:rPr>
        <w:br w:type="page"/>
      </w:r>
      <w:r>
        <w:rPr>
          <w:rFonts w:hint="eastAsia" w:ascii="宋体" w:hAnsi="宋体" w:eastAsia="宋体" w:cs="宋体"/>
          <w:b/>
          <w:bCs/>
          <w:spacing w:val="-6"/>
          <w:sz w:val="32"/>
          <w:szCs w:val="32"/>
        </w:rPr>
        <w:t>初步审查标准</w:t>
      </w:r>
    </w:p>
    <w:tbl>
      <w:tblPr>
        <w:tblStyle w:val="49"/>
        <w:tblpPr w:leftFromText="180" w:rightFromText="180" w:vertAnchor="text" w:horzAnchor="page" w:tblpX="1607" w:tblpY="426"/>
        <w:tblOverlap w:val="never"/>
        <w:tblW w:w="89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7"/>
        <w:gridCol w:w="618"/>
        <w:gridCol w:w="2153"/>
        <w:gridCol w:w="5648"/>
      </w:tblGrid>
      <w:tr w14:paraId="30527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trPr>
        <w:tc>
          <w:tcPr>
            <w:tcW w:w="1175" w:type="dxa"/>
            <w:gridSpan w:val="2"/>
            <w:vAlign w:val="center"/>
          </w:tcPr>
          <w:p w14:paraId="67440105">
            <w:pPr>
              <w:spacing w:line="273" w:lineRule="auto"/>
              <w:jc w:val="center"/>
              <w:rPr>
                <w:rFonts w:hint="eastAsia" w:ascii="宋体" w:hAnsi="宋体" w:eastAsia="宋体" w:cs="宋体"/>
                <w:b/>
                <w:bCs/>
                <w:sz w:val="21"/>
                <w:szCs w:val="21"/>
              </w:rPr>
            </w:pPr>
            <w:r>
              <w:rPr>
                <w:rFonts w:hint="eastAsia" w:ascii="宋体" w:hAnsi="宋体" w:eastAsia="宋体" w:cs="宋体"/>
                <w:b/>
                <w:bCs/>
                <w:sz w:val="21"/>
                <w:szCs w:val="21"/>
              </w:rPr>
              <w:t>条款号</w:t>
            </w:r>
          </w:p>
        </w:tc>
        <w:tc>
          <w:tcPr>
            <w:tcW w:w="2153" w:type="dxa"/>
            <w:vAlign w:val="center"/>
          </w:tcPr>
          <w:p w14:paraId="6243E76E">
            <w:pPr>
              <w:jc w:val="center"/>
              <w:rPr>
                <w:rFonts w:hint="eastAsia" w:ascii="宋体" w:hAnsi="宋体" w:eastAsia="宋体" w:cs="宋体"/>
                <w:b/>
                <w:bCs/>
                <w:sz w:val="21"/>
                <w:szCs w:val="21"/>
              </w:rPr>
            </w:pPr>
            <w:r>
              <w:rPr>
                <w:rFonts w:hint="eastAsia" w:ascii="宋体" w:hAnsi="宋体" w:eastAsia="宋体" w:cs="宋体"/>
                <w:b/>
                <w:bCs/>
                <w:sz w:val="21"/>
                <w:szCs w:val="21"/>
              </w:rPr>
              <w:t>审查因素</w:t>
            </w:r>
          </w:p>
        </w:tc>
        <w:tc>
          <w:tcPr>
            <w:tcW w:w="5648" w:type="dxa"/>
            <w:vAlign w:val="center"/>
          </w:tcPr>
          <w:p w14:paraId="77D37757">
            <w:pPr>
              <w:jc w:val="center"/>
              <w:rPr>
                <w:rFonts w:hint="eastAsia" w:ascii="宋体" w:hAnsi="宋体" w:eastAsia="宋体" w:cs="宋体"/>
                <w:b/>
                <w:bCs/>
                <w:sz w:val="21"/>
                <w:szCs w:val="21"/>
              </w:rPr>
            </w:pPr>
            <w:r>
              <w:rPr>
                <w:rFonts w:hint="eastAsia" w:ascii="宋体" w:hAnsi="宋体" w:eastAsia="宋体" w:cs="宋体"/>
                <w:b/>
                <w:bCs/>
                <w:sz w:val="21"/>
                <w:szCs w:val="21"/>
              </w:rPr>
              <w:t>审查标准</w:t>
            </w:r>
          </w:p>
        </w:tc>
      </w:tr>
      <w:tr w14:paraId="7C864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restart"/>
            <w:vAlign w:val="center"/>
          </w:tcPr>
          <w:p w14:paraId="61720E96">
            <w:pPr>
              <w:spacing w:line="273" w:lineRule="auto"/>
              <w:jc w:val="center"/>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1</w:t>
            </w:r>
          </w:p>
        </w:tc>
        <w:tc>
          <w:tcPr>
            <w:tcW w:w="618" w:type="dxa"/>
            <w:vMerge w:val="restart"/>
            <w:vAlign w:val="center"/>
          </w:tcPr>
          <w:p w14:paraId="718936FA">
            <w:pPr>
              <w:jc w:val="center"/>
              <w:rPr>
                <w:rFonts w:hint="eastAsia" w:ascii="宋体" w:hAnsi="宋体" w:eastAsia="宋体" w:cs="宋体"/>
                <w:sz w:val="24"/>
                <w:szCs w:val="24"/>
              </w:rPr>
            </w:pPr>
            <w:r>
              <w:rPr>
                <w:rFonts w:hint="eastAsia" w:ascii="宋体" w:hAnsi="宋体" w:eastAsia="宋体" w:cs="宋体"/>
                <w:sz w:val="24"/>
                <w:szCs w:val="24"/>
              </w:rPr>
              <w:t>资格</w:t>
            </w:r>
          </w:p>
          <w:p w14:paraId="4F1DD310">
            <w:pPr>
              <w:jc w:val="center"/>
              <w:rPr>
                <w:rFonts w:hint="eastAsia" w:ascii="宋体" w:hAnsi="宋体" w:eastAsia="宋体" w:cs="宋体"/>
                <w:sz w:val="24"/>
                <w:szCs w:val="24"/>
              </w:rPr>
            </w:pPr>
            <w:r>
              <w:rPr>
                <w:rFonts w:hint="eastAsia" w:ascii="宋体" w:hAnsi="宋体" w:eastAsia="宋体" w:cs="宋体"/>
                <w:sz w:val="24"/>
                <w:szCs w:val="24"/>
              </w:rPr>
              <w:t>审查</w:t>
            </w:r>
          </w:p>
          <w:p w14:paraId="444A33EF">
            <w:pPr>
              <w:jc w:val="center"/>
              <w:rPr>
                <w:rFonts w:hint="eastAsia" w:ascii="宋体" w:hAnsi="宋体" w:eastAsia="宋体" w:cs="宋体"/>
                <w:b/>
                <w:bCs/>
                <w:sz w:val="24"/>
                <w:szCs w:val="24"/>
              </w:rPr>
            </w:pPr>
            <w:r>
              <w:rPr>
                <w:rFonts w:hint="eastAsia" w:ascii="宋体" w:hAnsi="宋体" w:eastAsia="宋体" w:cs="宋体"/>
                <w:sz w:val="24"/>
                <w:szCs w:val="24"/>
              </w:rPr>
              <w:t>标准</w:t>
            </w:r>
          </w:p>
        </w:tc>
        <w:tc>
          <w:tcPr>
            <w:tcW w:w="2153" w:type="dxa"/>
            <w:vAlign w:val="center"/>
          </w:tcPr>
          <w:p w14:paraId="3F1DD8E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营业执照</w:t>
            </w:r>
          </w:p>
        </w:tc>
        <w:tc>
          <w:tcPr>
            <w:tcW w:w="5648" w:type="dxa"/>
            <w:vAlign w:val="center"/>
          </w:tcPr>
          <w:p w14:paraId="4840DE19">
            <w:pPr>
              <w:pStyle w:val="31"/>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供应商为具有独立承担民事责任能力的法人或其他组织。企业法人应提供合法有效的标识有统一社会信用代码的营业执照；事业法人应提供事业单位法人证书；其他组织应提供合法登记证明文件</w:t>
            </w:r>
          </w:p>
        </w:tc>
      </w:tr>
      <w:tr w14:paraId="532B9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557" w:type="dxa"/>
            <w:vMerge w:val="continue"/>
          </w:tcPr>
          <w:p w14:paraId="6E985BCA">
            <w:pPr>
              <w:spacing w:line="360" w:lineRule="auto"/>
              <w:rPr>
                <w:rFonts w:hint="eastAsia" w:ascii="宋体" w:hAnsi="宋体" w:eastAsia="宋体" w:cs="宋体"/>
                <w:b/>
                <w:bCs/>
                <w:sz w:val="21"/>
                <w:szCs w:val="21"/>
              </w:rPr>
            </w:pPr>
          </w:p>
        </w:tc>
        <w:tc>
          <w:tcPr>
            <w:tcW w:w="618" w:type="dxa"/>
            <w:vMerge w:val="continue"/>
          </w:tcPr>
          <w:p w14:paraId="4AD21C17">
            <w:pPr>
              <w:spacing w:line="360" w:lineRule="auto"/>
              <w:rPr>
                <w:rFonts w:hint="eastAsia" w:ascii="宋体" w:hAnsi="宋体" w:eastAsia="宋体" w:cs="宋体"/>
                <w:b/>
                <w:bCs/>
                <w:sz w:val="21"/>
                <w:szCs w:val="21"/>
              </w:rPr>
            </w:pPr>
          </w:p>
        </w:tc>
        <w:tc>
          <w:tcPr>
            <w:tcW w:w="2153" w:type="dxa"/>
            <w:vAlign w:val="center"/>
          </w:tcPr>
          <w:p w14:paraId="5E7C2366">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企业资质</w:t>
            </w:r>
          </w:p>
        </w:tc>
        <w:tc>
          <w:tcPr>
            <w:tcW w:w="5648" w:type="dxa"/>
            <w:vAlign w:val="center"/>
          </w:tcPr>
          <w:p w14:paraId="7EE8326B">
            <w:pPr>
              <w:pStyle w:val="31"/>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b w:val="0"/>
                <w:bCs/>
                <w:color w:val="000000"/>
                <w:sz w:val="24"/>
                <w:szCs w:val="24"/>
                <w:highlight w:val="none"/>
                <w:shd w:val="clear" w:color="auto" w:fill="FFFFFF"/>
                <w:lang w:val="en-US" w:eastAsia="zh-CN"/>
              </w:rPr>
              <w:t>供应商须具备卫生行政部门颁发的《医疗机构执业许可证》(诊疗科目中有开展健康体检服务的科目)、《放射诊疗许可证》</w:t>
            </w:r>
          </w:p>
        </w:tc>
      </w:tr>
      <w:tr w14:paraId="05457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557" w:type="dxa"/>
            <w:vMerge w:val="continue"/>
          </w:tcPr>
          <w:p w14:paraId="548C77F0">
            <w:pPr>
              <w:spacing w:line="360" w:lineRule="auto"/>
              <w:rPr>
                <w:rFonts w:hint="eastAsia" w:ascii="宋体" w:hAnsi="宋体" w:eastAsia="宋体" w:cs="宋体"/>
                <w:b/>
                <w:bCs/>
                <w:sz w:val="21"/>
                <w:szCs w:val="21"/>
              </w:rPr>
            </w:pPr>
          </w:p>
        </w:tc>
        <w:tc>
          <w:tcPr>
            <w:tcW w:w="618" w:type="dxa"/>
            <w:vMerge w:val="continue"/>
          </w:tcPr>
          <w:p w14:paraId="1A014F76">
            <w:pPr>
              <w:spacing w:line="360" w:lineRule="auto"/>
              <w:rPr>
                <w:rFonts w:hint="eastAsia" w:ascii="宋体" w:hAnsi="宋体" w:eastAsia="宋体" w:cs="宋体"/>
                <w:b/>
                <w:bCs/>
                <w:sz w:val="21"/>
                <w:szCs w:val="21"/>
              </w:rPr>
            </w:pPr>
          </w:p>
        </w:tc>
        <w:tc>
          <w:tcPr>
            <w:tcW w:w="2153" w:type="dxa"/>
            <w:vAlign w:val="center"/>
          </w:tcPr>
          <w:p w14:paraId="1FF0195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财务状况报告</w:t>
            </w:r>
          </w:p>
        </w:tc>
        <w:tc>
          <w:tcPr>
            <w:tcW w:w="5648" w:type="dxa"/>
            <w:vAlign w:val="center"/>
          </w:tcPr>
          <w:p w14:paraId="631DB121">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提供2024年经审计的财务报告或开标前三个月内开户银行开具的资信证明</w:t>
            </w:r>
          </w:p>
        </w:tc>
      </w:tr>
      <w:tr w14:paraId="379FA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3" w:hRule="atLeast"/>
        </w:trPr>
        <w:tc>
          <w:tcPr>
            <w:tcW w:w="557" w:type="dxa"/>
            <w:vMerge w:val="continue"/>
          </w:tcPr>
          <w:p w14:paraId="27C98E59">
            <w:pPr>
              <w:spacing w:line="360" w:lineRule="auto"/>
              <w:rPr>
                <w:rFonts w:hint="eastAsia" w:ascii="宋体" w:hAnsi="宋体" w:eastAsia="宋体" w:cs="宋体"/>
                <w:b/>
                <w:bCs/>
                <w:sz w:val="21"/>
                <w:szCs w:val="21"/>
              </w:rPr>
            </w:pPr>
          </w:p>
        </w:tc>
        <w:tc>
          <w:tcPr>
            <w:tcW w:w="618" w:type="dxa"/>
            <w:vMerge w:val="continue"/>
          </w:tcPr>
          <w:p w14:paraId="511F4A83">
            <w:pPr>
              <w:spacing w:line="360" w:lineRule="auto"/>
              <w:rPr>
                <w:rFonts w:hint="eastAsia" w:ascii="宋体" w:hAnsi="宋体" w:eastAsia="宋体" w:cs="宋体"/>
                <w:b/>
                <w:bCs/>
                <w:sz w:val="21"/>
                <w:szCs w:val="21"/>
              </w:rPr>
            </w:pPr>
          </w:p>
        </w:tc>
        <w:tc>
          <w:tcPr>
            <w:tcW w:w="2153" w:type="dxa"/>
            <w:vAlign w:val="center"/>
          </w:tcPr>
          <w:p w14:paraId="0E990B6A">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税收缴纳证明</w:t>
            </w:r>
          </w:p>
        </w:tc>
        <w:tc>
          <w:tcPr>
            <w:tcW w:w="5648" w:type="dxa"/>
            <w:vAlign w:val="center"/>
          </w:tcPr>
          <w:p w14:paraId="0D0EC3E8">
            <w:pPr>
              <w:pStyle w:val="3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提供2025年04月至今已缴纳的至少一个月的纳税证明或完税证明（任意税种），依法免税的单位应提供相关证明材料</w:t>
            </w:r>
          </w:p>
        </w:tc>
      </w:tr>
      <w:tr w14:paraId="12E7F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57" w:type="dxa"/>
            <w:vMerge w:val="continue"/>
          </w:tcPr>
          <w:p w14:paraId="4901B190">
            <w:pPr>
              <w:spacing w:line="360" w:lineRule="auto"/>
              <w:rPr>
                <w:rFonts w:hint="eastAsia" w:ascii="宋体" w:hAnsi="宋体" w:eastAsia="宋体" w:cs="宋体"/>
                <w:b/>
                <w:bCs/>
                <w:sz w:val="21"/>
                <w:szCs w:val="21"/>
              </w:rPr>
            </w:pPr>
          </w:p>
        </w:tc>
        <w:tc>
          <w:tcPr>
            <w:tcW w:w="618" w:type="dxa"/>
            <w:vMerge w:val="continue"/>
          </w:tcPr>
          <w:p w14:paraId="56139BC9">
            <w:pPr>
              <w:spacing w:line="360" w:lineRule="auto"/>
              <w:rPr>
                <w:rFonts w:hint="eastAsia" w:ascii="宋体" w:hAnsi="宋体" w:eastAsia="宋体" w:cs="宋体"/>
                <w:b/>
                <w:bCs/>
                <w:sz w:val="21"/>
                <w:szCs w:val="21"/>
              </w:rPr>
            </w:pPr>
          </w:p>
        </w:tc>
        <w:tc>
          <w:tcPr>
            <w:tcW w:w="2153" w:type="dxa"/>
            <w:vAlign w:val="center"/>
          </w:tcPr>
          <w:p w14:paraId="0AACB3DA">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社会保障资金缴纳证明</w:t>
            </w:r>
          </w:p>
        </w:tc>
        <w:tc>
          <w:tcPr>
            <w:tcW w:w="5648" w:type="dxa"/>
            <w:vAlign w:val="center"/>
          </w:tcPr>
          <w:p w14:paraId="64660E81">
            <w:pPr>
              <w:pStyle w:val="3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提供2025年04月至今已缴存的至少一个月的社会保障资金缴存单据或社保机构开具的社会保险参保缴费情况证明，依法不需要缴纳社会保障资金的单位应提供相关证明材料</w:t>
            </w:r>
          </w:p>
        </w:tc>
      </w:tr>
      <w:tr w14:paraId="71D31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557" w:type="dxa"/>
            <w:vMerge w:val="continue"/>
          </w:tcPr>
          <w:p w14:paraId="1F30684F">
            <w:pPr>
              <w:spacing w:line="360" w:lineRule="auto"/>
              <w:rPr>
                <w:rFonts w:hint="eastAsia" w:ascii="宋体" w:hAnsi="宋体" w:eastAsia="宋体" w:cs="宋体"/>
                <w:b/>
                <w:bCs/>
                <w:sz w:val="21"/>
                <w:szCs w:val="21"/>
              </w:rPr>
            </w:pPr>
          </w:p>
        </w:tc>
        <w:tc>
          <w:tcPr>
            <w:tcW w:w="618" w:type="dxa"/>
            <w:vMerge w:val="continue"/>
          </w:tcPr>
          <w:p w14:paraId="01602DDC">
            <w:pPr>
              <w:spacing w:line="360" w:lineRule="auto"/>
              <w:rPr>
                <w:rFonts w:hint="eastAsia" w:ascii="宋体" w:hAnsi="宋体" w:eastAsia="宋体" w:cs="宋体"/>
                <w:b/>
                <w:bCs/>
                <w:sz w:val="21"/>
                <w:szCs w:val="21"/>
              </w:rPr>
            </w:pPr>
          </w:p>
        </w:tc>
        <w:tc>
          <w:tcPr>
            <w:tcW w:w="2153" w:type="dxa"/>
            <w:vAlign w:val="center"/>
          </w:tcPr>
          <w:p w14:paraId="7578FA83">
            <w:pPr>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履约能力</w:t>
            </w:r>
          </w:p>
        </w:tc>
        <w:tc>
          <w:tcPr>
            <w:tcW w:w="5648" w:type="dxa"/>
            <w:vAlign w:val="center"/>
          </w:tcPr>
          <w:p w14:paraId="7DDB1DCF">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提供具有履行本合同所必需的设备和专业技术能力的声明</w:t>
            </w:r>
          </w:p>
        </w:tc>
      </w:tr>
      <w:tr w14:paraId="47149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557" w:type="dxa"/>
            <w:vMerge w:val="continue"/>
          </w:tcPr>
          <w:p w14:paraId="56B1BA0A">
            <w:pPr>
              <w:spacing w:line="360" w:lineRule="auto"/>
              <w:rPr>
                <w:rFonts w:hint="eastAsia" w:ascii="宋体" w:hAnsi="宋体" w:eastAsia="宋体" w:cs="宋体"/>
                <w:b/>
                <w:bCs/>
                <w:sz w:val="21"/>
                <w:szCs w:val="21"/>
              </w:rPr>
            </w:pPr>
          </w:p>
        </w:tc>
        <w:tc>
          <w:tcPr>
            <w:tcW w:w="618" w:type="dxa"/>
            <w:vMerge w:val="continue"/>
          </w:tcPr>
          <w:p w14:paraId="4C5A43F0">
            <w:pPr>
              <w:spacing w:line="360" w:lineRule="auto"/>
              <w:rPr>
                <w:rFonts w:hint="eastAsia" w:ascii="宋体" w:hAnsi="宋体" w:eastAsia="宋体" w:cs="宋体"/>
                <w:b/>
                <w:bCs/>
                <w:sz w:val="21"/>
                <w:szCs w:val="21"/>
              </w:rPr>
            </w:pPr>
          </w:p>
        </w:tc>
        <w:tc>
          <w:tcPr>
            <w:tcW w:w="2153" w:type="dxa"/>
            <w:vAlign w:val="center"/>
          </w:tcPr>
          <w:p w14:paraId="746F63BD">
            <w:pPr>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信用</w:t>
            </w:r>
          </w:p>
        </w:tc>
        <w:tc>
          <w:tcPr>
            <w:tcW w:w="5648" w:type="dxa"/>
            <w:vAlign w:val="center"/>
          </w:tcPr>
          <w:p w14:paraId="439CEF50">
            <w:pPr>
              <w:pStyle w:val="31"/>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参加本次政府采购活动前3年内在经营活动中没有重大违纪，以及未被列入失信被执行人、重大税收违法失信主体、政府采购严重违法失信行为记录名单的书面声明</w:t>
            </w:r>
          </w:p>
        </w:tc>
      </w:tr>
      <w:tr w14:paraId="11613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557" w:type="dxa"/>
            <w:vMerge w:val="continue"/>
          </w:tcPr>
          <w:p w14:paraId="69F3BF3B">
            <w:pPr>
              <w:spacing w:line="360" w:lineRule="auto"/>
              <w:rPr>
                <w:rFonts w:hint="eastAsia" w:ascii="宋体" w:hAnsi="宋体" w:eastAsia="宋体" w:cs="宋体"/>
                <w:b/>
                <w:bCs/>
                <w:sz w:val="21"/>
                <w:szCs w:val="21"/>
              </w:rPr>
            </w:pPr>
          </w:p>
        </w:tc>
        <w:tc>
          <w:tcPr>
            <w:tcW w:w="618" w:type="dxa"/>
            <w:vMerge w:val="continue"/>
          </w:tcPr>
          <w:p w14:paraId="18D0D86D">
            <w:pPr>
              <w:spacing w:line="360" w:lineRule="auto"/>
              <w:rPr>
                <w:rFonts w:hint="eastAsia" w:ascii="宋体" w:hAnsi="宋体" w:eastAsia="宋体" w:cs="宋体"/>
                <w:b/>
                <w:bCs/>
                <w:sz w:val="21"/>
                <w:szCs w:val="21"/>
              </w:rPr>
            </w:pPr>
          </w:p>
        </w:tc>
        <w:tc>
          <w:tcPr>
            <w:tcW w:w="2153" w:type="dxa"/>
            <w:vAlign w:val="center"/>
          </w:tcPr>
          <w:p w14:paraId="7ECB9C7D">
            <w:pPr>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身份授权</w:t>
            </w:r>
          </w:p>
        </w:tc>
        <w:tc>
          <w:tcPr>
            <w:tcW w:w="5648" w:type="dxa"/>
            <w:vAlign w:val="center"/>
          </w:tcPr>
          <w:p w14:paraId="6B118C07">
            <w:pPr>
              <w:pStyle w:val="31"/>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rPr>
            </w:pPr>
            <w:r>
              <w:rPr>
                <w:rFonts w:hint="eastAsia" w:ascii="宋体" w:hAnsi="宋体" w:cs="宋体"/>
                <w:bCs/>
                <w:sz w:val="24"/>
                <w:szCs w:val="24"/>
                <w:lang w:val="en-US" w:eastAsia="zh-CN"/>
              </w:rPr>
              <w:t>供应商应授权合法的人员参加投标全过程，其中法定代表人直接参加投标的，须出具法人身份证，并与营业执照上信息一致。法定代表人授权代表参加投标的，须出具法定代表人授权书、授权代表身份证以及被授权人在磋商截止日前6个月内在本单位已缴存的至少1个月的社会保险参保缴费证明</w:t>
            </w:r>
          </w:p>
        </w:tc>
      </w:tr>
      <w:tr w14:paraId="742A2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557" w:type="dxa"/>
            <w:vMerge w:val="continue"/>
          </w:tcPr>
          <w:p w14:paraId="5F2821BE">
            <w:pPr>
              <w:spacing w:line="360" w:lineRule="auto"/>
              <w:rPr>
                <w:rFonts w:hint="eastAsia" w:ascii="宋体" w:hAnsi="宋体" w:eastAsia="宋体" w:cs="宋体"/>
                <w:b/>
                <w:bCs/>
                <w:sz w:val="21"/>
                <w:szCs w:val="21"/>
              </w:rPr>
            </w:pPr>
          </w:p>
        </w:tc>
        <w:tc>
          <w:tcPr>
            <w:tcW w:w="618" w:type="dxa"/>
            <w:vMerge w:val="continue"/>
          </w:tcPr>
          <w:p w14:paraId="3DBEFA16">
            <w:pPr>
              <w:spacing w:line="360" w:lineRule="auto"/>
              <w:rPr>
                <w:rFonts w:hint="eastAsia" w:ascii="宋体" w:hAnsi="宋体" w:eastAsia="宋体" w:cs="宋体"/>
                <w:b/>
                <w:bCs/>
                <w:sz w:val="21"/>
                <w:szCs w:val="21"/>
              </w:rPr>
            </w:pPr>
          </w:p>
        </w:tc>
        <w:tc>
          <w:tcPr>
            <w:tcW w:w="2153" w:type="dxa"/>
            <w:vAlign w:val="center"/>
          </w:tcPr>
          <w:p w14:paraId="2A9B39D8">
            <w:pPr>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关联关系</w:t>
            </w:r>
          </w:p>
        </w:tc>
        <w:tc>
          <w:tcPr>
            <w:tcW w:w="5648" w:type="dxa"/>
            <w:vAlign w:val="center"/>
          </w:tcPr>
          <w:p w14:paraId="4699901F">
            <w:pPr>
              <w:pStyle w:val="31"/>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000000"/>
                <w:sz w:val="24"/>
                <w:szCs w:val="24"/>
                <w:highlight w:val="none"/>
                <w:shd w:val="clear" w:color="auto" w:fill="FFFFFF"/>
                <w:lang w:val="en-US" w:eastAsia="zh-CN"/>
              </w:rPr>
            </w:pPr>
            <w:r>
              <w:rPr>
                <w:rFonts w:hint="eastAsia" w:ascii="宋体" w:hAnsi="宋体" w:eastAsia="宋体" w:cs="宋体"/>
                <w:b w:val="0"/>
                <w:bCs/>
                <w:color w:val="000000"/>
                <w:sz w:val="24"/>
                <w:szCs w:val="24"/>
                <w:highlight w:val="none"/>
                <w:shd w:val="clear" w:color="auto" w:fill="FFFFFF"/>
                <w:lang w:val="en-US" w:eastAsia="zh-CN"/>
              </w:rPr>
              <w:t>供应商单位负责人不得为同一人或者存在控股、管理关系。</w:t>
            </w:r>
          </w:p>
        </w:tc>
      </w:tr>
      <w:tr w14:paraId="3D308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restart"/>
            <w:tcBorders>
              <w:top w:val="single" w:color="auto" w:sz="12" w:space="0"/>
            </w:tcBorders>
            <w:vAlign w:val="center"/>
          </w:tcPr>
          <w:p w14:paraId="0D4D24F2">
            <w:pPr>
              <w:spacing w:line="273" w:lineRule="auto"/>
              <w:jc w:val="center"/>
              <w:rPr>
                <w:rFonts w:hint="eastAsia" w:ascii="宋体" w:hAnsi="宋体" w:eastAsia="宋体" w:cs="宋体"/>
                <w:b/>
                <w:bCs/>
                <w:sz w:val="24"/>
                <w:szCs w:val="24"/>
              </w:rPr>
            </w:pPr>
            <w:r>
              <w:rPr>
                <w:rFonts w:hint="eastAsia" w:ascii="宋体" w:hAnsi="宋体" w:eastAsia="宋体" w:cs="宋体"/>
                <w:b/>
                <w:bCs/>
                <w:sz w:val="24"/>
                <w:szCs w:val="24"/>
              </w:rPr>
              <w:t>3.2</w:t>
            </w:r>
          </w:p>
        </w:tc>
        <w:tc>
          <w:tcPr>
            <w:tcW w:w="618" w:type="dxa"/>
            <w:vMerge w:val="restart"/>
            <w:tcBorders>
              <w:top w:val="single" w:color="auto" w:sz="12" w:space="0"/>
            </w:tcBorders>
            <w:vAlign w:val="center"/>
          </w:tcPr>
          <w:p w14:paraId="1402C756">
            <w:pPr>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t>符合性审查标准</w:t>
            </w:r>
          </w:p>
        </w:tc>
        <w:tc>
          <w:tcPr>
            <w:tcW w:w="2153" w:type="dxa"/>
            <w:tcBorders>
              <w:top w:val="single" w:color="auto" w:sz="12" w:space="0"/>
              <w:bottom w:val="single" w:color="auto" w:sz="6" w:space="0"/>
            </w:tcBorders>
            <w:vAlign w:val="center"/>
          </w:tcPr>
          <w:p w14:paraId="2911EEB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磋商响应单位名称</w:t>
            </w:r>
          </w:p>
        </w:tc>
        <w:tc>
          <w:tcPr>
            <w:tcW w:w="5648" w:type="dxa"/>
            <w:tcBorders>
              <w:top w:val="single" w:color="auto" w:sz="12" w:space="0"/>
              <w:bottom w:val="single" w:color="auto" w:sz="6" w:space="0"/>
            </w:tcBorders>
            <w:vAlign w:val="center"/>
          </w:tcPr>
          <w:p w14:paraId="7A098BC8">
            <w:pPr>
              <w:spacing w:line="360" w:lineRule="auto"/>
              <w:rPr>
                <w:rFonts w:hint="eastAsia" w:ascii="宋体" w:hAnsi="宋体" w:eastAsia="宋体" w:cs="宋体"/>
                <w:sz w:val="24"/>
                <w:szCs w:val="24"/>
              </w:rPr>
            </w:pPr>
            <w:r>
              <w:rPr>
                <w:rFonts w:hint="eastAsia" w:ascii="宋体" w:hAnsi="宋体" w:eastAsia="宋体" w:cs="宋体"/>
                <w:sz w:val="24"/>
                <w:szCs w:val="24"/>
              </w:rPr>
              <w:t>与营业执照一致</w:t>
            </w:r>
          </w:p>
        </w:tc>
      </w:tr>
      <w:tr w14:paraId="5EA50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557" w:type="dxa"/>
            <w:vMerge w:val="continue"/>
          </w:tcPr>
          <w:p w14:paraId="62961491">
            <w:pPr>
              <w:spacing w:line="273" w:lineRule="auto"/>
              <w:rPr>
                <w:rFonts w:hint="eastAsia" w:ascii="宋体" w:hAnsi="宋体" w:eastAsia="宋体" w:cs="宋体"/>
                <w:b/>
                <w:bCs/>
                <w:sz w:val="24"/>
                <w:szCs w:val="24"/>
              </w:rPr>
            </w:pPr>
          </w:p>
        </w:tc>
        <w:tc>
          <w:tcPr>
            <w:tcW w:w="618" w:type="dxa"/>
            <w:vMerge w:val="continue"/>
            <w:vAlign w:val="center"/>
          </w:tcPr>
          <w:p w14:paraId="32CCA81D">
            <w:pPr>
              <w:spacing w:line="360" w:lineRule="auto"/>
              <w:jc w:val="center"/>
              <w:rPr>
                <w:rFonts w:hint="eastAsia" w:ascii="宋体" w:hAnsi="宋体" w:eastAsia="宋体" w:cs="宋体"/>
                <w:sz w:val="24"/>
                <w:szCs w:val="24"/>
              </w:rPr>
            </w:pPr>
          </w:p>
        </w:tc>
        <w:tc>
          <w:tcPr>
            <w:tcW w:w="2153" w:type="dxa"/>
            <w:tcBorders>
              <w:top w:val="single" w:color="auto" w:sz="6" w:space="0"/>
              <w:bottom w:val="single" w:color="auto" w:sz="6" w:space="0"/>
            </w:tcBorders>
            <w:vAlign w:val="center"/>
          </w:tcPr>
          <w:p w14:paraId="5E66B2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响应文件签字盖章</w:t>
            </w:r>
          </w:p>
        </w:tc>
        <w:tc>
          <w:tcPr>
            <w:tcW w:w="5648" w:type="dxa"/>
            <w:tcBorders>
              <w:top w:val="single" w:color="auto" w:sz="6" w:space="0"/>
              <w:bottom w:val="single" w:color="auto" w:sz="6" w:space="0"/>
            </w:tcBorders>
            <w:vAlign w:val="center"/>
          </w:tcPr>
          <w:p w14:paraId="5FEFE152">
            <w:pPr>
              <w:spacing w:line="360" w:lineRule="auto"/>
              <w:rPr>
                <w:rFonts w:hint="eastAsia" w:ascii="宋体" w:hAnsi="宋体" w:eastAsia="宋体" w:cs="宋体"/>
                <w:sz w:val="24"/>
                <w:szCs w:val="24"/>
              </w:rPr>
            </w:pPr>
            <w:r>
              <w:rPr>
                <w:rFonts w:hint="eastAsia" w:ascii="宋体" w:hAnsi="宋体" w:eastAsia="宋体" w:cs="宋体"/>
                <w:sz w:val="24"/>
                <w:szCs w:val="24"/>
              </w:rPr>
              <w:t>在磋商响应文件中指定落款处，按文件要求盖章或签字</w:t>
            </w:r>
          </w:p>
        </w:tc>
      </w:tr>
      <w:tr w14:paraId="2CEBB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557" w:type="dxa"/>
            <w:vMerge w:val="continue"/>
          </w:tcPr>
          <w:p w14:paraId="3E0D35B7">
            <w:pPr>
              <w:spacing w:line="273" w:lineRule="auto"/>
              <w:rPr>
                <w:rFonts w:hint="eastAsia" w:ascii="宋体" w:hAnsi="宋体" w:eastAsia="宋体" w:cs="宋体"/>
                <w:b/>
                <w:bCs/>
                <w:sz w:val="24"/>
                <w:szCs w:val="24"/>
              </w:rPr>
            </w:pPr>
          </w:p>
        </w:tc>
        <w:tc>
          <w:tcPr>
            <w:tcW w:w="618" w:type="dxa"/>
            <w:vMerge w:val="continue"/>
            <w:vAlign w:val="center"/>
          </w:tcPr>
          <w:p w14:paraId="1F69C0B7">
            <w:pPr>
              <w:spacing w:line="360" w:lineRule="auto"/>
              <w:jc w:val="center"/>
              <w:rPr>
                <w:rFonts w:hint="eastAsia" w:ascii="宋体" w:hAnsi="宋体" w:eastAsia="宋体" w:cs="宋体"/>
                <w:sz w:val="24"/>
                <w:szCs w:val="24"/>
              </w:rPr>
            </w:pPr>
          </w:p>
        </w:tc>
        <w:tc>
          <w:tcPr>
            <w:tcW w:w="2153" w:type="dxa"/>
            <w:tcBorders>
              <w:top w:val="single" w:color="auto" w:sz="6" w:space="0"/>
              <w:bottom w:val="single" w:color="auto" w:sz="6" w:space="0"/>
            </w:tcBorders>
            <w:vAlign w:val="center"/>
          </w:tcPr>
          <w:p w14:paraId="7E5A85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磋商响应文件格式</w:t>
            </w:r>
          </w:p>
        </w:tc>
        <w:tc>
          <w:tcPr>
            <w:tcW w:w="5648" w:type="dxa"/>
            <w:tcBorders>
              <w:top w:val="single" w:color="auto" w:sz="6" w:space="0"/>
              <w:bottom w:val="single" w:color="auto" w:sz="6" w:space="0"/>
            </w:tcBorders>
            <w:vAlign w:val="center"/>
          </w:tcPr>
          <w:p w14:paraId="1F45FF12">
            <w:pPr>
              <w:spacing w:line="360" w:lineRule="auto"/>
              <w:rPr>
                <w:rFonts w:hint="eastAsia" w:ascii="宋体" w:hAnsi="宋体" w:eastAsia="宋体" w:cs="宋体"/>
                <w:sz w:val="24"/>
                <w:szCs w:val="24"/>
              </w:rPr>
            </w:pPr>
            <w:r>
              <w:rPr>
                <w:rFonts w:hint="eastAsia" w:ascii="宋体" w:hAnsi="宋体" w:eastAsia="宋体" w:cs="宋体"/>
                <w:sz w:val="24"/>
                <w:szCs w:val="24"/>
              </w:rPr>
              <w:t>符合磋商文件的格式要求无重大偏离</w:t>
            </w:r>
          </w:p>
        </w:tc>
      </w:tr>
      <w:tr w14:paraId="3541A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557" w:type="dxa"/>
            <w:vMerge w:val="continue"/>
          </w:tcPr>
          <w:p w14:paraId="22FB7572">
            <w:pPr>
              <w:spacing w:line="273" w:lineRule="auto"/>
              <w:rPr>
                <w:rFonts w:hint="eastAsia" w:ascii="宋体" w:hAnsi="宋体" w:eastAsia="宋体" w:cs="宋体"/>
                <w:b/>
                <w:bCs/>
                <w:sz w:val="24"/>
                <w:szCs w:val="24"/>
              </w:rPr>
            </w:pPr>
          </w:p>
        </w:tc>
        <w:tc>
          <w:tcPr>
            <w:tcW w:w="618" w:type="dxa"/>
            <w:vMerge w:val="continue"/>
            <w:vAlign w:val="center"/>
          </w:tcPr>
          <w:p w14:paraId="56D31D4D">
            <w:pPr>
              <w:spacing w:line="360" w:lineRule="auto"/>
              <w:jc w:val="center"/>
              <w:rPr>
                <w:rFonts w:hint="eastAsia" w:ascii="宋体" w:hAnsi="宋体" w:eastAsia="宋体" w:cs="宋体"/>
                <w:sz w:val="24"/>
                <w:szCs w:val="24"/>
              </w:rPr>
            </w:pPr>
          </w:p>
        </w:tc>
        <w:tc>
          <w:tcPr>
            <w:tcW w:w="2153" w:type="dxa"/>
            <w:tcBorders>
              <w:top w:val="single" w:color="auto" w:sz="6" w:space="0"/>
              <w:bottom w:val="single" w:color="auto" w:sz="6" w:space="0"/>
            </w:tcBorders>
            <w:vAlign w:val="center"/>
          </w:tcPr>
          <w:p w14:paraId="3B4E8D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响应文件数量</w:t>
            </w:r>
          </w:p>
        </w:tc>
        <w:tc>
          <w:tcPr>
            <w:tcW w:w="5648" w:type="dxa"/>
            <w:tcBorders>
              <w:top w:val="single" w:color="auto" w:sz="6" w:space="0"/>
              <w:bottom w:val="single" w:color="auto" w:sz="6" w:space="0"/>
            </w:tcBorders>
            <w:vAlign w:val="center"/>
          </w:tcPr>
          <w:p w14:paraId="469579C8">
            <w:pPr>
              <w:spacing w:line="360" w:lineRule="auto"/>
              <w:rPr>
                <w:rFonts w:hint="eastAsia" w:ascii="宋体" w:hAnsi="宋体" w:eastAsia="宋体" w:cs="宋体"/>
                <w:sz w:val="24"/>
                <w:szCs w:val="24"/>
              </w:rPr>
            </w:pPr>
            <w:r>
              <w:rPr>
                <w:rFonts w:hint="eastAsia" w:ascii="宋体" w:hAnsi="宋体" w:eastAsia="宋体" w:cs="宋体"/>
                <w:sz w:val="24"/>
                <w:szCs w:val="24"/>
              </w:rPr>
              <w:t>1正2副，电子版文件1份</w:t>
            </w:r>
          </w:p>
        </w:tc>
      </w:tr>
      <w:tr w14:paraId="0C018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557" w:type="dxa"/>
            <w:vMerge w:val="continue"/>
          </w:tcPr>
          <w:p w14:paraId="1A69B5F1">
            <w:pPr>
              <w:spacing w:line="273" w:lineRule="auto"/>
              <w:rPr>
                <w:rFonts w:hint="eastAsia" w:ascii="宋体" w:hAnsi="宋体" w:eastAsia="宋体" w:cs="宋体"/>
                <w:b/>
                <w:bCs/>
                <w:sz w:val="24"/>
                <w:szCs w:val="24"/>
              </w:rPr>
            </w:pPr>
          </w:p>
        </w:tc>
        <w:tc>
          <w:tcPr>
            <w:tcW w:w="618" w:type="dxa"/>
            <w:vMerge w:val="continue"/>
            <w:vAlign w:val="center"/>
          </w:tcPr>
          <w:p w14:paraId="62A0DBF5">
            <w:pPr>
              <w:spacing w:line="360" w:lineRule="auto"/>
              <w:jc w:val="center"/>
              <w:rPr>
                <w:rFonts w:hint="eastAsia" w:ascii="宋体" w:hAnsi="宋体" w:eastAsia="宋体" w:cs="宋体"/>
                <w:sz w:val="24"/>
                <w:szCs w:val="24"/>
              </w:rPr>
            </w:pPr>
          </w:p>
        </w:tc>
        <w:tc>
          <w:tcPr>
            <w:tcW w:w="2153" w:type="dxa"/>
            <w:tcBorders>
              <w:top w:val="single" w:color="auto" w:sz="6" w:space="0"/>
              <w:bottom w:val="single" w:color="auto" w:sz="6" w:space="0"/>
            </w:tcBorders>
            <w:vAlign w:val="center"/>
          </w:tcPr>
          <w:p w14:paraId="2E98E1E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响应（投标）内容</w:t>
            </w:r>
          </w:p>
        </w:tc>
        <w:tc>
          <w:tcPr>
            <w:tcW w:w="5648" w:type="dxa"/>
            <w:tcBorders>
              <w:top w:val="single" w:color="auto" w:sz="6" w:space="0"/>
              <w:bottom w:val="single" w:color="auto" w:sz="6" w:space="0"/>
            </w:tcBorders>
            <w:vAlign w:val="center"/>
          </w:tcPr>
          <w:p w14:paraId="2A33FE85">
            <w:pPr>
              <w:spacing w:line="360" w:lineRule="auto"/>
              <w:rPr>
                <w:rFonts w:hint="eastAsia" w:ascii="宋体" w:hAnsi="宋体" w:eastAsia="宋体" w:cs="宋体"/>
                <w:sz w:val="24"/>
                <w:szCs w:val="24"/>
              </w:rPr>
            </w:pPr>
            <w:r>
              <w:rPr>
                <w:rFonts w:hint="eastAsia" w:ascii="宋体" w:hAnsi="宋体" w:eastAsia="宋体" w:cs="宋体"/>
                <w:sz w:val="24"/>
                <w:szCs w:val="24"/>
              </w:rPr>
              <w:t>与磋商内容一致，无重大偏离</w:t>
            </w:r>
          </w:p>
        </w:tc>
      </w:tr>
      <w:tr w14:paraId="0B88E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557" w:type="dxa"/>
            <w:vMerge w:val="continue"/>
          </w:tcPr>
          <w:p w14:paraId="5BBF7D92">
            <w:pPr>
              <w:spacing w:line="273" w:lineRule="auto"/>
              <w:rPr>
                <w:rFonts w:hint="eastAsia" w:ascii="宋体" w:hAnsi="宋体" w:eastAsia="宋体" w:cs="宋体"/>
                <w:b/>
                <w:bCs/>
                <w:sz w:val="24"/>
                <w:szCs w:val="24"/>
              </w:rPr>
            </w:pPr>
          </w:p>
        </w:tc>
        <w:tc>
          <w:tcPr>
            <w:tcW w:w="618" w:type="dxa"/>
            <w:vMerge w:val="continue"/>
            <w:vAlign w:val="center"/>
          </w:tcPr>
          <w:p w14:paraId="4018BE2C">
            <w:pPr>
              <w:spacing w:line="360" w:lineRule="auto"/>
              <w:jc w:val="center"/>
              <w:rPr>
                <w:rFonts w:hint="eastAsia" w:ascii="宋体" w:hAnsi="宋体" w:eastAsia="宋体" w:cs="宋体"/>
                <w:sz w:val="24"/>
                <w:szCs w:val="24"/>
              </w:rPr>
            </w:pPr>
          </w:p>
        </w:tc>
        <w:tc>
          <w:tcPr>
            <w:tcW w:w="2153" w:type="dxa"/>
            <w:tcBorders>
              <w:top w:val="single" w:color="auto" w:sz="6" w:space="0"/>
              <w:bottom w:val="single" w:color="auto" w:sz="6" w:space="0"/>
            </w:tcBorders>
            <w:vAlign w:val="center"/>
          </w:tcPr>
          <w:p w14:paraId="7DD6D71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5648" w:type="dxa"/>
            <w:tcBorders>
              <w:top w:val="single" w:color="auto" w:sz="6" w:space="0"/>
              <w:bottom w:val="single" w:color="auto" w:sz="6" w:space="0"/>
            </w:tcBorders>
            <w:vAlign w:val="center"/>
          </w:tcPr>
          <w:p w14:paraId="00DF733A">
            <w:pPr>
              <w:spacing w:line="360" w:lineRule="auto"/>
              <w:rPr>
                <w:rFonts w:hint="eastAsia" w:ascii="宋体" w:hAnsi="宋体" w:eastAsia="宋体" w:cs="宋体"/>
                <w:sz w:val="24"/>
                <w:szCs w:val="24"/>
              </w:rPr>
            </w:pPr>
            <w:r>
              <w:rPr>
                <w:rFonts w:hint="eastAsia" w:ascii="宋体" w:hAnsi="宋体" w:eastAsia="宋体" w:cs="宋体"/>
                <w:sz w:val="24"/>
                <w:szCs w:val="24"/>
              </w:rPr>
              <w:t>自磋商响应文件递交之日起不少于90个日历天</w:t>
            </w:r>
          </w:p>
        </w:tc>
      </w:tr>
      <w:tr w14:paraId="293E9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557" w:type="dxa"/>
            <w:vMerge w:val="continue"/>
          </w:tcPr>
          <w:p w14:paraId="7C890941">
            <w:pPr>
              <w:spacing w:line="273" w:lineRule="auto"/>
              <w:rPr>
                <w:rFonts w:hint="eastAsia" w:ascii="宋体" w:hAnsi="宋体" w:eastAsia="宋体" w:cs="宋体"/>
                <w:b/>
                <w:bCs/>
                <w:sz w:val="24"/>
                <w:szCs w:val="24"/>
              </w:rPr>
            </w:pPr>
          </w:p>
        </w:tc>
        <w:tc>
          <w:tcPr>
            <w:tcW w:w="618" w:type="dxa"/>
            <w:vMerge w:val="continue"/>
            <w:vAlign w:val="center"/>
          </w:tcPr>
          <w:p w14:paraId="1C2E4FEF">
            <w:pPr>
              <w:spacing w:line="360" w:lineRule="auto"/>
              <w:jc w:val="center"/>
              <w:rPr>
                <w:rFonts w:hint="eastAsia" w:ascii="宋体" w:hAnsi="宋体" w:eastAsia="宋体" w:cs="宋体"/>
                <w:sz w:val="24"/>
                <w:szCs w:val="24"/>
              </w:rPr>
            </w:pPr>
          </w:p>
        </w:tc>
        <w:tc>
          <w:tcPr>
            <w:tcW w:w="2153" w:type="dxa"/>
            <w:tcBorders>
              <w:top w:val="single" w:color="auto" w:sz="6" w:space="0"/>
              <w:bottom w:val="single" w:color="auto" w:sz="6" w:space="0"/>
            </w:tcBorders>
            <w:vAlign w:val="center"/>
          </w:tcPr>
          <w:p w14:paraId="1B1A2AF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首次磋商报价</w:t>
            </w:r>
          </w:p>
        </w:tc>
        <w:tc>
          <w:tcPr>
            <w:tcW w:w="5648" w:type="dxa"/>
            <w:tcBorders>
              <w:top w:val="single" w:color="auto" w:sz="6" w:space="0"/>
              <w:bottom w:val="single" w:color="auto" w:sz="6" w:space="0"/>
            </w:tcBorders>
            <w:vAlign w:val="center"/>
          </w:tcPr>
          <w:p w14:paraId="6FB0F2D0">
            <w:pPr>
              <w:spacing w:line="360" w:lineRule="auto"/>
              <w:rPr>
                <w:rFonts w:hint="eastAsia" w:ascii="宋体" w:hAnsi="宋体" w:eastAsia="宋体" w:cs="宋体"/>
                <w:sz w:val="24"/>
                <w:szCs w:val="24"/>
              </w:rPr>
            </w:pPr>
            <w:r>
              <w:rPr>
                <w:rFonts w:hint="eastAsia" w:ascii="宋体" w:hAnsi="宋体" w:eastAsia="宋体" w:cs="宋体"/>
                <w:sz w:val="24"/>
                <w:szCs w:val="24"/>
              </w:rPr>
              <w:t>未超过磋商最高限价</w:t>
            </w:r>
          </w:p>
        </w:tc>
      </w:tr>
      <w:tr w14:paraId="4CFF7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557" w:type="dxa"/>
            <w:vMerge w:val="continue"/>
          </w:tcPr>
          <w:p w14:paraId="5562951F">
            <w:pPr>
              <w:spacing w:line="273" w:lineRule="auto"/>
              <w:rPr>
                <w:rFonts w:hint="eastAsia" w:ascii="宋体" w:hAnsi="宋体" w:eastAsia="宋体" w:cs="宋体"/>
                <w:b/>
                <w:bCs/>
                <w:sz w:val="24"/>
                <w:szCs w:val="24"/>
              </w:rPr>
            </w:pPr>
          </w:p>
        </w:tc>
        <w:tc>
          <w:tcPr>
            <w:tcW w:w="618" w:type="dxa"/>
            <w:vMerge w:val="continue"/>
            <w:vAlign w:val="center"/>
          </w:tcPr>
          <w:p w14:paraId="00B29171">
            <w:pPr>
              <w:spacing w:line="360" w:lineRule="auto"/>
              <w:jc w:val="center"/>
              <w:rPr>
                <w:rFonts w:hint="eastAsia" w:ascii="宋体" w:hAnsi="宋体" w:eastAsia="宋体" w:cs="宋体"/>
                <w:sz w:val="24"/>
                <w:szCs w:val="24"/>
              </w:rPr>
            </w:pPr>
          </w:p>
        </w:tc>
        <w:tc>
          <w:tcPr>
            <w:tcW w:w="2153" w:type="dxa"/>
            <w:tcBorders>
              <w:top w:val="single" w:color="auto" w:sz="6" w:space="0"/>
              <w:bottom w:val="single" w:color="auto" w:sz="6" w:space="0"/>
            </w:tcBorders>
            <w:vAlign w:val="center"/>
          </w:tcPr>
          <w:p w14:paraId="2688F2D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服务期</w:t>
            </w:r>
          </w:p>
        </w:tc>
        <w:tc>
          <w:tcPr>
            <w:tcW w:w="5648" w:type="dxa"/>
            <w:tcBorders>
              <w:top w:val="single" w:color="auto" w:sz="6" w:space="0"/>
              <w:bottom w:val="single" w:color="auto" w:sz="6" w:space="0"/>
            </w:tcBorders>
            <w:vAlign w:val="center"/>
          </w:tcPr>
          <w:p w14:paraId="264EB593">
            <w:pPr>
              <w:spacing w:line="360" w:lineRule="auto"/>
              <w:rPr>
                <w:rFonts w:hint="eastAsia" w:ascii="宋体" w:hAnsi="宋体" w:eastAsia="宋体" w:cs="宋体"/>
                <w:sz w:val="24"/>
                <w:szCs w:val="24"/>
              </w:rPr>
            </w:pPr>
            <w:r>
              <w:rPr>
                <w:rFonts w:hint="eastAsia" w:ascii="宋体" w:hAnsi="宋体" w:eastAsia="宋体" w:cs="宋体"/>
                <w:sz w:val="24"/>
                <w:szCs w:val="24"/>
              </w:rPr>
              <w:t>符合磋商文件要求</w:t>
            </w:r>
          </w:p>
        </w:tc>
      </w:tr>
      <w:tr w14:paraId="0AC6E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557" w:type="dxa"/>
            <w:vMerge w:val="continue"/>
          </w:tcPr>
          <w:p w14:paraId="327B8609">
            <w:pPr>
              <w:spacing w:line="273" w:lineRule="auto"/>
              <w:rPr>
                <w:rFonts w:hint="eastAsia" w:ascii="宋体" w:hAnsi="宋体" w:eastAsia="宋体" w:cs="宋体"/>
                <w:b/>
                <w:bCs/>
                <w:sz w:val="24"/>
                <w:szCs w:val="24"/>
              </w:rPr>
            </w:pPr>
          </w:p>
        </w:tc>
        <w:tc>
          <w:tcPr>
            <w:tcW w:w="618" w:type="dxa"/>
            <w:vMerge w:val="continue"/>
            <w:vAlign w:val="center"/>
          </w:tcPr>
          <w:p w14:paraId="5502920D">
            <w:pPr>
              <w:spacing w:line="360" w:lineRule="auto"/>
              <w:jc w:val="center"/>
              <w:rPr>
                <w:rFonts w:hint="eastAsia" w:ascii="宋体" w:hAnsi="宋体" w:eastAsia="宋体" w:cs="宋体"/>
                <w:sz w:val="24"/>
                <w:szCs w:val="24"/>
              </w:rPr>
            </w:pPr>
          </w:p>
        </w:tc>
        <w:tc>
          <w:tcPr>
            <w:tcW w:w="2153" w:type="dxa"/>
            <w:tcBorders>
              <w:top w:val="single" w:color="auto" w:sz="6" w:space="0"/>
              <w:bottom w:val="single" w:color="auto" w:sz="6" w:space="0"/>
            </w:tcBorders>
            <w:vAlign w:val="center"/>
          </w:tcPr>
          <w:p w14:paraId="3DDF4E0B">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服务标准</w:t>
            </w:r>
          </w:p>
        </w:tc>
        <w:tc>
          <w:tcPr>
            <w:tcW w:w="5648" w:type="dxa"/>
            <w:tcBorders>
              <w:top w:val="single" w:color="auto" w:sz="6" w:space="0"/>
              <w:bottom w:val="single" w:color="auto" w:sz="6" w:space="0"/>
            </w:tcBorders>
            <w:vAlign w:val="center"/>
          </w:tcPr>
          <w:p w14:paraId="53468B68">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达到国家及行业规范合格标准</w:t>
            </w:r>
          </w:p>
        </w:tc>
      </w:tr>
      <w:tr w14:paraId="4C4EE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557" w:type="dxa"/>
            <w:vMerge w:val="continue"/>
            <w:tcBorders>
              <w:bottom w:val="single" w:color="auto" w:sz="12" w:space="0"/>
            </w:tcBorders>
          </w:tcPr>
          <w:p w14:paraId="649D12F7">
            <w:pPr>
              <w:spacing w:line="273" w:lineRule="auto"/>
              <w:rPr>
                <w:rFonts w:hint="eastAsia" w:ascii="宋体" w:hAnsi="宋体" w:eastAsia="宋体" w:cs="宋体"/>
                <w:b/>
                <w:bCs/>
                <w:sz w:val="24"/>
                <w:szCs w:val="24"/>
              </w:rPr>
            </w:pPr>
          </w:p>
        </w:tc>
        <w:tc>
          <w:tcPr>
            <w:tcW w:w="618" w:type="dxa"/>
            <w:vMerge w:val="continue"/>
            <w:tcBorders>
              <w:bottom w:val="single" w:color="auto" w:sz="12" w:space="0"/>
            </w:tcBorders>
            <w:vAlign w:val="center"/>
          </w:tcPr>
          <w:p w14:paraId="51378D13">
            <w:pPr>
              <w:spacing w:line="360" w:lineRule="auto"/>
              <w:jc w:val="center"/>
              <w:rPr>
                <w:rFonts w:hint="eastAsia" w:ascii="宋体" w:hAnsi="宋体" w:eastAsia="宋体" w:cs="宋体"/>
                <w:sz w:val="24"/>
                <w:szCs w:val="24"/>
              </w:rPr>
            </w:pPr>
          </w:p>
        </w:tc>
        <w:tc>
          <w:tcPr>
            <w:tcW w:w="2153" w:type="dxa"/>
            <w:tcBorders>
              <w:top w:val="single" w:color="auto" w:sz="6" w:space="0"/>
              <w:bottom w:val="single" w:color="auto" w:sz="12" w:space="0"/>
            </w:tcBorders>
            <w:shd w:val="clear" w:color="auto" w:fill="auto"/>
            <w:vAlign w:val="center"/>
          </w:tcPr>
          <w:p w14:paraId="277CADD7">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
              </w:rPr>
            </w:pPr>
            <w:r>
              <w:rPr>
                <w:rFonts w:hint="eastAsia" w:ascii="宋体" w:hAnsi="宋体" w:eastAsia="宋体" w:cs="宋体"/>
                <w:sz w:val="24"/>
                <w:szCs w:val="24"/>
                <w:lang w:bidi="ar"/>
              </w:rPr>
              <w:t>无其他</w:t>
            </w:r>
            <w:r>
              <w:rPr>
                <w:rFonts w:hint="eastAsia" w:ascii="宋体" w:hAnsi="宋体" w:eastAsia="宋体" w:cs="宋体"/>
                <w:sz w:val="24"/>
                <w:szCs w:val="24"/>
                <w:lang w:val="en-US" w:eastAsia="zh-CN" w:bidi="ar"/>
              </w:rPr>
              <w:t>采购</w:t>
            </w:r>
            <w:r>
              <w:rPr>
                <w:rFonts w:hint="eastAsia" w:ascii="宋体" w:hAnsi="宋体" w:eastAsia="宋体" w:cs="宋体"/>
                <w:sz w:val="24"/>
                <w:szCs w:val="24"/>
                <w:lang w:bidi="ar"/>
              </w:rPr>
              <w:t>文件或法规明确规定响应无效的事项</w:t>
            </w:r>
          </w:p>
        </w:tc>
        <w:tc>
          <w:tcPr>
            <w:tcW w:w="5648" w:type="dxa"/>
            <w:tcBorders>
              <w:top w:val="single" w:color="auto" w:sz="6" w:space="0"/>
              <w:bottom w:val="single" w:color="auto" w:sz="12" w:space="0"/>
            </w:tcBorders>
            <w:shd w:val="clear" w:color="auto" w:fill="auto"/>
            <w:vAlign w:val="center"/>
          </w:tcPr>
          <w:p w14:paraId="5C4F19A3">
            <w:pPr>
              <w:keepNext w:val="0"/>
              <w:keepLines w:val="0"/>
              <w:suppressLineNumbers w:val="0"/>
              <w:spacing w:before="0" w:beforeAutospacing="0" w:after="0" w:afterAutospacing="0" w:line="240" w:lineRule="auto"/>
              <w:ind w:left="0" w:leftChars="0" w:right="0" w:rightChars="0"/>
              <w:rPr>
                <w:rFonts w:hint="eastAsia" w:ascii="宋体" w:hAnsi="宋体" w:eastAsia="宋体" w:cs="宋体"/>
                <w:kern w:val="2"/>
                <w:sz w:val="24"/>
                <w:szCs w:val="24"/>
                <w:lang w:val="en-US" w:eastAsia="zh-CN" w:bidi="ar"/>
              </w:rPr>
            </w:pPr>
            <w:r>
              <w:rPr>
                <w:rFonts w:hint="eastAsia" w:ascii="宋体" w:hAnsi="宋体" w:eastAsia="宋体" w:cs="宋体"/>
                <w:sz w:val="24"/>
                <w:szCs w:val="24"/>
                <w:lang w:bidi="ar"/>
              </w:rPr>
              <w:t>没有不符合</w:t>
            </w:r>
            <w:r>
              <w:rPr>
                <w:rFonts w:hint="eastAsia" w:ascii="宋体" w:hAnsi="宋体" w:eastAsia="宋体" w:cs="宋体"/>
                <w:sz w:val="24"/>
                <w:szCs w:val="24"/>
                <w:lang w:val="en-US" w:eastAsia="zh-CN" w:bidi="ar"/>
              </w:rPr>
              <w:t>采购</w:t>
            </w:r>
            <w:r>
              <w:rPr>
                <w:rFonts w:hint="eastAsia" w:ascii="宋体" w:hAnsi="宋体" w:eastAsia="宋体" w:cs="宋体"/>
                <w:sz w:val="24"/>
                <w:szCs w:val="24"/>
                <w:lang w:bidi="ar"/>
              </w:rPr>
              <w:t>文件规定的被视为无效响应的其他条款</w:t>
            </w:r>
          </w:p>
        </w:tc>
      </w:tr>
    </w:tbl>
    <w:p w14:paraId="3561461B">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4.3磋商小组在对响应文件的有效性、完整性和响应程度进行审查时，可以要求磋商响应单位对响应文件中含义不明确、同类问题表述不一致或者有明显文字和计算错误的内容等作出必要的澄清、说明或者更正。磋商响应单位的澄清、说明或者更正不得超出响应文件的范围或者改变响应文件的实质性内容。</w:t>
      </w:r>
    </w:p>
    <w:p w14:paraId="5BE215A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小组要求磋商响应单位澄清、说明或者更正响应文件应当以书面形式作出。磋商响应单位的澄清、说明或者更正应当由法定代表人或其授权代表签字或者加盖公章。由授权代表签字的，应当附法定代表人授权书。磋商响应单位为自然人的，应当由本人签字并附身份证明。</w:t>
      </w:r>
    </w:p>
    <w:p w14:paraId="1FDBC45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5、磋商</w:t>
      </w:r>
    </w:p>
    <w:p w14:paraId="7046212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只和通过初审的磋商响应单位进行磋商。</w:t>
      </w:r>
    </w:p>
    <w:p w14:paraId="6AFEA30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5.1磋商</w:t>
      </w:r>
    </w:p>
    <w:p w14:paraId="53EF4DA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磋商小组可根据需要，由磋商小组所有成员集中与单一磋商响应单位分别进行磋商。采购代理机构对磋商过程和重要磋商内容进行记录，磋商小组召集人和磋商响应单位在记录上签字确认。</w:t>
      </w:r>
    </w:p>
    <w:p w14:paraId="242B295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5.2在磋商过程中，磋商小组可以根据磋商文件和磋商情况实质性变动采购需求中的技术、服务要求以及合同草案条款，但不得变动磋商文件中的其他内容。实质性变动的内容，须经采购人代表确认，并成为磋商文件有效组成部分。</w:t>
      </w:r>
    </w:p>
    <w:p w14:paraId="64C05AC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5.3最终响应（第二次报价）</w:t>
      </w:r>
    </w:p>
    <w:p w14:paraId="363A757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响应单位根据磋商情况和磋商文件修改书面通知（如有）对原响应文件进行修正，并在现场规定时间内将修正文件（如有）和最终报价由磋商响应单位法定代表人或其授权委托人签字或盖章后送交磋商小组。逾时不交的，视同放弃磋商。修正文件与磋商响应文件同具法律效力。</w:t>
      </w:r>
    </w:p>
    <w:p w14:paraId="2A8F616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5.4所有磋商响应单位的最终响应未超过政府采购预算不足3家，磋商活动终止。</w:t>
      </w:r>
    </w:p>
    <w:p w14:paraId="75F4773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5.5磋商过程由政府采购代理机构指定专人负责记录，并存档备查。</w:t>
      </w:r>
    </w:p>
    <w:p w14:paraId="51AC51C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6、详细评审</w:t>
      </w:r>
    </w:p>
    <w:p w14:paraId="5AF0603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磋商小组</w:t>
      </w:r>
      <w:r>
        <w:rPr>
          <w:rFonts w:hint="eastAsia" w:ascii="宋体" w:hAnsi="宋体" w:eastAsia="宋体" w:cs="宋体"/>
          <w:sz w:val="24"/>
        </w:rPr>
        <w:t>只对磋商最终响应的磋商响应单位进行评审和比较。</w:t>
      </w:r>
    </w:p>
    <w:p w14:paraId="67F3B00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6.1本次磋商采用综合评分法</w:t>
      </w:r>
    </w:p>
    <w:p w14:paraId="189EE49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6.2磋商响应单位的评审总得分满分100分（商务</w:t>
      </w:r>
      <w:r>
        <w:rPr>
          <w:rFonts w:hint="eastAsia" w:ascii="宋体" w:hAnsi="宋体" w:eastAsia="宋体" w:cs="宋体"/>
          <w:sz w:val="24"/>
          <w:highlight w:val="none"/>
          <w:lang w:eastAsia="zh-CN"/>
        </w:rPr>
        <w:t>部分</w:t>
      </w: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0</w:t>
      </w:r>
      <w:r>
        <w:rPr>
          <w:rFonts w:hint="eastAsia" w:ascii="宋体" w:hAnsi="宋体" w:eastAsia="宋体" w:cs="宋体"/>
          <w:sz w:val="24"/>
          <w:highlight w:val="none"/>
        </w:rPr>
        <w:t>分、技术</w:t>
      </w:r>
      <w:r>
        <w:rPr>
          <w:rFonts w:hint="eastAsia" w:ascii="宋体" w:hAnsi="宋体" w:eastAsia="宋体" w:cs="宋体"/>
          <w:sz w:val="24"/>
          <w:highlight w:val="none"/>
          <w:lang w:eastAsia="zh-CN"/>
        </w:rPr>
        <w:t>部分</w:t>
      </w:r>
      <w:r>
        <w:rPr>
          <w:rFonts w:hint="eastAsia" w:ascii="宋体" w:hAnsi="宋体" w:cs="宋体"/>
          <w:sz w:val="24"/>
          <w:highlight w:val="none"/>
          <w:lang w:val="en-US" w:eastAsia="zh-CN"/>
        </w:rPr>
        <w:t>90</w:t>
      </w:r>
      <w:r>
        <w:rPr>
          <w:rFonts w:hint="eastAsia" w:ascii="宋体" w:hAnsi="宋体" w:eastAsia="宋体" w:cs="宋体"/>
          <w:sz w:val="24"/>
          <w:highlight w:val="none"/>
        </w:rPr>
        <w:t>分）</w:t>
      </w:r>
    </w:p>
    <w:p w14:paraId="62F9C9EE">
      <w:pPr>
        <w:rPr>
          <w:rFonts w:hint="eastAsia" w:ascii="宋体" w:hAnsi="宋体" w:eastAsia="宋体" w:cs="宋体"/>
          <w:sz w:val="24"/>
          <w:highlight w:val="none"/>
        </w:rPr>
      </w:pPr>
      <w:r>
        <w:rPr>
          <w:rFonts w:hint="eastAsia" w:ascii="宋体" w:hAnsi="宋体" w:eastAsia="宋体" w:cs="宋体"/>
          <w:sz w:val="24"/>
          <w:highlight w:val="none"/>
        </w:rPr>
        <w:br w:type="page"/>
      </w:r>
    </w:p>
    <w:p w14:paraId="1E82F9F4">
      <w:pPr>
        <w:adjustRightInd w:val="0"/>
        <w:snapToGrid w:val="0"/>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评分标准</w:t>
      </w:r>
    </w:p>
    <w:tbl>
      <w:tblPr>
        <w:tblStyle w:val="4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7422"/>
      </w:tblGrid>
      <w:tr w14:paraId="33FF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8" w:type="dxa"/>
            <w:noWrap w:val="0"/>
            <w:vAlign w:val="center"/>
          </w:tcPr>
          <w:p w14:paraId="7E60575F">
            <w:pPr>
              <w:spacing w:line="560" w:lineRule="exact"/>
              <w:ind w:left="1"/>
              <w:jc w:val="center"/>
              <w:textAlignment w:val="bottom"/>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评审因素</w:t>
            </w:r>
          </w:p>
        </w:tc>
        <w:tc>
          <w:tcPr>
            <w:tcW w:w="7422" w:type="dxa"/>
            <w:noWrap w:val="0"/>
            <w:vAlign w:val="center"/>
          </w:tcPr>
          <w:p w14:paraId="56B1EE11">
            <w:pPr>
              <w:spacing w:line="560" w:lineRule="exact"/>
              <w:ind w:left="1"/>
              <w:jc w:val="center"/>
              <w:textAlignment w:val="bottom"/>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评审标准</w:t>
            </w:r>
          </w:p>
        </w:tc>
      </w:tr>
      <w:tr w14:paraId="2849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8" w:type="dxa"/>
            <w:noWrap w:val="0"/>
            <w:vAlign w:val="center"/>
          </w:tcPr>
          <w:p w14:paraId="4F48220E">
            <w:pPr>
              <w:spacing w:line="360" w:lineRule="auto"/>
              <w:jc w:val="center"/>
              <w:rPr>
                <w:rFonts w:hint="eastAsia" w:ascii="宋体" w:hAnsi="宋体" w:eastAsia="宋体" w:cs="宋体"/>
                <w:b/>
                <w:bCs/>
                <w:sz w:val="21"/>
                <w:szCs w:val="21"/>
                <w:lang w:val="zh-CN"/>
              </w:rPr>
            </w:pPr>
            <w:r>
              <w:rPr>
                <w:rFonts w:hint="eastAsia" w:ascii="宋体" w:hAnsi="宋体" w:cs="宋体"/>
                <w:b/>
                <w:bCs/>
                <w:sz w:val="21"/>
                <w:szCs w:val="21"/>
                <w:lang w:val="zh-CN"/>
              </w:rPr>
              <w:t>磋商</w:t>
            </w:r>
            <w:r>
              <w:rPr>
                <w:rFonts w:hint="eastAsia" w:ascii="宋体" w:hAnsi="宋体" w:eastAsia="宋体" w:cs="宋体"/>
                <w:b/>
                <w:bCs/>
                <w:sz w:val="21"/>
                <w:szCs w:val="21"/>
                <w:lang w:val="zh-CN"/>
              </w:rPr>
              <w:t>报价</w:t>
            </w:r>
          </w:p>
          <w:p w14:paraId="38264150">
            <w:pPr>
              <w:spacing w:line="360" w:lineRule="auto"/>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sz w:val="21"/>
                <w:szCs w:val="21"/>
                <w:lang w:val="en-US" w:eastAsia="zh-CN"/>
              </w:rPr>
              <w:t>(10分）</w:t>
            </w:r>
          </w:p>
        </w:tc>
        <w:tc>
          <w:tcPr>
            <w:tcW w:w="7422" w:type="dxa"/>
            <w:noWrap w:val="0"/>
            <w:vAlign w:val="center"/>
          </w:tcPr>
          <w:p w14:paraId="2115F9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报价得分＝</w:t>
            </w:r>
            <w:r>
              <w:rPr>
                <w:rFonts w:hint="eastAsia" w:ascii="宋体" w:hAnsi="宋体" w:cs="宋体"/>
                <w:sz w:val="21"/>
                <w:szCs w:val="21"/>
                <w:lang w:val="en-US" w:eastAsia="zh-CN"/>
              </w:rPr>
              <w:t>（基准价/投标报价）*10</w:t>
            </w:r>
          </w:p>
          <w:p w14:paraId="51EFA0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评标基准价为满足</w:t>
            </w:r>
            <w:r>
              <w:rPr>
                <w:rFonts w:hint="eastAsia" w:ascii="宋体" w:hAnsi="宋体" w:cs="宋体"/>
                <w:sz w:val="21"/>
                <w:szCs w:val="21"/>
                <w:lang w:val="en-US" w:eastAsia="zh-CN"/>
              </w:rPr>
              <w:t>磋商</w:t>
            </w:r>
            <w:r>
              <w:rPr>
                <w:rFonts w:hint="eastAsia" w:ascii="宋体" w:hAnsi="宋体" w:eastAsia="宋体" w:cs="宋体"/>
                <w:sz w:val="21"/>
                <w:szCs w:val="21"/>
                <w:lang w:val="en-US" w:eastAsia="zh-CN"/>
              </w:rPr>
              <w:t>文件要求且价格最低的</w:t>
            </w:r>
            <w:r>
              <w:rPr>
                <w:rFonts w:hint="eastAsia" w:ascii="宋体" w:hAnsi="宋体" w:cs="宋体"/>
                <w:sz w:val="21"/>
                <w:szCs w:val="21"/>
                <w:lang w:val="en-US" w:eastAsia="zh-CN"/>
              </w:rPr>
              <w:t>磋商</w:t>
            </w:r>
            <w:r>
              <w:rPr>
                <w:rFonts w:hint="eastAsia" w:ascii="宋体" w:hAnsi="宋体" w:eastAsia="宋体" w:cs="宋体"/>
                <w:sz w:val="21"/>
                <w:szCs w:val="21"/>
                <w:lang w:val="en-US" w:eastAsia="zh-CN"/>
              </w:rPr>
              <w:t>报价</w:t>
            </w:r>
          </w:p>
          <w:p w14:paraId="266B11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①</w:t>
            </w:r>
            <w:r>
              <w:rPr>
                <w:rFonts w:hint="eastAsia" w:ascii="宋体" w:hAnsi="宋体" w:eastAsia="宋体" w:cs="宋体"/>
                <w:sz w:val="21"/>
                <w:szCs w:val="21"/>
                <w:lang w:val="en-US" w:eastAsia="zh-CN"/>
              </w:rPr>
              <w:t>若</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的报价明显低于成本价，或报价明显无法达到服务要求，</w:t>
            </w:r>
            <w:r>
              <w:rPr>
                <w:rFonts w:hint="eastAsia" w:ascii="宋体" w:hAnsi="宋体" w:cs="宋体"/>
                <w:sz w:val="21"/>
                <w:szCs w:val="21"/>
                <w:lang w:val="en-US" w:eastAsia="zh-CN"/>
              </w:rPr>
              <w:t>磋商小组</w:t>
            </w:r>
            <w:r>
              <w:rPr>
                <w:rFonts w:hint="eastAsia" w:ascii="宋体" w:hAnsi="宋体" w:eastAsia="宋体" w:cs="宋体"/>
                <w:sz w:val="21"/>
                <w:szCs w:val="21"/>
                <w:lang w:val="en-US" w:eastAsia="zh-CN"/>
              </w:rPr>
              <w:t>有权要求</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做出报价澄清并提供相关证明，若在限定时间内无法澄清或无法出具合理的证明，经</w:t>
            </w:r>
            <w:r>
              <w:rPr>
                <w:rFonts w:hint="eastAsia" w:ascii="宋体" w:hAnsi="宋体" w:cs="宋体"/>
                <w:sz w:val="21"/>
                <w:szCs w:val="21"/>
                <w:lang w:val="en-US" w:eastAsia="zh-CN"/>
              </w:rPr>
              <w:t>磋商小组</w:t>
            </w:r>
            <w:r>
              <w:rPr>
                <w:rFonts w:hint="eastAsia" w:ascii="宋体" w:hAnsi="宋体" w:eastAsia="宋体" w:cs="宋体"/>
                <w:sz w:val="21"/>
                <w:szCs w:val="21"/>
                <w:lang w:val="en-US" w:eastAsia="zh-CN"/>
              </w:rPr>
              <w:t>会二分之一以上成员认定，该报价为无效报价。</w:t>
            </w:r>
          </w:p>
          <w:p w14:paraId="43899A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②符合磋商文件规定的小微企业价格给予10%的扣除，用扣除后的价格参与评审。</w:t>
            </w:r>
          </w:p>
          <w:p w14:paraId="649B61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③监狱、残疾人、福利企业企业优惠条件的供应商，价格给予10%的扣除，用扣除后的价格参与评审。</w:t>
            </w:r>
          </w:p>
        </w:tc>
      </w:tr>
      <w:tr w14:paraId="7E46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8" w:type="dxa"/>
            <w:noWrap w:val="0"/>
            <w:vAlign w:val="center"/>
          </w:tcPr>
          <w:p w14:paraId="61B82664">
            <w:pPr>
              <w:spacing w:line="360" w:lineRule="auto"/>
              <w:jc w:val="center"/>
              <w:rPr>
                <w:rFonts w:hint="eastAsia" w:ascii="宋体" w:hAnsi="宋体" w:eastAsia="宋体" w:cs="宋体"/>
                <w:b/>
                <w:bCs/>
                <w:sz w:val="21"/>
                <w:szCs w:val="21"/>
                <w:lang w:val="zh-CN" w:eastAsia="zh-CN"/>
              </w:rPr>
            </w:pPr>
            <w:r>
              <w:rPr>
                <w:rFonts w:hint="eastAsia" w:ascii="宋体" w:hAnsi="宋体" w:eastAsia="宋体" w:cs="宋体"/>
                <w:b/>
                <w:bCs/>
                <w:sz w:val="21"/>
                <w:szCs w:val="21"/>
                <w:lang w:val="zh-CN" w:eastAsia="zh-CN"/>
              </w:rPr>
              <w:t>服务方案</w:t>
            </w:r>
          </w:p>
          <w:p w14:paraId="5CF998E2">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zh-CN" w:eastAsia="zh-CN"/>
              </w:rPr>
              <w:t>（</w:t>
            </w:r>
            <w:r>
              <w:rPr>
                <w:rFonts w:hint="eastAsia" w:ascii="宋体" w:hAnsi="宋体" w:eastAsia="宋体" w:cs="宋体"/>
                <w:b/>
                <w:bCs/>
                <w:sz w:val="21"/>
                <w:szCs w:val="21"/>
                <w:lang w:val="en-US" w:eastAsia="zh-CN"/>
              </w:rPr>
              <w:t>12分）</w:t>
            </w:r>
          </w:p>
        </w:tc>
        <w:tc>
          <w:tcPr>
            <w:tcW w:w="7422" w:type="dxa"/>
            <w:noWrap w:val="0"/>
            <w:vAlign w:val="center"/>
          </w:tcPr>
          <w:p w14:paraId="4ABED8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供应商提供的服务方案，主要从以下方面进行评分(包括但不限于)：①体检流程；②体检结果质量保证措施；③体检发现疾病的后续服务；④投诉处理流程；⑤隐私保护措施；⑥健康管理建议及健康风险评估。</w:t>
            </w:r>
          </w:p>
          <w:p w14:paraId="6BBE95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方案各部分内容全面详细、阐述条例清晰详尽、符合本项目采购需求得12分；评审内容每缺一项扣2分；评审内容有缺陷</w:t>
            </w:r>
            <w:r>
              <w:rPr>
                <w:rFonts w:hint="eastAsia" w:ascii="宋体" w:hAnsi="宋体" w:cs="宋体"/>
                <w:sz w:val="21"/>
                <w:szCs w:val="21"/>
                <w:lang w:val="en-US" w:eastAsia="zh-CN"/>
              </w:rPr>
              <w:t>或</w:t>
            </w:r>
            <w:r>
              <w:rPr>
                <w:rFonts w:hint="eastAsia" w:ascii="宋体" w:hAnsi="宋体" w:eastAsia="宋体" w:cs="宋体"/>
                <w:sz w:val="21"/>
                <w:szCs w:val="21"/>
                <w:lang w:val="en-US" w:eastAsia="zh-CN"/>
              </w:rPr>
              <w:t>未完全响应评审标准的扣1分。未提供不得分。</w:t>
            </w:r>
          </w:p>
          <w:p w14:paraId="39DB1A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评审标准1、完整性：内容必须全面，对评审内容中的各项要求有详细描述；2、可实施性：切合本项目实际情况，实施步骤清晰、合理、可行；3、针对性：描述能够紧扣项目实际需求，内容科学合理。</w:t>
            </w:r>
          </w:p>
        </w:tc>
      </w:tr>
      <w:tr w14:paraId="4DD4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8" w:type="dxa"/>
            <w:noWrap w:val="0"/>
            <w:vAlign w:val="center"/>
          </w:tcPr>
          <w:p w14:paraId="215073CD">
            <w:pPr>
              <w:spacing w:line="360" w:lineRule="auto"/>
              <w:jc w:val="center"/>
              <w:rPr>
                <w:rFonts w:hint="eastAsia" w:ascii="宋体" w:hAnsi="宋体" w:eastAsia="宋体" w:cs="宋体"/>
                <w:b/>
                <w:bCs/>
                <w:sz w:val="21"/>
                <w:szCs w:val="21"/>
                <w:lang w:val="zh-CN" w:eastAsia="zh-CN"/>
              </w:rPr>
            </w:pPr>
            <w:r>
              <w:rPr>
                <w:rFonts w:hint="eastAsia" w:ascii="宋体" w:hAnsi="宋体" w:eastAsia="宋体" w:cs="宋体"/>
                <w:b/>
                <w:bCs/>
                <w:sz w:val="21"/>
                <w:szCs w:val="21"/>
                <w:lang w:val="zh-CN" w:eastAsia="zh-CN"/>
              </w:rPr>
              <w:t>医师医护人员配备</w:t>
            </w:r>
          </w:p>
          <w:p w14:paraId="1FA6C255">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zh-CN" w:eastAsia="zh-CN"/>
              </w:rPr>
              <w:t>（</w:t>
            </w:r>
            <w:r>
              <w:rPr>
                <w:rFonts w:hint="eastAsia" w:ascii="宋体" w:hAnsi="宋体" w:eastAsia="宋体" w:cs="宋体"/>
                <w:b/>
                <w:bCs/>
                <w:sz w:val="21"/>
                <w:szCs w:val="21"/>
                <w:lang w:val="en-US" w:eastAsia="zh-CN"/>
              </w:rPr>
              <w:t>10分）</w:t>
            </w:r>
          </w:p>
        </w:tc>
        <w:tc>
          <w:tcPr>
            <w:tcW w:w="7422" w:type="dxa"/>
            <w:noWrap w:val="0"/>
            <w:vAlign w:val="center"/>
          </w:tcPr>
          <w:p w14:paraId="629CE8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根据拟投入本项目体检的各专业医师医护人员配备情况，包括但不限于人员数量、职业资格、职称、工作年限、工作经验，人员相关证书等，进行综合评审。 人员配备合理全面，工作经验丰富，能够高效优质的完成服务要求得10分；</w:t>
            </w:r>
          </w:p>
          <w:p w14:paraId="46A5CD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人员配备较全面，工作经验较丰富，能够完成项目内容得6分；</w:t>
            </w:r>
          </w:p>
          <w:p w14:paraId="1F0F63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人员配备较少，工作经验一般得3分。</w:t>
            </w:r>
          </w:p>
          <w:p w14:paraId="70D7FE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未提供不得分。</w:t>
            </w:r>
          </w:p>
        </w:tc>
      </w:tr>
      <w:tr w14:paraId="0577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8" w:type="dxa"/>
            <w:shd w:val="clear" w:color="auto" w:fill="auto"/>
            <w:noWrap w:val="0"/>
            <w:vAlign w:val="center"/>
          </w:tcPr>
          <w:p w14:paraId="2B6617C6">
            <w:pPr>
              <w:spacing w:line="360" w:lineRule="auto"/>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仪器设备配置</w:t>
            </w:r>
          </w:p>
          <w:p w14:paraId="46A1F9EF">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（10分）</w:t>
            </w:r>
          </w:p>
        </w:tc>
        <w:tc>
          <w:tcPr>
            <w:tcW w:w="7422" w:type="dxa"/>
            <w:shd w:val="clear" w:color="auto" w:fill="auto"/>
            <w:noWrap w:val="0"/>
            <w:vAlign w:val="top"/>
          </w:tcPr>
          <w:p w14:paraId="4CC5AA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保障项目质量，供应商需提供在本项目实施过程中所必需的检测仪器等设备设施清单，并提供相关证明材料。</w:t>
            </w:r>
          </w:p>
          <w:p w14:paraId="771FC3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清单完善、设备设施先进、配置齐全、功能描述详细全面、证明材料齐全得10分；</w:t>
            </w:r>
          </w:p>
          <w:p w14:paraId="2145A1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清单基本完善、设备设施较先进、配置较齐全、功能描述较详细、证明材料较齐全得6分；</w:t>
            </w:r>
          </w:p>
          <w:p w14:paraId="7881DC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清单不完善、设备先进性较差、配置齐全性较差、功能描述不详细，证明材料不足得3分。</w:t>
            </w:r>
          </w:p>
          <w:p w14:paraId="7A6A26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未提供不得分。</w:t>
            </w:r>
          </w:p>
        </w:tc>
      </w:tr>
      <w:tr w14:paraId="23A2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8" w:type="dxa"/>
            <w:shd w:val="clear" w:color="auto" w:fill="auto"/>
            <w:noWrap w:val="0"/>
            <w:vAlign w:val="center"/>
          </w:tcPr>
          <w:p w14:paraId="19CD387C">
            <w:pPr>
              <w:spacing w:line="360" w:lineRule="auto"/>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确保服务质量保证措施</w:t>
            </w:r>
          </w:p>
          <w:p w14:paraId="32093E31">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（12分）</w:t>
            </w:r>
          </w:p>
        </w:tc>
        <w:tc>
          <w:tcPr>
            <w:tcW w:w="7422" w:type="dxa"/>
            <w:shd w:val="clear" w:color="auto" w:fill="auto"/>
            <w:noWrap w:val="0"/>
            <w:vAlign w:val="top"/>
          </w:tcPr>
          <w:p w14:paraId="3DAC1F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针对本项目提供体检服务质量安全控制管理体系方案，方案但不限于：①受检者信息及项目确认；②检验科及对应科室核对；③健康体检科室间会诊制度；④报告管理制度；⑤感染管理制度；⑥高危异常检查结果随访。</w:t>
            </w:r>
          </w:p>
          <w:p w14:paraId="195BE1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方案各部分内容全面详细、阐述条例清晰详尽、符合本项目采购需求得12分；评审内容每缺一项扣2分；评审内容有缺陷未完全响应评审标准的扣1分。未提供不得分。</w:t>
            </w:r>
          </w:p>
        </w:tc>
      </w:tr>
      <w:tr w14:paraId="7D4A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8" w:type="dxa"/>
            <w:shd w:val="clear" w:color="auto" w:fill="auto"/>
            <w:noWrap w:val="0"/>
            <w:vAlign w:val="center"/>
          </w:tcPr>
          <w:p w14:paraId="4B3C20C0">
            <w:pPr>
              <w:spacing w:line="360" w:lineRule="auto"/>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报告及解读服务方案</w:t>
            </w:r>
          </w:p>
          <w:p w14:paraId="1AEC69E8">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（10分）</w:t>
            </w:r>
          </w:p>
        </w:tc>
        <w:tc>
          <w:tcPr>
            <w:tcW w:w="7422" w:type="dxa"/>
            <w:shd w:val="clear" w:color="auto" w:fill="auto"/>
            <w:noWrap w:val="0"/>
            <w:vAlign w:val="top"/>
          </w:tcPr>
          <w:p w14:paraId="0C6409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根据供应商提供的报告及解读服务方案，包括但不限于报告的详尽程度、一对一报告、隐私保护措施等内容进行评审</w:t>
            </w:r>
          </w:p>
          <w:p w14:paraId="771EB7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报告及解读服务的严谨、完整合理、切实可行，隐私保护措施等完全满足或优于采购需求得10分；</w:t>
            </w:r>
          </w:p>
          <w:p w14:paraId="7C14D7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报告及解读服务描述完整但不具严谨度，具有一定的合理性，质量指标的承诺和目标基本满足采购需求得6分；</w:t>
            </w:r>
          </w:p>
          <w:p w14:paraId="0BEF19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报告及解读服务的措施描述不够清晰，合理性较差，质量指标的承诺和目标与采购需求关联性小得3分。</w:t>
            </w:r>
          </w:p>
          <w:p w14:paraId="0AE26B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未提供不得分。</w:t>
            </w:r>
          </w:p>
        </w:tc>
      </w:tr>
      <w:tr w14:paraId="35FB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8" w:type="dxa"/>
            <w:shd w:val="clear" w:color="auto" w:fill="auto"/>
            <w:noWrap w:val="0"/>
            <w:vAlign w:val="center"/>
          </w:tcPr>
          <w:p w14:paraId="0ECCD439">
            <w:pPr>
              <w:spacing w:line="360" w:lineRule="auto"/>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突发性事应急预案</w:t>
            </w:r>
          </w:p>
          <w:p w14:paraId="2DCD6AFD">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（10分）</w:t>
            </w:r>
          </w:p>
        </w:tc>
        <w:tc>
          <w:tcPr>
            <w:tcW w:w="7422" w:type="dxa"/>
            <w:shd w:val="clear" w:color="auto" w:fill="auto"/>
            <w:noWrap w:val="0"/>
            <w:vAlign w:val="top"/>
          </w:tcPr>
          <w:p w14:paraId="73A2FF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针对体检过程中发生的特殊情况，如被体检人；①晕针；②晕血；③低血糖；④仪器伤害等情形；⑤突发疾病，应急预案包含但不限于：配备应急处置反应时效、设备、药品、人员、场所等。</w:t>
            </w:r>
          </w:p>
          <w:p w14:paraId="689DB0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方案各部分内容全面详细、阐述条例清晰详尽、符合本项目采购需求得10分；评审内容每缺一</w:t>
            </w:r>
            <w:r>
              <w:rPr>
                <w:rFonts w:hint="eastAsia" w:ascii="宋体" w:hAnsi="宋体" w:eastAsia="宋体" w:cs="宋体"/>
                <w:sz w:val="21"/>
                <w:szCs w:val="21"/>
                <w:highlight w:val="none"/>
                <w:lang w:val="en-US" w:eastAsia="zh-CN"/>
              </w:rPr>
              <w:t>项扣2分；评审内容有缺陷</w:t>
            </w:r>
            <w:r>
              <w:rPr>
                <w:rFonts w:hint="eastAsia" w:ascii="宋体" w:hAnsi="宋体" w:cs="宋体"/>
                <w:sz w:val="21"/>
                <w:szCs w:val="21"/>
                <w:highlight w:val="none"/>
                <w:lang w:val="en-US" w:eastAsia="zh-CN"/>
              </w:rPr>
              <w:t>或</w:t>
            </w:r>
            <w:r>
              <w:rPr>
                <w:rFonts w:hint="eastAsia" w:ascii="宋体" w:hAnsi="宋体" w:eastAsia="宋体" w:cs="宋体"/>
                <w:sz w:val="21"/>
                <w:szCs w:val="21"/>
                <w:highlight w:val="none"/>
                <w:lang w:val="en-US" w:eastAsia="zh-CN"/>
              </w:rPr>
              <w:t>未完全响应评审标准</w:t>
            </w:r>
            <w:r>
              <w:rPr>
                <w:rFonts w:hint="eastAsia" w:ascii="宋体" w:hAnsi="宋体" w:eastAsia="宋体" w:cs="宋体"/>
                <w:sz w:val="21"/>
                <w:szCs w:val="21"/>
                <w:lang w:val="en-US" w:eastAsia="zh-CN"/>
              </w:rPr>
              <w:t>的扣1分。未提供不得分。</w:t>
            </w:r>
          </w:p>
          <w:p w14:paraId="77B419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评审标准1、完整性：内容必须全面，对评审内容中的各项要求有详细描述；2、可实施性：切合本项目实际情况，实施步骤清晰、合理、可行；3、针对性：描述能够紧扣项目实际需求，内容科学合理。</w:t>
            </w:r>
          </w:p>
        </w:tc>
      </w:tr>
      <w:tr w14:paraId="3183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8" w:type="dxa"/>
            <w:shd w:val="clear" w:color="auto" w:fill="auto"/>
            <w:noWrap w:val="0"/>
            <w:vAlign w:val="center"/>
          </w:tcPr>
          <w:p w14:paraId="6E69CE76">
            <w:pPr>
              <w:spacing w:line="360" w:lineRule="auto"/>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体检管理制度</w:t>
            </w:r>
          </w:p>
          <w:p w14:paraId="2DC0007F">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（10分）</w:t>
            </w:r>
          </w:p>
        </w:tc>
        <w:tc>
          <w:tcPr>
            <w:tcW w:w="7422" w:type="dxa"/>
            <w:shd w:val="clear" w:color="auto" w:fill="auto"/>
            <w:noWrap w:val="0"/>
            <w:vAlign w:val="top"/>
          </w:tcPr>
          <w:p w14:paraId="425807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提供健全的体检管理制度。具有健全的体检管理制度，制度详细、全面、细致，可以保障项目顺利实施得10分；</w:t>
            </w:r>
          </w:p>
          <w:p w14:paraId="40EA88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制度较详细、基本全面，有利于项目实施得6分；</w:t>
            </w:r>
          </w:p>
          <w:p w14:paraId="13542C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制度针对性差、有欠缺得3分。</w:t>
            </w:r>
          </w:p>
          <w:p w14:paraId="71031A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未提供不得分。</w:t>
            </w:r>
          </w:p>
        </w:tc>
      </w:tr>
      <w:tr w14:paraId="07D9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8" w:type="dxa"/>
            <w:shd w:val="clear" w:color="auto" w:fill="auto"/>
            <w:noWrap w:val="0"/>
            <w:vAlign w:val="center"/>
          </w:tcPr>
          <w:p w14:paraId="1746815A">
            <w:pPr>
              <w:spacing w:line="360" w:lineRule="auto"/>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保密措施</w:t>
            </w:r>
          </w:p>
          <w:p w14:paraId="4DAD7F92">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（4分）</w:t>
            </w:r>
          </w:p>
        </w:tc>
        <w:tc>
          <w:tcPr>
            <w:tcW w:w="7422" w:type="dxa"/>
            <w:shd w:val="clear" w:color="auto" w:fill="auto"/>
            <w:noWrap w:val="0"/>
            <w:vAlign w:val="top"/>
          </w:tcPr>
          <w:p w14:paraId="09BC2F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供应商须保证参检人员所有信息数据不得外泄，提供体检过程中个人隐私信息保密方案及体检结果保密措施。</w:t>
            </w:r>
          </w:p>
          <w:p w14:paraId="135FC1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个人信息保密方案及结果保密措施完善、科学合理、可行性强，实施过程及成果安全性高得4分；</w:t>
            </w:r>
          </w:p>
          <w:p w14:paraId="52410C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个人信息保密方案及结果保密措施简单，实施过程及成果安全性不足得2分。</w:t>
            </w:r>
          </w:p>
          <w:p w14:paraId="79BF5D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未提供不得分。</w:t>
            </w:r>
          </w:p>
        </w:tc>
      </w:tr>
      <w:tr w14:paraId="7AA5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8" w:type="dxa"/>
            <w:shd w:val="clear" w:color="auto" w:fill="auto"/>
            <w:noWrap w:val="0"/>
            <w:vAlign w:val="center"/>
          </w:tcPr>
          <w:p w14:paraId="232DB7DB">
            <w:pPr>
              <w:spacing w:line="360" w:lineRule="auto"/>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合理化建议</w:t>
            </w:r>
          </w:p>
          <w:p w14:paraId="751F3285">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（6分）</w:t>
            </w:r>
          </w:p>
        </w:tc>
        <w:tc>
          <w:tcPr>
            <w:tcW w:w="7422" w:type="dxa"/>
            <w:shd w:val="clear" w:color="auto" w:fill="auto"/>
            <w:noWrap w:val="0"/>
            <w:vAlign w:val="top"/>
          </w:tcPr>
          <w:p w14:paraId="4CC99C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能对健康检查状况进行个体报告和群体汇总分析报告、提出专业健康指导合理建议及就诊绿色通道。</w:t>
            </w:r>
          </w:p>
          <w:p w14:paraId="694B65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内容详细、全面、细致程度精细而周密得6分；</w:t>
            </w:r>
          </w:p>
          <w:p w14:paraId="0E23059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内容较详细、细致程度一般得4分；</w:t>
            </w:r>
          </w:p>
          <w:p w14:paraId="145804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内容片面，不细致得2分。</w:t>
            </w:r>
          </w:p>
          <w:p w14:paraId="4DAF2E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未提供不得分。</w:t>
            </w:r>
          </w:p>
        </w:tc>
      </w:tr>
      <w:tr w14:paraId="1834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8" w:type="dxa"/>
            <w:shd w:val="clear" w:color="auto" w:fill="auto"/>
            <w:noWrap w:val="0"/>
            <w:vAlign w:val="center"/>
          </w:tcPr>
          <w:p w14:paraId="222DAB82">
            <w:pPr>
              <w:spacing w:line="360" w:lineRule="auto"/>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业绩</w:t>
            </w:r>
          </w:p>
          <w:p w14:paraId="3FFBB5C1">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（6分）</w:t>
            </w:r>
          </w:p>
        </w:tc>
        <w:tc>
          <w:tcPr>
            <w:tcW w:w="7422" w:type="dxa"/>
            <w:shd w:val="clear" w:color="auto" w:fill="auto"/>
            <w:noWrap w:val="0"/>
            <w:vAlign w:val="top"/>
          </w:tcPr>
          <w:p w14:paraId="19A6F1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提供自2022年1月至今的类似业绩</w:t>
            </w:r>
            <w:r>
              <w:rPr>
                <w:rFonts w:hint="eastAsia" w:ascii="宋体" w:hAnsi="宋体" w:cs="宋体"/>
                <w:sz w:val="21"/>
                <w:szCs w:val="21"/>
                <w:lang w:val="en-US" w:eastAsia="zh-CN"/>
              </w:rPr>
              <w:t>（以合同签订时间为准）</w:t>
            </w:r>
            <w:r>
              <w:rPr>
                <w:rFonts w:hint="eastAsia" w:ascii="宋体" w:hAnsi="宋体" w:eastAsia="宋体" w:cs="宋体"/>
                <w:sz w:val="21"/>
                <w:szCs w:val="21"/>
                <w:lang w:val="en-US" w:eastAsia="zh-CN"/>
              </w:rPr>
              <w:t>，每提供一份得2分，满分6分。业绩证明以磋商响应文件中加盖公章的合同复印件为准。未提供不得分。</w:t>
            </w:r>
          </w:p>
        </w:tc>
      </w:tr>
    </w:tbl>
    <w:p w14:paraId="1811D23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注：各种计算数字“四舍五入”保留两位小数。</w:t>
      </w:r>
    </w:p>
    <w:p w14:paraId="62CDA1D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7、在竞争性磋商中，出现下列情形之一的，应予废标：</w:t>
      </w:r>
    </w:p>
    <w:p w14:paraId="0218A9C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7.1最终磋商响应单位或对响应文件实质性响应不足3家的；</w:t>
      </w:r>
    </w:p>
    <w:p w14:paraId="1C324DC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7.2出现影响采购公正的违法、违规行为的；</w:t>
      </w:r>
    </w:p>
    <w:p w14:paraId="5A58148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7.3磋商响应单位的最终磋商报价超过采购预算或最高限价，采购人不能支付的；</w:t>
      </w:r>
    </w:p>
    <w:p w14:paraId="7A2AB6B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7.4因重大变故，采购任务取消的；</w:t>
      </w:r>
    </w:p>
    <w:p w14:paraId="40C7556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7.5法律、法规规定其他满足废标情况的。</w:t>
      </w:r>
    </w:p>
    <w:p w14:paraId="6F2341F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8、推荐成交候选人</w:t>
      </w:r>
    </w:p>
    <w:p w14:paraId="381ECFC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按评审后得分由高到低顺序排列。得分相同的，按磋商报价由低到高顺序排列。得分且磋商报价相同的，按技术指标优劣顺序排列。</w:t>
      </w:r>
    </w:p>
    <w:p w14:paraId="0F26459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9、评审报告</w:t>
      </w:r>
    </w:p>
    <w:p w14:paraId="2D4A493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磋商小组完成评审后，应当向</w:t>
      </w:r>
      <w:r>
        <w:rPr>
          <w:rFonts w:hint="eastAsia" w:ascii="宋体" w:hAnsi="宋体" w:cs="宋体"/>
          <w:b w:val="0"/>
          <w:bCs/>
          <w:sz w:val="24"/>
          <w:szCs w:val="24"/>
          <w:highlight w:val="none"/>
          <w:lang w:eastAsia="zh-CN"/>
        </w:rPr>
        <w:t>采购</w:t>
      </w:r>
      <w:r>
        <w:rPr>
          <w:rFonts w:hint="eastAsia" w:ascii="宋体" w:hAnsi="宋体" w:eastAsia="宋体" w:cs="宋体"/>
          <w:b w:val="0"/>
          <w:bCs/>
          <w:sz w:val="24"/>
          <w:szCs w:val="24"/>
          <w:highlight w:val="none"/>
          <w:lang w:eastAsia="zh-CN"/>
        </w:rPr>
        <w:t>人提交书面评审报告。评审报告应由全体磋商小组成员签字。</w:t>
      </w:r>
    </w:p>
    <w:p w14:paraId="3CCB8967">
      <w:pPr>
        <w:pStyle w:val="3"/>
        <w:bidi w:val="0"/>
        <w:rPr>
          <w:rFonts w:hint="eastAsia"/>
        </w:rPr>
      </w:pPr>
      <w:bookmarkStart w:id="16" w:name="_Toc444269702"/>
      <w:r>
        <w:rPr>
          <w:rFonts w:hint="eastAsia" w:ascii="宋体" w:hAnsi="宋体" w:eastAsia="宋体" w:cs="宋体"/>
          <w:szCs w:val="24"/>
          <w:lang w:val="zh-CN"/>
        </w:rPr>
        <w:br w:type="page"/>
      </w:r>
      <w:bookmarkStart w:id="17" w:name="_Toc4988"/>
      <w:bookmarkStart w:id="18" w:name="_Toc17956"/>
      <w:bookmarkStart w:id="19" w:name="_Toc18298"/>
      <w:r>
        <w:rPr>
          <w:rFonts w:hint="eastAsia"/>
          <w:lang w:val="zh-CN"/>
        </w:rPr>
        <w:t>第</w:t>
      </w:r>
      <w:r>
        <w:rPr>
          <w:rFonts w:hint="eastAsia"/>
          <w:lang w:val="en-US" w:eastAsia="zh-CN"/>
        </w:rPr>
        <w:t>四</w:t>
      </w:r>
      <w:r>
        <w:rPr>
          <w:rFonts w:hint="eastAsia"/>
          <w:lang w:val="zh-CN"/>
        </w:rPr>
        <w:t>章</w:t>
      </w:r>
      <w:r>
        <w:rPr>
          <w:rFonts w:hint="eastAsia"/>
          <w:lang w:val="en-US" w:eastAsia="zh-CN"/>
        </w:rPr>
        <w:t xml:space="preserve">  </w:t>
      </w:r>
      <w:r>
        <w:rPr>
          <w:rFonts w:hint="eastAsia"/>
        </w:rPr>
        <w:t>采购内容及要求</w:t>
      </w:r>
      <w:bookmarkEnd w:id="17"/>
      <w:bookmarkEnd w:id="18"/>
      <w:bookmarkEnd w:id="19"/>
    </w:p>
    <w:p w14:paraId="11ADD8A2">
      <w:pPr>
        <w:rPr>
          <w:rFonts w:hint="eastAsia" w:ascii="宋体" w:hAnsi="宋体" w:eastAsia="宋体" w:cs="宋体"/>
        </w:rPr>
      </w:pPr>
    </w:p>
    <w:p w14:paraId="1695F2D0">
      <w:pPr>
        <w:keepNext w:val="0"/>
        <w:keepLines w:val="0"/>
        <w:pageBreakBefore w:val="0"/>
        <w:numPr>
          <w:ilvl w:val="0"/>
          <w:numId w:val="4"/>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项目</w:t>
      </w:r>
      <w:r>
        <w:rPr>
          <w:rFonts w:hint="eastAsia" w:ascii="宋体" w:hAnsi="宋体" w:eastAsia="宋体" w:cs="宋体"/>
          <w:b/>
          <w:sz w:val="24"/>
          <w:szCs w:val="24"/>
          <w:highlight w:val="none"/>
        </w:rPr>
        <w:t>概况</w:t>
      </w:r>
    </w:p>
    <w:p w14:paraId="79D7753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1、学校位于西安市高陵区泾渭新城泾环南路8号。</w:t>
      </w:r>
    </w:p>
    <w:p w14:paraId="2253E1A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2、全校教职工</w:t>
      </w:r>
      <w:r>
        <w:rPr>
          <w:rFonts w:hint="eastAsia" w:ascii="宋体" w:hAnsi="宋体" w:cs="宋体"/>
          <w:b w:val="0"/>
          <w:bCs/>
          <w:sz w:val="24"/>
          <w:szCs w:val="24"/>
          <w:highlight w:val="none"/>
          <w:lang w:val="en-US" w:eastAsia="zh-CN"/>
        </w:rPr>
        <w:t>约210人</w:t>
      </w:r>
      <w:r>
        <w:rPr>
          <w:rFonts w:hint="eastAsia" w:ascii="宋体" w:hAnsi="宋体" w:eastAsia="宋体" w:cs="宋体"/>
          <w:b w:val="0"/>
          <w:bCs/>
          <w:sz w:val="24"/>
          <w:szCs w:val="24"/>
          <w:highlight w:val="none"/>
          <w:lang w:eastAsia="zh-CN"/>
        </w:rPr>
        <w:t>，其中男性</w:t>
      </w:r>
      <w:r>
        <w:rPr>
          <w:rFonts w:hint="eastAsia" w:ascii="宋体" w:hAnsi="宋体" w:cs="宋体"/>
          <w:b w:val="0"/>
          <w:bCs/>
          <w:sz w:val="24"/>
          <w:szCs w:val="24"/>
          <w:highlight w:val="none"/>
          <w:lang w:val="en-US" w:eastAsia="zh-CN"/>
        </w:rPr>
        <w:t>64</w:t>
      </w:r>
      <w:r>
        <w:rPr>
          <w:rFonts w:hint="eastAsia" w:ascii="宋体" w:hAnsi="宋体" w:eastAsia="宋体" w:cs="宋体"/>
          <w:b w:val="0"/>
          <w:bCs/>
          <w:sz w:val="24"/>
          <w:szCs w:val="24"/>
          <w:highlight w:val="none"/>
          <w:lang w:eastAsia="zh-CN"/>
        </w:rPr>
        <w:t>人，</w:t>
      </w:r>
      <w:r>
        <w:rPr>
          <w:rFonts w:hint="eastAsia" w:ascii="宋体" w:hAnsi="宋体" w:cs="宋体"/>
          <w:b w:val="0"/>
          <w:bCs/>
          <w:sz w:val="24"/>
          <w:szCs w:val="24"/>
          <w:highlight w:val="none"/>
          <w:lang w:eastAsia="zh-CN"/>
        </w:rPr>
        <w:t>未婚女士</w:t>
      </w:r>
      <w:r>
        <w:rPr>
          <w:rFonts w:hint="eastAsia" w:ascii="宋体" w:hAnsi="宋体" w:cs="宋体"/>
          <w:b w:val="0"/>
          <w:bCs/>
          <w:sz w:val="24"/>
          <w:szCs w:val="24"/>
          <w:highlight w:val="none"/>
          <w:lang w:val="en-US" w:eastAsia="zh-CN"/>
        </w:rPr>
        <w:t>50</w:t>
      </w:r>
      <w:r>
        <w:rPr>
          <w:rFonts w:hint="eastAsia" w:ascii="宋体" w:hAnsi="宋体" w:eastAsia="宋体" w:cs="宋体"/>
          <w:b w:val="0"/>
          <w:bCs/>
          <w:sz w:val="24"/>
          <w:szCs w:val="24"/>
          <w:highlight w:val="none"/>
          <w:lang w:eastAsia="zh-CN"/>
        </w:rPr>
        <w:t>人，已婚女性</w:t>
      </w:r>
      <w:r>
        <w:rPr>
          <w:rFonts w:hint="eastAsia" w:ascii="宋体" w:hAnsi="宋体" w:cs="宋体"/>
          <w:b w:val="0"/>
          <w:bCs/>
          <w:sz w:val="24"/>
          <w:szCs w:val="24"/>
          <w:highlight w:val="none"/>
          <w:lang w:val="en-US" w:eastAsia="zh-CN"/>
        </w:rPr>
        <w:t>96</w:t>
      </w:r>
      <w:r>
        <w:rPr>
          <w:rFonts w:hint="eastAsia" w:ascii="宋体" w:hAnsi="宋体" w:eastAsia="宋体" w:cs="宋体"/>
          <w:b w:val="0"/>
          <w:bCs/>
          <w:sz w:val="24"/>
          <w:szCs w:val="24"/>
          <w:highlight w:val="none"/>
          <w:lang w:val="en-US" w:eastAsia="zh-CN"/>
        </w:rPr>
        <w:t>人</w:t>
      </w:r>
      <w:r>
        <w:rPr>
          <w:rFonts w:hint="eastAsia" w:ascii="宋体" w:hAnsi="宋体" w:eastAsia="宋体" w:cs="宋体"/>
          <w:b w:val="0"/>
          <w:bCs/>
          <w:sz w:val="24"/>
          <w:szCs w:val="24"/>
          <w:highlight w:val="none"/>
          <w:lang w:eastAsia="zh-CN"/>
        </w:rPr>
        <w:t>。</w:t>
      </w:r>
    </w:p>
    <w:p w14:paraId="0DA6BC6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3、体检项目：分为男士、</w:t>
      </w:r>
      <w:r>
        <w:rPr>
          <w:rFonts w:hint="eastAsia" w:ascii="宋体" w:hAnsi="宋体" w:cs="宋体"/>
          <w:b w:val="0"/>
          <w:bCs/>
          <w:sz w:val="24"/>
          <w:szCs w:val="24"/>
          <w:highlight w:val="none"/>
          <w:lang w:eastAsia="zh-CN"/>
        </w:rPr>
        <w:t>未婚女士、已婚女士</w:t>
      </w:r>
      <w:r>
        <w:rPr>
          <w:rFonts w:hint="eastAsia" w:ascii="宋体" w:hAnsi="宋体" w:eastAsia="宋体" w:cs="宋体"/>
          <w:b w:val="0"/>
          <w:bCs/>
          <w:sz w:val="24"/>
          <w:szCs w:val="24"/>
          <w:highlight w:val="none"/>
          <w:lang w:eastAsia="zh-CN"/>
        </w:rPr>
        <w:t>三类。</w:t>
      </w:r>
    </w:p>
    <w:p w14:paraId="55B2B75F">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sz w:val="24"/>
          <w:szCs w:val="24"/>
          <w:highlight w:val="none"/>
          <w:lang w:val="en-US" w:eastAsia="zh-CN"/>
        </w:rPr>
      </w:pPr>
      <w:r>
        <w:rPr>
          <w:rFonts w:hint="eastAsia" w:ascii="宋体" w:hAnsi="宋体" w:eastAsia="宋体" w:cs="宋体"/>
          <w:b/>
          <w:sz w:val="24"/>
          <w:szCs w:val="24"/>
          <w:highlight w:val="none"/>
          <w:lang w:eastAsia="zh-CN"/>
        </w:rPr>
        <w:t>二、</w:t>
      </w:r>
      <w:r>
        <w:rPr>
          <w:rFonts w:hint="eastAsia" w:ascii="宋体" w:hAnsi="宋体" w:cs="宋体"/>
          <w:b/>
          <w:sz w:val="24"/>
          <w:szCs w:val="24"/>
          <w:highlight w:val="none"/>
          <w:lang w:val="en-US" w:eastAsia="zh-CN"/>
        </w:rPr>
        <w:t>商务要求</w:t>
      </w:r>
    </w:p>
    <w:p w14:paraId="32FF1F0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eastAsia="zh-CN"/>
        </w:rPr>
        <w:t>服务期</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合同签订之日起1个月内</w:t>
      </w:r>
      <w:r>
        <w:rPr>
          <w:rFonts w:hint="eastAsia" w:ascii="宋体" w:hAnsi="宋体" w:eastAsia="宋体" w:cs="宋体"/>
          <w:b w:val="0"/>
          <w:bCs/>
          <w:sz w:val="24"/>
          <w:szCs w:val="24"/>
          <w:highlight w:val="none"/>
          <w:lang w:val="en-US" w:eastAsia="zh-CN"/>
        </w:rPr>
        <w:t>。</w:t>
      </w:r>
    </w:p>
    <w:p w14:paraId="2D21E10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注：</w:t>
      </w:r>
      <w:r>
        <w:rPr>
          <w:rFonts w:hint="eastAsia" w:ascii="宋体" w:hAnsi="宋体" w:eastAsia="宋体" w:cs="宋体"/>
          <w:b w:val="0"/>
          <w:bCs/>
          <w:sz w:val="24"/>
          <w:szCs w:val="24"/>
          <w:highlight w:val="none"/>
          <w:lang w:val="en-US" w:eastAsia="zh-CN"/>
        </w:rPr>
        <w:t>针对已列入本项目体检名单的职工，若因符合法律法规规定的不可抗力因素,导致未能在上述</w:t>
      </w:r>
      <w:r>
        <w:rPr>
          <w:rFonts w:hint="eastAsia" w:ascii="宋体" w:hAnsi="宋体" w:cs="宋体"/>
          <w:b w:val="0"/>
          <w:bCs/>
          <w:sz w:val="24"/>
          <w:szCs w:val="24"/>
          <w:highlight w:val="none"/>
          <w:lang w:val="en-US" w:eastAsia="zh-CN"/>
        </w:rPr>
        <w:t>期限内</w:t>
      </w:r>
      <w:r>
        <w:rPr>
          <w:rFonts w:hint="eastAsia" w:ascii="宋体" w:hAnsi="宋体" w:eastAsia="宋体" w:cs="宋体"/>
          <w:b w:val="0"/>
          <w:bCs/>
          <w:sz w:val="24"/>
          <w:szCs w:val="24"/>
          <w:highlight w:val="none"/>
          <w:lang w:val="en-US" w:eastAsia="zh-CN"/>
        </w:rPr>
        <w:t>完成体检的，其体检服务可顺延。顺延期间的体检服务标准与原服务期限内保持一致。</w:t>
      </w:r>
    </w:p>
    <w:p w14:paraId="00041E7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如果成交供应商提供的服务达不到采购人要求，或发生不良反响的体检事件超过3人以上，采购人有权终止合同。采购人不保证成交供应商的体检人数。</w:t>
      </w:r>
    </w:p>
    <w:p w14:paraId="0281E3D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2、服务地点：成交供应商的体检场地。</w:t>
      </w:r>
    </w:p>
    <w:p w14:paraId="6B76FC06">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3、</w:t>
      </w:r>
      <w:r>
        <w:rPr>
          <w:rFonts w:hint="eastAsia" w:ascii="宋体" w:hAnsi="宋体" w:eastAsia="宋体" w:cs="宋体"/>
          <w:b w:val="0"/>
          <w:bCs/>
          <w:kern w:val="2"/>
          <w:sz w:val="24"/>
          <w:szCs w:val="24"/>
          <w:highlight w:val="none"/>
          <w:lang w:val="en-US" w:eastAsia="zh-CN" w:bidi="ar-SA"/>
        </w:rPr>
        <w:t>服务标准：</w:t>
      </w:r>
      <w:r>
        <w:rPr>
          <w:rFonts w:hint="eastAsia" w:ascii="宋体" w:hAnsi="宋体" w:cs="宋体"/>
          <w:b w:val="0"/>
          <w:bCs/>
          <w:kern w:val="2"/>
          <w:sz w:val="24"/>
          <w:szCs w:val="24"/>
          <w:highlight w:val="none"/>
          <w:lang w:val="en-US" w:eastAsia="zh-CN" w:bidi="ar-SA"/>
        </w:rPr>
        <w:t>达到国家及行业规范合格标准</w:t>
      </w:r>
      <w:r>
        <w:rPr>
          <w:rFonts w:hint="eastAsia" w:ascii="宋体" w:hAnsi="宋体" w:eastAsia="宋体" w:cs="宋体"/>
          <w:b w:val="0"/>
          <w:bCs/>
          <w:kern w:val="2"/>
          <w:sz w:val="24"/>
          <w:szCs w:val="24"/>
          <w:highlight w:val="none"/>
          <w:lang w:val="en-US" w:eastAsia="zh-CN" w:bidi="ar-SA"/>
        </w:rPr>
        <w:t>。</w:t>
      </w:r>
    </w:p>
    <w:p w14:paraId="7649584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4、付款方式：</w:t>
      </w:r>
    </w:p>
    <w:p w14:paraId="3180B239">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结算单位：采购人结算，在付款前必须开具等额发票给采购人。</w:t>
      </w:r>
    </w:p>
    <w:p w14:paraId="0DE59AB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结算方式：体检服务完成后采购人向成交供应商一次性付款，采购人最终付款金额根据单价及实际体检人数进行据实结算。</w:t>
      </w:r>
    </w:p>
    <w:p w14:paraId="4435B6E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5、需执行的相关标准和规范：按照国家规定的相关医疗规范标准执行。</w:t>
      </w:r>
    </w:p>
    <w:p w14:paraId="70B38649">
      <w:pPr>
        <w:pStyle w:val="48"/>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hint="default" w:ascii="宋体" w:hAnsi="宋体" w:eastAsia="宋体" w:cs="宋体"/>
          <w:sz w:val="24"/>
          <w:szCs w:val="24"/>
          <w:highlight w:val="none"/>
          <w:lang w:val="en-US" w:eastAsia="zh-CN"/>
        </w:rPr>
      </w:pPr>
      <w:r>
        <w:rPr>
          <w:rFonts w:hint="eastAsia" w:ascii="宋体" w:hAnsi="宋体" w:cs="宋体"/>
          <w:b/>
          <w:kern w:val="2"/>
          <w:sz w:val="24"/>
          <w:szCs w:val="24"/>
          <w:highlight w:val="none"/>
          <w:lang w:val="en-US" w:eastAsia="zh-CN" w:bidi="ar-SA"/>
        </w:rPr>
        <w:t>三</w:t>
      </w:r>
      <w:r>
        <w:rPr>
          <w:rFonts w:hint="eastAsia" w:ascii="宋体" w:hAnsi="宋体" w:eastAsia="宋体" w:cs="宋体"/>
          <w:b/>
          <w:kern w:val="2"/>
          <w:sz w:val="24"/>
          <w:szCs w:val="24"/>
          <w:highlight w:val="none"/>
          <w:lang w:val="en-US" w:eastAsia="zh-CN" w:bidi="ar-SA"/>
        </w:rPr>
        <w:t>、</w:t>
      </w:r>
      <w:r>
        <w:rPr>
          <w:rFonts w:hint="eastAsia" w:ascii="宋体" w:hAnsi="宋体" w:cs="宋体"/>
          <w:b/>
          <w:kern w:val="2"/>
          <w:sz w:val="24"/>
          <w:szCs w:val="24"/>
          <w:highlight w:val="none"/>
          <w:lang w:val="en-US" w:eastAsia="zh-CN" w:bidi="ar-SA"/>
        </w:rPr>
        <w:t>体检项目</w:t>
      </w:r>
    </w:p>
    <w:p w14:paraId="7612C12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bookmarkStart w:id="20" w:name="_Toc26337"/>
      <w:bookmarkStart w:id="21" w:name="_Toc20007"/>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eastAsia="zh-CN"/>
        </w:rPr>
        <w:t>男士项目</w:t>
      </w:r>
    </w:p>
    <w:p w14:paraId="7B0C8C3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体检常规及</w:t>
      </w:r>
      <w:r>
        <w:rPr>
          <w:rFonts w:hint="eastAsia" w:ascii="宋体" w:hAnsi="宋体" w:cs="宋体"/>
          <w:b w:val="0"/>
          <w:bCs/>
          <w:sz w:val="24"/>
          <w:szCs w:val="24"/>
          <w:highlight w:val="none"/>
          <w:lang w:val="en-US" w:eastAsia="zh-CN"/>
        </w:rPr>
        <w:t>总检</w:t>
      </w:r>
      <w:r>
        <w:rPr>
          <w:rFonts w:hint="eastAsia" w:ascii="宋体" w:hAnsi="宋体" w:eastAsia="宋体" w:cs="宋体"/>
          <w:b w:val="0"/>
          <w:bCs/>
          <w:sz w:val="24"/>
          <w:szCs w:val="24"/>
          <w:highlight w:val="none"/>
          <w:lang w:eastAsia="zh-CN"/>
        </w:rPr>
        <w:t>报告、</w:t>
      </w:r>
      <w:r>
        <w:rPr>
          <w:rFonts w:hint="eastAsia" w:ascii="宋体" w:hAnsi="宋体" w:eastAsia="宋体" w:cs="宋体"/>
          <w:b w:val="0"/>
          <w:bCs/>
          <w:sz w:val="24"/>
          <w:szCs w:val="24"/>
          <w:highlight w:val="none"/>
          <w:lang w:val="en-US" w:eastAsia="zh-CN"/>
        </w:rPr>
        <w:t>眼底检查</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eastAsia="zh-CN"/>
        </w:rPr>
        <w:t>心电图、碳13尿素呼吸实验、血常规、血脂</w:t>
      </w:r>
      <w:r>
        <w:rPr>
          <w:rFonts w:hint="eastAsia" w:ascii="宋体" w:hAnsi="宋体" w:cs="宋体"/>
          <w:b w:val="0"/>
          <w:bCs/>
          <w:sz w:val="24"/>
          <w:szCs w:val="24"/>
          <w:highlight w:val="none"/>
          <w:lang w:val="en-US" w:eastAsia="zh-CN"/>
        </w:rPr>
        <w:t>四项</w:t>
      </w:r>
      <w:r>
        <w:rPr>
          <w:rFonts w:hint="eastAsia" w:ascii="宋体" w:hAnsi="宋体" w:eastAsia="宋体" w:cs="宋体"/>
          <w:b w:val="0"/>
          <w:bCs/>
          <w:sz w:val="24"/>
          <w:szCs w:val="24"/>
          <w:highlight w:val="none"/>
          <w:lang w:eastAsia="zh-CN"/>
        </w:rPr>
        <w:t>筛查、尿常规、肝功</w:t>
      </w:r>
      <w:r>
        <w:rPr>
          <w:rFonts w:hint="eastAsia" w:ascii="宋体" w:hAnsi="宋体" w:cs="宋体"/>
          <w:b w:val="0"/>
          <w:bCs/>
          <w:sz w:val="24"/>
          <w:szCs w:val="24"/>
          <w:highlight w:val="none"/>
          <w:lang w:val="en-US" w:eastAsia="zh-CN"/>
        </w:rPr>
        <w:t>六项</w:t>
      </w:r>
      <w:r>
        <w:rPr>
          <w:rFonts w:hint="eastAsia" w:ascii="宋体" w:hAnsi="宋体" w:eastAsia="宋体" w:cs="宋体"/>
          <w:b w:val="0"/>
          <w:bCs/>
          <w:sz w:val="24"/>
          <w:szCs w:val="24"/>
          <w:highlight w:val="none"/>
          <w:lang w:eastAsia="zh-CN"/>
        </w:rPr>
        <w:t>筛查、</w:t>
      </w:r>
      <w:r>
        <w:rPr>
          <w:rFonts w:hint="eastAsia" w:ascii="宋体" w:hAnsi="宋体" w:eastAsia="宋体" w:cs="宋体"/>
          <w:b w:val="0"/>
          <w:bCs/>
          <w:sz w:val="24"/>
          <w:szCs w:val="24"/>
          <w:highlight w:val="none"/>
          <w:lang w:val="en-US" w:eastAsia="zh-CN"/>
        </w:rPr>
        <w:t>空腹血糖</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eastAsia="zh-CN"/>
        </w:rPr>
        <w:t>肾功</w:t>
      </w:r>
      <w:r>
        <w:rPr>
          <w:rFonts w:hint="eastAsia" w:ascii="宋体" w:hAnsi="宋体" w:cs="宋体"/>
          <w:b w:val="0"/>
          <w:bCs/>
          <w:sz w:val="24"/>
          <w:szCs w:val="24"/>
          <w:highlight w:val="none"/>
          <w:lang w:val="en-US" w:eastAsia="zh-CN"/>
        </w:rPr>
        <w:t>两项</w:t>
      </w:r>
      <w:r>
        <w:rPr>
          <w:rFonts w:hint="eastAsia" w:ascii="宋体" w:hAnsi="宋体" w:eastAsia="宋体" w:cs="宋体"/>
          <w:b w:val="0"/>
          <w:bCs/>
          <w:sz w:val="24"/>
          <w:szCs w:val="24"/>
          <w:highlight w:val="none"/>
          <w:lang w:eastAsia="zh-CN"/>
        </w:rPr>
        <w:t>筛查、血清尿酸、肝癌筛查、乙肝定性</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lang w:eastAsia="zh-CN"/>
        </w:rPr>
        <w:t>癌胚抗原</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CEA）</w:t>
      </w:r>
      <w:r>
        <w:rPr>
          <w:rFonts w:hint="eastAsia" w:ascii="宋体" w:hAnsi="宋体" w:eastAsia="宋体" w:cs="宋体"/>
          <w:b w:val="0"/>
          <w:bCs/>
          <w:sz w:val="24"/>
          <w:szCs w:val="24"/>
          <w:highlight w:val="none"/>
          <w:lang w:eastAsia="zh-CN"/>
        </w:rPr>
        <w:t>、游离前列腺特异抗原PSA、</w:t>
      </w:r>
      <w:r>
        <w:rPr>
          <w:rFonts w:hint="eastAsia" w:ascii="宋体" w:hAnsi="宋体" w:eastAsia="宋体" w:cs="宋体"/>
          <w:b w:val="0"/>
          <w:bCs/>
          <w:sz w:val="24"/>
          <w:szCs w:val="24"/>
          <w:highlight w:val="none"/>
          <w:lang w:val="en-US" w:eastAsia="zh-CN"/>
        </w:rPr>
        <w:t>CA199</w:t>
      </w:r>
      <w:r>
        <w:rPr>
          <w:rFonts w:hint="eastAsia" w:ascii="宋体" w:hAnsi="宋体" w:cs="宋体"/>
          <w:b w:val="0"/>
          <w:bCs/>
          <w:sz w:val="24"/>
          <w:szCs w:val="24"/>
          <w:highlight w:val="none"/>
          <w:lang w:val="en-US" w:eastAsia="zh-CN"/>
        </w:rPr>
        <w:t>、心肌酶谱、</w:t>
      </w:r>
      <w:r>
        <w:rPr>
          <w:rFonts w:hint="eastAsia" w:ascii="宋体" w:hAnsi="宋体" w:eastAsia="宋体" w:cs="宋体"/>
          <w:b w:val="0"/>
          <w:bCs/>
          <w:sz w:val="24"/>
          <w:szCs w:val="24"/>
          <w:highlight w:val="none"/>
          <w:lang w:eastAsia="zh-CN"/>
        </w:rPr>
        <w:t>腹部彩超（无双肾）、</w:t>
      </w:r>
      <w:r>
        <w:rPr>
          <w:rFonts w:hint="eastAsia" w:ascii="宋体" w:hAnsi="宋体" w:cs="宋体"/>
          <w:b w:val="0"/>
          <w:bCs/>
          <w:sz w:val="24"/>
          <w:szCs w:val="24"/>
          <w:highlight w:val="none"/>
          <w:lang w:val="en-US" w:eastAsia="zh-CN"/>
        </w:rPr>
        <w:t>男性</w:t>
      </w:r>
      <w:r>
        <w:rPr>
          <w:rFonts w:hint="eastAsia" w:ascii="宋体" w:hAnsi="宋体" w:eastAsia="宋体" w:cs="宋体"/>
          <w:b w:val="0"/>
          <w:bCs/>
          <w:sz w:val="24"/>
          <w:szCs w:val="24"/>
          <w:highlight w:val="none"/>
          <w:lang w:eastAsia="zh-CN"/>
        </w:rPr>
        <w:t>泌尿彩超、甲状腺彩超</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lang w:eastAsia="zh-CN"/>
        </w:rPr>
        <w:t>心脏彩超、DR胸部正位拍片。</w:t>
      </w:r>
    </w:p>
    <w:p w14:paraId="036A602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2、已婚</w:t>
      </w:r>
      <w:r>
        <w:rPr>
          <w:rFonts w:hint="eastAsia" w:ascii="宋体" w:hAnsi="宋体" w:eastAsia="宋体" w:cs="宋体"/>
          <w:b w:val="0"/>
          <w:bCs/>
          <w:sz w:val="24"/>
          <w:szCs w:val="24"/>
          <w:highlight w:val="none"/>
          <w:lang w:eastAsia="zh-CN"/>
        </w:rPr>
        <w:t>女士项目</w:t>
      </w:r>
    </w:p>
    <w:p w14:paraId="1EE116D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体检常规及</w:t>
      </w:r>
      <w:r>
        <w:rPr>
          <w:rFonts w:hint="eastAsia" w:ascii="宋体" w:hAnsi="宋体" w:eastAsia="宋体" w:cs="宋体"/>
          <w:b w:val="0"/>
          <w:bCs/>
          <w:sz w:val="24"/>
          <w:szCs w:val="24"/>
          <w:highlight w:val="none"/>
          <w:lang w:val="en-US" w:eastAsia="zh-CN"/>
        </w:rPr>
        <w:t>总检</w:t>
      </w:r>
      <w:r>
        <w:rPr>
          <w:rFonts w:hint="eastAsia" w:ascii="宋体" w:hAnsi="宋体" w:eastAsia="宋体" w:cs="宋体"/>
          <w:b w:val="0"/>
          <w:bCs/>
          <w:sz w:val="24"/>
          <w:szCs w:val="24"/>
          <w:highlight w:val="none"/>
          <w:lang w:eastAsia="zh-CN"/>
        </w:rPr>
        <w:t>报告、</w:t>
      </w:r>
      <w:r>
        <w:rPr>
          <w:rFonts w:hint="eastAsia" w:ascii="宋体" w:hAnsi="宋体" w:eastAsia="宋体" w:cs="宋体"/>
          <w:b w:val="0"/>
          <w:bCs/>
          <w:sz w:val="24"/>
          <w:szCs w:val="24"/>
          <w:highlight w:val="none"/>
          <w:lang w:val="en-US" w:eastAsia="zh-CN"/>
        </w:rPr>
        <w:t>眼底检查</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eastAsia="zh-CN"/>
        </w:rPr>
        <w:t>心电图、碳13尿素呼吸实验、血常规、血脂</w:t>
      </w:r>
      <w:r>
        <w:rPr>
          <w:rFonts w:hint="eastAsia" w:ascii="宋体" w:hAnsi="宋体" w:eastAsia="宋体" w:cs="宋体"/>
          <w:b w:val="0"/>
          <w:bCs/>
          <w:sz w:val="24"/>
          <w:szCs w:val="24"/>
          <w:highlight w:val="none"/>
          <w:lang w:val="en-US" w:eastAsia="zh-CN"/>
        </w:rPr>
        <w:t>四项</w:t>
      </w:r>
      <w:r>
        <w:rPr>
          <w:rFonts w:hint="eastAsia" w:ascii="宋体" w:hAnsi="宋体" w:eastAsia="宋体" w:cs="宋体"/>
          <w:b w:val="0"/>
          <w:bCs/>
          <w:sz w:val="24"/>
          <w:szCs w:val="24"/>
          <w:highlight w:val="none"/>
          <w:lang w:eastAsia="zh-CN"/>
        </w:rPr>
        <w:t>筛查、尿常规、肝功</w:t>
      </w:r>
      <w:r>
        <w:rPr>
          <w:rFonts w:hint="eastAsia" w:ascii="宋体" w:hAnsi="宋体" w:eastAsia="宋体" w:cs="宋体"/>
          <w:b w:val="0"/>
          <w:bCs/>
          <w:sz w:val="24"/>
          <w:szCs w:val="24"/>
          <w:highlight w:val="none"/>
          <w:lang w:val="en-US" w:eastAsia="zh-CN"/>
        </w:rPr>
        <w:t>六项</w:t>
      </w:r>
      <w:r>
        <w:rPr>
          <w:rFonts w:hint="eastAsia" w:ascii="宋体" w:hAnsi="宋体" w:eastAsia="宋体" w:cs="宋体"/>
          <w:b w:val="0"/>
          <w:bCs/>
          <w:sz w:val="24"/>
          <w:szCs w:val="24"/>
          <w:highlight w:val="none"/>
          <w:lang w:eastAsia="zh-CN"/>
        </w:rPr>
        <w:t>筛查、</w:t>
      </w:r>
      <w:r>
        <w:rPr>
          <w:rFonts w:hint="eastAsia" w:ascii="宋体" w:hAnsi="宋体" w:eastAsia="宋体" w:cs="宋体"/>
          <w:b w:val="0"/>
          <w:bCs/>
          <w:sz w:val="24"/>
          <w:szCs w:val="24"/>
          <w:highlight w:val="none"/>
          <w:lang w:val="en-US" w:eastAsia="zh-CN"/>
        </w:rPr>
        <w:t>空腹血糖、</w:t>
      </w:r>
      <w:r>
        <w:rPr>
          <w:rFonts w:hint="eastAsia" w:ascii="宋体" w:hAnsi="宋体" w:eastAsia="宋体" w:cs="宋体"/>
          <w:b w:val="0"/>
          <w:bCs/>
          <w:sz w:val="24"/>
          <w:szCs w:val="24"/>
          <w:highlight w:val="none"/>
          <w:lang w:eastAsia="zh-CN"/>
        </w:rPr>
        <w:t>肾功</w:t>
      </w:r>
      <w:r>
        <w:rPr>
          <w:rFonts w:hint="eastAsia" w:ascii="宋体" w:hAnsi="宋体" w:eastAsia="宋体" w:cs="宋体"/>
          <w:b w:val="0"/>
          <w:bCs/>
          <w:sz w:val="24"/>
          <w:szCs w:val="24"/>
          <w:highlight w:val="none"/>
          <w:lang w:val="en-US" w:eastAsia="zh-CN"/>
        </w:rPr>
        <w:t>两项</w:t>
      </w:r>
      <w:r>
        <w:rPr>
          <w:rFonts w:hint="eastAsia" w:ascii="宋体" w:hAnsi="宋体" w:eastAsia="宋体" w:cs="宋体"/>
          <w:b w:val="0"/>
          <w:bCs/>
          <w:sz w:val="24"/>
          <w:szCs w:val="24"/>
          <w:highlight w:val="none"/>
          <w:lang w:eastAsia="zh-CN"/>
        </w:rPr>
        <w:t>筛查、血清尿酸、乙肝定性、癌胚抗原（</w:t>
      </w:r>
      <w:r>
        <w:rPr>
          <w:rFonts w:hint="eastAsia" w:ascii="宋体" w:hAnsi="宋体" w:eastAsia="宋体" w:cs="宋体"/>
          <w:b w:val="0"/>
          <w:bCs/>
          <w:sz w:val="24"/>
          <w:szCs w:val="24"/>
          <w:highlight w:val="none"/>
          <w:lang w:val="en-US" w:eastAsia="zh-CN"/>
        </w:rPr>
        <w:t>CEA）</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eastAsia="zh-CN"/>
        </w:rPr>
        <w:t>腹部彩超（无双肾）、女性（子宫、附件）、甲状腺彩超、心脏彩超、DR胸部正位拍片、妇科检查、妇科液基细胞学检查。</w:t>
      </w:r>
    </w:p>
    <w:p w14:paraId="2017D26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3、</w:t>
      </w:r>
      <w:r>
        <w:rPr>
          <w:rFonts w:hint="eastAsia" w:ascii="宋体" w:hAnsi="宋体" w:cs="宋体"/>
          <w:b w:val="0"/>
          <w:bCs/>
          <w:sz w:val="24"/>
          <w:szCs w:val="24"/>
          <w:highlight w:val="none"/>
          <w:lang w:eastAsia="zh-CN"/>
        </w:rPr>
        <w:t>未婚女士</w:t>
      </w:r>
      <w:r>
        <w:rPr>
          <w:rFonts w:hint="eastAsia" w:ascii="宋体" w:hAnsi="宋体" w:eastAsia="宋体" w:cs="宋体"/>
          <w:b w:val="0"/>
          <w:bCs/>
          <w:sz w:val="24"/>
          <w:szCs w:val="24"/>
          <w:highlight w:val="none"/>
          <w:lang w:eastAsia="zh-CN"/>
        </w:rPr>
        <w:t>项目</w:t>
      </w:r>
    </w:p>
    <w:p w14:paraId="58E3FBF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体检常规及</w:t>
      </w:r>
      <w:r>
        <w:rPr>
          <w:rFonts w:hint="eastAsia" w:ascii="宋体" w:hAnsi="宋体" w:eastAsia="宋体" w:cs="宋体"/>
          <w:b w:val="0"/>
          <w:bCs/>
          <w:sz w:val="24"/>
          <w:szCs w:val="24"/>
          <w:highlight w:val="none"/>
          <w:lang w:val="en-US" w:eastAsia="zh-CN"/>
        </w:rPr>
        <w:t>总检</w:t>
      </w:r>
      <w:r>
        <w:rPr>
          <w:rFonts w:hint="eastAsia" w:ascii="宋体" w:hAnsi="宋体" w:eastAsia="宋体" w:cs="宋体"/>
          <w:b w:val="0"/>
          <w:bCs/>
          <w:sz w:val="24"/>
          <w:szCs w:val="24"/>
          <w:highlight w:val="none"/>
          <w:lang w:eastAsia="zh-CN"/>
        </w:rPr>
        <w:t>报告、</w:t>
      </w:r>
      <w:r>
        <w:rPr>
          <w:rFonts w:hint="eastAsia" w:ascii="宋体" w:hAnsi="宋体" w:eastAsia="宋体" w:cs="宋体"/>
          <w:b w:val="0"/>
          <w:bCs/>
          <w:sz w:val="24"/>
          <w:szCs w:val="24"/>
          <w:highlight w:val="none"/>
          <w:lang w:val="en-US" w:eastAsia="zh-CN"/>
        </w:rPr>
        <w:t>眼底检查</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eastAsia="zh-CN"/>
        </w:rPr>
        <w:t>心电图、碳13尿素呼吸实验、血常规、血脂</w:t>
      </w:r>
      <w:r>
        <w:rPr>
          <w:rFonts w:hint="eastAsia" w:ascii="宋体" w:hAnsi="宋体" w:eastAsia="宋体" w:cs="宋体"/>
          <w:b w:val="0"/>
          <w:bCs/>
          <w:sz w:val="24"/>
          <w:szCs w:val="24"/>
          <w:highlight w:val="none"/>
          <w:lang w:val="en-US" w:eastAsia="zh-CN"/>
        </w:rPr>
        <w:t>四项</w:t>
      </w:r>
      <w:r>
        <w:rPr>
          <w:rFonts w:hint="eastAsia" w:ascii="宋体" w:hAnsi="宋体" w:eastAsia="宋体" w:cs="宋体"/>
          <w:b w:val="0"/>
          <w:bCs/>
          <w:sz w:val="24"/>
          <w:szCs w:val="24"/>
          <w:highlight w:val="none"/>
          <w:lang w:eastAsia="zh-CN"/>
        </w:rPr>
        <w:t>筛查、尿常规、肝功</w:t>
      </w:r>
      <w:r>
        <w:rPr>
          <w:rFonts w:hint="eastAsia" w:ascii="宋体" w:hAnsi="宋体" w:eastAsia="宋体" w:cs="宋体"/>
          <w:b w:val="0"/>
          <w:bCs/>
          <w:sz w:val="24"/>
          <w:szCs w:val="24"/>
          <w:highlight w:val="none"/>
          <w:lang w:val="en-US" w:eastAsia="zh-CN"/>
        </w:rPr>
        <w:t>六项</w:t>
      </w:r>
      <w:r>
        <w:rPr>
          <w:rFonts w:hint="eastAsia" w:ascii="宋体" w:hAnsi="宋体" w:eastAsia="宋体" w:cs="宋体"/>
          <w:b w:val="0"/>
          <w:bCs/>
          <w:sz w:val="24"/>
          <w:szCs w:val="24"/>
          <w:highlight w:val="none"/>
          <w:lang w:eastAsia="zh-CN"/>
        </w:rPr>
        <w:t>筛查、</w:t>
      </w:r>
      <w:r>
        <w:rPr>
          <w:rFonts w:hint="eastAsia" w:ascii="宋体" w:hAnsi="宋体" w:eastAsia="宋体" w:cs="宋体"/>
          <w:b w:val="0"/>
          <w:bCs/>
          <w:sz w:val="24"/>
          <w:szCs w:val="24"/>
          <w:highlight w:val="none"/>
          <w:lang w:val="en-US" w:eastAsia="zh-CN"/>
        </w:rPr>
        <w:t>空腹血糖、</w:t>
      </w:r>
      <w:r>
        <w:rPr>
          <w:rFonts w:hint="eastAsia" w:ascii="宋体" w:hAnsi="宋体" w:eastAsia="宋体" w:cs="宋体"/>
          <w:b w:val="0"/>
          <w:bCs/>
          <w:sz w:val="24"/>
          <w:szCs w:val="24"/>
          <w:highlight w:val="none"/>
          <w:lang w:eastAsia="zh-CN"/>
        </w:rPr>
        <w:t>肾功</w:t>
      </w:r>
      <w:r>
        <w:rPr>
          <w:rFonts w:hint="eastAsia" w:ascii="宋体" w:hAnsi="宋体" w:eastAsia="宋体" w:cs="宋体"/>
          <w:b w:val="0"/>
          <w:bCs/>
          <w:sz w:val="24"/>
          <w:szCs w:val="24"/>
          <w:highlight w:val="none"/>
          <w:lang w:val="en-US" w:eastAsia="zh-CN"/>
        </w:rPr>
        <w:t>两项</w:t>
      </w:r>
      <w:r>
        <w:rPr>
          <w:rFonts w:hint="eastAsia" w:ascii="宋体" w:hAnsi="宋体" w:eastAsia="宋体" w:cs="宋体"/>
          <w:b w:val="0"/>
          <w:bCs/>
          <w:sz w:val="24"/>
          <w:szCs w:val="24"/>
          <w:highlight w:val="none"/>
          <w:lang w:eastAsia="zh-CN"/>
        </w:rPr>
        <w:t>筛查、血清尿酸、肝癌筛查、乙肝定性、癌胚抗原（</w:t>
      </w:r>
      <w:r>
        <w:rPr>
          <w:rFonts w:hint="eastAsia" w:ascii="宋体" w:hAnsi="宋体" w:eastAsia="宋体" w:cs="宋体"/>
          <w:b w:val="0"/>
          <w:bCs/>
          <w:sz w:val="24"/>
          <w:szCs w:val="24"/>
          <w:highlight w:val="none"/>
          <w:lang w:val="en-US" w:eastAsia="zh-CN"/>
        </w:rPr>
        <w:t>CEA）</w:t>
      </w:r>
      <w:r>
        <w:rPr>
          <w:rFonts w:hint="eastAsia" w:ascii="宋体" w:hAnsi="宋体" w:eastAsia="宋体" w:cs="宋体"/>
          <w:b w:val="0"/>
          <w:bCs/>
          <w:sz w:val="24"/>
          <w:szCs w:val="24"/>
          <w:highlight w:val="none"/>
          <w:lang w:eastAsia="zh-CN"/>
        </w:rPr>
        <w:t>、CA125、</w:t>
      </w:r>
      <w:r>
        <w:rPr>
          <w:rFonts w:hint="eastAsia" w:ascii="宋体" w:hAnsi="宋体" w:eastAsia="宋体" w:cs="宋体"/>
          <w:b w:val="0"/>
          <w:bCs/>
          <w:sz w:val="24"/>
          <w:szCs w:val="24"/>
          <w:highlight w:val="none"/>
          <w:lang w:val="en-US" w:eastAsia="zh-CN"/>
        </w:rPr>
        <w:t>CA199、心肌酶谱、</w:t>
      </w:r>
      <w:r>
        <w:rPr>
          <w:rFonts w:hint="eastAsia" w:ascii="宋体" w:hAnsi="宋体" w:eastAsia="宋体" w:cs="宋体"/>
          <w:b w:val="0"/>
          <w:bCs/>
          <w:sz w:val="24"/>
          <w:szCs w:val="24"/>
          <w:highlight w:val="none"/>
          <w:lang w:eastAsia="zh-CN"/>
        </w:rPr>
        <w:t>腹部彩超（无双肾）、女性（子宫、附件）、甲状腺彩超、心脏彩超、DR胸部正位拍片。</w:t>
      </w:r>
    </w:p>
    <w:p w14:paraId="39601A35">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bCs w:val="0"/>
          <w:sz w:val="24"/>
          <w:szCs w:val="24"/>
          <w:highlight w:val="none"/>
          <w:lang w:val="en-US" w:eastAsia="zh-CN"/>
        </w:rPr>
      </w:pPr>
      <w:r>
        <w:rPr>
          <w:rFonts w:hint="eastAsia" w:ascii="宋体" w:hAnsi="宋体" w:cs="宋体"/>
          <w:b/>
          <w:bCs w:val="0"/>
          <w:sz w:val="24"/>
          <w:szCs w:val="24"/>
          <w:highlight w:val="none"/>
          <w:lang w:val="en-US" w:eastAsia="zh-CN"/>
        </w:rPr>
        <w:t>四、服务要求</w:t>
      </w:r>
    </w:p>
    <w:p w14:paraId="3BE3AC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1</w:t>
      </w:r>
      <w:r>
        <w:rPr>
          <w:rFonts w:hint="eastAsia" w:ascii="宋体" w:hAnsi="宋体" w:cs="宋体"/>
          <w:b w:val="0"/>
          <w:bCs/>
          <w:sz w:val="24"/>
          <w:szCs w:val="24"/>
          <w:highlight w:val="none"/>
          <w:lang w:val="en-US" w:eastAsia="zh-CN"/>
        </w:rPr>
        <w:t>、</w:t>
      </w:r>
      <w:r>
        <w:rPr>
          <w:rFonts w:hint="default" w:ascii="宋体" w:hAnsi="宋体" w:cs="宋体"/>
          <w:b w:val="0"/>
          <w:bCs/>
          <w:sz w:val="24"/>
          <w:szCs w:val="24"/>
          <w:highlight w:val="none"/>
          <w:lang w:val="en-US" w:eastAsia="zh-CN"/>
        </w:rPr>
        <w:t>体检地点</w:t>
      </w:r>
    </w:p>
    <w:p w14:paraId="0A2B07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1.1医疗机构/体检机构/医院服务点应具备完成所有体检项目的设备及人员。</w:t>
      </w:r>
    </w:p>
    <w:p w14:paraId="616259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1.2交通便捷，环境良好。</w:t>
      </w:r>
    </w:p>
    <w:p w14:paraId="45AAD3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2</w:t>
      </w:r>
      <w:r>
        <w:rPr>
          <w:rFonts w:hint="eastAsia" w:ascii="宋体" w:hAnsi="宋体" w:cs="宋体"/>
          <w:b w:val="0"/>
          <w:bCs/>
          <w:sz w:val="24"/>
          <w:szCs w:val="24"/>
          <w:highlight w:val="none"/>
          <w:lang w:val="en-US" w:eastAsia="zh-CN"/>
        </w:rPr>
        <w:t>、</w:t>
      </w:r>
      <w:r>
        <w:rPr>
          <w:rFonts w:hint="default" w:ascii="宋体" w:hAnsi="宋体" w:cs="宋体"/>
          <w:b w:val="0"/>
          <w:bCs/>
          <w:sz w:val="24"/>
          <w:szCs w:val="24"/>
          <w:highlight w:val="none"/>
          <w:lang w:val="en-US" w:eastAsia="zh-CN"/>
        </w:rPr>
        <w:t>体检设备</w:t>
      </w:r>
    </w:p>
    <w:p w14:paraId="0DCB78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2.1体检地点具有体检专用设备，且覆盖本次体检所有项目</w:t>
      </w:r>
      <w:r>
        <w:rPr>
          <w:rFonts w:hint="eastAsia" w:ascii="宋体" w:hAnsi="宋体" w:cs="宋体"/>
          <w:b w:val="0"/>
          <w:bCs/>
          <w:sz w:val="24"/>
          <w:szCs w:val="24"/>
          <w:highlight w:val="none"/>
          <w:lang w:val="en-US" w:eastAsia="zh-CN"/>
        </w:rPr>
        <w:t>，有独立的体检科室和场所。如给采购人造成负面影响或后果，应承担相应的法律责任</w:t>
      </w:r>
      <w:r>
        <w:rPr>
          <w:rFonts w:hint="default" w:ascii="宋体" w:hAnsi="宋体" w:cs="宋体"/>
          <w:b w:val="0"/>
          <w:bCs/>
          <w:sz w:val="24"/>
          <w:szCs w:val="24"/>
          <w:highlight w:val="none"/>
          <w:lang w:val="en-US" w:eastAsia="zh-CN"/>
        </w:rPr>
        <w:t>。</w:t>
      </w:r>
    </w:p>
    <w:p w14:paraId="76DD37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3</w:t>
      </w:r>
      <w:r>
        <w:rPr>
          <w:rFonts w:hint="eastAsia" w:ascii="宋体" w:hAnsi="宋体" w:cs="宋体"/>
          <w:b w:val="0"/>
          <w:bCs/>
          <w:sz w:val="24"/>
          <w:szCs w:val="24"/>
          <w:highlight w:val="none"/>
          <w:lang w:val="en-US" w:eastAsia="zh-CN"/>
        </w:rPr>
        <w:t>、</w:t>
      </w:r>
      <w:r>
        <w:rPr>
          <w:rFonts w:hint="default" w:ascii="宋体" w:hAnsi="宋体" w:cs="宋体"/>
          <w:b w:val="0"/>
          <w:bCs/>
          <w:sz w:val="24"/>
          <w:szCs w:val="24"/>
          <w:highlight w:val="none"/>
          <w:lang w:val="en-US" w:eastAsia="zh-CN"/>
        </w:rPr>
        <w:t>人员要求</w:t>
      </w:r>
    </w:p>
    <w:p w14:paraId="5B4312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3.1所有体检项目由具有相应资质的医护人员负责。</w:t>
      </w:r>
      <w:r>
        <w:rPr>
          <w:rFonts w:hint="default" w:ascii="宋体" w:hAnsi="宋体" w:cs="宋体"/>
          <w:b/>
          <w:bCs w:val="0"/>
          <w:sz w:val="24"/>
          <w:szCs w:val="24"/>
          <w:highlight w:val="none"/>
          <w:lang w:val="en-US" w:eastAsia="zh-CN"/>
        </w:rPr>
        <w:t>（须提供相关人员证书）</w:t>
      </w:r>
    </w:p>
    <w:p w14:paraId="584623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4</w:t>
      </w:r>
      <w:r>
        <w:rPr>
          <w:rFonts w:hint="eastAsia" w:ascii="宋体" w:hAnsi="宋体" w:cs="宋体"/>
          <w:b w:val="0"/>
          <w:bCs/>
          <w:sz w:val="24"/>
          <w:szCs w:val="24"/>
          <w:highlight w:val="none"/>
          <w:lang w:val="en-US" w:eastAsia="zh-CN"/>
        </w:rPr>
        <w:t>、</w:t>
      </w:r>
      <w:r>
        <w:rPr>
          <w:rFonts w:hint="default" w:ascii="宋体" w:hAnsi="宋体" w:cs="宋体"/>
          <w:b w:val="0"/>
          <w:bCs/>
          <w:sz w:val="24"/>
          <w:szCs w:val="24"/>
          <w:highlight w:val="none"/>
          <w:lang w:val="en-US" w:eastAsia="zh-CN"/>
        </w:rPr>
        <w:t>服务要求</w:t>
      </w:r>
    </w:p>
    <w:p w14:paraId="29DA05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4.1医疗机构/体检机构/医院须建立电子健康档案，具有相应的体检信息管理系统可进行体检预约和体检信息综合管理。</w:t>
      </w:r>
    </w:p>
    <w:p w14:paraId="780C54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4.2体检过程中所需要的设备等，全部由供应商提供；体检表、化验单、报告单由体检医疗机构提供；妇科检查和实验室检查均要求使用一次性材料。</w:t>
      </w:r>
    </w:p>
    <w:p w14:paraId="31C3D1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4.3体检期间提供免费早餐。</w:t>
      </w:r>
    </w:p>
    <w:p w14:paraId="5BE1A7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4.4供应商应在体检结束后15日内，向用户方提交体检报告，体检报告须进行密封，体检结束30日内向用户单位提供所查人员的疾患名单和疾病汇总分析，报告送达方式包括但不限于电子邮件或纸质报告送达。供应商应进行一次上门体检报告解析答疑。供应商应做好信息保密工作，不得泄露受检人员个人资料。因供应商原因造成体检数据遗失或泄露的，由供应商承担相应责任。</w:t>
      </w:r>
    </w:p>
    <w:p w14:paraId="62B4BF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4.5供应商应提前告知特殊体检项目的详细要求和注意事项（如B超、心电图等）。</w:t>
      </w:r>
    </w:p>
    <w:p w14:paraId="2AE8DB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4.6供应商须提供至少一年的后续跟踪服务，为采购人进行健康理疗讲座、常规器械测量（血压、血糖）等。</w:t>
      </w:r>
    </w:p>
    <w:p w14:paraId="5EA7E3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4.7供应商应派专业人士对接。</w:t>
      </w:r>
    </w:p>
    <w:p w14:paraId="2B3871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4.8供应商应派专门负责人进行场地引导，确保体检人员及时到达各个检查科室。</w:t>
      </w:r>
    </w:p>
    <w:p w14:paraId="419011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5</w:t>
      </w:r>
      <w:r>
        <w:rPr>
          <w:rFonts w:hint="eastAsia" w:ascii="宋体" w:hAnsi="宋体" w:cs="宋体"/>
          <w:b w:val="0"/>
          <w:bCs/>
          <w:sz w:val="24"/>
          <w:szCs w:val="24"/>
          <w:highlight w:val="none"/>
          <w:lang w:val="en-US" w:eastAsia="zh-CN"/>
        </w:rPr>
        <w:t>、</w:t>
      </w:r>
      <w:r>
        <w:rPr>
          <w:rFonts w:hint="default" w:ascii="宋体" w:hAnsi="宋体" w:cs="宋体"/>
          <w:b w:val="0"/>
          <w:bCs/>
          <w:sz w:val="24"/>
          <w:szCs w:val="24"/>
          <w:highlight w:val="none"/>
          <w:lang w:val="en-US" w:eastAsia="zh-CN"/>
        </w:rPr>
        <w:t>服务方式</w:t>
      </w:r>
    </w:p>
    <w:p w14:paraId="03CD63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sz w:val="24"/>
          <w:szCs w:val="24"/>
          <w:highlight w:val="none"/>
          <w:lang w:val="en-US" w:eastAsia="zh-CN"/>
        </w:rPr>
      </w:pPr>
      <w:r>
        <w:rPr>
          <w:rFonts w:hint="default" w:ascii="宋体" w:hAnsi="宋体" w:cs="宋体"/>
          <w:b w:val="0"/>
          <w:bCs/>
          <w:sz w:val="24"/>
          <w:szCs w:val="24"/>
          <w:highlight w:val="none"/>
          <w:lang w:val="en-US" w:eastAsia="zh-CN"/>
        </w:rPr>
        <w:t>本项目服务期限内体检人员可随时自行前往指定的体检服务地点，供应商不得拒绝。采购人保留分批次统一集中进行体检的权利。</w:t>
      </w:r>
    </w:p>
    <w:p w14:paraId="30F95DE6">
      <w:pP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br w:type="page"/>
      </w:r>
    </w:p>
    <w:bookmarkEnd w:id="16"/>
    <w:bookmarkEnd w:id="20"/>
    <w:bookmarkEnd w:id="21"/>
    <w:p w14:paraId="610E35C7">
      <w:pPr>
        <w:pStyle w:val="3"/>
        <w:bidi w:val="0"/>
        <w:rPr>
          <w:rFonts w:hint="eastAsia"/>
        </w:rPr>
      </w:pPr>
      <w:bookmarkStart w:id="22" w:name="_Toc2597"/>
      <w:bookmarkStart w:id="23" w:name="_Toc14357"/>
      <w:bookmarkStart w:id="24" w:name="_Toc18402"/>
      <w:bookmarkStart w:id="25" w:name="_Toc17185"/>
      <w:r>
        <w:rPr>
          <w:rFonts w:hint="eastAsia"/>
        </w:rPr>
        <w:t>第五章  合同条款</w:t>
      </w:r>
      <w:bookmarkEnd w:id="22"/>
      <w:bookmarkEnd w:id="23"/>
      <w:bookmarkEnd w:id="24"/>
    </w:p>
    <w:p w14:paraId="303162A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甲  方：</w:t>
      </w:r>
      <w:r>
        <w:rPr>
          <w:rFonts w:hint="eastAsia" w:ascii="宋体" w:hAnsi="宋体" w:eastAsia="宋体" w:cs="宋体"/>
          <w:b/>
          <w:sz w:val="24"/>
          <w:szCs w:val="24"/>
          <w:u w:val="single"/>
          <w:lang w:eastAsia="zh-CN"/>
        </w:rPr>
        <w:t>西安经开第二中学</w:t>
      </w:r>
    </w:p>
    <w:p w14:paraId="69460056">
      <w:pPr>
        <w:tabs>
          <w:tab w:val="left" w:pos="480"/>
        </w:tabs>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乙  方：</w:t>
      </w:r>
      <w:r>
        <w:rPr>
          <w:rFonts w:hint="eastAsia" w:ascii="宋体" w:hAnsi="宋体" w:eastAsia="宋体" w:cs="宋体"/>
          <w:sz w:val="24"/>
          <w:szCs w:val="24"/>
          <w:u w:val="single"/>
        </w:rPr>
        <w:t xml:space="preserve">                </w:t>
      </w:r>
    </w:p>
    <w:p w14:paraId="5BEB912F">
      <w:pPr>
        <w:tabs>
          <w:tab w:val="left" w:pos="4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》及其他有关法律、法规，经甲、乙双方协商，现就甲方所需</w:t>
      </w:r>
      <w:r>
        <w:rPr>
          <w:rFonts w:hint="eastAsia" w:ascii="宋体" w:hAnsi="宋体" w:eastAsia="宋体" w:cs="宋体"/>
          <w:sz w:val="24"/>
          <w:szCs w:val="24"/>
          <w:u w:val="single"/>
        </w:rPr>
        <w:t xml:space="preserve"> </w:t>
      </w:r>
      <w:r>
        <w:rPr>
          <w:rFonts w:hint="eastAsia" w:ascii="宋体" w:hAnsi="宋体" w:cs="宋体"/>
          <w:b/>
          <w:sz w:val="24"/>
          <w:szCs w:val="24"/>
          <w:u w:val="single"/>
          <w:lang w:eastAsia="zh-CN"/>
        </w:rPr>
        <w:t>西安经开第二中学教职工体检项目</w:t>
      </w:r>
      <w:r>
        <w:rPr>
          <w:rFonts w:hint="eastAsia" w:ascii="宋体" w:hAnsi="宋体" w:eastAsia="宋体" w:cs="宋体"/>
          <w:b/>
          <w:sz w:val="24"/>
          <w:szCs w:val="24"/>
          <w:u w:val="single"/>
        </w:rPr>
        <w:t xml:space="preserve"> </w:t>
      </w:r>
      <w:r>
        <w:rPr>
          <w:rFonts w:hint="eastAsia" w:ascii="宋体" w:hAnsi="宋体" w:eastAsia="宋体" w:cs="宋体"/>
          <w:sz w:val="24"/>
          <w:szCs w:val="24"/>
        </w:rPr>
        <w:t>等，达成如下条款。以兹共同遵守。</w:t>
      </w:r>
    </w:p>
    <w:p w14:paraId="5094C38F">
      <w:pPr>
        <w:tabs>
          <w:tab w:val="left" w:pos="480"/>
        </w:tabs>
        <w:spacing w:line="360" w:lineRule="auto"/>
        <w:ind w:firstLine="590" w:firstLineChars="245"/>
        <w:rPr>
          <w:rFonts w:hint="eastAsia" w:ascii="宋体" w:hAnsi="宋体" w:eastAsia="宋体" w:cs="宋体"/>
          <w:b/>
          <w:sz w:val="24"/>
          <w:szCs w:val="24"/>
        </w:rPr>
      </w:pPr>
      <w:r>
        <w:rPr>
          <w:rFonts w:hint="eastAsia" w:ascii="宋体" w:hAnsi="宋体" w:eastAsia="宋体" w:cs="宋体"/>
          <w:b/>
          <w:sz w:val="24"/>
          <w:szCs w:val="24"/>
        </w:rPr>
        <w:t>一、合同价款</w:t>
      </w:r>
    </w:p>
    <w:p w14:paraId="7BFCD914">
      <w:pPr>
        <w:tabs>
          <w:tab w:val="left" w:pos="480"/>
        </w:tabs>
        <w:spacing w:line="360" w:lineRule="auto"/>
        <w:ind w:firstLine="480" w:firstLineChars="200"/>
        <w:rPr>
          <w:rFonts w:hint="eastAsia" w:ascii="宋体" w:hAnsi="宋体" w:eastAsia="宋体" w:cs="宋体"/>
          <w:sz w:val="24"/>
          <w:szCs w:val="24"/>
          <w:u w:val="single"/>
          <w:lang w:eastAsia="zh-CN"/>
        </w:rPr>
      </w:pPr>
      <w:r>
        <w:rPr>
          <w:rFonts w:hint="eastAsia" w:ascii="宋体" w:hAnsi="宋体" w:cs="宋体"/>
          <w:sz w:val="24"/>
          <w:szCs w:val="24"/>
          <w:lang w:val="en-US" w:eastAsia="zh-CN"/>
        </w:rPr>
        <w:t>1、</w:t>
      </w:r>
      <w:r>
        <w:rPr>
          <w:rFonts w:hint="eastAsia" w:ascii="宋体" w:hAnsi="宋体" w:eastAsia="宋体" w:cs="宋体"/>
          <w:sz w:val="24"/>
          <w:szCs w:val="24"/>
        </w:rPr>
        <w:t>合同总价款为人民币（大写）</w:t>
      </w:r>
      <w:r>
        <w:rPr>
          <w:rFonts w:hint="eastAsia" w:ascii="宋体" w:hAnsi="宋体" w:eastAsia="宋体" w:cs="宋体"/>
          <w:sz w:val="24"/>
          <w:szCs w:val="24"/>
          <w:u w:val="single"/>
        </w:rPr>
        <w:t xml:space="preserve">     </w:t>
      </w:r>
      <w:r>
        <w:rPr>
          <w:rFonts w:hint="eastAsia" w:ascii="宋体" w:hAnsi="宋体" w:cs="宋体"/>
          <w:b w:val="0"/>
          <w:bCs w:val="0"/>
          <w:sz w:val="24"/>
          <w:szCs w:val="24"/>
          <w:u w:val="single"/>
          <w:lang w:eastAsia="zh-CN"/>
        </w:rPr>
        <w:t>，（</w:t>
      </w:r>
      <w:r>
        <w:rPr>
          <w:rFonts w:hint="eastAsia" w:ascii="宋体" w:hAnsi="宋体" w:cs="宋体"/>
          <w:b w:val="0"/>
          <w:bCs w:val="0"/>
          <w:sz w:val="24"/>
          <w:szCs w:val="24"/>
          <w:u w:val="single"/>
          <w:lang w:val="en-US" w:eastAsia="zh-CN"/>
        </w:rPr>
        <w:t>小写</w:t>
      </w:r>
      <w:r>
        <w:rPr>
          <w:rFonts w:hint="eastAsia" w:ascii="宋体" w:hAnsi="宋体" w:cs="宋体"/>
          <w:b w:val="0"/>
          <w:bCs w:val="0"/>
          <w:sz w:val="24"/>
          <w:szCs w:val="24"/>
          <w:u w:val="single"/>
          <w:lang w:eastAsia="zh-CN"/>
        </w:rPr>
        <w:t>）</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color w:val="000000"/>
          <w:sz w:val="24"/>
          <w:szCs w:val="24"/>
          <w:u w:val="none"/>
          <w:lang w:val="en-US" w:eastAsia="zh-CN"/>
        </w:rPr>
        <w:t>综合单价男性每人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none"/>
          <w:lang w:val="en-US" w:eastAsia="zh-CN"/>
        </w:rPr>
        <w:t>元</w:t>
      </w:r>
      <w:r>
        <w:rPr>
          <w:rFonts w:hint="eastAsia" w:ascii="宋体" w:hAnsi="宋体" w:cs="宋体"/>
          <w:b w:val="0"/>
          <w:bCs w:val="0"/>
          <w:color w:val="000000"/>
          <w:sz w:val="24"/>
          <w:szCs w:val="24"/>
          <w:u w:val="none"/>
          <w:lang w:val="en-US" w:eastAsia="zh-CN"/>
        </w:rPr>
        <w:t>；未婚女士</w:t>
      </w:r>
      <w:r>
        <w:rPr>
          <w:rFonts w:hint="eastAsia" w:ascii="宋体" w:hAnsi="宋体" w:eastAsia="宋体" w:cs="宋体"/>
          <w:b w:val="0"/>
          <w:bCs w:val="0"/>
          <w:color w:val="000000"/>
          <w:sz w:val="24"/>
          <w:szCs w:val="24"/>
          <w:u w:val="none"/>
          <w:lang w:val="en-US" w:eastAsia="zh-CN"/>
        </w:rPr>
        <w:t>每人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none"/>
          <w:lang w:val="en-US" w:eastAsia="zh-CN"/>
        </w:rPr>
        <w:t>元；已婚</w:t>
      </w:r>
      <w:r>
        <w:rPr>
          <w:rFonts w:hint="eastAsia" w:ascii="宋体" w:hAnsi="宋体" w:cs="宋体"/>
          <w:b w:val="0"/>
          <w:bCs w:val="0"/>
          <w:color w:val="000000"/>
          <w:sz w:val="24"/>
          <w:szCs w:val="24"/>
          <w:u w:val="none"/>
          <w:lang w:val="en-US" w:eastAsia="zh-CN"/>
        </w:rPr>
        <w:t>女士</w:t>
      </w:r>
      <w:r>
        <w:rPr>
          <w:rFonts w:hint="eastAsia" w:ascii="宋体" w:hAnsi="宋体" w:eastAsia="宋体" w:cs="宋体"/>
          <w:b w:val="0"/>
          <w:bCs w:val="0"/>
          <w:color w:val="000000"/>
          <w:sz w:val="24"/>
          <w:szCs w:val="24"/>
          <w:u w:val="none"/>
          <w:lang w:val="en-US" w:eastAsia="zh-CN"/>
        </w:rPr>
        <w:t>每人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none"/>
          <w:lang w:val="en-US" w:eastAsia="zh-CN"/>
        </w:rPr>
        <w:t>元。</w:t>
      </w:r>
    </w:p>
    <w:p w14:paraId="0F2C6F1B">
      <w:pPr>
        <w:tabs>
          <w:tab w:val="left" w:pos="480"/>
        </w:tabs>
        <w:spacing w:line="360" w:lineRule="auto"/>
        <w:ind w:firstLine="480" w:firstLineChars="200"/>
        <w:rPr>
          <w:rFonts w:hint="eastAsia" w:ascii="宋体" w:hAnsi="宋体" w:eastAsia="宋体" w:cs="宋体"/>
          <w:highlight w:val="none"/>
        </w:rPr>
      </w:pPr>
      <w:r>
        <w:rPr>
          <w:rFonts w:hint="eastAsia" w:ascii="宋体" w:hAnsi="宋体" w:cs="宋体"/>
          <w:sz w:val="24"/>
          <w:szCs w:val="24"/>
          <w:lang w:val="en-US" w:eastAsia="zh-CN"/>
        </w:rPr>
        <w:t>2、</w:t>
      </w:r>
      <w:r>
        <w:rPr>
          <w:rFonts w:hint="eastAsia" w:ascii="宋体" w:hAnsi="宋体" w:eastAsia="宋体" w:cs="宋体"/>
          <w:sz w:val="24"/>
          <w:szCs w:val="24"/>
          <w:lang w:eastAsia="zh-CN"/>
        </w:rPr>
        <w:t>报价要求</w:t>
      </w:r>
      <w:r>
        <w:rPr>
          <w:rFonts w:hint="eastAsia" w:ascii="宋体" w:hAnsi="宋体" w:eastAsia="宋体" w:cs="宋体"/>
          <w:sz w:val="24"/>
          <w:szCs w:val="24"/>
        </w:rPr>
        <w:t>：</w:t>
      </w:r>
      <w:r>
        <w:rPr>
          <w:rStyle w:val="309"/>
          <w:rFonts w:hint="eastAsia" w:ascii="宋体" w:hAnsi="宋体" w:eastAsia="宋体" w:cs="宋体"/>
          <w:color w:val="auto"/>
          <w:kern w:val="2"/>
          <w:sz w:val="24"/>
          <w:szCs w:val="24"/>
          <w:lang w:val="en-US" w:eastAsia="zh-CN" w:bidi="ar-SA"/>
        </w:rPr>
        <w:t>本项目采用固定</w:t>
      </w:r>
      <w:r>
        <w:rPr>
          <w:rStyle w:val="309"/>
          <w:rFonts w:hint="eastAsia" w:ascii="宋体" w:hAnsi="宋体" w:cs="宋体"/>
          <w:color w:val="auto"/>
          <w:kern w:val="2"/>
          <w:sz w:val="24"/>
          <w:szCs w:val="24"/>
          <w:lang w:val="en-US" w:eastAsia="zh-CN" w:bidi="ar-SA"/>
        </w:rPr>
        <w:t>综合单价</w:t>
      </w:r>
      <w:r>
        <w:rPr>
          <w:rStyle w:val="309"/>
          <w:rFonts w:hint="eastAsia" w:ascii="宋体" w:hAnsi="宋体" w:eastAsia="宋体" w:cs="宋体"/>
          <w:color w:val="auto"/>
          <w:kern w:val="2"/>
          <w:sz w:val="24"/>
          <w:szCs w:val="24"/>
          <w:lang w:val="en-US" w:eastAsia="zh-CN" w:bidi="ar-SA"/>
        </w:rPr>
        <w:t>，</w:t>
      </w:r>
      <w:r>
        <w:rPr>
          <w:rStyle w:val="309"/>
          <w:rFonts w:hint="eastAsia" w:ascii="宋体" w:hAnsi="宋体" w:cs="宋体"/>
          <w:color w:val="auto"/>
          <w:kern w:val="2"/>
          <w:sz w:val="24"/>
          <w:szCs w:val="24"/>
          <w:lang w:val="en-US" w:eastAsia="zh-CN" w:bidi="ar-SA"/>
        </w:rPr>
        <w:t>费用</w:t>
      </w:r>
      <w:r>
        <w:rPr>
          <w:rFonts w:hint="eastAsia" w:ascii="宋体" w:hAnsi="宋体" w:eastAsia="宋体" w:cs="宋体"/>
          <w:color w:val="auto"/>
          <w:sz w:val="24"/>
          <w:szCs w:val="24"/>
        </w:rPr>
        <w:t>包含完成本项目所发生的全部费用</w:t>
      </w:r>
      <w:r>
        <w:rPr>
          <w:rFonts w:hint="eastAsia" w:ascii="宋体" w:hAnsi="宋体" w:eastAsia="宋体" w:cs="宋体"/>
          <w:color w:val="auto"/>
          <w:sz w:val="24"/>
          <w:szCs w:val="24"/>
          <w:lang w:eastAsia="zh-CN"/>
        </w:rPr>
        <w:t>，不受市场价格变化的影响，</w:t>
      </w:r>
      <w:r>
        <w:rPr>
          <w:rStyle w:val="309"/>
          <w:rFonts w:hint="eastAsia" w:ascii="宋体" w:hAnsi="宋体" w:eastAsia="宋体" w:cs="宋体"/>
          <w:color w:val="auto"/>
          <w:kern w:val="2"/>
          <w:sz w:val="24"/>
          <w:szCs w:val="24"/>
          <w:highlight w:val="none"/>
          <w:lang w:val="en-US" w:eastAsia="zh-CN" w:bidi="ar-SA"/>
        </w:rPr>
        <w:t>最终费用以实际体检人数*单价结算。</w:t>
      </w:r>
    </w:p>
    <w:p w14:paraId="3F4DB631">
      <w:pPr>
        <w:tabs>
          <w:tab w:val="left" w:pos="851"/>
        </w:tabs>
        <w:spacing w:line="360" w:lineRule="auto"/>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rPr>
        <w:t>二、服务</w:t>
      </w:r>
      <w:r>
        <w:rPr>
          <w:rFonts w:hint="eastAsia" w:ascii="宋体" w:hAnsi="宋体" w:eastAsia="宋体" w:cs="宋体"/>
          <w:b/>
          <w:sz w:val="24"/>
          <w:szCs w:val="24"/>
          <w:lang w:eastAsia="zh-CN"/>
        </w:rPr>
        <w:t>要求</w:t>
      </w:r>
    </w:p>
    <w:p w14:paraId="4D61582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体检地点</w:t>
      </w:r>
    </w:p>
    <w:p w14:paraId="41A17F9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1.1医疗机构/体检机构/医院服务点应具备完成所有体检项目的设备及人员。</w:t>
      </w:r>
    </w:p>
    <w:p w14:paraId="5CE267A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1.2交通便捷，环境良好。</w:t>
      </w:r>
    </w:p>
    <w:p w14:paraId="0E2BFC1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体检设备</w:t>
      </w:r>
    </w:p>
    <w:p w14:paraId="05FB6FE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2.1体检地点具有体检专用设备，且覆盖本次体检所有项目，有独立的体检科室和场所。如给采购人造成负面影响或后果，应承担相应的法律责任。</w:t>
      </w:r>
    </w:p>
    <w:p w14:paraId="0C57B8B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人员要求</w:t>
      </w:r>
    </w:p>
    <w:p w14:paraId="4C2196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3.1所有体检项目由具有相应资质的医护人员负责。（须提供相关人员证书）</w:t>
      </w:r>
    </w:p>
    <w:p w14:paraId="1EAE1F1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服务要求</w:t>
      </w:r>
    </w:p>
    <w:p w14:paraId="0A4EFDB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4.1医疗机构/体检机构/医院须建立电子健康档案，具有相应的体检信息管理系统可进行体检预约和体检信息综合管理。</w:t>
      </w:r>
    </w:p>
    <w:p w14:paraId="0BC12B7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4.2体检过程中所需要的设备等，全部由供应商提供；体检表、化验单、报告单由体检医疗机构提供；妇科检查和实验室检查均要求使用一次性材料。</w:t>
      </w:r>
    </w:p>
    <w:p w14:paraId="1F7BF40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4.3体检期间提供免费早餐。</w:t>
      </w:r>
    </w:p>
    <w:p w14:paraId="6D0CB4E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供应商应在体检结束后15日内，向用户方提交体检报告，体检报告须进行密封，体检结束30日内向用户单位提供所查人员的疾患名单和疾病汇总分析，报告送达方式包括但不限于电子邮件或纸质报告送达。供应商应进行一次上门体检报告解析答疑。供应商应做好信息保密工作，不得泄露受检人员个人资料。因供应商原因造成体检数据遗失或泄露的，由供应商承担相应责任。</w:t>
      </w:r>
    </w:p>
    <w:p w14:paraId="55596F4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4.5供应商应提前告知特殊体检项目的详细要求和注意事项（如B超、心电图等）。</w:t>
      </w:r>
    </w:p>
    <w:p w14:paraId="4AD2C25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4.6供应商须提供至少一年的后续跟踪服务，为采购人进行健康理疗讲座、常规器械测量（血压、血糖）等。</w:t>
      </w:r>
    </w:p>
    <w:p w14:paraId="155D313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4.7供应商应派专业人士对接。</w:t>
      </w:r>
    </w:p>
    <w:p w14:paraId="3A42943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4.8供应商应派专门负责人进行场地引导，确保体检人员及时到达各个检查科室。</w:t>
      </w:r>
    </w:p>
    <w:p w14:paraId="10713AB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服务方式</w:t>
      </w:r>
    </w:p>
    <w:p w14:paraId="3ABBD9D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本项目服务期限内体检人员可随时自行前往指定的体检服务地点，供应商不得拒绝。采购人保留分批次统一集中进行体检的权利。</w:t>
      </w:r>
    </w:p>
    <w:p w14:paraId="028F9700">
      <w:pPr>
        <w:tabs>
          <w:tab w:val="left" w:pos="851"/>
        </w:tabs>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三、</w:t>
      </w:r>
      <w:r>
        <w:rPr>
          <w:rFonts w:hint="eastAsia" w:ascii="宋体" w:hAnsi="宋体" w:cs="宋体"/>
          <w:b/>
          <w:sz w:val="24"/>
          <w:szCs w:val="24"/>
          <w:highlight w:val="none"/>
          <w:lang w:val="en-US" w:eastAsia="zh-CN"/>
        </w:rPr>
        <w:t>双方</w:t>
      </w:r>
      <w:r>
        <w:rPr>
          <w:rFonts w:hint="eastAsia" w:ascii="宋体" w:hAnsi="宋体" w:eastAsia="宋体" w:cs="宋体"/>
          <w:b/>
          <w:sz w:val="24"/>
          <w:szCs w:val="24"/>
          <w:highlight w:val="none"/>
        </w:rPr>
        <w:t>的权利和义务</w:t>
      </w:r>
    </w:p>
    <w:p w14:paraId="1FDE71B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甲方有权对乙方的工作进行全面的指导、检查和监督，发现问题及时向乙方发出通知，要求乙方及时予以处理，对乙方提出的合理建议和要求予以采纳或提供帮助。若乙方拒不执行甲方的建议，由此而产生的相关费用应由乙方自行承担，若因此造成的工作延误，乙方应承担相关责任与损失。</w:t>
      </w:r>
    </w:p>
    <w:p w14:paraId="17E2756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经乙方书面申请，甲方根据乙方资料清单，负责及时提供乙方完成工作所需的有关项目资料信息。</w:t>
      </w:r>
    </w:p>
    <w:p w14:paraId="0BAFF7A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甲方应依约向乙方支付合同价款。</w:t>
      </w:r>
    </w:p>
    <w:p w14:paraId="02296D6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甲方有权根据项目实际情况，合理变更体检要求，乙方应积极配合。</w:t>
      </w:r>
    </w:p>
    <w:p w14:paraId="431C705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甲方有义务配合乙方体检所需场地安排。</w:t>
      </w:r>
    </w:p>
    <w:p w14:paraId="33EDD18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乙方必须严格按照甲方要求进行体检服务工作，保证体检服务的时效性、专业性，如未达到甲方要求或者乙方响应文件承诺的，由乙方承担全部责任，并采取相应补救措施。</w:t>
      </w:r>
    </w:p>
    <w:p w14:paraId="3624C35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乙方有权要求甲方按照合同约定支付相应款项。</w:t>
      </w:r>
    </w:p>
    <w:p w14:paraId="6ACDA9A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乙方应当严格按照本合同要求及乙方响应文件承诺提供本项目服务，并尊重甲方的意见并予以最大程度实现，确保项目服务品质。</w:t>
      </w:r>
    </w:p>
    <w:p w14:paraId="5DE8FAC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乙方应当按照本合同的约定完成服务工作。乙方对体检报告数据的真实性、专业性和合法性负责。</w:t>
      </w:r>
    </w:p>
    <w:p w14:paraId="330333A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乙方不得将本项目所涉事项转委托给任意第三人。</w:t>
      </w:r>
    </w:p>
    <w:p w14:paraId="4B0993D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本合同委托期限内，因乙方原因或在乙方体检场地造成甲方体检人员人身、财产损失的，乙方自行承担相关责任，导致甲方承担责任的，甲方有权向乙方追偿。</w:t>
      </w:r>
    </w:p>
    <w:p w14:paraId="621531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12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乙方应谨慎履行体检义务，并就提交报告所示信息，尤其是危险信息向甲方体检人员提示。如因乙方原因导致甲方人员体检时漏检、误检、未提示以致错过最佳治疗时间的，乙方应就甲方及甲方体检人员承担赔偿责任。</w:t>
      </w:r>
    </w:p>
    <w:p w14:paraId="6575CC99">
      <w:pPr>
        <w:spacing w:line="360" w:lineRule="auto"/>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rPr>
        <w:t>四、服务期及地点</w:t>
      </w:r>
    </w:p>
    <w:p w14:paraId="1F26AFDE">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lang w:val="en-US" w:eastAsia="zh-CN"/>
        </w:rPr>
        <w:t>、服务期：</w:t>
      </w:r>
      <w:r>
        <w:rPr>
          <w:rFonts w:hint="eastAsia" w:ascii="宋体" w:hAnsi="宋体" w:cs="宋体"/>
          <w:sz w:val="24"/>
          <w:szCs w:val="24"/>
          <w:highlight w:val="none"/>
          <w:u w:val="single"/>
          <w:lang w:val="en-US" w:eastAsia="zh-CN"/>
        </w:rPr>
        <w:t xml:space="preserve">                                </w:t>
      </w:r>
    </w:p>
    <w:p w14:paraId="11FE4254">
      <w:pPr>
        <w:spacing w:line="360" w:lineRule="auto"/>
        <w:ind w:firstLine="480" w:firstLineChars="200"/>
        <w:rPr>
          <w:rFonts w:hint="eastAsia" w:ascii="宋体" w:hAnsi="宋体" w:cs="宋体"/>
          <w:sz w:val="24"/>
          <w:szCs w:val="24"/>
          <w:highlight w:val="none"/>
          <w:u w:val="singl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服务地点</w:t>
      </w:r>
      <w:r>
        <w:rPr>
          <w:rFonts w:hint="eastAsia" w:ascii="宋体" w:hAnsi="宋体" w:eastAsia="宋体" w:cs="宋体"/>
          <w:sz w:val="24"/>
          <w:szCs w:val="24"/>
          <w:highlight w:val="none"/>
          <w:lang w:eastAsia="zh-CN"/>
        </w:rPr>
        <w:t>：</w:t>
      </w:r>
      <w:r>
        <w:rPr>
          <w:rFonts w:hint="eastAsia" w:ascii="宋体" w:hAnsi="宋体" w:cs="宋体"/>
          <w:sz w:val="24"/>
          <w:szCs w:val="24"/>
          <w:highlight w:val="none"/>
          <w:u w:val="single"/>
          <w:lang w:val="en-US" w:eastAsia="zh-CN"/>
        </w:rPr>
        <w:t xml:space="preserve">                              </w:t>
      </w:r>
    </w:p>
    <w:p w14:paraId="454F0E2E">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五、付款方式</w:t>
      </w:r>
    </w:p>
    <w:p w14:paraId="273E4C5A">
      <w:pPr>
        <w:spacing w:line="360" w:lineRule="auto"/>
        <w:ind w:firstLine="481"/>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结算单位：采购人结算，在付款前必须开具等额发票给采购人。</w:t>
      </w:r>
    </w:p>
    <w:p w14:paraId="0F5FE30E">
      <w:pPr>
        <w:spacing w:line="360" w:lineRule="auto"/>
        <w:ind w:firstLine="481"/>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结算方式：体检服务完成后采购人向成交供应商一次性付款，采购人最终付款金额根据单价及实际体检人数进行据实结算。</w:t>
      </w:r>
    </w:p>
    <w:p w14:paraId="2DC525F1">
      <w:pPr>
        <w:spacing w:line="360" w:lineRule="auto"/>
        <w:ind w:firstLine="481"/>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六、合同实施</w:t>
      </w:r>
    </w:p>
    <w:p w14:paraId="7EDCD143">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应在合同签订后接</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通知之日起7个日历日内安</w:t>
      </w:r>
      <w:r>
        <w:rPr>
          <w:rFonts w:hint="eastAsia" w:ascii="宋体" w:hAnsi="宋体" w:eastAsia="宋体" w:cs="宋体"/>
          <w:sz w:val="24"/>
          <w:szCs w:val="24"/>
        </w:rPr>
        <w:t>排人员（项目组成人员简历表所列）与使用单位进行安排、部署、计划。</w:t>
      </w:r>
    </w:p>
    <w:p w14:paraId="4E0BA3D5">
      <w:pPr>
        <w:tabs>
          <w:tab w:val="left" w:pos="851"/>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若未能在按照项目实际工作时间完成规定的义务，由此对</w:t>
      </w:r>
      <w:r>
        <w:rPr>
          <w:rFonts w:hint="eastAsia" w:ascii="宋体" w:hAnsi="宋体" w:eastAsia="宋体" w:cs="宋体"/>
          <w:sz w:val="24"/>
          <w:szCs w:val="24"/>
          <w:lang w:val="en-US" w:eastAsia="zh-CN"/>
        </w:rPr>
        <w:t>甲方</w:t>
      </w:r>
      <w:r>
        <w:rPr>
          <w:rFonts w:hint="eastAsia" w:ascii="宋体" w:hAnsi="宋体" w:eastAsia="宋体" w:cs="宋体"/>
          <w:sz w:val="24"/>
          <w:szCs w:val="24"/>
        </w:rPr>
        <w:t>造成的延误和一切损失，由</w:t>
      </w:r>
      <w:r>
        <w:rPr>
          <w:rFonts w:hint="eastAsia" w:ascii="宋体" w:hAnsi="宋体" w:eastAsia="宋体" w:cs="宋体"/>
          <w:sz w:val="24"/>
          <w:szCs w:val="24"/>
          <w:lang w:val="en-US" w:eastAsia="zh-CN"/>
        </w:rPr>
        <w:t>乙方</w:t>
      </w:r>
      <w:r>
        <w:rPr>
          <w:rFonts w:hint="eastAsia" w:ascii="宋体" w:hAnsi="宋体" w:eastAsia="宋体" w:cs="宋体"/>
          <w:sz w:val="24"/>
          <w:szCs w:val="24"/>
        </w:rPr>
        <w:t>承担和赔偿。</w:t>
      </w:r>
    </w:p>
    <w:p w14:paraId="2FD43639">
      <w:pPr>
        <w:numPr>
          <w:ilvl w:val="0"/>
          <w:numId w:val="0"/>
        </w:numPr>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知识产权归属</w:t>
      </w:r>
    </w:p>
    <w:p w14:paraId="569DCE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乙方</w:t>
      </w:r>
      <w:r>
        <w:rPr>
          <w:rFonts w:hint="eastAsia" w:ascii="宋体" w:hAnsi="宋体" w:eastAsia="宋体" w:cs="宋体"/>
          <w:sz w:val="24"/>
          <w:szCs w:val="24"/>
        </w:rPr>
        <w:t>应保证在本项目使用的任何产品和服务（包括部分使用）时，不会产生因第三方提出侵犯其专利权、商标权或其它知识产权而引起的法律和经济纠纷，如因专利权、商标权或其它知识产权而引起法律纠纷和经济纠纷，由</w:t>
      </w:r>
      <w:r>
        <w:rPr>
          <w:rFonts w:hint="eastAsia" w:ascii="宋体" w:hAnsi="宋体" w:eastAsia="宋体" w:cs="宋体"/>
          <w:sz w:val="24"/>
          <w:szCs w:val="24"/>
          <w:lang w:val="en-US" w:eastAsia="zh-CN"/>
        </w:rPr>
        <w:t>乙方</w:t>
      </w:r>
      <w:r>
        <w:rPr>
          <w:rFonts w:hint="eastAsia" w:ascii="宋体" w:hAnsi="宋体" w:eastAsia="宋体" w:cs="宋体"/>
          <w:sz w:val="24"/>
          <w:szCs w:val="24"/>
        </w:rPr>
        <w:t>承担所有相关责任。</w:t>
      </w:r>
    </w:p>
    <w:p w14:paraId="227292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甲方</w:t>
      </w:r>
      <w:r>
        <w:rPr>
          <w:rFonts w:hint="eastAsia" w:ascii="宋体" w:hAnsi="宋体" w:eastAsia="宋体" w:cs="宋体"/>
          <w:sz w:val="24"/>
          <w:szCs w:val="24"/>
        </w:rPr>
        <w:t>享有本项目在实施过程中产生的知识成果及知识产权。</w:t>
      </w:r>
    </w:p>
    <w:p w14:paraId="592EA0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乙方</w:t>
      </w:r>
      <w:r>
        <w:rPr>
          <w:rFonts w:hint="eastAsia" w:ascii="宋体" w:hAnsi="宋体" w:eastAsia="宋体" w:cs="宋体"/>
          <w:sz w:val="24"/>
          <w:szCs w:val="24"/>
        </w:rPr>
        <w:t>如欲在项目实施过程中采用自有知识成果，需在响应文件中声明，并提供相关知识产权证明文件。使用该知识成果后，</w:t>
      </w:r>
      <w:r>
        <w:rPr>
          <w:rFonts w:hint="eastAsia" w:ascii="宋体" w:hAnsi="宋体" w:eastAsia="宋体" w:cs="宋体"/>
          <w:sz w:val="24"/>
          <w:szCs w:val="24"/>
          <w:lang w:val="en-US" w:eastAsia="zh-CN"/>
        </w:rPr>
        <w:t>乙方</w:t>
      </w:r>
      <w:r>
        <w:rPr>
          <w:rFonts w:hint="eastAsia" w:ascii="宋体" w:hAnsi="宋体" w:eastAsia="宋体" w:cs="宋体"/>
          <w:sz w:val="24"/>
          <w:szCs w:val="24"/>
        </w:rPr>
        <w:t>须提供开发接口和开发手册等技术文档，并承诺提供无限期技术支持，</w:t>
      </w:r>
      <w:r>
        <w:rPr>
          <w:rFonts w:hint="eastAsia" w:ascii="宋体" w:hAnsi="宋体" w:eastAsia="宋体" w:cs="宋体"/>
          <w:sz w:val="24"/>
          <w:szCs w:val="24"/>
          <w:lang w:val="en-US" w:eastAsia="zh-CN"/>
        </w:rPr>
        <w:t>甲方</w:t>
      </w:r>
      <w:r>
        <w:rPr>
          <w:rFonts w:hint="eastAsia" w:ascii="宋体" w:hAnsi="宋体" w:eastAsia="宋体" w:cs="宋体"/>
          <w:sz w:val="24"/>
          <w:szCs w:val="24"/>
        </w:rPr>
        <w:t>享有永久使用权。</w:t>
      </w:r>
    </w:p>
    <w:p w14:paraId="1594F03A">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4、如采用</w:t>
      </w:r>
      <w:r>
        <w:rPr>
          <w:rFonts w:hint="eastAsia" w:ascii="宋体" w:hAnsi="宋体" w:eastAsia="宋体" w:cs="宋体"/>
          <w:sz w:val="24"/>
          <w:szCs w:val="24"/>
          <w:lang w:val="en-US" w:eastAsia="zh-CN"/>
        </w:rPr>
        <w:t>乙方</w:t>
      </w:r>
      <w:r>
        <w:rPr>
          <w:rFonts w:hint="eastAsia" w:ascii="宋体" w:hAnsi="宋体" w:eastAsia="宋体" w:cs="宋体"/>
          <w:sz w:val="24"/>
          <w:szCs w:val="24"/>
        </w:rPr>
        <w:t>所不拥有的知识产权，则在</w:t>
      </w:r>
      <w:r>
        <w:rPr>
          <w:rFonts w:hint="eastAsia" w:ascii="宋体" w:hAnsi="宋体" w:eastAsia="宋体" w:cs="宋体"/>
          <w:sz w:val="24"/>
          <w:szCs w:val="24"/>
          <w:lang w:eastAsia="zh-CN"/>
        </w:rPr>
        <w:t>投标</w:t>
      </w:r>
      <w:r>
        <w:rPr>
          <w:rFonts w:hint="eastAsia" w:ascii="宋体" w:hAnsi="宋体" w:eastAsia="宋体" w:cs="宋体"/>
          <w:sz w:val="24"/>
          <w:szCs w:val="24"/>
        </w:rPr>
        <w:t>报价中必须包括合法获取该知识产权的相关费用。</w:t>
      </w:r>
    </w:p>
    <w:p w14:paraId="2F701684">
      <w:pPr>
        <w:tabs>
          <w:tab w:val="left" w:pos="851"/>
        </w:tabs>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八</w:t>
      </w:r>
      <w:r>
        <w:rPr>
          <w:rFonts w:hint="eastAsia" w:ascii="宋体" w:hAnsi="宋体" w:eastAsia="宋体" w:cs="宋体"/>
          <w:b/>
          <w:sz w:val="24"/>
          <w:szCs w:val="24"/>
        </w:rPr>
        <w:t>、保密</w:t>
      </w:r>
    </w:p>
    <w:p w14:paraId="0EB2D9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未经甲方书面同意，乙方不得向第三方提供或者披露与甲方业务有关的或与本合同有关的资料和信息，因此造成的损失由乙方承担，且甲方有权解除本合同，同时，乙方应返还甲方已支付全部费用，还应按照本合同总价款的20%向甲方支付违约金，违约金不足以弥补甲方全部损失的，乙方还应负责补足。</w:t>
      </w:r>
    </w:p>
    <w:p w14:paraId="269AAA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甲、乙双方对于因签署或履行本合同而了解或接触到对方的机密资料和信息，均应保守秘密。未经对方书面许可，任何一方不得向第三方提供或透露与对方有关的资料和信息，但法律另有规定的除外。</w:t>
      </w:r>
    </w:p>
    <w:p w14:paraId="567EF8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本条款不因本合同的履行、撤销、无效、终止、变更或解除而失效。在本合同终止后，各方仍须遵守本合同之保密条款，履行其所承诺的保密义务，直到对方同意其解除此项义务，或事实上不会因违反本合同的保密条款而给对方造成任何形式的损害时为止。因违反本条款给对方造成损失的，应当承担侵权责任。</w:t>
      </w:r>
    </w:p>
    <w:p w14:paraId="27CB244C">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九</w:t>
      </w:r>
      <w:r>
        <w:rPr>
          <w:rFonts w:hint="eastAsia" w:ascii="宋体" w:hAnsi="宋体" w:eastAsia="宋体" w:cs="宋体"/>
          <w:b/>
          <w:sz w:val="24"/>
          <w:szCs w:val="24"/>
        </w:rPr>
        <w:t>、违约责任与赔偿损失</w:t>
      </w:r>
    </w:p>
    <w:p w14:paraId="776200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乙方无正当理由提前终止本合同的，甲方有权拒绝支付任何费用，同时，乙方应返还甲方已支付全部费用，甲方还有权要乙方支付本合同总价款20%的违约金，违约金不足以弥补甲方损失的，乙方应予补足。</w:t>
      </w:r>
    </w:p>
    <w:p w14:paraId="0F4E99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乙方逾期交付体检报告，每逾期一日，应向甲方支付本合同总价款1‰的违约金；逾期超过十日（含十日）的，甲方还有权单方解除本合同，不予支付任何剩余款项，同时，双方据实结算，甲方有权要求乙方支付本合同总价款20%的违约金，违约金不足以弥补甲方损失的，乙方还应补足。</w:t>
      </w:r>
    </w:p>
    <w:p w14:paraId="60D985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乙方擅自将本合同所涉事项转委托给第三人的，甲方有权单方解除本合同</w:t>
      </w:r>
      <w:r>
        <w:rPr>
          <w:rFonts w:hint="eastAsia" w:ascii="宋体" w:hAnsi="宋体" w:cs="宋体"/>
          <w:sz w:val="24"/>
          <w:szCs w:val="24"/>
          <w:lang w:eastAsia="zh-CN"/>
        </w:rPr>
        <w:t>，</w:t>
      </w:r>
      <w:r>
        <w:rPr>
          <w:rFonts w:hint="eastAsia" w:ascii="宋体" w:hAnsi="宋体" w:eastAsia="宋体" w:cs="宋体"/>
          <w:sz w:val="24"/>
          <w:szCs w:val="24"/>
        </w:rPr>
        <w:t>不予支付剩余款项，同时，乙方应返还甲方已支付全部费用，还应按照本合同总价款的20%向甲方支付违约金，违约金不足以弥补甲方全部损失的，乙方还应负责补足。</w:t>
      </w:r>
    </w:p>
    <w:p w14:paraId="07DED0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乙方未按协议要求提供服务或服务质量不能满足本协议约定，或员工投诉不良体检超过3人以上，甲方有权解除合同，乙方应退还甲方已付价款。</w:t>
      </w:r>
    </w:p>
    <w:p w14:paraId="22B660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本合同约定的违约情形独立存在，可叠加适用。乙方按照合同约定应当向甲方支付的违约金，乙方同意甲方从应付未付款中直接予以扣除。</w:t>
      </w:r>
    </w:p>
    <w:p w14:paraId="2F945565">
      <w:pPr>
        <w:tabs>
          <w:tab w:val="left" w:pos="851"/>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十</w:t>
      </w:r>
      <w:r>
        <w:rPr>
          <w:rFonts w:hint="eastAsia" w:ascii="宋体" w:hAnsi="宋体" w:eastAsia="宋体" w:cs="宋体"/>
          <w:b/>
          <w:sz w:val="24"/>
          <w:szCs w:val="24"/>
        </w:rPr>
        <w:t>、争议的解决</w:t>
      </w:r>
    </w:p>
    <w:p w14:paraId="23DDB17D">
      <w:pPr>
        <w:spacing w:line="360" w:lineRule="auto"/>
        <w:ind w:firstLine="480" w:firstLineChars="200"/>
        <w:rPr>
          <w:rFonts w:hint="eastAsia" w:ascii="宋体" w:hAnsi="宋体" w:eastAsia="宋体" w:cs="宋体"/>
          <w:sz w:val="24"/>
          <w:szCs w:val="24"/>
        </w:rPr>
      </w:pPr>
      <w:bookmarkStart w:id="26" w:name="_Toc8355"/>
      <w:bookmarkStart w:id="27" w:name="_Toc29463"/>
      <w:r>
        <w:rPr>
          <w:rFonts w:hint="eastAsia" w:ascii="宋体" w:hAnsi="宋体" w:eastAsia="宋体" w:cs="宋体"/>
          <w:sz w:val="24"/>
          <w:szCs w:val="24"/>
        </w:rPr>
        <w:t>合同执行过程中发生的任何争议，如双方不能通过友好协商解决，按相关法律法规处理。</w:t>
      </w:r>
      <w:bookmarkEnd w:id="26"/>
      <w:bookmarkEnd w:id="27"/>
    </w:p>
    <w:p w14:paraId="1A4B5DCD">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val="en-US" w:eastAsia="zh-CN"/>
        </w:rPr>
        <w:t>一</w:t>
      </w:r>
      <w:r>
        <w:rPr>
          <w:rFonts w:hint="eastAsia" w:ascii="宋体" w:hAnsi="宋体" w:eastAsia="宋体" w:cs="宋体"/>
          <w:b/>
          <w:sz w:val="24"/>
          <w:szCs w:val="24"/>
        </w:rPr>
        <w:t>、不可抗力</w:t>
      </w:r>
    </w:p>
    <w:p w14:paraId="5FD714C7">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因自然灾害、政府行为、疫情等不可抗力因素，致使本合同部分或全部无法履行、迟延履行时，经双方协商一致后，互不承担违约责任。</w:t>
      </w:r>
    </w:p>
    <w:p w14:paraId="3D3742F5">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遭遇不可抗力方应在具备通知条件后24小时内书面通知另一方，并提供该不可抗力发生情况和影响的有效官方证明。未履行通知义务的，不免除违约责任</w:t>
      </w:r>
      <w:r>
        <w:rPr>
          <w:rFonts w:hint="eastAsia" w:ascii="宋体" w:hAnsi="宋体" w:eastAsia="宋体" w:cs="宋体"/>
          <w:sz w:val="24"/>
          <w:szCs w:val="24"/>
          <w:lang w:eastAsia="zh-CN"/>
        </w:rPr>
        <w:t>。</w:t>
      </w:r>
    </w:p>
    <w:p w14:paraId="3F492FB5">
      <w:pPr>
        <w:tabs>
          <w:tab w:val="left" w:pos="851"/>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val="en-US" w:eastAsia="zh-CN"/>
        </w:rPr>
        <w:t>二</w:t>
      </w:r>
      <w:r>
        <w:rPr>
          <w:rFonts w:hint="eastAsia" w:ascii="宋体" w:hAnsi="宋体" w:eastAsia="宋体" w:cs="宋体"/>
          <w:b/>
          <w:sz w:val="24"/>
          <w:szCs w:val="24"/>
        </w:rPr>
        <w:t>、税费</w:t>
      </w:r>
    </w:p>
    <w:p w14:paraId="09E6029C">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与本合同执行有关的一切税费均由乙方负担。</w:t>
      </w:r>
    </w:p>
    <w:p w14:paraId="408B33F9">
      <w:pPr>
        <w:tabs>
          <w:tab w:val="left" w:pos="851"/>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eastAsia="宋体" w:cs="宋体"/>
          <w:b/>
          <w:sz w:val="24"/>
          <w:szCs w:val="24"/>
          <w:lang w:val="en-US" w:eastAsia="zh-CN"/>
        </w:rPr>
        <w:t>三</w:t>
      </w:r>
      <w:r>
        <w:rPr>
          <w:rFonts w:hint="eastAsia" w:ascii="宋体" w:hAnsi="宋体" w:eastAsia="宋体" w:cs="宋体"/>
          <w:b/>
          <w:sz w:val="24"/>
          <w:szCs w:val="24"/>
        </w:rPr>
        <w:t>、其它</w:t>
      </w:r>
    </w:p>
    <w:p w14:paraId="42C2EA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本合同所有附件、招标文件、</w:t>
      </w:r>
      <w:r>
        <w:rPr>
          <w:rFonts w:hint="eastAsia" w:ascii="宋体" w:hAnsi="宋体" w:eastAsia="宋体" w:cs="宋体"/>
          <w:sz w:val="24"/>
          <w:szCs w:val="24"/>
          <w:lang w:eastAsia="zh-CN"/>
        </w:rPr>
        <w:t>投标</w:t>
      </w:r>
      <w:r>
        <w:rPr>
          <w:rFonts w:hint="eastAsia" w:ascii="宋体" w:hAnsi="宋体" w:eastAsia="宋体" w:cs="宋体"/>
          <w:sz w:val="24"/>
          <w:szCs w:val="24"/>
        </w:rPr>
        <w:t>文件、成交通知书均为合同的有效组成部分，与本合同具有同等法律效力。</w:t>
      </w:r>
    </w:p>
    <w:p w14:paraId="6BA2F7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在执行本合同的过程中，所有经双方签署确认的文件（包括会议纪要、补充协议、往来信函）即成为本合同的有效组成部分。</w:t>
      </w:r>
    </w:p>
    <w:p w14:paraId="2F5A77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如一方地址、电话、传真号码有变更，应在变更当日内书面通知对方，否则，应承担相应责任。</w:t>
      </w:r>
    </w:p>
    <w:p w14:paraId="00F5DF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4.除甲方事先书面同意外，乙方不得部分或全部转让其应履行的合同项下的义务。</w:t>
      </w:r>
    </w:p>
    <w:p w14:paraId="4EC02EC6">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十四</w:t>
      </w:r>
      <w:r>
        <w:rPr>
          <w:rFonts w:hint="eastAsia" w:ascii="宋体" w:hAnsi="宋体" w:eastAsia="宋体" w:cs="宋体"/>
          <w:b/>
          <w:sz w:val="24"/>
          <w:szCs w:val="24"/>
        </w:rPr>
        <w:t>、合同订立</w:t>
      </w:r>
    </w:p>
    <w:p w14:paraId="2364F02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A298AA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订立地点：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22D5B35">
      <w:pPr>
        <w:tabs>
          <w:tab w:val="left" w:pos="980"/>
        </w:tabs>
        <w:kinsoku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本合同一式</w:t>
      </w:r>
      <w:r>
        <w:rPr>
          <w:rFonts w:hint="eastAsia" w:ascii="宋体" w:hAnsi="宋体" w:cs="宋体"/>
          <w:sz w:val="24"/>
          <w:szCs w:val="24"/>
          <w:u w:val="single"/>
          <w:lang w:val="en-US" w:eastAsia="zh-CN"/>
        </w:rPr>
        <w:t>肆</w:t>
      </w:r>
      <w:r>
        <w:rPr>
          <w:rFonts w:hint="eastAsia" w:ascii="宋体" w:hAnsi="宋体" w:eastAsia="宋体" w:cs="宋体"/>
          <w:sz w:val="24"/>
          <w:szCs w:val="24"/>
        </w:rPr>
        <w:t>份，</w:t>
      </w:r>
      <w:r>
        <w:rPr>
          <w:rFonts w:hint="eastAsia" w:ascii="宋体" w:hAnsi="宋体" w:cs="宋体"/>
          <w:sz w:val="24"/>
          <w:szCs w:val="24"/>
          <w:lang w:val="en-US" w:eastAsia="zh-CN"/>
        </w:rPr>
        <w:t>甲乙</w:t>
      </w:r>
      <w:r>
        <w:rPr>
          <w:rFonts w:hint="eastAsia" w:ascii="宋体" w:hAnsi="宋体" w:eastAsia="宋体" w:cs="宋体"/>
          <w:sz w:val="24"/>
          <w:szCs w:val="24"/>
        </w:rPr>
        <w:t>双方各执</w:t>
      </w:r>
      <w:r>
        <w:rPr>
          <w:rFonts w:hint="eastAsia" w:ascii="宋体" w:hAnsi="宋体" w:cs="宋体"/>
          <w:sz w:val="24"/>
          <w:szCs w:val="24"/>
          <w:u w:val="single"/>
          <w:lang w:val="en-US" w:eastAsia="zh-CN"/>
        </w:rPr>
        <w:t>贰</w:t>
      </w:r>
      <w:r>
        <w:rPr>
          <w:rFonts w:hint="eastAsia" w:ascii="宋体" w:hAnsi="宋体" w:eastAsia="宋体" w:cs="宋体"/>
          <w:sz w:val="24"/>
          <w:szCs w:val="24"/>
          <w:u w:val="single"/>
        </w:rPr>
        <w:t>份</w:t>
      </w:r>
      <w:r>
        <w:rPr>
          <w:rFonts w:hint="eastAsia" w:ascii="宋体" w:hAnsi="宋体" w:eastAsia="宋体" w:cs="宋体"/>
          <w:sz w:val="24"/>
          <w:szCs w:val="24"/>
        </w:rPr>
        <w:t>。各方签字盖章后生效，合同执行完毕自动失效。（合同的服务承诺则长期有效）。</w:t>
      </w:r>
    </w:p>
    <w:tbl>
      <w:tblPr>
        <w:tblStyle w:val="50"/>
        <w:tblpPr w:leftFromText="180" w:rightFromText="180" w:vertAnchor="text" w:horzAnchor="page" w:tblpX="1690" w:tblpY="40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5"/>
        <w:gridCol w:w="2265"/>
        <w:gridCol w:w="2265"/>
        <w:gridCol w:w="2265"/>
      </w:tblGrid>
      <w:tr w14:paraId="3996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0BA14A4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甲方（盖章）：</w:t>
            </w:r>
          </w:p>
        </w:tc>
        <w:tc>
          <w:tcPr>
            <w:tcW w:w="2265" w:type="dxa"/>
          </w:tcPr>
          <w:p w14:paraId="6B8FCCC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c>
          <w:tcPr>
            <w:tcW w:w="2265" w:type="dxa"/>
          </w:tcPr>
          <w:p w14:paraId="4AC7D49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乙方（盖章）：</w:t>
            </w:r>
          </w:p>
        </w:tc>
        <w:tc>
          <w:tcPr>
            <w:tcW w:w="2265" w:type="dxa"/>
          </w:tcPr>
          <w:p w14:paraId="11D8DC5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r>
      <w:tr w14:paraId="37EF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5FBF537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法定代表人（委托代理人）：</w:t>
            </w:r>
          </w:p>
        </w:tc>
        <w:tc>
          <w:tcPr>
            <w:tcW w:w="2265" w:type="dxa"/>
          </w:tcPr>
          <w:p w14:paraId="7540C65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c>
          <w:tcPr>
            <w:tcW w:w="2265" w:type="dxa"/>
          </w:tcPr>
          <w:p w14:paraId="41C9E47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法定代表人（委托代理人）：</w:t>
            </w:r>
          </w:p>
        </w:tc>
        <w:tc>
          <w:tcPr>
            <w:tcW w:w="2265" w:type="dxa"/>
          </w:tcPr>
          <w:p w14:paraId="1418EC2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r>
      <w:tr w14:paraId="32A9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29ABD32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地　　址：</w:t>
            </w:r>
          </w:p>
        </w:tc>
        <w:tc>
          <w:tcPr>
            <w:tcW w:w="2265" w:type="dxa"/>
          </w:tcPr>
          <w:p w14:paraId="2DB42F9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c>
          <w:tcPr>
            <w:tcW w:w="2265" w:type="dxa"/>
          </w:tcPr>
          <w:p w14:paraId="66556C8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地　　址：</w:t>
            </w:r>
          </w:p>
        </w:tc>
        <w:tc>
          <w:tcPr>
            <w:tcW w:w="2265" w:type="dxa"/>
          </w:tcPr>
          <w:p w14:paraId="457DE02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r>
      <w:tr w14:paraId="7339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603ED9A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开户银行：</w:t>
            </w:r>
          </w:p>
        </w:tc>
        <w:tc>
          <w:tcPr>
            <w:tcW w:w="2265" w:type="dxa"/>
          </w:tcPr>
          <w:p w14:paraId="4000CA9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c>
          <w:tcPr>
            <w:tcW w:w="2265" w:type="dxa"/>
          </w:tcPr>
          <w:p w14:paraId="6606F13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开户银行：</w:t>
            </w:r>
          </w:p>
        </w:tc>
        <w:tc>
          <w:tcPr>
            <w:tcW w:w="2265" w:type="dxa"/>
          </w:tcPr>
          <w:p w14:paraId="025AE38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r>
      <w:tr w14:paraId="6DC4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0F757EE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银行</w:t>
            </w:r>
            <w:r>
              <w:rPr>
                <w:rFonts w:hint="eastAsia" w:ascii="宋体" w:hAnsi="宋体" w:eastAsia="宋体" w:cs="宋体"/>
                <w:kern w:val="0"/>
                <w:sz w:val="24"/>
                <w:lang w:eastAsia="zh-CN"/>
              </w:rPr>
              <w:t>账号</w:t>
            </w:r>
            <w:r>
              <w:rPr>
                <w:rFonts w:hint="eastAsia" w:ascii="宋体" w:hAnsi="宋体" w:eastAsia="宋体" w:cs="宋体"/>
                <w:kern w:val="0"/>
                <w:sz w:val="24"/>
              </w:rPr>
              <w:t>：</w:t>
            </w:r>
          </w:p>
        </w:tc>
        <w:tc>
          <w:tcPr>
            <w:tcW w:w="2265" w:type="dxa"/>
          </w:tcPr>
          <w:p w14:paraId="6ABCD1E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c>
          <w:tcPr>
            <w:tcW w:w="2265" w:type="dxa"/>
          </w:tcPr>
          <w:p w14:paraId="02FD69D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银行</w:t>
            </w:r>
            <w:r>
              <w:rPr>
                <w:rFonts w:hint="eastAsia" w:ascii="宋体" w:hAnsi="宋体" w:eastAsia="宋体" w:cs="宋体"/>
                <w:kern w:val="0"/>
                <w:sz w:val="24"/>
                <w:lang w:eastAsia="zh-CN"/>
              </w:rPr>
              <w:t>账号</w:t>
            </w:r>
            <w:r>
              <w:rPr>
                <w:rFonts w:hint="eastAsia" w:ascii="宋体" w:hAnsi="宋体" w:eastAsia="宋体" w:cs="宋体"/>
                <w:kern w:val="0"/>
                <w:sz w:val="24"/>
              </w:rPr>
              <w:t>：</w:t>
            </w:r>
          </w:p>
        </w:tc>
        <w:tc>
          <w:tcPr>
            <w:tcW w:w="2265" w:type="dxa"/>
          </w:tcPr>
          <w:p w14:paraId="25CEE08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r>
      <w:tr w14:paraId="36512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758E111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电　　话：</w:t>
            </w:r>
          </w:p>
        </w:tc>
        <w:tc>
          <w:tcPr>
            <w:tcW w:w="2265" w:type="dxa"/>
          </w:tcPr>
          <w:p w14:paraId="70781AB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c>
          <w:tcPr>
            <w:tcW w:w="2265" w:type="dxa"/>
          </w:tcPr>
          <w:p w14:paraId="7A1A5C2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电　　话：</w:t>
            </w:r>
          </w:p>
        </w:tc>
        <w:tc>
          <w:tcPr>
            <w:tcW w:w="2265" w:type="dxa"/>
          </w:tcPr>
          <w:p w14:paraId="1748862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r>
      <w:tr w14:paraId="63F0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0804F19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传　　真：</w:t>
            </w:r>
          </w:p>
        </w:tc>
        <w:tc>
          <w:tcPr>
            <w:tcW w:w="2265" w:type="dxa"/>
          </w:tcPr>
          <w:p w14:paraId="2AE2022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c>
          <w:tcPr>
            <w:tcW w:w="2265" w:type="dxa"/>
          </w:tcPr>
          <w:p w14:paraId="342383C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传　　真：</w:t>
            </w:r>
          </w:p>
        </w:tc>
        <w:tc>
          <w:tcPr>
            <w:tcW w:w="2265" w:type="dxa"/>
          </w:tcPr>
          <w:p w14:paraId="62A8801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r>
      <w:tr w14:paraId="5112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08FABE0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签约日期：</w:t>
            </w:r>
          </w:p>
        </w:tc>
        <w:tc>
          <w:tcPr>
            <w:tcW w:w="2265" w:type="dxa"/>
          </w:tcPr>
          <w:p w14:paraId="3601E9F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lang w:val="en-US" w:eastAsia="zh-CN"/>
              </w:rPr>
              <w:t xml:space="preserve">    </w:t>
            </w:r>
            <w:r>
              <w:rPr>
                <w:rFonts w:hint="eastAsia" w:ascii="宋体" w:hAnsi="宋体" w:eastAsia="宋体" w:cs="宋体"/>
                <w:kern w:val="0"/>
                <w:sz w:val="24"/>
              </w:rPr>
              <w:t>年</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月</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日</w:t>
            </w:r>
          </w:p>
        </w:tc>
        <w:tc>
          <w:tcPr>
            <w:tcW w:w="2265" w:type="dxa"/>
          </w:tcPr>
          <w:p w14:paraId="5DAE222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签约日期：</w:t>
            </w:r>
          </w:p>
        </w:tc>
        <w:tc>
          <w:tcPr>
            <w:tcW w:w="2265" w:type="dxa"/>
          </w:tcPr>
          <w:p w14:paraId="7CA7A56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lang w:val="en-US" w:eastAsia="zh-CN"/>
              </w:rPr>
              <w:t xml:space="preserve">    </w:t>
            </w:r>
            <w:r>
              <w:rPr>
                <w:rFonts w:hint="eastAsia" w:ascii="宋体" w:hAnsi="宋体" w:eastAsia="宋体" w:cs="宋体"/>
                <w:kern w:val="0"/>
                <w:sz w:val="24"/>
              </w:rPr>
              <w:t>年</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月</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日</w:t>
            </w:r>
          </w:p>
        </w:tc>
      </w:tr>
    </w:tbl>
    <w:p w14:paraId="127037D5">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65685796">
      <w:pPr>
        <w:pStyle w:val="3"/>
        <w:bidi w:val="0"/>
        <w:rPr>
          <w:rFonts w:hint="eastAsia"/>
          <w:lang w:val="zh-CN"/>
        </w:rPr>
      </w:pPr>
      <w:bookmarkStart w:id="28" w:name="_Toc14826"/>
      <w:bookmarkStart w:id="29" w:name="_Toc19546"/>
      <w:r>
        <w:rPr>
          <w:rFonts w:hint="eastAsia"/>
          <w:lang w:val="zh-CN"/>
        </w:rPr>
        <w:t>第</w:t>
      </w:r>
      <w:r>
        <w:rPr>
          <w:rFonts w:hint="eastAsia"/>
          <w:lang w:val="en-US" w:eastAsia="zh-CN"/>
        </w:rPr>
        <w:t>六</w:t>
      </w:r>
      <w:r>
        <w:rPr>
          <w:rFonts w:hint="eastAsia"/>
          <w:lang w:val="zh-CN"/>
        </w:rPr>
        <w:t>章</w:t>
      </w:r>
      <w:r>
        <w:rPr>
          <w:rFonts w:hint="eastAsia"/>
          <w:lang w:val="en-US" w:eastAsia="zh-CN"/>
        </w:rPr>
        <w:t xml:space="preserve">  </w:t>
      </w:r>
      <w:r>
        <w:rPr>
          <w:rFonts w:hint="eastAsia"/>
          <w:lang w:val="zh-CN"/>
        </w:rPr>
        <w:t>响应文件格式</w:t>
      </w:r>
      <w:bookmarkEnd w:id="25"/>
      <w:bookmarkEnd w:id="28"/>
      <w:bookmarkEnd w:id="29"/>
    </w:p>
    <w:p w14:paraId="27C39A27">
      <w:pPr>
        <w:outlineLvl w:val="1"/>
        <w:rPr>
          <w:rFonts w:hint="eastAsia" w:ascii="宋体" w:hAnsi="宋体" w:eastAsia="宋体" w:cs="宋体"/>
          <w:kern w:val="0"/>
          <w:sz w:val="28"/>
          <w:szCs w:val="28"/>
        </w:rPr>
      </w:pPr>
      <w:bookmarkStart w:id="30" w:name="_Toc2678"/>
      <w:r>
        <w:rPr>
          <w:rFonts w:hint="eastAsia" w:ascii="宋体" w:hAnsi="宋体" w:cs="宋体"/>
          <w:sz w:val="28"/>
          <w:szCs w:val="28"/>
          <w:lang w:eastAsia="zh-CN"/>
        </w:rPr>
        <w:t>项目编号</w:t>
      </w:r>
      <w:r>
        <w:rPr>
          <w:rFonts w:hint="eastAsia" w:ascii="宋体" w:hAnsi="宋体" w:eastAsia="宋体" w:cs="宋体"/>
          <w:sz w:val="28"/>
          <w:szCs w:val="28"/>
        </w:rPr>
        <w:t>：</w:t>
      </w:r>
      <w:r>
        <w:rPr>
          <w:rFonts w:hint="eastAsia" w:ascii="宋体" w:hAnsi="宋体" w:cs="宋体"/>
          <w:sz w:val="28"/>
          <w:szCs w:val="28"/>
          <w:highlight w:val="none"/>
          <w:lang w:eastAsia="zh-CN"/>
        </w:rPr>
        <w:t>SXXP-2025-029</w:t>
      </w:r>
      <w:r>
        <w:rPr>
          <w:rFonts w:hint="eastAsia" w:ascii="宋体" w:hAnsi="宋体" w:eastAsia="宋体" w:cs="宋体"/>
          <w:sz w:val="28"/>
          <w:szCs w:val="28"/>
          <w:highlight w:val="none"/>
        </w:rPr>
        <w:t xml:space="preserve"> </w:t>
      </w:r>
      <w:r>
        <w:rPr>
          <w:rFonts w:hint="eastAsia" w:ascii="宋体" w:hAnsi="宋体" w:eastAsia="宋体" w:cs="宋体"/>
          <w:kern w:val="0"/>
          <w:sz w:val="28"/>
          <w:szCs w:val="28"/>
        </w:rPr>
        <w:t xml:space="preserve">                          （正本或副本）</w:t>
      </w:r>
      <w:bookmarkEnd w:id="30"/>
    </w:p>
    <w:p w14:paraId="7F09B098">
      <w:pPr>
        <w:rPr>
          <w:rFonts w:hint="eastAsia" w:ascii="宋体" w:hAnsi="宋体" w:eastAsia="宋体" w:cs="宋体"/>
        </w:rPr>
      </w:pPr>
    </w:p>
    <w:p w14:paraId="49541E2E">
      <w:pPr>
        <w:pStyle w:val="2"/>
        <w:rPr>
          <w:rFonts w:hint="eastAsia" w:ascii="宋体" w:hAnsi="宋体" w:eastAsia="宋体" w:cs="宋体"/>
        </w:rPr>
      </w:pPr>
    </w:p>
    <w:p w14:paraId="370D9E1D">
      <w:pPr>
        <w:rPr>
          <w:rFonts w:hint="eastAsia" w:ascii="宋体" w:hAnsi="宋体" w:eastAsia="宋体" w:cs="宋体"/>
        </w:rPr>
      </w:pPr>
    </w:p>
    <w:p w14:paraId="4EDBCF9E">
      <w:pPr>
        <w:jc w:val="center"/>
        <w:rPr>
          <w:rFonts w:hint="eastAsia" w:ascii="宋体" w:hAnsi="宋体" w:eastAsia="宋体" w:cs="宋体"/>
          <w:b/>
          <w:bCs/>
          <w:sz w:val="44"/>
          <w:szCs w:val="52"/>
        </w:rPr>
      </w:pPr>
    </w:p>
    <w:p w14:paraId="5EC76F68">
      <w:pPr>
        <w:jc w:val="center"/>
        <w:rPr>
          <w:rFonts w:hint="eastAsia" w:ascii="宋体" w:hAnsi="宋体" w:eastAsia="宋体" w:cs="宋体"/>
          <w:b/>
          <w:bCs/>
          <w:sz w:val="44"/>
          <w:szCs w:val="52"/>
          <w:lang w:eastAsia="zh-CN"/>
        </w:rPr>
      </w:pPr>
      <w:r>
        <w:rPr>
          <w:rFonts w:hint="eastAsia" w:ascii="宋体" w:hAnsi="宋体" w:cs="宋体"/>
          <w:b/>
          <w:bCs/>
          <w:sz w:val="44"/>
          <w:szCs w:val="52"/>
          <w:lang w:eastAsia="zh-CN"/>
        </w:rPr>
        <w:t>西安经开第二中学教职工体检项目</w:t>
      </w:r>
    </w:p>
    <w:p w14:paraId="23A8880A">
      <w:pPr>
        <w:rPr>
          <w:rFonts w:hint="eastAsia" w:ascii="宋体" w:hAnsi="宋体" w:eastAsia="宋体" w:cs="宋体"/>
        </w:rPr>
      </w:pPr>
    </w:p>
    <w:p w14:paraId="47DBF906">
      <w:pPr>
        <w:rPr>
          <w:rFonts w:hint="eastAsia" w:ascii="宋体" w:hAnsi="宋体" w:eastAsia="宋体" w:cs="宋体"/>
          <w:b/>
          <w:sz w:val="24"/>
        </w:rPr>
      </w:pPr>
    </w:p>
    <w:p w14:paraId="18311557">
      <w:pPr>
        <w:pStyle w:val="8"/>
        <w:rPr>
          <w:rFonts w:hint="eastAsia" w:ascii="宋体" w:hAnsi="宋体" w:eastAsia="宋体" w:cs="宋体"/>
        </w:rPr>
      </w:pPr>
    </w:p>
    <w:p w14:paraId="6765A98F">
      <w:pPr>
        <w:rPr>
          <w:rFonts w:hint="eastAsia" w:ascii="宋体" w:hAnsi="宋体" w:eastAsia="宋体" w:cs="宋体"/>
        </w:rPr>
      </w:pPr>
    </w:p>
    <w:p w14:paraId="3BE10A72">
      <w:pPr>
        <w:pStyle w:val="2"/>
        <w:rPr>
          <w:rFonts w:hint="eastAsia" w:ascii="宋体" w:hAnsi="宋体" w:eastAsia="宋体" w:cs="宋体"/>
        </w:rPr>
      </w:pPr>
    </w:p>
    <w:p w14:paraId="38E91A6D">
      <w:pPr>
        <w:rPr>
          <w:rFonts w:hint="eastAsia" w:ascii="宋体" w:hAnsi="宋体" w:eastAsia="宋体" w:cs="宋体"/>
        </w:rPr>
      </w:pPr>
    </w:p>
    <w:p w14:paraId="5BD16607">
      <w:pPr>
        <w:pStyle w:val="2"/>
        <w:rPr>
          <w:rFonts w:hint="eastAsia" w:ascii="宋体" w:hAnsi="宋体" w:eastAsia="宋体" w:cs="宋体"/>
        </w:rPr>
      </w:pPr>
    </w:p>
    <w:p w14:paraId="0BD151CA">
      <w:pPr>
        <w:rPr>
          <w:rFonts w:hint="eastAsia" w:ascii="宋体" w:hAnsi="宋体" w:eastAsia="宋体" w:cs="宋体"/>
        </w:rPr>
      </w:pPr>
    </w:p>
    <w:p w14:paraId="5D5EF920">
      <w:pPr>
        <w:rPr>
          <w:rFonts w:hint="eastAsia" w:ascii="宋体" w:hAnsi="宋体" w:eastAsia="宋体" w:cs="宋体"/>
        </w:rPr>
      </w:pPr>
    </w:p>
    <w:p w14:paraId="52633968">
      <w:pPr>
        <w:pStyle w:val="4"/>
        <w:numPr>
          <w:ilvl w:val="0"/>
          <w:numId w:val="0"/>
        </w:numPr>
        <w:tabs>
          <w:tab w:val="left" w:pos="432"/>
        </w:tabs>
        <w:adjustRightInd w:val="0"/>
        <w:snapToGrid w:val="0"/>
        <w:spacing w:line="312" w:lineRule="auto"/>
        <w:ind w:left="431" w:hanging="431"/>
        <w:jc w:val="center"/>
        <w:rPr>
          <w:rFonts w:hint="eastAsia" w:ascii="宋体" w:hAnsi="宋体" w:eastAsia="宋体" w:cs="宋体"/>
          <w:b/>
          <w:sz w:val="44"/>
          <w:szCs w:val="44"/>
        </w:rPr>
      </w:pPr>
      <w:bookmarkStart w:id="31" w:name="_Toc3483"/>
      <w:r>
        <w:rPr>
          <w:rFonts w:hint="eastAsia" w:ascii="宋体" w:hAnsi="宋体" w:eastAsia="宋体" w:cs="宋体"/>
          <w:b/>
          <w:sz w:val="44"/>
          <w:szCs w:val="44"/>
        </w:rPr>
        <w:t>响应文件</w:t>
      </w:r>
      <w:bookmarkEnd w:id="31"/>
    </w:p>
    <w:p w14:paraId="53E08924">
      <w:pPr>
        <w:spacing w:line="360" w:lineRule="auto"/>
        <w:rPr>
          <w:rFonts w:hint="eastAsia" w:ascii="宋体" w:hAnsi="宋体" w:eastAsia="宋体" w:cs="宋体"/>
          <w:b/>
          <w:sz w:val="24"/>
        </w:rPr>
      </w:pPr>
    </w:p>
    <w:p w14:paraId="173DF79A">
      <w:pPr>
        <w:spacing w:line="360" w:lineRule="auto"/>
        <w:rPr>
          <w:rFonts w:hint="eastAsia" w:ascii="宋体" w:hAnsi="宋体" w:eastAsia="宋体" w:cs="宋体"/>
          <w:b/>
          <w:sz w:val="24"/>
          <w:u w:val="single"/>
        </w:rPr>
      </w:pPr>
    </w:p>
    <w:p w14:paraId="17529843">
      <w:pPr>
        <w:spacing w:line="360" w:lineRule="auto"/>
        <w:rPr>
          <w:rFonts w:hint="eastAsia" w:ascii="宋体" w:hAnsi="宋体" w:eastAsia="宋体" w:cs="宋体"/>
          <w:b/>
          <w:sz w:val="24"/>
          <w:u w:val="single"/>
        </w:rPr>
      </w:pPr>
    </w:p>
    <w:p w14:paraId="468CAD54">
      <w:pPr>
        <w:rPr>
          <w:rFonts w:hint="eastAsia" w:ascii="宋体" w:hAnsi="宋体" w:eastAsia="宋体" w:cs="宋体"/>
        </w:rPr>
      </w:pPr>
    </w:p>
    <w:p w14:paraId="3C69FD2C">
      <w:pPr>
        <w:pStyle w:val="2"/>
        <w:rPr>
          <w:rFonts w:hint="eastAsia" w:ascii="宋体" w:hAnsi="宋体" w:eastAsia="宋体" w:cs="宋体"/>
        </w:rPr>
      </w:pPr>
    </w:p>
    <w:p w14:paraId="0A18DF6F">
      <w:pPr>
        <w:rPr>
          <w:rFonts w:hint="eastAsia" w:ascii="宋体" w:hAnsi="宋体" w:eastAsia="宋体" w:cs="宋体"/>
        </w:rPr>
      </w:pPr>
    </w:p>
    <w:p w14:paraId="73DE7DC0">
      <w:pPr>
        <w:spacing w:line="360" w:lineRule="auto"/>
        <w:rPr>
          <w:rFonts w:hint="eastAsia" w:ascii="宋体" w:hAnsi="宋体" w:eastAsia="宋体" w:cs="宋体"/>
          <w:b/>
          <w:sz w:val="24"/>
        </w:rPr>
      </w:pPr>
      <w:r>
        <w:rPr>
          <w:rFonts w:hint="eastAsia" w:ascii="宋体" w:hAnsi="宋体" w:eastAsia="宋体" w:cs="宋体"/>
          <w:b/>
          <w:sz w:val="24"/>
        </w:rPr>
        <w:t xml:space="preserve">  </w:t>
      </w:r>
    </w:p>
    <w:p w14:paraId="14A2AB2D">
      <w:pPr>
        <w:spacing w:line="600" w:lineRule="auto"/>
        <w:ind w:left="0" w:leftChars="0" w:firstLine="843" w:firstLineChars="300"/>
        <w:jc w:val="both"/>
        <w:rPr>
          <w:rFonts w:hint="eastAsia" w:ascii="宋体" w:hAnsi="宋体" w:eastAsia="宋体" w:cs="宋体"/>
          <w:b/>
          <w:sz w:val="28"/>
          <w:u w:val="single"/>
        </w:rPr>
      </w:pPr>
      <w:r>
        <w:rPr>
          <w:rFonts w:hint="eastAsia" w:ascii="宋体" w:hAnsi="宋体" w:eastAsia="宋体" w:cs="宋体"/>
          <w:b/>
          <w:sz w:val="28"/>
        </w:rPr>
        <w:t>磋商响应单位：</w:t>
      </w:r>
      <w:r>
        <w:rPr>
          <w:rFonts w:hint="eastAsia" w:ascii="宋体" w:hAnsi="宋体" w:eastAsia="宋体" w:cs="宋体"/>
          <w:bCs/>
          <w:sz w:val="28"/>
          <w:u w:val="single"/>
        </w:rPr>
        <w:t xml:space="preserve">                        </w:t>
      </w:r>
      <w:r>
        <w:rPr>
          <w:rFonts w:hint="eastAsia" w:ascii="宋体" w:hAnsi="宋体" w:eastAsia="宋体" w:cs="宋体"/>
          <w:bCs/>
          <w:sz w:val="28"/>
          <w:u w:val="single"/>
          <w:lang w:val="en-US" w:eastAsia="zh-CN"/>
        </w:rPr>
        <w:t xml:space="preserve">    </w:t>
      </w:r>
      <w:r>
        <w:rPr>
          <w:rFonts w:hint="eastAsia" w:ascii="宋体" w:hAnsi="宋体" w:eastAsia="宋体" w:cs="宋体"/>
          <w:bCs/>
          <w:sz w:val="28"/>
          <w:u w:val="single"/>
        </w:rPr>
        <w:t xml:space="preserve">  </w:t>
      </w:r>
      <w:r>
        <w:rPr>
          <w:rFonts w:hint="eastAsia" w:ascii="宋体" w:hAnsi="宋体" w:eastAsia="宋体" w:cs="宋体"/>
          <w:b/>
          <w:sz w:val="28"/>
        </w:rPr>
        <w:t>（盖章）</w:t>
      </w:r>
    </w:p>
    <w:p w14:paraId="26994D94">
      <w:pPr>
        <w:spacing w:line="600" w:lineRule="auto"/>
        <w:ind w:left="0" w:leftChars="0" w:firstLine="843" w:firstLineChars="300"/>
        <w:outlineLvl w:val="0"/>
        <w:rPr>
          <w:rFonts w:hint="eastAsia" w:ascii="宋体" w:hAnsi="宋体" w:eastAsia="宋体" w:cs="宋体"/>
          <w:b/>
          <w:sz w:val="28"/>
        </w:rPr>
      </w:pPr>
      <w:bookmarkStart w:id="32" w:name="_Toc15600"/>
      <w:bookmarkStart w:id="33" w:name="_Toc5161"/>
      <w:bookmarkStart w:id="34" w:name="_Toc31025"/>
      <w:r>
        <w:rPr>
          <w:rFonts w:hint="eastAsia" w:ascii="宋体" w:hAnsi="宋体" w:eastAsia="宋体" w:cs="宋体"/>
          <w:b/>
          <w:sz w:val="28"/>
        </w:rPr>
        <w:t>法定代表人或其授权代理人：</w:t>
      </w:r>
      <w:r>
        <w:rPr>
          <w:rFonts w:hint="eastAsia" w:ascii="宋体" w:hAnsi="宋体" w:eastAsia="宋体" w:cs="宋体"/>
          <w:bCs/>
          <w:sz w:val="28"/>
          <w:u w:val="single"/>
        </w:rPr>
        <w:t xml:space="preserve">            </w:t>
      </w:r>
      <w:r>
        <w:rPr>
          <w:rFonts w:hint="eastAsia" w:ascii="宋体" w:hAnsi="宋体" w:eastAsia="宋体" w:cs="宋体"/>
          <w:b/>
          <w:sz w:val="28"/>
        </w:rPr>
        <w:t>（签字或盖章）</w:t>
      </w:r>
      <w:bookmarkEnd w:id="32"/>
      <w:bookmarkEnd w:id="33"/>
      <w:bookmarkEnd w:id="34"/>
    </w:p>
    <w:p w14:paraId="403A1237">
      <w:pPr>
        <w:spacing w:line="600" w:lineRule="auto"/>
        <w:ind w:left="0" w:leftChars="0" w:firstLine="843" w:firstLineChars="300"/>
        <w:outlineLvl w:val="0"/>
        <w:rPr>
          <w:rFonts w:hint="eastAsia" w:ascii="宋体" w:hAnsi="宋体" w:eastAsia="宋体" w:cs="宋体"/>
          <w:bCs/>
          <w:sz w:val="28"/>
          <w:u w:val="single"/>
        </w:rPr>
      </w:pPr>
      <w:bookmarkStart w:id="35" w:name="_Toc30736"/>
      <w:bookmarkStart w:id="36" w:name="_Toc20105"/>
      <w:bookmarkStart w:id="37" w:name="_Toc18908"/>
      <w:r>
        <w:rPr>
          <w:rFonts w:hint="eastAsia" w:ascii="宋体" w:hAnsi="宋体" w:eastAsia="宋体" w:cs="宋体"/>
          <w:b/>
          <w:sz w:val="28"/>
        </w:rPr>
        <w:t xml:space="preserve">日  </w:t>
      </w:r>
      <w:r>
        <w:rPr>
          <w:rFonts w:hint="eastAsia" w:ascii="宋体" w:hAnsi="宋体" w:eastAsia="宋体" w:cs="宋体"/>
          <w:b/>
          <w:sz w:val="28"/>
          <w:lang w:val="en-US" w:eastAsia="zh-CN"/>
        </w:rPr>
        <w:t xml:space="preserve">    </w:t>
      </w:r>
      <w:r>
        <w:rPr>
          <w:rFonts w:hint="eastAsia" w:ascii="宋体" w:hAnsi="宋体" w:eastAsia="宋体" w:cs="宋体"/>
          <w:b/>
          <w:sz w:val="28"/>
        </w:rPr>
        <w:t xml:space="preserve">  期：</w:t>
      </w:r>
      <w:bookmarkEnd w:id="35"/>
      <w:bookmarkEnd w:id="36"/>
      <w:bookmarkEnd w:id="37"/>
      <w:r>
        <w:rPr>
          <w:rFonts w:hint="eastAsia" w:ascii="宋体" w:hAnsi="宋体" w:eastAsia="宋体" w:cs="宋体"/>
          <w:bCs/>
          <w:sz w:val="28"/>
          <w:u w:val="single"/>
        </w:rPr>
        <w:t xml:space="preserve">                 </w:t>
      </w:r>
      <w:r>
        <w:rPr>
          <w:rFonts w:hint="eastAsia" w:ascii="宋体" w:hAnsi="宋体" w:eastAsia="宋体" w:cs="宋体"/>
          <w:bCs/>
          <w:sz w:val="28"/>
          <w:u w:val="single"/>
          <w:lang w:val="en-US" w:eastAsia="zh-CN"/>
        </w:rPr>
        <w:t xml:space="preserve">              </w:t>
      </w:r>
      <w:r>
        <w:rPr>
          <w:rFonts w:hint="eastAsia" w:ascii="宋体" w:hAnsi="宋体" w:eastAsia="宋体" w:cs="宋体"/>
          <w:bCs/>
          <w:sz w:val="28"/>
          <w:u w:val="single"/>
        </w:rPr>
        <w:t xml:space="preserve">      </w:t>
      </w:r>
    </w:p>
    <w:p w14:paraId="72198A2A">
      <w:pPr>
        <w:spacing w:line="360" w:lineRule="auto"/>
        <w:ind w:firstLine="482" w:firstLineChars="200"/>
        <w:jc w:val="center"/>
        <w:rPr>
          <w:rFonts w:hint="eastAsia" w:ascii="宋体" w:hAnsi="宋体" w:eastAsia="宋体" w:cs="宋体"/>
          <w:b/>
          <w:sz w:val="24"/>
        </w:rPr>
        <w:sectPr>
          <w:footerReference r:id="rId13" w:type="default"/>
          <w:pgSz w:w="11906" w:h="16838"/>
          <w:pgMar w:top="1440" w:right="1457" w:bottom="1440" w:left="1463" w:header="851" w:footer="992" w:gutter="0"/>
          <w:pgBorders>
            <w:top w:val="none" w:sz="0" w:space="0"/>
            <w:left w:val="none" w:sz="0" w:space="0"/>
            <w:bottom w:val="none" w:sz="0" w:space="0"/>
            <w:right w:val="none" w:sz="0" w:space="0"/>
          </w:pgBorders>
          <w:pgNumType w:fmt="decimal"/>
          <w:cols w:space="0" w:num="1"/>
          <w:titlePg/>
          <w:docGrid w:type="lines" w:linePitch="312" w:charSpace="0"/>
        </w:sectPr>
      </w:pPr>
    </w:p>
    <w:p w14:paraId="417A8327">
      <w:pPr>
        <w:spacing w:line="360" w:lineRule="auto"/>
        <w:jc w:val="center"/>
        <w:outlineLvl w:val="1"/>
        <w:rPr>
          <w:rFonts w:hint="eastAsia" w:ascii="宋体" w:hAnsi="宋体" w:eastAsia="宋体" w:cs="宋体"/>
          <w:b/>
          <w:bCs/>
          <w:sz w:val="30"/>
          <w:szCs w:val="30"/>
        </w:rPr>
      </w:pPr>
      <w:r>
        <w:rPr>
          <w:rFonts w:hint="eastAsia" w:ascii="宋体" w:hAnsi="宋体" w:eastAsia="宋体" w:cs="宋体"/>
          <w:b/>
          <w:bCs/>
          <w:sz w:val="30"/>
          <w:szCs w:val="30"/>
        </w:rPr>
        <w:t>目   录</w:t>
      </w:r>
    </w:p>
    <w:p w14:paraId="007160FA">
      <w:pPr>
        <w:spacing w:line="360" w:lineRule="auto"/>
        <w:outlineLvl w:val="9"/>
        <w:rPr>
          <w:rFonts w:hint="eastAsia" w:ascii="宋体" w:hAnsi="宋体" w:eastAsia="宋体" w:cs="宋体"/>
          <w:sz w:val="24"/>
          <w:lang w:eastAsia="zh-CN"/>
        </w:rPr>
      </w:pPr>
      <w:bookmarkStart w:id="38" w:name="_Toc20742"/>
      <w:r>
        <w:rPr>
          <w:rFonts w:hint="eastAsia" w:ascii="宋体" w:hAnsi="宋体" w:eastAsia="宋体" w:cs="宋体"/>
          <w:b/>
          <w:bCs/>
          <w:sz w:val="28"/>
          <w:szCs w:val="28"/>
          <w:lang w:val="en-US" w:eastAsia="zh-CN"/>
        </w:rPr>
        <w:t>第一部分、</w:t>
      </w:r>
      <w:r>
        <w:rPr>
          <w:rFonts w:hint="eastAsia" w:ascii="宋体" w:hAnsi="宋体" w:eastAsia="宋体" w:cs="宋体"/>
          <w:b/>
          <w:bCs/>
          <w:sz w:val="28"/>
          <w:szCs w:val="28"/>
        </w:rPr>
        <w:t>资格</w:t>
      </w:r>
      <w:bookmarkEnd w:id="38"/>
      <w:r>
        <w:rPr>
          <w:rFonts w:hint="eastAsia" w:ascii="宋体" w:hAnsi="宋体" w:eastAsia="宋体" w:cs="宋体"/>
          <w:b/>
          <w:bCs/>
          <w:sz w:val="28"/>
          <w:szCs w:val="28"/>
          <w:lang w:val="en-US" w:eastAsia="zh-CN"/>
        </w:rPr>
        <w:t>部分</w:t>
      </w:r>
    </w:p>
    <w:p w14:paraId="7ACAE75D">
      <w:pPr>
        <w:spacing w:line="360" w:lineRule="auto"/>
        <w:outlineLvl w:val="9"/>
        <w:rPr>
          <w:rFonts w:hint="eastAsia" w:ascii="宋体" w:hAnsi="宋体" w:eastAsia="宋体" w:cs="宋体"/>
          <w:sz w:val="24"/>
          <w:lang w:eastAsia="zh-CN"/>
        </w:rPr>
      </w:pPr>
      <w:bookmarkStart w:id="39" w:name="_Toc23831"/>
      <w:bookmarkStart w:id="40" w:name="_Toc27179_WPSOffice_Level1"/>
      <w:r>
        <w:rPr>
          <w:rFonts w:hint="eastAsia" w:ascii="宋体" w:hAnsi="宋体" w:eastAsia="宋体" w:cs="宋体"/>
          <w:b/>
          <w:bCs/>
          <w:sz w:val="28"/>
          <w:szCs w:val="28"/>
          <w:lang w:val="en-US" w:eastAsia="zh-CN"/>
        </w:rPr>
        <w:t>第二部分、商务部分</w:t>
      </w:r>
    </w:p>
    <w:p w14:paraId="78D04987">
      <w:pPr>
        <w:adjustRightInd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磋商响应函</w:t>
      </w:r>
      <w:bookmarkEnd w:id="39"/>
      <w:bookmarkEnd w:id="40"/>
    </w:p>
    <w:p w14:paraId="745F2628">
      <w:pPr>
        <w:adjustRightInd w:val="0"/>
        <w:snapToGrid w:val="0"/>
        <w:spacing w:line="360" w:lineRule="auto"/>
        <w:ind w:firstLine="480" w:firstLineChars="200"/>
        <w:outlineLvl w:val="9"/>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lang w:eastAsia="zh-CN"/>
        </w:rPr>
        <w:t>首次磋商报价表</w:t>
      </w:r>
    </w:p>
    <w:p w14:paraId="6B85D149">
      <w:pPr>
        <w:adjustRightInd w:val="0"/>
        <w:snapToGrid w:val="0"/>
        <w:spacing w:line="360" w:lineRule="auto"/>
        <w:ind w:firstLine="480" w:firstLineChars="200"/>
        <w:outlineLvl w:val="9"/>
        <w:rPr>
          <w:rFonts w:hint="eastAsia" w:ascii="宋体" w:hAnsi="宋体" w:eastAsia="宋体" w:cs="宋体"/>
          <w:sz w:val="24"/>
        </w:rPr>
      </w:pPr>
      <w:bookmarkStart w:id="41" w:name="_Toc10677"/>
      <w:bookmarkStart w:id="42" w:name="_Toc24822_WPSOffice_Level1"/>
      <w:r>
        <w:rPr>
          <w:rFonts w:hint="eastAsia" w:ascii="宋体" w:hAnsi="宋体" w:eastAsia="宋体" w:cs="宋体"/>
          <w:sz w:val="24"/>
          <w:lang w:val="en-US" w:eastAsia="zh-CN"/>
        </w:rPr>
        <w:t>3、分项</w:t>
      </w:r>
      <w:r>
        <w:rPr>
          <w:rFonts w:hint="eastAsia" w:ascii="宋体" w:hAnsi="宋体" w:eastAsia="宋体" w:cs="宋体"/>
          <w:sz w:val="24"/>
        </w:rPr>
        <w:t>报价表</w:t>
      </w:r>
      <w:bookmarkEnd w:id="41"/>
      <w:bookmarkEnd w:id="42"/>
    </w:p>
    <w:p w14:paraId="2284BDF0">
      <w:pPr>
        <w:widowControl/>
        <w:jc w:val="left"/>
        <w:rPr>
          <w:rFonts w:hint="eastAsia" w:ascii="宋体" w:hAnsi="宋体" w:eastAsia="宋体" w:cs="宋体"/>
          <w:b/>
          <w:bCs/>
          <w:color w:val="auto"/>
          <w:sz w:val="28"/>
          <w:szCs w:val="28"/>
          <w:highlight w:val="none"/>
        </w:rPr>
      </w:pPr>
      <w:bookmarkStart w:id="43" w:name="_Toc15524_WPSOffice_Level1"/>
      <w:bookmarkStart w:id="44" w:name="_Toc2414"/>
      <w:r>
        <w:rPr>
          <w:rFonts w:hint="eastAsia" w:ascii="宋体" w:hAnsi="宋体" w:eastAsia="宋体" w:cs="宋体"/>
          <w:b/>
          <w:bCs/>
          <w:sz w:val="28"/>
          <w:szCs w:val="28"/>
          <w:lang w:val="en-US" w:eastAsia="zh-CN"/>
        </w:rPr>
        <w:t>第三部分、</w:t>
      </w:r>
      <w:r>
        <w:rPr>
          <w:rFonts w:hint="eastAsia" w:ascii="宋体" w:hAnsi="宋体" w:eastAsia="宋体" w:cs="宋体"/>
          <w:b/>
          <w:bCs/>
          <w:color w:val="auto"/>
          <w:sz w:val="28"/>
          <w:szCs w:val="28"/>
          <w:highlight w:val="none"/>
        </w:rPr>
        <w:t>技术文件</w:t>
      </w:r>
      <w:bookmarkEnd w:id="43"/>
      <w:bookmarkEnd w:id="44"/>
    </w:p>
    <w:p w14:paraId="0D553359">
      <w:pPr>
        <w:widowControl/>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第四部分、其他资料</w:t>
      </w:r>
    </w:p>
    <w:p w14:paraId="6692912C">
      <w:pPr>
        <w:tabs>
          <w:tab w:val="left" w:pos="2115"/>
        </w:tabs>
        <w:autoSpaceDE w:val="0"/>
        <w:autoSpaceDN w:val="0"/>
        <w:adjustRightInd w:val="0"/>
        <w:snapToGrid w:val="0"/>
        <w:spacing w:after="156" w:afterLines="50" w:line="360" w:lineRule="auto"/>
        <w:rPr>
          <w:rFonts w:hint="eastAsia" w:ascii="宋体" w:hAnsi="宋体" w:eastAsia="宋体" w:cs="宋体"/>
          <w:sz w:val="24"/>
        </w:rPr>
      </w:pPr>
    </w:p>
    <w:p w14:paraId="70011FBC">
      <w:pPr>
        <w:tabs>
          <w:tab w:val="left" w:pos="2115"/>
        </w:tabs>
        <w:autoSpaceDE w:val="0"/>
        <w:autoSpaceDN w:val="0"/>
        <w:adjustRightInd w:val="0"/>
        <w:snapToGrid w:val="0"/>
        <w:spacing w:after="156" w:afterLines="50" w:line="360" w:lineRule="auto"/>
        <w:rPr>
          <w:rFonts w:hint="eastAsia" w:ascii="宋体" w:hAnsi="宋体" w:eastAsia="宋体" w:cs="宋体"/>
          <w:sz w:val="24"/>
        </w:rPr>
      </w:pPr>
    </w:p>
    <w:p w14:paraId="65E419E7">
      <w:pPr>
        <w:tabs>
          <w:tab w:val="left" w:pos="2115"/>
        </w:tabs>
        <w:autoSpaceDE w:val="0"/>
        <w:autoSpaceDN w:val="0"/>
        <w:adjustRightInd w:val="0"/>
        <w:snapToGrid w:val="0"/>
        <w:spacing w:after="156" w:afterLines="50" w:line="360" w:lineRule="auto"/>
        <w:rPr>
          <w:rFonts w:hint="eastAsia" w:ascii="宋体" w:hAnsi="宋体" w:eastAsia="宋体" w:cs="宋体"/>
          <w:sz w:val="24"/>
        </w:rPr>
      </w:pPr>
    </w:p>
    <w:p w14:paraId="14214A0C">
      <w:pPr>
        <w:tabs>
          <w:tab w:val="left" w:pos="2115"/>
        </w:tabs>
        <w:autoSpaceDE w:val="0"/>
        <w:autoSpaceDN w:val="0"/>
        <w:adjustRightInd w:val="0"/>
        <w:snapToGrid w:val="0"/>
        <w:spacing w:after="156" w:afterLines="50" w:line="360" w:lineRule="auto"/>
        <w:rPr>
          <w:rFonts w:hint="eastAsia" w:ascii="宋体" w:hAnsi="宋体" w:eastAsia="宋体" w:cs="宋体"/>
          <w:sz w:val="24"/>
        </w:rPr>
      </w:pPr>
    </w:p>
    <w:p w14:paraId="4685B25D">
      <w:pPr>
        <w:tabs>
          <w:tab w:val="left" w:pos="2115"/>
        </w:tabs>
        <w:autoSpaceDE w:val="0"/>
        <w:autoSpaceDN w:val="0"/>
        <w:adjustRightInd w:val="0"/>
        <w:snapToGrid w:val="0"/>
        <w:spacing w:after="156" w:afterLines="50" w:line="360" w:lineRule="auto"/>
        <w:rPr>
          <w:rFonts w:hint="eastAsia" w:ascii="宋体" w:hAnsi="宋体" w:eastAsia="宋体" w:cs="宋体"/>
          <w:sz w:val="24"/>
        </w:rPr>
      </w:pPr>
    </w:p>
    <w:p w14:paraId="55A66EDB">
      <w:pPr>
        <w:tabs>
          <w:tab w:val="left" w:pos="2115"/>
        </w:tabs>
        <w:autoSpaceDE w:val="0"/>
        <w:autoSpaceDN w:val="0"/>
        <w:adjustRightInd w:val="0"/>
        <w:snapToGrid w:val="0"/>
        <w:spacing w:after="156" w:afterLines="50" w:line="360" w:lineRule="auto"/>
        <w:rPr>
          <w:rFonts w:hint="eastAsia" w:ascii="宋体" w:hAnsi="宋体" w:eastAsia="宋体" w:cs="宋体"/>
          <w:sz w:val="24"/>
        </w:rPr>
      </w:pPr>
    </w:p>
    <w:p w14:paraId="3A2C9AB7">
      <w:pPr>
        <w:tabs>
          <w:tab w:val="left" w:pos="2115"/>
        </w:tabs>
        <w:autoSpaceDE w:val="0"/>
        <w:autoSpaceDN w:val="0"/>
        <w:adjustRightInd w:val="0"/>
        <w:snapToGrid w:val="0"/>
        <w:spacing w:after="156" w:afterLines="50" w:line="360" w:lineRule="auto"/>
        <w:rPr>
          <w:rFonts w:hint="eastAsia" w:ascii="宋体" w:hAnsi="宋体" w:eastAsia="宋体" w:cs="宋体"/>
          <w:sz w:val="24"/>
        </w:rPr>
      </w:pPr>
    </w:p>
    <w:p w14:paraId="583F5669">
      <w:pPr>
        <w:tabs>
          <w:tab w:val="left" w:pos="2115"/>
        </w:tabs>
        <w:autoSpaceDE w:val="0"/>
        <w:autoSpaceDN w:val="0"/>
        <w:adjustRightInd w:val="0"/>
        <w:snapToGrid w:val="0"/>
        <w:spacing w:after="156" w:afterLines="50" w:line="360" w:lineRule="auto"/>
        <w:rPr>
          <w:rFonts w:hint="eastAsia" w:ascii="宋体" w:hAnsi="宋体" w:eastAsia="宋体" w:cs="宋体"/>
          <w:sz w:val="24"/>
        </w:rPr>
      </w:pPr>
    </w:p>
    <w:p w14:paraId="45BB7E5C">
      <w:pPr>
        <w:tabs>
          <w:tab w:val="left" w:pos="2115"/>
        </w:tabs>
        <w:autoSpaceDE w:val="0"/>
        <w:autoSpaceDN w:val="0"/>
        <w:adjustRightInd w:val="0"/>
        <w:snapToGrid w:val="0"/>
        <w:spacing w:after="156" w:afterLines="50" w:line="360" w:lineRule="auto"/>
        <w:rPr>
          <w:rFonts w:hint="eastAsia" w:ascii="宋体" w:hAnsi="宋体" w:eastAsia="宋体" w:cs="宋体"/>
          <w:sz w:val="24"/>
        </w:rPr>
      </w:pPr>
    </w:p>
    <w:p w14:paraId="44C13F4F">
      <w:pPr>
        <w:tabs>
          <w:tab w:val="left" w:pos="2115"/>
        </w:tabs>
        <w:autoSpaceDE w:val="0"/>
        <w:autoSpaceDN w:val="0"/>
        <w:adjustRightInd w:val="0"/>
        <w:snapToGrid w:val="0"/>
        <w:spacing w:after="156" w:afterLines="50" w:line="360" w:lineRule="auto"/>
        <w:rPr>
          <w:rFonts w:hint="eastAsia" w:ascii="宋体" w:hAnsi="宋体" w:eastAsia="宋体" w:cs="宋体"/>
          <w:sz w:val="24"/>
        </w:rPr>
        <w:sectPr>
          <w:pgSz w:w="11906" w:h="16838"/>
          <w:pgMar w:top="1440" w:right="1457" w:bottom="1440" w:left="1463" w:header="851" w:footer="992" w:gutter="0"/>
          <w:pgBorders>
            <w:top w:val="none" w:sz="0" w:space="0"/>
            <w:left w:val="none" w:sz="0" w:space="0"/>
            <w:bottom w:val="none" w:sz="0" w:space="0"/>
            <w:right w:val="none" w:sz="0" w:space="0"/>
          </w:pgBorders>
          <w:pgNumType w:fmt="decimal"/>
          <w:cols w:space="0" w:num="1"/>
          <w:titlePg/>
          <w:docGrid w:type="lines" w:linePitch="312" w:charSpace="0"/>
        </w:sectPr>
      </w:pPr>
    </w:p>
    <w:p w14:paraId="79CAD1EE">
      <w:pPr>
        <w:spacing w:line="360" w:lineRule="auto"/>
        <w:jc w:val="center"/>
        <w:outlineLvl w:val="9"/>
        <w:rPr>
          <w:rFonts w:hint="eastAsia" w:ascii="宋体" w:hAnsi="宋体" w:eastAsia="宋体" w:cs="宋体"/>
          <w:sz w:val="24"/>
          <w:lang w:eastAsia="zh-CN"/>
        </w:rPr>
      </w:pPr>
      <w:r>
        <w:rPr>
          <w:rFonts w:hint="eastAsia" w:ascii="宋体" w:hAnsi="宋体" w:eastAsia="宋体" w:cs="宋体"/>
          <w:b/>
          <w:bCs/>
          <w:sz w:val="28"/>
          <w:szCs w:val="28"/>
          <w:lang w:val="en-US" w:eastAsia="zh-CN"/>
        </w:rPr>
        <w:t>第一部分、</w:t>
      </w:r>
      <w:r>
        <w:rPr>
          <w:rFonts w:hint="eastAsia" w:ascii="宋体" w:hAnsi="宋体" w:eastAsia="宋体" w:cs="宋体"/>
          <w:b/>
          <w:bCs/>
          <w:sz w:val="28"/>
          <w:szCs w:val="28"/>
        </w:rPr>
        <w:t>资格</w:t>
      </w:r>
      <w:r>
        <w:rPr>
          <w:rFonts w:hint="eastAsia" w:ascii="宋体" w:hAnsi="宋体" w:eastAsia="宋体" w:cs="宋体"/>
          <w:b/>
          <w:bCs/>
          <w:sz w:val="28"/>
          <w:szCs w:val="28"/>
          <w:lang w:val="en-US" w:eastAsia="zh-CN"/>
        </w:rPr>
        <w:t>部分</w:t>
      </w:r>
    </w:p>
    <w:p w14:paraId="11C408F3">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（1）供应商为具有独立承担民事责任能力的法人或其他组织。企业法人应提供合法有效的标识有统一社会信用代码的营业执照；事业法人应提供事业单位法人证书；其他组织应提供合法登记证明文件；</w:t>
      </w:r>
    </w:p>
    <w:p w14:paraId="46233414">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（2）供应商须具备卫生行政部门颁发的《医疗机构执业许可证》(诊疗科目中有开展健康体检服务的科目)、《放射诊疗许可证》；</w:t>
      </w:r>
    </w:p>
    <w:p w14:paraId="1D8648D8">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（3）财务状况报告：提供2024年经审计的财务报告或开标前三个月内开户银行开具的资信证明；</w:t>
      </w:r>
    </w:p>
    <w:p w14:paraId="1305F3CF">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（4）税收缴纳证明：提供2025年04月至今已缴纳的至少一个月的纳税证明或完税证明（任意税种），依法免税的单位应提供相关证明材料；</w:t>
      </w:r>
    </w:p>
    <w:p w14:paraId="2D151B21">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（5）社会保障资金缴纳证明：提供2025年04月至今已缴存的至少一个月的社会保障资金缴存单据或社保机构开具的社会保险参保缴费情况证明，依法不需要缴纳社会保障资金的单位应提供相关证明材料；</w:t>
      </w:r>
    </w:p>
    <w:p w14:paraId="6E4EC994">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（6）提供具有履行本合同所必需的设备和专业技术能力的声明；</w:t>
      </w:r>
    </w:p>
    <w:p w14:paraId="10998351">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（7）参加本次政府采购活动前3年内在经营活动中没有重大违纪，以及未被列入失信被执行人、重大税收违法失信主体、政府采购严重违法失信行为记录名单的书面声明；</w:t>
      </w:r>
    </w:p>
    <w:p w14:paraId="7E2CBF11">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w:t>
      </w:r>
      <w:r>
        <w:rPr>
          <w:rFonts w:hint="eastAsia" w:ascii="宋体" w:hAnsi="宋体" w:cs="宋体"/>
          <w:color w:val="000000"/>
          <w:kern w:val="0"/>
          <w:sz w:val="24"/>
          <w:szCs w:val="24"/>
          <w:highlight w:val="none"/>
          <w:lang w:val="en-US" w:eastAsia="zh-CN"/>
        </w:rPr>
        <w:t>供应商应授权合法的人员参加投标全过程，其中法定代表人直接参加投标的，须出具法人身份证，并与营业执照上信息一致。法定代表人授权代表参加投标的，须出具法定代表人授权书、授权代表身份证以及被授权人在磋商截止日前6个月内在本单位已缴存的至少1个月的社会保险参保缴费证明</w:t>
      </w:r>
      <w:r>
        <w:rPr>
          <w:rFonts w:hint="eastAsia" w:ascii="宋体" w:hAnsi="宋体" w:eastAsia="宋体" w:cs="宋体"/>
          <w:color w:val="000000"/>
          <w:kern w:val="0"/>
          <w:sz w:val="24"/>
          <w:szCs w:val="24"/>
          <w:highlight w:val="none"/>
          <w:lang w:val="en-US" w:eastAsia="zh-CN"/>
        </w:rPr>
        <w:t>；</w:t>
      </w:r>
    </w:p>
    <w:p w14:paraId="36B612A4">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（9）供应商单位负责人不得为同一人或者存在控股、管理关系。</w:t>
      </w:r>
    </w:p>
    <w:p w14:paraId="2752C20F">
      <w:pPr>
        <w:spacing w:line="336" w:lineRule="auto"/>
        <w:jc w:val="center"/>
        <w:rPr>
          <w:rFonts w:hint="eastAsia" w:ascii="宋体" w:hAnsi="宋体" w:eastAsia="宋体" w:cs="宋体"/>
          <w:color w:val="000000"/>
          <w:kern w:val="0"/>
          <w:sz w:val="32"/>
          <w:szCs w:val="32"/>
          <w:highlight w:val="none"/>
          <w:lang w:eastAsia="zh-CN"/>
        </w:rPr>
      </w:pPr>
    </w:p>
    <w:p w14:paraId="3624D4DE">
      <w:pPr>
        <w:spacing w:line="336" w:lineRule="auto"/>
        <w:jc w:val="center"/>
        <w:rPr>
          <w:rFonts w:hint="eastAsia" w:ascii="宋体" w:hAnsi="宋体" w:eastAsia="宋体" w:cs="宋体"/>
          <w:b/>
          <w:color w:val="000000"/>
          <w:sz w:val="28"/>
          <w:szCs w:val="28"/>
          <w:highlight w:val="none"/>
        </w:rPr>
      </w:pPr>
      <w:r>
        <w:rPr>
          <w:rFonts w:hint="eastAsia" w:ascii="宋体" w:hAnsi="宋体" w:eastAsia="宋体" w:cs="宋体"/>
          <w:color w:val="000000"/>
          <w:kern w:val="0"/>
          <w:sz w:val="32"/>
          <w:szCs w:val="32"/>
          <w:highlight w:val="none"/>
        </w:rPr>
        <w:br w:type="page"/>
      </w:r>
      <w:r>
        <w:rPr>
          <w:rFonts w:hint="eastAsia" w:ascii="宋体" w:hAnsi="宋体" w:eastAsia="宋体" w:cs="宋体"/>
          <w:b/>
          <w:color w:val="000000"/>
          <w:sz w:val="28"/>
          <w:szCs w:val="28"/>
          <w:highlight w:val="none"/>
        </w:rPr>
        <w:t>具有履行本合同所必需的设备和专业技术能力的声明</w:t>
      </w:r>
    </w:p>
    <w:p w14:paraId="683D153B">
      <w:pPr>
        <w:bidi w:val="0"/>
        <w:rPr>
          <w:rFonts w:hint="eastAsia" w:ascii="宋体" w:hAnsi="宋体" w:eastAsia="宋体" w:cs="宋体"/>
          <w:color w:val="000000"/>
          <w:highlight w:val="none"/>
        </w:rPr>
      </w:pPr>
    </w:p>
    <w:p w14:paraId="2A12C950">
      <w:pPr>
        <w:widowControl/>
        <w:spacing w:line="24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（采购代理机构）：</w:t>
      </w:r>
    </w:p>
    <w:p w14:paraId="3ADBA7DE">
      <w:pPr>
        <w:widowControl/>
        <w:spacing w:line="240" w:lineRule="auto"/>
        <w:jc w:val="left"/>
        <w:rPr>
          <w:rFonts w:hint="eastAsia" w:ascii="宋体" w:hAnsi="宋体" w:eastAsia="宋体" w:cs="宋体"/>
          <w:color w:val="000000"/>
          <w:sz w:val="24"/>
          <w:szCs w:val="24"/>
          <w:highlight w:val="none"/>
        </w:rPr>
      </w:pPr>
    </w:p>
    <w:p w14:paraId="475BC5FC">
      <w:pPr>
        <w:widowControl/>
        <w:spacing w:line="240" w:lineRule="auto"/>
        <w:jc w:val="left"/>
        <w:rPr>
          <w:rFonts w:hint="eastAsia" w:ascii="宋体" w:hAnsi="宋体" w:eastAsia="宋体" w:cs="宋体"/>
          <w:color w:val="000000"/>
          <w:sz w:val="24"/>
          <w:szCs w:val="24"/>
          <w:highlight w:val="none"/>
        </w:rPr>
      </w:pPr>
    </w:p>
    <w:p w14:paraId="0ABCEAFC">
      <w:pPr>
        <w:widowControl/>
        <w:spacing w:line="240" w:lineRule="auto"/>
        <w:jc w:val="left"/>
        <w:rPr>
          <w:rFonts w:hint="eastAsia" w:ascii="宋体" w:hAnsi="宋体" w:eastAsia="宋体" w:cs="宋体"/>
          <w:color w:val="000000"/>
          <w:sz w:val="24"/>
          <w:szCs w:val="24"/>
          <w:highlight w:val="none"/>
        </w:rPr>
      </w:pPr>
    </w:p>
    <w:p w14:paraId="32E98D81">
      <w:pPr>
        <w:widowControl/>
        <w:spacing w:line="24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格式自拟</w:t>
      </w:r>
      <w:r>
        <w:rPr>
          <w:rFonts w:hint="eastAsia" w:ascii="宋体" w:hAnsi="宋体" w:eastAsia="宋体" w:cs="宋体"/>
          <w:color w:val="000000"/>
          <w:sz w:val="24"/>
          <w:szCs w:val="24"/>
          <w:highlight w:val="none"/>
        </w:rPr>
        <w:t>)</w:t>
      </w:r>
    </w:p>
    <w:p w14:paraId="52939516">
      <w:pPr>
        <w:widowControl/>
        <w:spacing w:line="240" w:lineRule="auto"/>
        <w:jc w:val="left"/>
        <w:rPr>
          <w:rFonts w:hint="eastAsia" w:ascii="宋体" w:hAnsi="宋体" w:eastAsia="宋体" w:cs="宋体"/>
          <w:color w:val="000000"/>
          <w:sz w:val="24"/>
          <w:szCs w:val="24"/>
          <w:highlight w:val="none"/>
        </w:rPr>
      </w:pPr>
    </w:p>
    <w:p w14:paraId="40B12A82">
      <w:pPr>
        <w:widowControl/>
        <w:spacing w:line="240" w:lineRule="auto"/>
        <w:jc w:val="left"/>
        <w:rPr>
          <w:rFonts w:hint="eastAsia" w:ascii="宋体" w:hAnsi="宋体" w:eastAsia="宋体" w:cs="宋体"/>
          <w:color w:val="000000"/>
          <w:sz w:val="32"/>
          <w:szCs w:val="32"/>
          <w:highlight w:val="none"/>
        </w:rPr>
      </w:pPr>
    </w:p>
    <w:p w14:paraId="3E1A2AAC">
      <w:pPr>
        <w:widowControl/>
        <w:spacing w:line="240" w:lineRule="auto"/>
        <w:jc w:val="left"/>
        <w:rPr>
          <w:rFonts w:hint="eastAsia" w:ascii="宋体" w:hAnsi="宋体" w:eastAsia="宋体" w:cs="宋体"/>
          <w:color w:val="000000"/>
          <w:sz w:val="32"/>
          <w:szCs w:val="32"/>
          <w:highlight w:val="none"/>
        </w:rPr>
      </w:pPr>
    </w:p>
    <w:p w14:paraId="3490EA01">
      <w:pPr>
        <w:widowControl/>
        <w:spacing w:line="240" w:lineRule="auto"/>
        <w:jc w:val="left"/>
        <w:rPr>
          <w:rFonts w:hint="eastAsia" w:ascii="宋体" w:hAnsi="宋体" w:eastAsia="宋体" w:cs="宋体"/>
          <w:color w:val="000000"/>
          <w:sz w:val="32"/>
          <w:szCs w:val="32"/>
          <w:highlight w:val="none"/>
        </w:rPr>
      </w:pPr>
    </w:p>
    <w:p w14:paraId="6C336FEE">
      <w:pPr>
        <w:widowControl/>
        <w:spacing w:line="240" w:lineRule="auto"/>
        <w:jc w:val="left"/>
        <w:rPr>
          <w:rFonts w:hint="eastAsia" w:ascii="宋体" w:hAnsi="宋体" w:eastAsia="宋体" w:cs="宋体"/>
          <w:color w:val="000000"/>
          <w:sz w:val="32"/>
          <w:highlight w:val="none"/>
        </w:rPr>
      </w:pPr>
    </w:p>
    <w:p w14:paraId="59A3CDA9">
      <w:pPr>
        <w:adjustRightInd w:val="0"/>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供应商</w:t>
      </w:r>
      <w:r>
        <w:rPr>
          <w:rFonts w:hint="eastAsia" w:ascii="宋体" w:hAnsi="宋体" w:eastAsia="宋体" w:cs="宋体"/>
          <w:bCs/>
          <w:color w:val="000000"/>
          <w:sz w:val="24"/>
          <w:szCs w:val="24"/>
          <w:highlight w:val="none"/>
        </w:rPr>
        <w:t>名称：</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（公章）</w:t>
      </w:r>
    </w:p>
    <w:p w14:paraId="41B2DB58">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法定代表人或授权代表人：</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14:paraId="086D2874">
      <w:pPr>
        <w:widowControl w:val="0"/>
        <w:spacing w:line="36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日   期：</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年</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月</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日</w:t>
      </w:r>
    </w:p>
    <w:p w14:paraId="5E1618ED">
      <w:pPr>
        <w:widowControl/>
        <w:spacing w:line="240" w:lineRule="auto"/>
        <w:ind w:firstLine="640" w:firstLineChars="200"/>
        <w:jc w:val="left"/>
        <w:rPr>
          <w:rFonts w:hint="eastAsia" w:ascii="宋体" w:hAnsi="宋体" w:eastAsia="宋体" w:cs="宋体"/>
          <w:color w:val="000000"/>
          <w:sz w:val="32"/>
          <w:szCs w:val="32"/>
          <w:highlight w:val="none"/>
        </w:rPr>
      </w:pPr>
    </w:p>
    <w:p w14:paraId="133ADFD8">
      <w:pPr>
        <w:autoSpaceDE w:val="0"/>
        <w:autoSpaceDN w:val="0"/>
        <w:adjustRightInd w:val="0"/>
        <w:spacing w:line="336" w:lineRule="auto"/>
        <w:jc w:val="left"/>
        <w:rPr>
          <w:rFonts w:hint="eastAsia" w:ascii="宋体" w:hAnsi="宋体" w:eastAsia="宋体" w:cs="宋体"/>
          <w:color w:val="000000"/>
          <w:sz w:val="32"/>
          <w:szCs w:val="32"/>
          <w:highlight w:val="none"/>
        </w:rPr>
      </w:pPr>
    </w:p>
    <w:p w14:paraId="4200B5E8">
      <w:pPr>
        <w:autoSpaceDE w:val="0"/>
        <w:autoSpaceDN w:val="0"/>
        <w:adjustRightInd w:val="0"/>
        <w:spacing w:line="336" w:lineRule="auto"/>
        <w:ind w:firstLine="640" w:firstLineChars="200"/>
        <w:jc w:val="left"/>
        <w:rPr>
          <w:rFonts w:hint="eastAsia" w:ascii="宋体" w:hAnsi="宋体" w:eastAsia="宋体" w:cs="宋体"/>
          <w:color w:val="000000"/>
          <w:sz w:val="32"/>
          <w:szCs w:val="32"/>
          <w:highlight w:val="none"/>
        </w:rPr>
      </w:pPr>
    </w:p>
    <w:p w14:paraId="53916CAD">
      <w:pPr>
        <w:autoSpaceDE w:val="0"/>
        <w:autoSpaceDN w:val="0"/>
        <w:adjustRightInd w:val="0"/>
        <w:spacing w:line="336" w:lineRule="auto"/>
        <w:ind w:firstLine="640" w:firstLineChars="200"/>
        <w:jc w:val="left"/>
        <w:rPr>
          <w:rFonts w:hint="eastAsia" w:ascii="宋体" w:hAnsi="宋体" w:eastAsia="宋体" w:cs="宋体"/>
          <w:color w:val="000000"/>
          <w:sz w:val="32"/>
          <w:szCs w:val="32"/>
          <w:highlight w:val="none"/>
        </w:rPr>
      </w:pPr>
    </w:p>
    <w:p w14:paraId="6F818538">
      <w:pPr>
        <w:pStyle w:val="25"/>
        <w:spacing w:line="336" w:lineRule="auto"/>
        <w:jc w:val="both"/>
        <w:rPr>
          <w:rFonts w:hint="eastAsia" w:ascii="宋体" w:hAnsi="宋体" w:eastAsia="宋体" w:cs="宋体"/>
          <w:b/>
          <w:bCs/>
          <w:color w:val="000000"/>
          <w:sz w:val="28"/>
          <w:szCs w:val="28"/>
          <w:highlight w:val="none"/>
        </w:rPr>
      </w:pPr>
      <w:r>
        <w:rPr>
          <w:rFonts w:hint="eastAsia" w:ascii="宋体" w:hAnsi="宋体" w:eastAsia="宋体" w:cs="宋体"/>
          <w:color w:val="000000"/>
          <w:kern w:val="0"/>
          <w:sz w:val="32"/>
          <w:szCs w:val="32"/>
          <w:highlight w:val="none"/>
        </w:rPr>
        <w:br w:type="page"/>
      </w:r>
      <w:r>
        <w:rPr>
          <w:rFonts w:hint="eastAsia" w:ascii="宋体" w:hAnsi="宋体" w:eastAsia="宋体" w:cs="宋体"/>
          <w:b/>
          <w:bCs/>
          <w:color w:val="000000"/>
          <w:sz w:val="28"/>
          <w:szCs w:val="28"/>
          <w:highlight w:val="none"/>
          <w:lang w:val="en-US" w:eastAsia="zh-CN"/>
        </w:rPr>
        <w:t>参加</w:t>
      </w:r>
      <w:r>
        <w:rPr>
          <w:rFonts w:hint="eastAsia" w:ascii="宋体" w:hAnsi="宋体" w:eastAsia="宋体" w:cs="宋体"/>
          <w:b/>
          <w:bCs/>
          <w:color w:val="000000"/>
          <w:sz w:val="28"/>
          <w:szCs w:val="28"/>
          <w:highlight w:val="none"/>
          <w:lang w:eastAsia="zh-CN"/>
        </w:rPr>
        <w:t>本次政府采购活动</w:t>
      </w:r>
      <w:r>
        <w:rPr>
          <w:rFonts w:hint="eastAsia" w:ascii="宋体" w:hAnsi="宋体" w:eastAsia="宋体" w:cs="宋体"/>
          <w:b/>
          <w:bCs/>
          <w:color w:val="000000"/>
          <w:sz w:val="28"/>
          <w:szCs w:val="28"/>
          <w:highlight w:val="none"/>
          <w:lang w:val="en-US" w:eastAsia="zh-CN"/>
        </w:rPr>
        <w:t>前三年内，在经营活动中没有重大违法记录声明函</w:t>
      </w:r>
    </w:p>
    <w:p w14:paraId="4518C8C6">
      <w:pPr>
        <w:pStyle w:val="25"/>
        <w:spacing w:line="336" w:lineRule="auto"/>
        <w:rPr>
          <w:rFonts w:hint="eastAsia" w:ascii="宋体" w:hAnsi="宋体" w:eastAsia="宋体" w:cs="宋体"/>
          <w:color w:val="000000"/>
          <w:sz w:val="24"/>
          <w:szCs w:val="24"/>
          <w:highlight w:val="none"/>
        </w:rPr>
      </w:pPr>
    </w:p>
    <w:p w14:paraId="12FBD2A3">
      <w:pPr>
        <w:pStyle w:val="25"/>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本单位郑重声明：</w:t>
      </w:r>
    </w:p>
    <w:p w14:paraId="69098B1B">
      <w:pPr>
        <w:pStyle w:val="25"/>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我单位在参加采购活动前三年内在经营活动中没有《政府采购法》第二十二条第一款第(五)项所称重大违法记录，包括：</w:t>
      </w:r>
    </w:p>
    <w:p w14:paraId="61A1666F">
      <w:pPr>
        <w:pStyle w:val="25"/>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我单位未因经营活动中的违法行为受到刑事处罚或者责令停产停业、吊销许可证或者执照、较大数额罚款等行政处罚。</w:t>
      </w:r>
    </w:p>
    <w:p w14:paraId="485AF6D6">
      <w:pPr>
        <w:pStyle w:val="25"/>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我单位无以下不良信用记录情形：</w:t>
      </w:r>
    </w:p>
    <w:p w14:paraId="686022B3">
      <w:pPr>
        <w:pStyle w:val="25"/>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1、我方______（填“未被列入”或“被列入”）失信被执行人名单。</w:t>
      </w:r>
    </w:p>
    <w:p w14:paraId="22B42969">
      <w:pPr>
        <w:pStyle w:val="25"/>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2、我方______（填“未被列入”或“被列入”）</w:t>
      </w:r>
      <w:r>
        <w:rPr>
          <w:rFonts w:hint="eastAsia" w:ascii="宋体" w:hAnsi="宋体" w:eastAsia="宋体" w:cs="宋体"/>
          <w:color w:val="000000"/>
          <w:sz w:val="24"/>
          <w:szCs w:val="24"/>
          <w:highlight w:val="none"/>
          <w:lang w:val="en-US" w:eastAsia="zh-CN"/>
        </w:rPr>
        <w:t>重大税收违法失信主体</w:t>
      </w:r>
      <w:r>
        <w:rPr>
          <w:rFonts w:hint="eastAsia" w:ascii="宋体" w:hAnsi="宋体" w:eastAsia="宋体" w:cs="宋体"/>
          <w:color w:val="000000"/>
          <w:sz w:val="24"/>
          <w:szCs w:val="24"/>
          <w:highlight w:val="none"/>
        </w:rPr>
        <w:t>。</w:t>
      </w:r>
    </w:p>
    <w:p w14:paraId="031DCE0E">
      <w:pPr>
        <w:pStyle w:val="25"/>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3、我方______（填“未被列入”或“被列入”）政府采购严重违法失信行为记录名单。</w:t>
      </w:r>
    </w:p>
    <w:p w14:paraId="3EF54B54">
      <w:pPr>
        <w:pStyle w:val="25"/>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我单位已就上述不良信用行为按照</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文件中</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须知前附表规定进行了查询。我单位承诺：合同签订前，若我单位具有不良信用记录情形，贵方可取消我单位</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资格或者不授予合同，所有责任由我单位自行承担。同时，我单位愿意无条件接受监管部门的调查处理。</w:t>
      </w:r>
    </w:p>
    <w:p w14:paraId="321687E5">
      <w:pPr>
        <w:pStyle w:val="25"/>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特此声明！</w:t>
      </w:r>
    </w:p>
    <w:p w14:paraId="677C6C32">
      <w:pPr>
        <w:pStyle w:val="25"/>
        <w:spacing w:line="360" w:lineRule="auto"/>
        <w:ind w:firstLine="480" w:firstLineChars="200"/>
        <w:rPr>
          <w:rFonts w:hint="eastAsia" w:ascii="宋体" w:hAnsi="宋体" w:eastAsia="宋体" w:cs="宋体"/>
          <w:color w:val="000000"/>
          <w:sz w:val="24"/>
          <w:szCs w:val="24"/>
          <w:highlight w:val="none"/>
        </w:rPr>
      </w:pPr>
    </w:p>
    <w:p w14:paraId="3C873E53">
      <w:pPr>
        <w:pStyle w:val="25"/>
        <w:spacing w:line="360" w:lineRule="auto"/>
        <w:ind w:firstLine="480" w:firstLineChars="200"/>
        <w:rPr>
          <w:rFonts w:hint="eastAsia" w:ascii="宋体" w:hAnsi="宋体" w:eastAsia="宋体" w:cs="宋体"/>
          <w:color w:val="000000"/>
          <w:sz w:val="24"/>
          <w:szCs w:val="24"/>
          <w:highlight w:val="none"/>
        </w:rPr>
      </w:pPr>
    </w:p>
    <w:p w14:paraId="2DFED37E">
      <w:pPr>
        <w:pStyle w:val="25"/>
        <w:spacing w:line="360" w:lineRule="auto"/>
        <w:ind w:firstLine="480" w:firstLineChars="200"/>
        <w:rPr>
          <w:rFonts w:hint="eastAsia" w:ascii="宋体" w:hAnsi="宋体" w:eastAsia="宋体" w:cs="宋体"/>
          <w:color w:val="000000"/>
          <w:sz w:val="24"/>
          <w:szCs w:val="24"/>
          <w:highlight w:val="none"/>
        </w:rPr>
      </w:pPr>
    </w:p>
    <w:p w14:paraId="3A752427">
      <w:pPr>
        <w:adjustRightInd w:val="0"/>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供应商</w:t>
      </w:r>
      <w:r>
        <w:rPr>
          <w:rFonts w:hint="eastAsia" w:ascii="宋体" w:hAnsi="宋体" w:eastAsia="宋体" w:cs="宋体"/>
          <w:bCs/>
          <w:color w:val="000000"/>
          <w:sz w:val="24"/>
          <w:szCs w:val="24"/>
          <w:highlight w:val="none"/>
        </w:rPr>
        <w:t>名称：</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（公章）</w:t>
      </w:r>
    </w:p>
    <w:p w14:paraId="15FF667D">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法定代表人或授权代表人：</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14:paraId="3AF18E34">
      <w:pPr>
        <w:widowControl w:val="0"/>
        <w:spacing w:line="36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日   期：</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年</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月</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日</w:t>
      </w:r>
    </w:p>
    <w:p w14:paraId="283F4BAD">
      <w:pPr>
        <w:pStyle w:val="25"/>
        <w:spacing w:line="360" w:lineRule="auto"/>
        <w:ind w:firstLine="480" w:firstLineChars="200"/>
        <w:rPr>
          <w:rFonts w:hint="eastAsia" w:ascii="宋体" w:hAnsi="宋体" w:eastAsia="宋体" w:cs="宋体"/>
          <w:color w:val="000000"/>
          <w:sz w:val="24"/>
          <w:szCs w:val="24"/>
          <w:highlight w:val="none"/>
        </w:rPr>
      </w:pPr>
    </w:p>
    <w:p w14:paraId="0715D6B8">
      <w:pPr>
        <w:pStyle w:val="25"/>
        <w:jc w:val="center"/>
        <w:rPr>
          <w:rFonts w:hint="eastAsia" w:ascii="宋体" w:hAnsi="宋体" w:eastAsia="宋体" w:cs="宋体"/>
          <w:b/>
          <w:color w:val="000000"/>
          <w:sz w:val="28"/>
          <w:szCs w:val="28"/>
          <w:highlight w:val="none"/>
        </w:rPr>
      </w:pPr>
      <w:r>
        <w:rPr>
          <w:rFonts w:hint="eastAsia" w:ascii="宋体" w:hAnsi="宋体" w:eastAsia="宋体" w:cs="宋体"/>
          <w:color w:val="000000"/>
          <w:sz w:val="32"/>
          <w:szCs w:val="32"/>
          <w:highlight w:val="none"/>
        </w:rPr>
        <w:br w:type="page"/>
      </w:r>
      <w:r>
        <w:rPr>
          <w:rFonts w:hint="eastAsia" w:ascii="宋体" w:hAnsi="宋体" w:eastAsia="宋体" w:cs="宋体"/>
          <w:b/>
          <w:color w:val="000000"/>
          <w:sz w:val="28"/>
          <w:szCs w:val="28"/>
          <w:highlight w:val="none"/>
        </w:rPr>
        <w:t>法定代表人证明书</w:t>
      </w:r>
    </w:p>
    <w:tbl>
      <w:tblPr>
        <w:tblStyle w:val="49"/>
        <w:tblW w:w="92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2065"/>
        <w:gridCol w:w="2514"/>
        <w:gridCol w:w="1783"/>
        <w:gridCol w:w="2063"/>
      </w:tblGrid>
      <w:tr w14:paraId="49296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286" w:type="dxa"/>
            <w:gridSpan w:val="5"/>
            <w:noWrap w:val="0"/>
            <w:vAlign w:val="center"/>
          </w:tcPr>
          <w:p w14:paraId="0DBEE760">
            <w:pPr>
              <w:tabs>
                <w:tab w:val="left" w:pos="210"/>
              </w:tabs>
              <w:spacing w:line="320" w:lineRule="exac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sz w:val="21"/>
                <w:szCs w:val="21"/>
                <w:highlight w:val="none"/>
              </w:rPr>
              <w:t>致：</w:t>
            </w:r>
            <w:r>
              <w:rPr>
                <w:rFonts w:hint="eastAsia" w:ascii="宋体" w:hAnsi="宋体" w:eastAsia="宋体" w:cs="宋体"/>
                <w:color w:val="000000"/>
                <w:sz w:val="21"/>
                <w:szCs w:val="21"/>
                <w:highlight w:val="none"/>
                <w:lang w:eastAsia="zh-CN"/>
              </w:rPr>
              <w:t>陕西信鹏项目管理有限公司</w:t>
            </w:r>
          </w:p>
        </w:tc>
      </w:tr>
      <w:tr w14:paraId="4ED38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restart"/>
            <w:noWrap w:val="0"/>
            <w:vAlign w:val="center"/>
          </w:tcPr>
          <w:p w14:paraId="3CB3C6BD">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企</w:t>
            </w:r>
          </w:p>
          <w:p w14:paraId="0BF54D76">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业</w:t>
            </w:r>
          </w:p>
          <w:p w14:paraId="7C0EDDF7">
            <w:pPr>
              <w:tabs>
                <w:tab w:val="left" w:pos="210"/>
              </w:tabs>
              <w:spacing w:line="32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法</w:t>
            </w:r>
          </w:p>
          <w:p w14:paraId="724160BD">
            <w:pPr>
              <w:tabs>
                <w:tab w:val="left" w:pos="210"/>
              </w:tabs>
              <w:spacing w:line="320" w:lineRule="exact"/>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人</w:t>
            </w:r>
          </w:p>
        </w:tc>
        <w:tc>
          <w:tcPr>
            <w:tcW w:w="2065" w:type="dxa"/>
            <w:noWrap w:val="0"/>
            <w:vAlign w:val="center"/>
          </w:tcPr>
          <w:p w14:paraId="3ED22513">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企业名称</w:t>
            </w:r>
          </w:p>
        </w:tc>
        <w:tc>
          <w:tcPr>
            <w:tcW w:w="6360" w:type="dxa"/>
            <w:gridSpan w:val="3"/>
            <w:noWrap w:val="0"/>
            <w:vAlign w:val="center"/>
          </w:tcPr>
          <w:p w14:paraId="643AB923">
            <w:pPr>
              <w:tabs>
                <w:tab w:val="left" w:pos="210"/>
              </w:tabs>
              <w:spacing w:line="320" w:lineRule="exact"/>
              <w:jc w:val="center"/>
              <w:rPr>
                <w:rFonts w:hint="eastAsia" w:ascii="宋体" w:hAnsi="宋体" w:eastAsia="宋体" w:cs="宋体"/>
                <w:color w:val="000000"/>
                <w:kern w:val="0"/>
                <w:sz w:val="21"/>
                <w:szCs w:val="21"/>
                <w:highlight w:val="none"/>
              </w:rPr>
            </w:pPr>
          </w:p>
        </w:tc>
      </w:tr>
      <w:tr w14:paraId="67E922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noWrap w:val="0"/>
            <w:vAlign w:val="center"/>
          </w:tcPr>
          <w:p w14:paraId="681EE6DF">
            <w:pPr>
              <w:tabs>
                <w:tab w:val="left" w:pos="210"/>
              </w:tabs>
              <w:spacing w:line="320" w:lineRule="exact"/>
              <w:jc w:val="center"/>
              <w:rPr>
                <w:rFonts w:hint="eastAsia" w:ascii="宋体" w:hAnsi="宋体" w:eastAsia="宋体" w:cs="宋体"/>
                <w:color w:val="000000"/>
                <w:kern w:val="0"/>
                <w:sz w:val="21"/>
                <w:szCs w:val="21"/>
                <w:highlight w:val="none"/>
              </w:rPr>
            </w:pPr>
          </w:p>
        </w:tc>
        <w:tc>
          <w:tcPr>
            <w:tcW w:w="2065" w:type="dxa"/>
            <w:noWrap w:val="0"/>
            <w:vAlign w:val="center"/>
          </w:tcPr>
          <w:p w14:paraId="4610271A">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法定地址</w:t>
            </w:r>
          </w:p>
        </w:tc>
        <w:tc>
          <w:tcPr>
            <w:tcW w:w="6360" w:type="dxa"/>
            <w:gridSpan w:val="3"/>
            <w:noWrap w:val="0"/>
            <w:vAlign w:val="center"/>
          </w:tcPr>
          <w:p w14:paraId="6629BD1D">
            <w:pPr>
              <w:tabs>
                <w:tab w:val="left" w:pos="210"/>
              </w:tabs>
              <w:spacing w:line="320" w:lineRule="exact"/>
              <w:jc w:val="center"/>
              <w:rPr>
                <w:rFonts w:hint="eastAsia" w:ascii="宋体" w:hAnsi="宋体" w:eastAsia="宋体" w:cs="宋体"/>
                <w:color w:val="000000"/>
                <w:kern w:val="0"/>
                <w:sz w:val="21"/>
                <w:szCs w:val="21"/>
                <w:highlight w:val="none"/>
              </w:rPr>
            </w:pPr>
          </w:p>
        </w:tc>
      </w:tr>
      <w:tr w14:paraId="3EAD1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noWrap w:val="0"/>
            <w:vAlign w:val="center"/>
          </w:tcPr>
          <w:p w14:paraId="759AD399">
            <w:pPr>
              <w:tabs>
                <w:tab w:val="left" w:pos="210"/>
              </w:tabs>
              <w:spacing w:line="320" w:lineRule="exact"/>
              <w:jc w:val="center"/>
              <w:rPr>
                <w:rFonts w:hint="eastAsia" w:ascii="宋体" w:hAnsi="宋体" w:eastAsia="宋体" w:cs="宋体"/>
                <w:color w:val="000000"/>
                <w:kern w:val="0"/>
                <w:sz w:val="21"/>
                <w:szCs w:val="21"/>
                <w:highlight w:val="none"/>
              </w:rPr>
            </w:pPr>
          </w:p>
        </w:tc>
        <w:tc>
          <w:tcPr>
            <w:tcW w:w="2065" w:type="dxa"/>
            <w:noWrap w:val="0"/>
            <w:vAlign w:val="center"/>
          </w:tcPr>
          <w:p w14:paraId="20FFA65E">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邮政编码</w:t>
            </w:r>
          </w:p>
        </w:tc>
        <w:tc>
          <w:tcPr>
            <w:tcW w:w="6360" w:type="dxa"/>
            <w:gridSpan w:val="3"/>
            <w:noWrap w:val="0"/>
            <w:vAlign w:val="center"/>
          </w:tcPr>
          <w:p w14:paraId="377AF148">
            <w:pPr>
              <w:tabs>
                <w:tab w:val="left" w:pos="210"/>
              </w:tabs>
              <w:spacing w:line="320" w:lineRule="exact"/>
              <w:jc w:val="center"/>
              <w:rPr>
                <w:rFonts w:hint="eastAsia" w:ascii="宋体" w:hAnsi="宋体" w:eastAsia="宋体" w:cs="宋体"/>
                <w:color w:val="000000"/>
                <w:kern w:val="0"/>
                <w:sz w:val="21"/>
                <w:szCs w:val="21"/>
                <w:highlight w:val="none"/>
              </w:rPr>
            </w:pPr>
          </w:p>
        </w:tc>
      </w:tr>
      <w:tr w14:paraId="1D296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noWrap w:val="0"/>
            <w:vAlign w:val="center"/>
          </w:tcPr>
          <w:p w14:paraId="0264AE47">
            <w:pPr>
              <w:tabs>
                <w:tab w:val="left" w:pos="210"/>
              </w:tabs>
              <w:spacing w:line="320" w:lineRule="exact"/>
              <w:jc w:val="center"/>
              <w:rPr>
                <w:rFonts w:hint="eastAsia" w:ascii="宋体" w:hAnsi="宋体" w:eastAsia="宋体" w:cs="宋体"/>
                <w:color w:val="000000"/>
                <w:kern w:val="0"/>
                <w:sz w:val="21"/>
                <w:szCs w:val="21"/>
                <w:highlight w:val="none"/>
              </w:rPr>
            </w:pPr>
          </w:p>
        </w:tc>
        <w:tc>
          <w:tcPr>
            <w:tcW w:w="2065" w:type="dxa"/>
            <w:noWrap w:val="0"/>
            <w:vAlign w:val="center"/>
          </w:tcPr>
          <w:p w14:paraId="3A4C2BEF">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工商登记机关</w:t>
            </w:r>
          </w:p>
        </w:tc>
        <w:tc>
          <w:tcPr>
            <w:tcW w:w="6360" w:type="dxa"/>
            <w:gridSpan w:val="3"/>
            <w:noWrap w:val="0"/>
            <w:vAlign w:val="center"/>
          </w:tcPr>
          <w:p w14:paraId="07E12722">
            <w:pPr>
              <w:tabs>
                <w:tab w:val="left" w:pos="210"/>
              </w:tabs>
              <w:spacing w:line="320" w:lineRule="exact"/>
              <w:jc w:val="center"/>
              <w:rPr>
                <w:rFonts w:hint="eastAsia" w:ascii="宋体" w:hAnsi="宋体" w:eastAsia="宋体" w:cs="宋体"/>
                <w:color w:val="000000"/>
                <w:kern w:val="0"/>
                <w:sz w:val="21"/>
                <w:szCs w:val="21"/>
                <w:highlight w:val="none"/>
              </w:rPr>
            </w:pPr>
          </w:p>
        </w:tc>
      </w:tr>
      <w:tr w14:paraId="3741F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noWrap w:val="0"/>
            <w:vAlign w:val="center"/>
          </w:tcPr>
          <w:p w14:paraId="32E45C41">
            <w:pPr>
              <w:tabs>
                <w:tab w:val="left" w:pos="210"/>
              </w:tabs>
              <w:spacing w:line="320" w:lineRule="exact"/>
              <w:jc w:val="center"/>
              <w:rPr>
                <w:rFonts w:hint="eastAsia" w:ascii="宋体" w:hAnsi="宋体" w:eastAsia="宋体" w:cs="宋体"/>
                <w:color w:val="000000"/>
                <w:kern w:val="0"/>
                <w:sz w:val="21"/>
                <w:szCs w:val="21"/>
                <w:highlight w:val="none"/>
              </w:rPr>
            </w:pPr>
          </w:p>
        </w:tc>
        <w:tc>
          <w:tcPr>
            <w:tcW w:w="2065" w:type="dxa"/>
            <w:noWrap w:val="0"/>
            <w:vAlign w:val="center"/>
          </w:tcPr>
          <w:p w14:paraId="14C1B160">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税务登记机关</w:t>
            </w:r>
          </w:p>
        </w:tc>
        <w:tc>
          <w:tcPr>
            <w:tcW w:w="6360" w:type="dxa"/>
            <w:gridSpan w:val="3"/>
            <w:noWrap w:val="0"/>
            <w:vAlign w:val="center"/>
          </w:tcPr>
          <w:p w14:paraId="5AEC201D">
            <w:pPr>
              <w:tabs>
                <w:tab w:val="left" w:pos="210"/>
              </w:tabs>
              <w:spacing w:line="320" w:lineRule="exact"/>
              <w:rPr>
                <w:rFonts w:hint="eastAsia" w:ascii="宋体" w:hAnsi="宋体" w:eastAsia="宋体" w:cs="宋体"/>
                <w:color w:val="000000"/>
                <w:kern w:val="0"/>
                <w:sz w:val="21"/>
                <w:szCs w:val="21"/>
                <w:highlight w:val="none"/>
              </w:rPr>
            </w:pPr>
          </w:p>
        </w:tc>
      </w:tr>
      <w:tr w14:paraId="42974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noWrap w:val="0"/>
            <w:vAlign w:val="center"/>
          </w:tcPr>
          <w:p w14:paraId="110A8CD5">
            <w:pPr>
              <w:tabs>
                <w:tab w:val="left" w:pos="210"/>
              </w:tabs>
              <w:spacing w:line="320" w:lineRule="exact"/>
              <w:jc w:val="center"/>
              <w:rPr>
                <w:rFonts w:hint="eastAsia" w:ascii="宋体" w:hAnsi="宋体" w:eastAsia="宋体" w:cs="宋体"/>
                <w:color w:val="000000"/>
                <w:kern w:val="0"/>
                <w:sz w:val="21"/>
                <w:szCs w:val="21"/>
                <w:highlight w:val="none"/>
              </w:rPr>
            </w:pPr>
          </w:p>
        </w:tc>
        <w:tc>
          <w:tcPr>
            <w:tcW w:w="2065" w:type="dxa"/>
            <w:noWrap w:val="0"/>
            <w:vAlign w:val="center"/>
          </w:tcPr>
          <w:p w14:paraId="45FFFAED">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机构代码证号</w:t>
            </w:r>
          </w:p>
        </w:tc>
        <w:tc>
          <w:tcPr>
            <w:tcW w:w="6360" w:type="dxa"/>
            <w:gridSpan w:val="3"/>
            <w:noWrap w:val="0"/>
            <w:vAlign w:val="center"/>
          </w:tcPr>
          <w:p w14:paraId="56BCC1A4">
            <w:pPr>
              <w:tabs>
                <w:tab w:val="left" w:pos="210"/>
              </w:tabs>
              <w:spacing w:line="320" w:lineRule="exact"/>
              <w:jc w:val="center"/>
              <w:rPr>
                <w:rFonts w:hint="eastAsia" w:ascii="宋体" w:hAnsi="宋体" w:eastAsia="宋体" w:cs="宋体"/>
                <w:color w:val="000000"/>
                <w:kern w:val="0"/>
                <w:sz w:val="21"/>
                <w:szCs w:val="21"/>
                <w:highlight w:val="none"/>
              </w:rPr>
            </w:pPr>
          </w:p>
        </w:tc>
      </w:tr>
      <w:tr w14:paraId="6A2DA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restart"/>
            <w:noWrap w:val="0"/>
            <w:vAlign w:val="center"/>
          </w:tcPr>
          <w:p w14:paraId="71AE09C7">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w:t>
            </w:r>
          </w:p>
          <w:p w14:paraId="4C85AE57">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定</w:t>
            </w:r>
          </w:p>
          <w:p w14:paraId="033782A2">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w:t>
            </w:r>
          </w:p>
          <w:p w14:paraId="1D557326">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表</w:t>
            </w:r>
          </w:p>
          <w:p w14:paraId="2D1B7B29">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人</w:t>
            </w:r>
          </w:p>
        </w:tc>
        <w:tc>
          <w:tcPr>
            <w:tcW w:w="2065" w:type="dxa"/>
            <w:noWrap w:val="0"/>
            <w:vAlign w:val="center"/>
          </w:tcPr>
          <w:p w14:paraId="7D9CB5EC">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姓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名</w:t>
            </w:r>
          </w:p>
        </w:tc>
        <w:tc>
          <w:tcPr>
            <w:tcW w:w="2514" w:type="dxa"/>
            <w:noWrap w:val="0"/>
            <w:vAlign w:val="center"/>
          </w:tcPr>
          <w:p w14:paraId="596FF622">
            <w:pPr>
              <w:tabs>
                <w:tab w:val="left" w:pos="210"/>
              </w:tabs>
              <w:spacing w:line="320" w:lineRule="exact"/>
              <w:jc w:val="center"/>
              <w:rPr>
                <w:rFonts w:hint="eastAsia" w:ascii="宋体" w:hAnsi="宋体" w:eastAsia="宋体" w:cs="宋体"/>
                <w:color w:val="000000"/>
                <w:kern w:val="0"/>
                <w:sz w:val="21"/>
                <w:szCs w:val="21"/>
                <w:highlight w:val="none"/>
              </w:rPr>
            </w:pPr>
          </w:p>
        </w:tc>
        <w:tc>
          <w:tcPr>
            <w:tcW w:w="1783" w:type="dxa"/>
            <w:noWrap w:val="0"/>
            <w:vAlign w:val="center"/>
          </w:tcPr>
          <w:p w14:paraId="63E97DD3">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性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别</w:t>
            </w:r>
          </w:p>
        </w:tc>
        <w:tc>
          <w:tcPr>
            <w:tcW w:w="2063" w:type="dxa"/>
            <w:noWrap w:val="0"/>
            <w:vAlign w:val="center"/>
          </w:tcPr>
          <w:p w14:paraId="267E2D83">
            <w:pPr>
              <w:tabs>
                <w:tab w:val="left" w:pos="210"/>
              </w:tabs>
              <w:spacing w:line="320" w:lineRule="exact"/>
              <w:jc w:val="center"/>
              <w:rPr>
                <w:rFonts w:hint="eastAsia" w:ascii="宋体" w:hAnsi="宋体" w:eastAsia="宋体" w:cs="宋体"/>
                <w:color w:val="000000"/>
                <w:kern w:val="0"/>
                <w:sz w:val="21"/>
                <w:szCs w:val="21"/>
                <w:highlight w:val="none"/>
              </w:rPr>
            </w:pPr>
          </w:p>
        </w:tc>
      </w:tr>
      <w:tr w14:paraId="44C5E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noWrap w:val="0"/>
            <w:vAlign w:val="center"/>
          </w:tcPr>
          <w:p w14:paraId="14054B9B">
            <w:pPr>
              <w:tabs>
                <w:tab w:val="left" w:pos="210"/>
              </w:tabs>
              <w:spacing w:line="320" w:lineRule="exact"/>
              <w:jc w:val="center"/>
              <w:rPr>
                <w:rFonts w:hint="eastAsia" w:ascii="宋体" w:hAnsi="宋体" w:eastAsia="宋体" w:cs="宋体"/>
                <w:color w:val="000000"/>
                <w:kern w:val="0"/>
                <w:sz w:val="21"/>
                <w:szCs w:val="21"/>
                <w:highlight w:val="none"/>
              </w:rPr>
            </w:pPr>
          </w:p>
        </w:tc>
        <w:tc>
          <w:tcPr>
            <w:tcW w:w="2065" w:type="dxa"/>
            <w:noWrap w:val="0"/>
            <w:vAlign w:val="center"/>
          </w:tcPr>
          <w:p w14:paraId="2C5C6B09">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职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务</w:t>
            </w:r>
          </w:p>
        </w:tc>
        <w:tc>
          <w:tcPr>
            <w:tcW w:w="2514" w:type="dxa"/>
            <w:noWrap w:val="0"/>
            <w:vAlign w:val="center"/>
          </w:tcPr>
          <w:p w14:paraId="679A993E">
            <w:pPr>
              <w:tabs>
                <w:tab w:val="left" w:pos="210"/>
              </w:tabs>
              <w:spacing w:line="320" w:lineRule="exact"/>
              <w:jc w:val="center"/>
              <w:rPr>
                <w:rFonts w:hint="eastAsia" w:ascii="宋体" w:hAnsi="宋体" w:eastAsia="宋体" w:cs="宋体"/>
                <w:color w:val="000000"/>
                <w:kern w:val="0"/>
                <w:sz w:val="21"/>
                <w:szCs w:val="21"/>
                <w:highlight w:val="none"/>
              </w:rPr>
            </w:pPr>
          </w:p>
        </w:tc>
        <w:tc>
          <w:tcPr>
            <w:tcW w:w="1783" w:type="dxa"/>
            <w:noWrap w:val="0"/>
            <w:vAlign w:val="center"/>
          </w:tcPr>
          <w:p w14:paraId="6809219F">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联系电话</w:t>
            </w:r>
          </w:p>
        </w:tc>
        <w:tc>
          <w:tcPr>
            <w:tcW w:w="2063" w:type="dxa"/>
            <w:noWrap w:val="0"/>
            <w:vAlign w:val="center"/>
          </w:tcPr>
          <w:p w14:paraId="0601DE62">
            <w:pPr>
              <w:tabs>
                <w:tab w:val="left" w:pos="210"/>
              </w:tabs>
              <w:spacing w:line="320" w:lineRule="exact"/>
              <w:jc w:val="center"/>
              <w:rPr>
                <w:rFonts w:hint="eastAsia" w:ascii="宋体" w:hAnsi="宋体" w:eastAsia="宋体" w:cs="宋体"/>
                <w:color w:val="000000"/>
                <w:kern w:val="0"/>
                <w:sz w:val="21"/>
                <w:szCs w:val="21"/>
                <w:highlight w:val="none"/>
              </w:rPr>
            </w:pPr>
          </w:p>
        </w:tc>
      </w:tr>
      <w:tr w14:paraId="65DD0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noWrap w:val="0"/>
            <w:vAlign w:val="center"/>
          </w:tcPr>
          <w:p w14:paraId="1EC3E8CC">
            <w:pPr>
              <w:tabs>
                <w:tab w:val="left" w:pos="210"/>
              </w:tabs>
              <w:spacing w:line="320" w:lineRule="exact"/>
              <w:jc w:val="center"/>
              <w:rPr>
                <w:rFonts w:hint="eastAsia" w:ascii="宋体" w:hAnsi="宋体" w:eastAsia="宋体" w:cs="宋体"/>
                <w:color w:val="000000"/>
                <w:kern w:val="0"/>
                <w:sz w:val="21"/>
                <w:szCs w:val="21"/>
                <w:highlight w:val="none"/>
              </w:rPr>
            </w:pPr>
          </w:p>
        </w:tc>
        <w:tc>
          <w:tcPr>
            <w:tcW w:w="2065" w:type="dxa"/>
            <w:noWrap w:val="0"/>
            <w:vAlign w:val="center"/>
          </w:tcPr>
          <w:p w14:paraId="64515723">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传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真</w:t>
            </w:r>
          </w:p>
        </w:tc>
        <w:tc>
          <w:tcPr>
            <w:tcW w:w="6360" w:type="dxa"/>
            <w:gridSpan w:val="3"/>
            <w:noWrap w:val="0"/>
            <w:vAlign w:val="center"/>
          </w:tcPr>
          <w:p w14:paraId="2B2127E7">
            <w:pPr>
              <w:tabs>
                <w:tab w:val="left" w:pos="210"/>
              </w:tabs>
              <w:spacing w:line="320" w:lineRule="exact"/>
              <w:jc w:val="center"/>
              <w:rPr>
                <w:rFonts w:hint="eastAsia" w:ascii="宋体" w:hAnsi="宋体" w:eastAsia="宋体" w:cs="宋体"/>
                <w:color w:val="000000"/>
                <w:kern w:val="0"/>
                <w:sz w:val="21"/>
                <w:szCs w:val="21"/>
                <w:highlight w:val="none"/>
              </w:rPr>
            </w:pPr>
          </w:p>
        </w:tc>
      </w:tr>
      <w:tr w14:paraId="17C91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4" w:hRule="atLeast"/>
          <w:jc w:val="center"/>
        </w:trPr>
        <w:tc>
          <w:tcPr>
            <w:tcW w:w="861" w:type="dxa"/>
            <w:noWrap w:val="0"/>
            <w:vAlign w:val="center"/>
          </w:tcPr>
          <w:p w14:paraId="37844469">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w:t>
            </w:r>
          </w:p>
          <w:p w14:paraId="1B6DC21B">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定</w:t>
            </w:r>
          </w:p>
          <w:p w14:paraId="6B786EBB">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w:t>
            </w:r>
          </w:p>
          <w:p w14:paraId="6714144B">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表</w:t>
            </w:r>
          </w:p>
          <w:p w14:paraId="41716398">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人</w:t>
            </w:r>
          </w:p>
          <w:p w14:paraId="792A1330">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身</w:t>
            </w:r>
          </w:p>
          <w:p w14:paraId="259C3764">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份</w:t>
            </w:r>
          </w:p>
          <w:p w14:paraId="10EC2270">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证</w:t>
            </w:r>
          </w:p>
          <w:p w14:paraId="2C26AD34">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复</w:t>
            </w:r>
          </w:p>
          <w:p w14:paraId="4B622185">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印</w:t>
            </w:r>
          </w:p>
          <w:p w14:paraId="35D8261F">
            <w:pPr>
              <w:tabs>
                <w:tab w:val="left" w:pos="210"/>
              </w:tabs>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件</w:t>
            </w:r>
          </w:p>
        </w:tc>
        <w:tc>
          <w:tcPr>
            <w:tcW w:w="8425" w:type="dxa"/>
            <w:gridSpan w:val="4"/>
            <w:noWrap w:val="0"/>
            <w:vAlign w:val="center"/>
          </w:tcPr>
          <w:p w14:paraId="2F8D9565">
            <w:pPr>
              <w:tabs>
                <w:tab w:val="left" w:pos="210"/>
              </w:tabs>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（法定代表人身份证复印件</w:t>
            </w:r>
            <w:r>
              <w:rPr>
                <w:rFonts w:hint="eastAsia" w:ascii="宋体" w:hAnsi="宋体" w:eastAsia="宋体" w:cs="宋体"/>
                <w:color w:val="000000"/>
                <w:kern w:val="0"/>
                <w:sz w:val="21"/>
                <w:szCs w:val="21"/>
                <w:highlight w:val="none"/>
                <w:lang w:val="en-US" w:eastAsia="zh-CN"/>
              </w:rPr>
              <w:t>正反面</w:t>
            </w:r>
            <w:r>
              <w:rPr>
                <w:rFonts w:hint="eastAsia" w:ascii="宋体" w:hAnsi="宋体" w:eastAsia="宋体" w:cs="宋体"/>
                <w:color w:val="000000"/>
                <w:kern w:val="0"/>
                <w:sz w:val="21"/>
                <w:szCs w:val="21"/>
                <w:highlight w:val="none"/>
              </w:rPr>
              <w:t>）</w:t>
            </w:r>
          </w:p>
          <w:p w14:paraId="0E3FBA9D">
            <w:pPr>
              <w:tabs>
                <w:tab w:val="left" w:pos="210"/>
              </w:tabs>
              <w:spacing w:line="320" w:lineRule="exact"/>
              <w:jc w:val="center"/>
              <w:rPr>
                <w:rFonts w:hint="eastAsia" w:ascii="宋体" w:hAnsi="宋体" w:eastAsia="宋体" w:cs="宋体"/>
                <w:color w:val="000000"/>
                <w:kern w:val="0"/>
                <w:sz w:val="21"/>
                <w:szCs w:val="21"/>
                <w:highlight w:val="none"/>
              </w:rPr>
            </w:pPr>
          </w:p>
          <w:p w14:paraId="1AD9B7A7">
            <w:pPr>
              <w:tabs>
                <w:tab w:val="left" w:pos="210"/>
              </w:tabs>
              <w:spacing w:line="320" w:lineRule="exact"/>
              <w:jc w:val="center"/>
              <w:rPr>
                <w:rFonts w:hint="eastAsia" w:ascii="宋体" w:hAnsi="宋体" w:eastAsia="宋体" w:cs="宋体"/>
                <w:color w:val="000000"/>
                <w:kern w:val="0"/>
                <w:sz w:val="21"/>
                <w:szCs w:val="21"/>
                <w:highlight w:val="none"/>
              </w:rPr>
            </w:pPr>
          </w:p>
          <w:p w14:paraId="4A4D0EB1">
            <w:pPr>
              <w:tabs>
                <w:tab w:val="left" w:pos="210"/>
              </w:tabs>
              <w:spacing w:line="320" w:lineRule="exact"/>
              <w:jc w:val="center"/>
              <w:rPr>
                <w:rFonts w:hint="eastAsia" w:ascii="宋体" w:hAnsi="宋体" w:eastAsia="宋体" w:cs="宋体"/>
                <w:color w:val="000000"/>
                <w:kern w:val="0"/>
                <w:sz w:val="21"/>
                <w:szCs w:val="21"/>
                <w:highlight w:val="none"/>
              </w:rPr>
            </w:pPr>
          </w:p>
          <w:p w14:paraId="162DE1B3">
            <w:pPr>
              <w:tabs>
                <w:tab w:val="left" w:pos="210"/>
              </w:tabs>
              <w:spacing w:line="320" w:lineRule="exact"/>
              <w:jc w:val="center"/>
              <w:rPr>
                <w:rFonts w:hint="eastAsia" w:ascii="宋体" w:hAnsi="宋体" w:eastAsia="宋体" w:cs="宋体"/>
                <w:color w:val="000000"/>
                <w:kern w:val="0"/>
                <w:sz w:val="21"/>
                <w:szCs w:val="21"/>
                <w:highlight w:val="none"/>
              </w:rPr>
            </w:pPr>
          </w:p>
          <w:p w14:paraId="4530D665">
            <w:pPr>
              <w:tabs>
                <w:tab w:val="left" w:pos="210"/>
              </w:tabs>
              <w:spacing w:line="320" w:lineRule="exact"/>
              <w:jc w:val="center"/>
              <w:rPr>
                <w:rFonts w:hint="eastAsia" w:ascii="宋体" w:hAnsi="宋体" w:eastAsia="宋体" w:cs="宋体"/>
                <w:color w:val="000000"/>
                <w:kern w:val="0"/>
                <w:sz w:val="21"/>
                <w:szCs w:val="21"/>
                <w:highlight w:val="none"/>
              </w:rPr>
            </w:pPr>
          </w:p>
          <w:p w14:paraId="7FDAAF98">
            <w:pPr>
              <w:tabs>
                <w:tab w:val="left" w:pos="210"/>
              </w:tabs>
              <w:spacing w:line="320" w:lineRule="exact"/>
              <w:jc w:val="center"/>
              <w:rPr>
                <w:rFonts w:hint="eastAsia" w:ascii="宋体" w:hAnsi="宋体" w:eastAsia="宋体" w:cs="宋体"/>
                <w:color w:val="000000"/>
                <w:kern w:val="0"/>
                <w:sz w:val="21"/>
                <w:szCs w:val="21"/>
                <w:highlight w:val="none"/>
              </w:rPr>
            </w:pPr>
          </w:p>
          <w:p w14:paraId="588C665B">
            <w:pPr>
              <w:tabs>
                <w:tab w:val="left" w:pos="210"/>
              </w:tabs>
              <w:spacing w:line="320" w:lineRule="exact"/>
              <w:jc w:val="center"/>
              <w:rPr>
                <w:rFonts w:hint="eastAsia" w:ascii="宋体" w:hAnsi="宋体" w:eastAsia="宋体" w:cs="宋体"/>
                <w:color w:val="000000"/>
                <w:kern w:val="0"/>
                <w:sz w:val="21"/>
                <w:szCs w:val="21"/>
                <w:highlight w:val="none"/>
              </w:rPr>
            </w:pPr>
          </w:p>
          <w:p w14:paraId="48E2D59E">
            <w:pPr>
              <w:tabs>
                <w:tab w:val="left" w:pos="210"/>
              </w:tabs>
              <w:spacing w:line="320" w:lineRule="exact"/>
              <w:jc w:val="center"/>
              <w:rPr>
                <w:rFonts w:hint="eastAsia" w:ascii="宋体" w:hAnsi="宋体" w:eastAsia="宋体" w:cs="宋体"/>
                <w:color w:val="000000"/>
                <w:kern w:val="0"/>
                <w:sz w:val="21"/>
                <w:szCs w:val="21"/>
                <w:highlight w:val="none"/>
              </w:rPr>
            </w:pPr>
          </w:p>
          <w:p w14:paraId="340590C4">
            <w:pPr>
              <w:widowControl w:val="0"/>
              <w:ind w:firstLine="420" w:firstLineChars="200"/>
              <w:jc w:val="both"/>
              <w:rPr>
                <w:rFonts w:hint="eastAsia" w:ascii="宋体" w:hAnsi="宋体" w:eastAsia="宋体" w:cs="宋体"/>
                <w:color w:val="000000"/>
                <w:kern w:val="2"/>
                <w:sz w:val="21"/>
                <w:szCs w:val="21"/>
                <w:highlight w:val="none"/>
                <w:lang w:val="en-US" w:eastAsia="zh-CN" w:bidi="ar-SA"/>
              </w:rPr>
            </w:pPr>
          </w:p>
          <w:p w14:paraId="3B29F8C2">
            <w:pPr>
              <w:tabs>
                <w:tab w:val="left" w:pos="210"/>
              </w:tabs>
              <w:spacing w:line="320" w:lineRule="exact"/>
              <w:jc w:val="center"/>
              <w:rPr>
                <w:rFonts w:hint="eastAsia" w:ascii="宋体" w:hAnsi="宋体" w:eastAsia="宋体" w:cs="宋体"/>
                <w:color w:val="000000"/>
                <w:kern w:val="0"/>
                <w:sz w:val="21"/>
                <w:szCs w:val="21"/>
                <w:highlight w:val="none"/>
              </w:rPr>
            </w:pPr>
          </w:p>
          <w:p w14:paraId="3B47A63F">
            <w:pPr>
              <w:tabs>
                <w:tab w:val="left" w:pos="210"/>
              </w:tabs>
              <w:spacing w:line="320" w:lineRule="exact"/>
              <w:jc w:val="center"/>
              <w:rPr>
                <w:rFonts w:hint="eastAsia" w:ascii="宋体" w:hAnsi="宋体" w:eastAsia="宋体" w:cs="宋体"/>
                <w:color w:val="000000"/>
                <w:kern w:val="0"/>
                <w:sz w:val="21"/>
                <w:szCs w:val="21"/>
                <w:highlight w:val="none"/>
              </w:rPr>
            </w:pPr>
          </w:p>
          <w:p w14:paraId="2EAAE50E">
            <w:pPr>
              <w:tabs>
                <w:tab w:val="left" w:pos="210"/>
              </w:tabs>
              <w:spacing w:line="320" w:lineRule="exac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w:t>
            </w:r>
          </w:p>
        </w:tc>
      </w:tr>
    </w:tbl>
    <w:p w14:paraId="425B376C">
      <w:pPr>
        <w:pStyle w:val="25"/>
        <w:jc w:val="center"/>
        <w:rPr>
          <w:rFonts w:hint="eastAsia" w:ascii="宋体" w:hAnsi="宋体" w:eastAsia="宋体" w:cs="宋体"/>
          <w:b/>
          <w:color w:val="000000"/>
          <w:sz w:val="24"/>
          <w:szCs w:val="24"/>
          <w:highlight w:val="none"/>
        </w:rPr>
      </w:pPr>
    </w:p>
    <w:p w14:paraId="4F73AFB4">
      <w:pPr>
        <w:pStyle w:val="25"/>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注：</w:t>
      </w:r>
      <w:r>
        <w:rPr>
          <w:rFonts w:hint="eastAsia" w:ascii="宋体" w:hAnsi="宋体" w:eastAsia="宋体" w:cs="宋体"/>
          <w:b/>
          <w:color w:val="000000"/>
          <w:sz w:val="24"/>
          <w:szCs w:val="24"/>
          <w:highlight w:val="none"/>
          <w:lang w:eastAsia="zh-CN"/>
        </w:rPr>
        <w:t>供应商</w:t>
      </w:r>
      <w:r>
        <w:rPr>
          <w:rFonts w:hint="eastAsia" w:ascii="宋体" w:hAnsi="宋体" w:eastAsia="宋体" w:cs="宋体"/>
          <w:b/>
          <w:color w:val="000000"/>
          <w:sz w:val="24"/>
          <w:szCs w:val="24"/>
          <w:highlight w:val="none"/>
        </w:rPr>
        <w:t>法定代表人直接参加磋商，仅填写本表不需填写授权书。</w:t>
      </w:r>
    </w:p>
    <w:p w14:paraId="230462AB">
      <w:pPr>
        <w:pStyle w:val="25"/>
        <w:jc w:val="center"/>
        <w:rPr>
          <w:rFonts w:hint="eastAsia" w:ascii="宋体" w:hAnsi="宋体" w:eastAsia="宋体" w:cs="宋体"/>
          <w:b/>
          <w:color w:val="000000"/>
          <w:sz w:val="28"/>
          <w:szCs w:val="28"/>
          <w:highlight w:val="none"/>
        </w:rPr>
      </w:pPr>
    </w:p>
    <w:p w14:paraId="5FF18400">
      <w:pPr>
        <w:pStyle w:val="25"/>
        <w:jc w:val="center"/>
        <w:rPr>
          <w:rFonts w:hint="eastAsia" w:ascii="宋体" w:hAnsi="宋体" w:eastAsia="宋体" w:cs="宋体"/>
          <w:b/>
          <w:color w:val="000000"/>
          <w:sz w:val="28"/>
          <w:szCs w:val="28"/>
          <w:highlight w:val="none"/>
        </w:rPr>
      </w:pPr>
      <w:r>
        <w:rPr>
          <w:rFonts w:hint="eastAsia" w:ascii="宋体" w:hAnsi="宋体" w:eastAsia="宋体" w:cs="宋体"/>
          <w:color w:val="000000"/>
          <w:sz w:val="32"/>
          <w:szCs w:val="32"/>
          <w:highlight w:val="none"/>
        </w:rPr>
        <w:br w:type="page"/>
      </w:r>
      <w:r>
        <w:rPr>
          <w:rFonts w:hint="eastAsia" w:ascii="宋体" w:hAnsi="宋体" w:eastAsia="宋体" w:cs="宋体"/>
          <w:b/>
          <w:color w:val="000000"/>
          <w:sz w:val="28"/>
          <w:szCs w:val="28"/>
          <w:highlight w:val="none"/>
        </w:rPr>
        <w:t>法定代表人授权委托书(授权代表参加磋商)</w:t>
      </w:r>
    </w:p>
    <w:p w14:paraId="54983CEA">
      <w:pPr>
        <w:adjustRightInd w:val="0"/>
        <w:snapToGrid w:val="0"/>
        <w:spacing w:after="300" w:line="360" w:lineRule="auto"/>
        <w:jc w:val="center"/>
        <w:outlineLvl w:val="9"/>
        <w:rPr>
          <w:rFonts w:hint="eastAsia" w:ascii="宋体" w:hAnsi="宋体" w:eastAsia="宋体" w:cs="宋体"/>
          <w:b/>
          <w:bCs/>
          <w:color w:val="000000"/>
          <w:sz w:val="28"/>
          <w:szCs w:val="28"/>
          <w:highlight w:val="none"/>
        </w:rPr>
      </w:pPr>
    </w:p>
    <w:p w14:paraId="655F1F11">
      <w:pPr>
        <w:adjustRightInd w:val="0"/>
        <w:snapToGrid w:val="0"/>
        <w:spacing w:line="360" w:lineRule="auto"/>
        <w:ind w:firstLine="480" w:firstLineChars="200"/>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本人</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rPr>
        <w:t>（姓名）系</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rPr>
        <w:t>（</w:t>
      </w:r>
      <w:r>
        <w:rPr>
          <w:rFonts w:hint="eastAsia" w:ascii="宋体" w:hAnsi="宋体" w:eastAsia="宋体" w:cs="宋体"/>
          <w:color w:val="000000"/>
          <w:sz w:val="24"/>
          <w:szCs w:val="28"/>
          <w:highlight w:val="none"/>
          <w:lang w:eastAsia="zh-CN"/>
        </w:rPr>
        <w:t>供应商</w:t>
      </w:r>
      <w:r>
        <w:rPr>
          <w:rFonts w:hint="eastAsia" w:ascii="宋体" w:hAnsi="宋体" w:eastAsia="宋体" w:cs="宋体"/>
          <w:color w:val="000000"/>
          <w:sz w:val="24"/>
          <w:szCs w:val="28"/>
          <w:highlight w:val="none"/>
        </w:rPr>
        <w:t>名称）的法定代表人，现委托</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rPr>
        <w:t>（姓名）为我方代理人。代理人根据授权，以我方名义参加、签署、澄清、说明、补正、递交、撤回、修改</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u w:val="single"/>
          <w:lang w:eastAsia="zh-CN"/>
        </w:rPr>
        <w:t>项目名称</w:t>
      </w:r>
      <w:r>
        <w:rPr>
          <w:rFonts w:hint="eastAsia" w:ascii="宋体" w:hAnsi="宋体" w:eastAsia="宋体" w:cs="宋体"/>
          <w:color w:val="000000"/>
          <w:sz w:val="24"/>
          <w:szCs w:val="28"/>
          <w:highlight w:val="none"/>
          <w:u w:val="single"/>
        </w:rPr>
        <w:t>）</w:t>
      </w:r>
      <w:r>
        <w:rPr>
          <w:rFonts w:hint="eastAsia" w:ascii="宋体" w:hAnsi="宋体" w:eastAsia="宋体" w:cs="宋体"/>
          <w:color w:val="000000"/>
          <w:sz w:val="24"/>
          <w:szCs w:val="28"/>
          <w:highlight w:val="none"/>
          <w:u w:val="single"/>
          <w:lang w:val="en-US" w:eastAsia="zh-CN"/>
        </w:rPr>
        <w:t xml:space="preserve"> </w:t>
      </w:r>
      <w:r>
        <w:rPr>
          <w:rFonts w:hint="eastAsia" w:ascii="宋体" w:hAnsi="宋体" w:eastAsia="宋体" w:cs="宋体"/>
          <w:color w:val="000000"/>
          <w:sz w:val="24"/>
          <w:szCs w:val="28"/>
          <w:highlight w:val="none"/>
        </w:rPr>
        <w:t>项目响应文件、参加磋商、签订合同和处理有关事宜，其法律后果由我方承担。</w:t>
      </w:r>
    </w:p>
    <w:p w14:paraId="39740472">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委托期限：自磋商响应文件递交之日起90个日历天</w:t>
      </w:r>
    </w:p>
    <w:p w14:paraId="0A6D86EB">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代理人无转委托权。</w:t>
      </w:r>
    </w:p>
    <w:p w14:paraId="7BF1B634">
      <w:pPr>
        <w:adjustRightInd w:val="0"/>
        <w:snapToGrid w:val="0"/>
        <w:spacing w:line="360" w:lineRule="auto"/>
        <w:ind w:firstLine="480" w:firstLineChars="200"/>
        <w:rPr>
          <w:rFonts w:hint="eastAsia" w:ascii="宋体" w:hAnsi="宋体" w:eastAsia="宋体" w:cs="宋体"/>
          <w:color w:val="000000"/>
          <w:sz w:val="24"/>
          <w:szCs w:val="28"/>
          <w:highlight w:val="none"/>
          <w:lang w:eastAsia="zh-CN"/>
        </w:rPr>
      </w:pPr>
      <w:r>
        <w:rPr>
          <w:rFonts w:hint="eastAsia" w:ascii="宋体" w:hAnsi="宋体" w:eastAsia="宋体" w:cs="宋体"/>
          <w:color w:val="000000"/>
          <w:sz w:val="24"/>
          <w:szCs w:val="28"/>
          <w:highlight w:val="none"/>
        </w:rPr>
        <w:t>附：法定代表人身份证</w:t>
      </w:r>
      <w:r>
        <w:rPr>
          <w:rFonts w:hint="eastAsia" w:ascii="宋体" w:hAnsi="宋体" w:eastAsia="宋体" w:cs="宋体"/>
          <w:color w:val="000000"/>
          <w:sz w:val="24"/>
          <w:szCs w:val="28"/>
          <w:highlight w:val="none"/>
          <w:lang w:val="en-US" w:eastAsia="zh-CN"/>
        </w:rPr>
        <w:t>复印件</w:t>
      </w:r>
    </w:p>
    <w:p w14:paraId="067D3B9B">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szCs w:val="28"/>
          <w:highlight w:val="none"/>
        </w:rPr>
        <w:t>附：</w:t>
      </w:r>
      <w:r>
        <w:rPr>
          <w:rFonts w:hint="eastAsia" w:ascii="宋体" w:hAnsi="宋体" w:eastAsia="宋体" w:cs="宋体"/>
          <w:color w:val="000000"/>
          <w:sz w:val="24"/>
          <w:highlight w:val="none"/>
        </w:rPr>
        <w:t>委托代理人身份证</w:t>
      </w:r>
      <w:r>
        <w:rPr>
          <w:rFonts w:hint="eastAsia" w:ascii="宋体" w:hAnsi="宋体" w:eastAsia="宋体" w:cs="宋体"/>
          <w:color w:val="000000"/>
          <w:sz w:val="24"/>
          <w:highlight w:val="none"/>
          <w:lang w:val="en-US" w:eastAsia="zh-CN"/>
        </w:rPr>
        <w:t>复印件</w:t>
      </w:r>
    </w:p>
    <w:p w14:paraId="259D3A89">
      <w:pPr>
        <w:widowControl w:val="0"/>
        <w:ind w:firstLine="480" w:firstLineChars="200"/>
        <w:jc w:val="both"/>
        <w:rPr>
          <w:rFonts w:hint="eastAsia" w:ascii="宋体" w:hAnsi="宋体" w:eastAsia="宋体" w:cs="宋体"/>
          <w:color w:val="000000"/>
          <w:kern w:val="2"/>
          <w:sz w:val="24"/>
          <w:szCs w:val="24"/>
          <w:highlight w:val="none"/>
          <w:lang w:val="en-US" w:eastAsia="zh-CN" w:bidi="ar-SA"/>
        </w:rPr>
      </w:pPr>
    </w:p>
    <w:p w14:paraId="4DAE7DAC">
      <w:pPr>
        <w:widowControl w:val="0"/>
        <w:ind w:firstLine="480" w:firstLineChars="200"/>
        <w:jc w:val="both"/>
        <w:rPr>
          <w:rFonts w:hint="eastAsia" w:ascii="宋体" w:hAnsi="宋体" w:eastAsia="宋体" w:cs="宋体"/>
          <w:color w:val="000000"/>
          <w:kern w:val="2"/>
          <w:sz w:val="24"/>
          <w:szCs w:val="24"/>
          <w:highlight w:val="none"/>
          <w:lang w:val="en-US" w:eastAsia="zh-CN" w:bidi="ar-SA"/>
        </w:rPr>
      </w:pPr>
    </w:p>
    <w:p w14:paraId="194784D4">
      <w:pPr>
        <w:widowControl w:val="0"/>
        <w:ind w:firstLine="480" w:firstLineChars="200"/>
        <w:jc w:val="both"/>
        <w:rPr>
          <w:rFonts w:hint="eastAsia" w:ascii="宋体" w:hAnsi="宋体" w:eastAsia="宋体" w:cs="宋体"/>
          <w:color w:val="000000"/>
          <w:kern w:val="2"/>
          <w:sz w:val="24"/>
          <w:szCs w:val="24"/>
          <w:highlight w:val="none"/>
          <w:lang w:val="en-US" w:eastAsia="zh-CN" w:bidi="ar-SA"/>
        </w:rPr>
      </w:pPr>
    </w:p>
    <w:p w14:paraId="433AD092">
      <w:pPr>
        <w:widowControl w:val="0"/>
        <w:ind w:firstLine="480" w:firstLineChars="200"/>
        <w:jc w:val="both"/>
        <w:rPr>
          <w:rFonts w:hint="eastAsia" w:ascii="宋体" w:hAnsi="宋体" w:eastAsia="宋体" w:cs="宋体"/>
          <w:color w:val="000000"/>
          <w:kern w:val="2"/>
          <w:sz w:val="24"/>
          <w:szCs w:val="24"/>
          <w:highlight w:val="none"/>
          <w:lang w:val="en-US" w:eastAsia="zh-CN" w:bidi="ar-SA"/>
        </w:rPr>
      </w:pPr>
    </w:p>
    <w:p w14:paraId="32AFA65F">
      <w:pPr>
        <w:widowControl w:val="0"/>
        <w:ind w:firstLine="480" w:firstLineChars="200"/>
        <w:jc w:val="both"/>
        <w:rPr>
          <w:rFonts w:hint="eastAsia" w:ascii="宋体" w:hAnsi="宋体" w:eastAsia="宋体" w:cs="宋体"/>
          <w:color w:val="000000"/>
          <w:kern w:val="2"/>
          <w:sz w:val="24"/>
          <w:szCs w:val="24"/>
          <w:highlight w:val="none"/>
          <w:lang w:val="en-US" w:eastAsia="zh-CN" w:bidi="ar-SA"/>
        </w:rPr>
      </w:pPr>
    </w:p>
    <w:p w14:paraId="00EBF59F">
      <w:pPr>
        <w:widowControl w:val="0"/>
        <w:ind w:firstLine="480" w:firstLineChars="200"/>
        <w:jc w:val="both"/>
        <w:rPr>
          <w:rFonts w:hint="eastAsia" w:ascii="宋体" w:hAnsi="宋体" w:eastAsia="宋体" w:cs="宋体"/>
          <w:color w:val="000000"/>
          <w:kern w:val="2"/>
          <w:sz w:val="24"/>
          <w:szCs w:val="24"/>
          <w:highlight w:val="none"/>
          <w:lang w:val="en-US" w:eastAsia="zh-CN" w:bidi="ar-SA"/>
        </w:rPr>
      </w:pPr>
    </w:p>
    <w:p w14:paraId="4BB53611">
      <w:pPr>
        <w:widowControl w:val="0"/>
        <w:ind w:firstLine="480" w:firstLineChars="200"/>
        <w:jc w:val="both"/>
        <w:rPr>
          <w:rFonts w:hint="eastAsia" w:ascii="宋体" w:hAnsi="宋体" w:eastAsia="宋体" w:cs="宋体"/>
          <w:color w:val="000000"/>
          <w:kern w:val="2"/>
          <w:sz w:val="24"/>
          <w:szCs w:val="24"/>
          <w:highlight w:val="none"/>
          <w:lang w:val="en-US" w:eastAsia="zh-CN" w:bidi="ar-SA"/>
        </w:rPr>
      </w:pPr>
    </w:p>
    <w:p w14:paraId="3159A634">
      <w:pPr>
        <w:widowControl w:val="0"/>
        <w:ind w:firstLine="480" w:firstLineChars="200"/>
        <w:jc w:val="both"/>
        <w:rPr>
          <w:rFonts w:hint="eastAsia" w:ascii="宋体" w:hAnsi="宋体" w:eastAsia="宋体" w:cs="宋体"/>
          <w:color w:val="000000"/>
          <w:kern w:val="2"/>
          <w:sz w:val="24"/>
          <w:szCs w:val="24"/>
          <w:highlight w:val="none"/>
          <w:lang w:val="en-US" w:eastAsia="zh-CN" w:bidi="ar-SA"/>
        </w:rPr>
      </w:pPr>
    </w:p>
    <w:p w14:paraId="3726AA43">
      <w:pPr>
        <w:widowControl w:val="0"/>
        <w:ind w:firstLine="480" w:firstLineChars="200"/>
        <w:jc w:val="both"/>
        <w:rPr>
          <w:rFonts w:hint="eastAsia" w:ascii="宋体" w:hAnsi="宋体" w:eastAsia="宋体" w:cs="宋体"/>
          <w:color w:val="000000"/>
          <w:kern w:val="2"/>
          <w:sz w:val="24"/>
          <w:szCs w:val="24"/>
          <w:highlight w:val="none"/>
          <w:lang w:val="en-US" w:eastAsia="zh-CN" w:bidi="ar-SA"/>
        </w:rPr>
      </w:pPr>
    </w:p>
    <w:p w14:paraId="472C60A5">
      <w:pPr>
        <w:widowControl w:val="0"/>
        <w:ind w:firstLine="480" w:firstLineChars="200"/>
        <w:jc w:val="both"/>
        <w:rPr>
          <w:rFonts w:hint="eastAsia" w:ascii="宋体" w:hAnsi="宋体" w:eastAsia="宋体" w:cs="宋体"/>
          <w:color w:val="000000"/>
          <w:kern w:val="2"/>
          <w:sz w:val="24"/>
          <w:szCs w:val="24"/>
          <w:highlight w:val="none"/>
          <w:lang w:val="en-US" w:eastAsia="zh-CN" w:bidi="ar-SA"/>
        </w:rPr>
      </w:pPr>
    </w:p>
    <w:p w14:paraId="6E2469CF">
      <w:pPr>
        <w:widowControl w:val="0"/>
        <w:ind w:firstLine="480" w:firstLineChars="200"/>
        <w:jc w:val="both"/>
        <w:rPr>
          <w:rFonts w:hint="eastAsia" w:ascii="宋体" w:hAnsi="宋体" w:eastAsia="宋体" w:cs="宋体"/>
          <w:color w:val="000000"/>
          <w:kern w:val="2"/>
          <w:sz w:val="24"/>
          <w:szCs w:val="24"/>
          <w:highlight w:val="none"/>
          <w:lang w:val="en-US" w:eastAsia="zh-CN" w:bidi="ar-SA"/>
        </w:rPr>
      </w:pPr>
    </w:p>
    <w:p w14:paraId="1E463DCA">
      <w:pPr>
        <w:widowControl w:val="0"/>
        <w:ind w:firstLine="480" w:firstLineChars="200"/>
        <w:jc w:val="both"/>
        <w:rPr>
          <w:rFonts w:hint="eastAsia" w:ascii="宋体" w:hAnsi="宋体" w:eastAsia="宋体" w:cs="宋体"/>
          <w:color w:val="000000"/>
          <w:kern w:val="2"/>
          <w:sz w:val="24"/>
          <w:szCs w:val="24"/>
          <w:highlight w:val="none"/>
          <w:lang w:val="en-US" w:eastAsia="zh-CN" w:bidi="ar-SA"/>
        </w:rPr>
      </w:pPr>
    </w:p>
    <w:p w14:paraId="47DEB1DB">
      <w:pPr>
        <w:widowControl w:val="0"/>
        <w:ind w:firstLine="480" w:firstLineChars="200"/>
        <w:jc w:val="both"/>
        <w:rPr>
          <w:rFonts w:hint="eastAsia" w:ascii="宋体" w:hAnsi="宋体" w:eastAsia="宋体" w:cs="宋体"/>
          <w:color w:val="000000"/>
          <w:kern w:val="2"/>
          <w:sz w:val="24"/>
          <w:szCs w:val="24"/>
          <w:highlight w:val="none"/>
          <w:lang w:val="en-US" w:eastAsia="zh-CN" w:bidi="ar-SA"/>
        </w:rPr>
      </w:pPr>
    </w:p>
    <w:p w14:paraId="3B7602AE">
      <w:pPr>
        <w:widowControl w:val="0"/>
        <w:ind w:firstLine="480" w:firstLineChars="200"/>
        <w:jc w:val="both"/>
        <w:rPr>
          <w:rFonts w:hint="eastAsia" w:ascii="宋体" w:hAnsi="宋体" w:eastAsia="宋体" w:cs="宋体"/>
          <w:color w:val="000000"/>
          <w:kern w:val="2"/>
          <w:sz w:val="24"/>
          <w:szCs w:val="24"/>
          <w:highlight w:val="none"/>
          <w:lang w:val="en-US" w:eastAsia="zh-CN" w:bidi="ar-SA"/>
        </w:rPr>
      </w:pPr>
    </w:p>
    <w:p w14:paraId="1234465A">
      <w:pPr>
        <w:adjustRightInd w:val="0"/>
        <w:snapToGrid w:val="0"/>
        <w:spacing w:line="360" w:lineRule="auto"/>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lang w:eastAsia="zh-CN"/>
        </w:rPr>
        <w:t>供应商</w:t>
      </w:r>
      <w:r>
        <w:rPr>
          <w:rFonts w:hint="eastAsia" w:ascii="宋体" w:hAnsi="宋体" w:eastAsia="宋体" w:cs="宋体"/>
          <w:color w:val="000000"/>
          <w:sz w:val="24"/>
          <w:szCs w:val="28"/>
          <w:highlight w:val="none"/>
        </w:rPr>
        <w:t>名称：</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rPr>
        <w:t>（公章）</w:t>
      </w:r>
    </w:p>
    <w:p w14:paraId="436C0184">
      <w:pPr>
        <w:adjustRightInd w:val="0"/>
        <w:snapToGrid w:val="0"/>
        <w:spacing w:line="360" w:lineRule="auto"/>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法定代表人：</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rPr>
        <w:t>（签字或盖章）</w:t>
      </w:r>
    </w:p>
    <w:p w14:paraId="18E32344">
      <w:pPr>
        <w:adjustRightInd w:val="0"/>
        <w:snapToGrid w:val="0"/>
        <w:spacing w:line="360" w:lineRule="auto"/>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委托代理人：</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rPr>
        <w:t>（签字或盖章）</w:t>
      </w:r>
    </w:p>
    <w:p w14:paraId="2301C8C6">
      <w:pPr>
        <w:adjustRightInd w:val="0"/>
        <w:snapToGrid w:val="0"/>
        <w:spacing w:line="360" w:lineRule="auto"/>
        <w:ind w:left="240" w:hanging="240" w:hangingChars="1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日 </w:t>
      </w:r>
      <w:r>
        <w:rPr>
          <w:rFonts w:hint="eastAsia" w:ascii="宋体" w:hAnsi="宋体" w:eastAsia="宋体" w:cs="宋体"/>
          <w:color w:val="000000"/>
          <w:sz w:val="24"/>
          <w:szCs w:val="28"/>
          <w:highlight w:val="none"/>
          <w:lang w:val="en-US" w:eastAsia="zh-CN"/>
        </w:rPr>
        <w:t xml:space="preserve">    </w:t>
      </w:r>
      <w:r>
        <w:rPr>
          <w:rFonts w:hint="eastAsia" w:ascii="宋体" w:hAnsi="宋体" w:eastAsia="宋体" w:cs="宋体"/>
          <w:color w:val="000000"/>
          <w:sz w:val="24"/>
          <w:szCs w:val="28"/>
          <w:highlight w:val="none"/>
        </w:rPr>
        <w:t xml:space="preserve"> 期：</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u w:val="single"/>
          <w:lang w:val="en-US" w:eastAsia="zh-CN"/>
        </w:rPr>
        <w:t xml:space="preserve"> </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u w:val="single"/>
          <w:lang w:val="en-US" w:eastAsia="zh-CN"/>
        </w:rPr>
        <w:t xml:space="preserve"> </w:t>
      </w:r>
      <w:r>
        <w:rPr>
          <w:rFonts w:hint="eastAsia" w:ascii="宋体" w:hAnsi="宋体" w:eastAsia="宋体" w:cs="宋体"/>
          <w:color w:val="000000"/>
          <w:sz w:val="24"/>
          <w:szCs w:val="28"/>
          <w:highlight w:val="none"/>
        </w:rPr>
        <w:t>年</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u w:val="single"/>
          <w:lang w:val="en-US" w:eastAsia="zh-CN"/>
        </w:rPr>
        <w:t xml:space="preserve"> </w:t>
      </w:r>
      <w:r>
        <w:rPr>
          <w:rFonts w:hint="eastAsia" w:ascii="宋体" w:hAnsi="宋体" w:eastAsia="宋体" w:cs="宋体"/>
          <w:color w:val="000000"/>
          <w:sz w:val="24"/>
          <w:szCs w:val="28"/>
          <w:highlight w:val="none"/>
        </w:rPr>
        <w:t>月</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u w:val="single"/>
          <w:lang w:val="en-US" w:eastAsia="zh-CN"/>
        </w:rPr>
        <w:t xml:space="preserve"> </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rPr>
        <w:t>日</w:t>
      </w:r>
    </w:p>
    <w:p w14:paraId="520739FC">
      <w:pPr>
        <w:pStyle w:val="25"/>
        <w:spacing w:line="360" w:lineRule="auto"/>
        <w:jc w:val="center"/>
        <w:rPr>
          <w:rFonts w:hint="eastAsia" w:ascii="宋体" w:hAnsi="宋体" w:eastAsia="宋体" w:cs="宋体"/>
          <w:b/>
          <w:bCs/>
          <w:color w:val="000000"/>
          <w:sz w:val="28"/>
          <w:szCs w:val="28"/>
          <w:highlight w:val="none"/>
        </w:rPr>
      </w:pPr>
      <w:r>
        <w:rPr>
          <w:rFonts w:hint="eastAsia" w:ascii="宋体" w:hAnsi="宋体" w:eastAsia="宋体" w:cs="宋体"/>
          <w:color w:val="000000"/>
          <w:sz w:val="32"/>
          <w:szCs w:val="32"/>
          <w:highlight w:val="none"/>
        </w:rPr>
        <w:br w:type="page"/>
      </w:r>
      <w:r>
        <w:rPr>
          <w:rFonts w:hint="eastAsia" w:ascii="宋体" w:hAnsi="宋体" w:eastAsia="宋体" w:cs="宋体"/>
          <w:b/>
          <w:color w:val="000000"/>
          <w:sz w:val="28"/>
          <w:szCs w:val="28"/>
          <w:highlight w:val="none"/>
        </w:rPr>
        <w:t>非联合体</w:t>
      </w:r>
      <w:r>
        <w:rPr>
          <w:rFonts w:hint="eastAsia" w:ascii="宋体" w:hAnsi="宋体" w:eastAsia="宋体" w:cs="宋体"/>
          <w:b/>
          <w:color w:val="000000"/>
          <w:sz w:val="28"/>
          <w:szCs w:val="28"/>
          <w:highlight w:val="none"/>
          <w:lang w:val="en-US" w:eastAsia="zh-CN"/>
        </w:rPr>
        <w:t>磋商</w:t>
      </w:r>
      <w:r>
        <w:rPr>
          <w:rFonts w:hint="eastAsia" w:ascii="宋体" w:hAnsi="宋体" w:eastAsia="宋体" w:cs="宋体"/>
          <w:b/>
          <w:color w:val="000000"/>
          <w:sz w:val="28"/>
          <w:szCs w:val="28"/>
          <w:highlight w:val="none"/>
        </w:rPr>
        <w:t>承诺函</w:t>
      </w:r>
    </w:p>
    <w:p w14:paraId="3E53967A">
      <w:pPr>
        <w:widowControl w:val="0"/>
        <w:spacing w:line="360" w:lineRule="auto"/>
        <w:ind w:firstLine="562" w:firstLineChars="200"/>
        <w:jc w:val="both"/>
        <w:rPr>
          <w:rFonts w:hint="eastAsia" w:ascii="宋体" w:hAnsi="宋体" w:eastAsia="宋体" w:cs="宋体"/>
          <w:b/>
          <w:bCs/>
          <w:color w:val="000000"/>
          <w:kern w:val="2"/>
          <w:sz w:val="28"/>
          <w:szCs w:val="28"/>
          <w:highlight w:val="none"/>
          <w:lang w:val="en-US" w:eastAsia="zh-CN" w:bidi="ar-SA"/>
        </w:rPr>
      </w:pPr>
    </w:p>
    <w:p w14:paraId="5BED26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u w:val="single"/>
          <w:lang w:val="en-US" w:eastAsia="zh-CN" w:bidi="ar-SA"/>
        </w:rPr>
        <w:t xml:space="preserve">                    (采购人名称)</w:t>
      </w:r>
      <w:r>
        <w:rPr>
          <w:rFonts w:hint="eastAsia" w:ascii="宋体" w:hAnsi="宋体" w:eastAsia="宋体" w:cs="宋体"/>
          <w:color w:val="000000"/>
          <w:kern w:val="2"/>
          <w:sz w:val="24"/>
          <w:szCs w:val="24"/>
          <w:highlight w:val="none"/>
          <w:lang w:val="en-US" w:eastAsia="zh-CN" w:bidi="ar-SA"/>
        </w:rPr>
        <w:t>：</w:t>
      </w:r>
    </w:p>
    <w:p w14:paraId="193854A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我公司</w:t>
      </w:r>
      <w:r>
        <w:rPr>
          <w:rFonts w:hint="eastAsia" w:ascii="宋体" w:hAnsi="宋体" w:eastAsia="宋体" w:cs="宋体"/>
          <w:color w:val="000000"/>
          <w:kern w:val="2"/>
          <w:sz w:val="24"/>
          <w:szCs w:val="24"/>
          <w:highlight w:val="none"/>
          <w:u w:val="single"/>
          <w:lang w:val="en-US" w:eastAsia="zh-CN" w:bidi="ar-SA"/>
        </w:rPr>
        <w:t xml:space="preserve">  （单位名称）  </w:t>
      </w:r>
      <w:r>
        <w:rPr>
          <w:rFonts w:hint="eastAsia" w:ascii="宋体" w:hAnsi="宋体" w:eastAsia="宋体" w:cs="宋体"/>
          <w:color w:val="000000"/>
          <w:kern w:val="2"/>
          <w:sz w:val="24"/>
          <w:szCs w:val="24"/>
          <w:highlight w:val="none"/>
          <w:lang w:val="en-US" w:eastAsia="zh-CN" w:bidi="ar-SA"/>
        </w:rPr>
        <w:t>参加本次项目</w:t>
      </w:r>
      <w:r>
        <w:rPr>
          <w:rFonts w:hint="eastAsia" w:ascii="宋体" w:hAnsi="宋体" w:eastAsia="宋体" w:cs="宋体"/>
          <w:color w:val="000000"/>
          <w:kern w:val="2"/>
          <w:sz w:val="24"/>
          <w:szCs w:val="24"/>
          <w:highlight w:val="none"/>
          <w:u w:val="single"/>
          <w:lang w:val="en-US" w:eastAsia="zh-CN" w:bidi="ar-SA"/>
        </w:rPr>
        <w:t xml:space="preserve">      （项目名称、项目编号）      </w:t>
      </w:r>
      <w:r>
        <w:rPr>
          <w:rFonts w:hint="eastAsia" w:ascii="宋体" w:hAnsi="宋体" w:eastAsia="宋体" w:cs="宋体"/>
          <w:color w:val="000000"/>
          <w:kern w:val="2"/>
          <w:sz w:val="24"/>
          <w:szCs w:val="24"/>
          <w:highlight w:val="none"/>
          <w:lang w:val="en-US" w:eastAsia="zh-CN" w:bidi="ar-SA"/>
        </w:rPr>
        <w:t>的磋商，非联合体磋商。</w:t>
      </w:r>
    </w:p>
    <w:p w14:paraId="074EC9D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特此承诺！</w:t>
      </w:r>
    </w:p>
    <w:p w14:paraId="1EDF4302">
      <w:pPr>
        <w:widowControl w:val="0"/>
        <w:spacing w:line="360" w:lineRule="auto"/>
        <w:ind w:firstLine="562" w:firstLineChars="200"/>
        <w:jc w:val="both"/>
        <w:rPr>
          <w:rFonts w:hint="eastAsia" w:ascii="宋体" w:hAnsi="宋体" w:eastAsia="宋体" w:cs="宋体"/>
          <w:b/>
          <w:bCs/>
          <w:color w:val="000000"/>
          <w:kern w:val="2"/>
          <w:sz w:val="28"/>
          <w:szCs w:val="28"/>
          <w:highlight w:val="none"/>
          <w:lang w:val="en-US" w:eastAsia="zh-CN" w:bidi="ar-SA"/>
        </w:rPr>
      </w:pPr>
    </w:p>
    <w:p w14:paraId="7D2C151F">
      <w:pPr>
        <w:widowControl w:val="0"/>
        <w:spacing w:line="360" w:lineRule="auto"/>
        <w:ind w:firstLine="562" w:firstLineChars="200"/>
        <w:jc w:val="both"/>
        <w:rPr>
          <w:rFonts w:hint="eastAsia" w:ascii="宋体" w:hAnsi="宋体" w:eastAsia="宋体" w:cs="宋体"/>
          <w:b/>
          <w:bCs/>
          <w:color w:val="000000"/>
          <w:kern w:val="2"/>
          <w:sz w:val="28"/>
          <w:szCs w:val="28"/>
          <w:highlight w:val="none"/>
          <w:lang w:val="en-US" w:eastAsia="zh-CN" w:bidi="ar-SA"/>
        </w:rPr>
      </w:pPr>
    </w:p>
    <w:p w14:paraId="7625898F">
      <w:pPr>
        <w:widowControl w:val="0"/>
        <w:spacing w:line="360" w:lineRule="auto"/>
        <w:ind w:firstLine="562" w:firstLineChars="200"/>
        <w:jc w:val="both"/>
        <w:rPr>
          <w:rFonts w:hint="eastAsia" w:ascii="宋体" w:hAnsi="宋体" w:eastAsia="宋体" w:cs="宋体"/>
          <w:b/>
          <w:bCs/>
          <w:color w:val="000000"/>
          <w:kern w:val="2"/>
          <w:sz w:val="28"/>
          <w:szCs w:val="28"/>
          <w:highlight w:val="none"/>
          <w:lang w:val="en-US" w:eastAsia="zh-CN" w:bidi="ar-SA"/>
        </w:rPr>
      </w:pPr>
    </w:p>
    <w:p w14:paraId="4876FC3F">
      <w:pPr>
        <w:widowControl w:val="0"/>
        <w:spacing w:line="360" w:lineRule="auto"/>
        <w:ind w:firstLine="562" w:firstLineChars="200"/>
        <w:jc w:val="both"/>
        <w:rPr>
          <w:rFonts w:hint="eastAsia" w:ascii="宋体" w:hAnsi="宋体" w:eastAsia="宋体" w:cs="宋体"/>
          <w:b/>
          <w:bCs/>
          <w:color w:val="000000"/>
          <w:kern w:val="2"/>
          <w:sz w:val="28"/>
          <w:szCs w:val="28"/>
          <w:highlight w:val="none"/>
          <w:lang w:val="en-US" w:eastAsia="zh-CN" w:bidi="ar-SA"/>
        </w:rPr>
      </w:pPr>
    </w:p>
    <w:p w14:paraId="233C488C">
      <w:pPr>
        <w:widowControl w:val="0"/>
        <w:spacing w:line="360" w:lineRule="auto"/>
        <w:ind w:firstLine="562" w:firstLineChars="200"/>
        <w:jc w:val="both"/>
        <w:rPr>
          <w:rFonts w:hint="eastAsia" w:ascii="宋体" w:hAnsi="宋体" w:eastAsia="宋体" w:cs="宋体"/>
          <w:b/>
          <w:bCs/>
          <w:color w:val="000000"/>
          <w:kern w:val="2"/>
          <w:sz w:val="28"/>
          <w:szCs w:val="28"/>
          <w:highlight w:val="none"/>
          <w:lang w:val="en-US" w:eastAsia="zh-CN" w:bidi="ar-SA"/>
        </w:rPr>
      </w:pPr>
    </w:p>
    <w:p w14:paraId="2CBF8217">
      <w:pPr>
        <w:adjustRightInd w:val="0"/>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供应商</w:t>
      </w:r>
      <w:r>
        <w:rPr>
          <w:rFonts w:hint="eastAsia" w:ascii="宋体" w:hAnsi="宋体" w:eastAsia="宋体" w:cs="宋体"/>
          <w:bCs/>
          <w:color w:val="000000"/>
          <w:sz w:val="24"/>
          <w:szCs w:val="24"/>
          <w:highlight w:val="none"/>
        </w:rPr>
        <w:t>名称：</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（公章）</w:t>
      </w:r>
    </w:p>
    <w:p w14:paraId="2BD85D26">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法定代表人或授权代表人：</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14:paraId="50D375F3">
      <w:pPr>
        <w:widowControl w:val="0"/>
        <w:spacing w:line="36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日   期：</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年</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月</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日</w:t>
      </w:r>
    </w:p>
    <w:p w14:paraId="4CC7540E">
      <w:pPr>
        <w:rPr>
          <w:rFonts w:hint="eastAsia" w:ascii="宋体" w:hAnsi="宋体" w:eastAsia="宋体" w:cs="宋体"/>
          <w:sz w:val="24"/>
        </w:rPr>
      </w:pPr>
      <w:r>
        <w:rPr>
          <w:rFonts w:hint="eastAsia" w:ascii="宋体" w:hAnsi="宋体" w:eastAsia="宋体" w:cs="宋体"/>
          <w:b/>
          <w:bCs/>
          <w:color w:val="000000"/>
          <w:sz w:val="28"/>
          <w:szCs w:val="36"/>
          <w:highlight w:val="none"/>
        </w:rPr>
        <w:br w:type="page"/>
      </w:r>
    </w:p>
    <w:p w14:paraId="67A670AB">
      <w:pPr>
        <w:spacing w:line="360" w:lineRule="auto"/>
        <w:jc w:val="center"/>
        <w:outlineLvl w:val="9"/>
        <w:rPr>
          <w:rFonts w:hint="eastAsia" w:ascii="宋体" w:hAnsi="宋体" w:eastAsia="宋体" w:cs="宋体"/>
          <w:sz w:val="24"/>
          <w:lang w:eastAsia="zh-CN"/>
        </w:rPr>
      </w:pPr>
      <w:r>
        <w:rPr>
          <w:rFonts w:hint="eastAsia" w:ascii="宋体" w:hAnsi="宋体" w:eastAsia="宋体" w:cs="宋体"/>
          <w:b/>
          <w:bCs/>
          <w:sz w:val="28"/>
          <w:szCs w:val="28"/>
          <w:lang w:val="en-US" w:eastAsia="zh-CN"/>
        </w:rPr>
        <w:t>第二部分、商务部分</w:t>
      </w:r>
    </w:p>
    <w:p w14:paraId="192DAC58">
      <w:pPr>
        <w:autoSpaceDE w:val="0"/>
        <w:autoSpaceDN w:val="0"/>
        <w:adjustRightInd w:val="0"/>
        <w:snapToGrid w:val="0"/>
        <w:spacing w:after="156" w:afterLines="50" w:line="360" w:lineRule="auto"/>
        <w:jc w:val="center"/>
        <w:rPr>
          <w:rFonts w:hint="eastAsia" w:ascii="宋体" w:hAnsi="宋体" w:eastAsia="宋体" w:cs="宋体"/>
          <w:bCs/>
          <w:sz w:val="28"/>
          <w:szCs w:val="28"/>
        </w:rPr>
      </w:pPr>
      <w:r>
        <w:rPr>
          <w:rFonts w:hint="eastAsia" w:ascii="宋体" w:hAnsi="宋体" w:eastAsia="宋体" w:cs="宋体"/>
          <w:b/>
          <w:bCs/>
          <w:sz w:val="28"/>
          <w:szCs w:val="28"/>
        </w:rPr>
        <w:t>一、磋商响应函</w:t>
      </w:r>
    </w:p>
    <w:p w14:paraId="1412D582">
      <w:pPr>
        <w:pStyle w:val="8"/>
        <w:spacing w:line="360" w:lineRule="auto"/>
        <w:ind w:firstLine="0" w:firstLineChars="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陕西信鹏项目管理有限公司</w:t>
      </w:r>
    </w:p>
    <w:p w14:paraId="6B49194A">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根据贵方</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（项目名称）（项目编号）</w:t>
      </w:r>
      <w:r>
        <w:rPr>
          <w:rFonts w:hint="eastAsia" w:ascii="宋体" w:hAnsi="宋体" w:eastAsia="宋体" w:cs="宋体"/>
          <w:sz w:val="24"/>
          <w:u w:val="single"/>
          <w:lang w:val="en-US" w:eastAsia="zh-CN"/>
        </w:rPr>
        <w:t xml:space="preserve">   </w:t>
      </w:r>
      <w:r>
        <w:rPr>
          <w:rFonts w:hint="eastAsia" w:ascii="宋体" w:hAnsi="宋体" w:eastAsia="宋体" w:cs="宋体"/>
          <w:sz w:val="24"/>
        </w:rPr>
        <w:t>的</w:t>
      </w:r>
      <w:r>
        <w:rPr>
          <w:rFonts w:hint="eastAsia" w:ascii="宋体" w:hAnsi="宋体" w:cs="宋体"/>
          <w:sz w:val="24"/>
          <w:lang w:val="en-US" w:eastAsia="zh-CN"/>
        </w:rPr>
        <w:t>采购文件</w:t>
      </w:r>
      <w:r>
        <w:rPr>
          <w:rFonts w:hint="eastAsia" w:ascii="宋体" w:hAnsi="宋体" w:eastAsia="宋体" w:cs="宋体"/>
          <w:sz w:val="24"/>
        </w:rPr>
        <w:t>，正式授权</w:t>
      </w:r>
      <w:r>
        <w:rPr>
          <w:rFonts w:hint="eastAsia" w:ascii="宋体" w:hAnsi="宋体" w:eastAsia="宋体" w:cs="宋体"/>
          <w:sz w:val="24"/>
          <w:u w:val="single"/>
        </w:rPr>
        <w:t>（姓名）</w:t>
      </w:r>
      <w:r>
        <w:rPr>
          <w:rFonts w:hint="eastAsia" w:ascii="宋体" w:hAnsi="宋体" w:eastAsia="宋体" w:cs="宋体"/>
          <w:sz w:val="24"/>
        </w:rPr>
        <w:t>代表</w:t>
      </w:r>
      <w:r>
        <w:rPr>
          <w:rFonts w:hint="eastAsia" w:ascii="宋体" w:hAnsi="宋体" w:eastAsia="宋体" w:cs="宋体"/>
          <w:sz w:val="24"/>
          <w:u w:val="single"/>
        </w:rPr>
        <w:t>（磋商响应单位的名称）</w:t>
      </w:r>
      <w:r>
        <w:rPr>
          <w:rFonts w:hint="eastAsia" w:ascii="宋体" w:hAnsi="宋体" w:eastAsia="宋体" w:cs="宋体"/>
          <w:sz w:val="24"/>
        </w:rPr>
        <w:t>，提交本项目磋商响应文件正本壹份，副本贰份、电子文件（U盘）壹份。在此我方承诺如下：</w:t>
      </w:r>
    </w:p>
    <w:p w14:paraId="0A848995">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1、我方已详细审查全部磋商文件，包括修改文件（如有）以及全部参考资料和有关附件。我们已完全理解磋商文件并对磋商文件不存在任何异议。</w:t>
      </w:r>
    </w:p>
    <w:p w14:paraId="361FB3A0">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2、本响应（投标）自磋商之日起有效期为90个日历天。</w:t>
      </w:r>
    </w:p>
    <w:p w14:paraId="5CE992B9">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3、我方承诺所递交的响应文件及有关资料真实有效。</w:t>
      </w:r>
    </w:p>
    <w:p w14:paraId="020FC7DA">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4、如我方成交（中标），依成交通知规定的时间与采购人签订合同，并按合同规定履行合同责任和义务。</w:t>
      </w:r>
    </w:p>
    <w:p w14:paraId="110722B2">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5、我方同意提供按照采购人可能要求与其采购有关的一切数据或资料，完全理解贵方不一定接受最低价的投标或其他任何投标。</w:t>
      </w:r>
    </w:p>
    <w:p w14:paraId="51098CCC">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与本磋商有关的一切正式往来通讯请寄：</w:t>
      </w:r>
    </w:p>
    <w:p w14:paraId="5EFBA229">
      <w:pPr>
        <w:pStyle w:val="8"/>
        <w:spacing w:line="360" w:lineRule="auto"/>
        <w:ind w:firstLine="0" w:firstLineChars="0"/>
        <w:rPr>
          <w:rFonts w:hint="eastAsia" w:ascii="宋体" w:hAnsi="宋体" w:eastAsia="宋体" w:cs="宋体"/>
          <w:sz w:val="24"/>
        </w:rPr>
      </w:pPr>
    </w:p>
    <w:p w14:paraId="309FE034">
      <w:pPr>
        <w:pStyle w:val="8"/>
        <w:spacing w:line="360" w:lineRule="auto"/>
        <w:ind w:firstLine="0" w:firstLineChars="0"/>
        <w:rPr>
          <w:rFonts w:hint="eastAsia" w:ascii="宋体" w:hAnsi="宋体" w:eastAsia="宋体" w:cs="宋体"/>
          <w:sz w:val="24"/>
          <w:u w:val="single"/>
        </w:rPr>
      </w:pPr>
      <w:r>
        <w:rPr>
          <w:rFonts w:hint="eastAsia" w:ascii="宋体" w:hAnsi="宋体" w:eastAsia="宋体" w:cs="宋体"/>
          <w:sz w:val="24"/>
        </w:rPr>
        <w:t>地</w:t>
      </w:r>
      <w:r>
        <w:rPr>
          <w:rFonts w:hint="eastAsia" w:ascii="宋体" w:hAnsi="宋体" w:eastAsia="宋体" w:cs="宋体"/>
          <w:sz w:val="24"/>
          <w:lang w:val="en-US" w:eastAsia="zh-CN"/>
        </w:rPr>
        <w:t xml:space="preserve">    </w:t>
      </w:r>
      <w:r>
        <w:rPr>
          <w:rFonts w:hint="eastAsia" w:ascii="宋体" w:hAnsi="宋体" w:eastAsia="宋体" w:cs="宋体"/>
          <w:sz w:val="24"/>
        </w:rPr>
        <w:t>址：</w:t>
      </w:r>
      <w:r>
        <w:rPr>
          <w:rFonts w:hint="eastAsia" w:ascii="宋体" w:hAnsi="宋体" w:eastAsia="宋体" w:cs="宋体"/>
          <w:sz w:val="24"/>
          <w:u w:val="single"/>
          <w:lang w:val="en-US" w:eastAsia="zh-CN"/>
        </w:rPr>
        <w:t xml:space="preserve">                                                  </w:t>
      </w:r>
    </w:p>
    <w:p w14:paraId="2D40560F">
      <w:pPr>
        <w:pStyle w:val="8"/>
        <w:spacing w:line="360" w:lineRule="auto"/>
        <w:ind w:firstLine="0" w:firstLineChars="0"/>
        <w:rPr>
          <w:rFonts w:hint="eastAsia" w:ascii="宋体" w:hAnsi="宋体" w:eastAsia="宋体" w:cs="宋体"/>
          <w:sz w:val="24"/>
          <w:u w:val="single"/>
        </w:rPr>
      </w:pPr>
      <w:r>
        <w:rPr>
          <w:rFonts w:hint="eastAsia" w:ascii="宋体" w:hAnsi="宋体" w:eastAsia="宋体" w:cs="宋体"/>
          <w:sz w:val="24"/>
        </w:rPr>
        <w:t xml:space="preserve">传 </w:t>
      </w:r>
      <w:r>
        <w:rPr>
          <w:rFonts w:hint="eastAsia" w:ascii="宋体" w:hAnsi="宋体" w:eastAsia="宋体" w:cs="宋体"/>
          <w:sz w:val="24"/>
          <w:lang w:val="en-US" w:eastAsia="zh-CN"/>
        </w:rPr>
        <w:t xml:space="preserve">   </w:t>
      </w:r>
      <w:r>
        <w:rPr>
          <w:rFonts w:hint="eastAsia" w:ascii="宋体" w:hAnsi="宋体" w:eastAsia="宋体" w:cs="宋体"/>
          <w:sz w:val="24"/>
        </w:rPr>
        <w:t>真：</w:t>
      </w:r>
      <w:r>
        <w:rPr>
          <w:rFonts w:hint="eastAsia" w:ascii="宋体" w:hAnsi="宋体" w:eastAsia="宋体" w:cs="宋体"/>
          <w:sz w:val="24"/>
          <w:u w:val="single"/>
          <w:lang w:val="en-US" w:eastAsia="zh-CN"/>
        </w:rPr>
        <w:t xml:space="preserve">                                                  </w:t>
      </w:r>
    </w:p>
    <w:p w14:paraId="502DA4EF">
      <w:pPr>
        <w:pStyle w:val="8"/>
        <w:spacing w:line="360" w:lineRule="auto"/>
        <w:ind w:firstLine="0" w:firstLineChars="0"/>
        <w:rPr>
          <w:rFonts w:hint="eastAsia" w:ascii="宋体" w:hAnsi="宋体" w:eastAsia="宋体" w:cs="宋体"/>
          <w:sz w:val="24"/>
          <w:u w:val="single"/>
        </w:rPr>
      </w:pPr>
      <w:r>
        <w:rPr>
          <w:rFonts w:hint="eastAsia" w:ascii="宋体" w:hAnsi="宋体" w:eastAsia="宋体" w:cs="宋体"/>
          <w:sz w:val="24"/>
        </w:rPr>
        <w:t xml:space="preserve">电 </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u w:val="single"/>
          <w:lang w:val="en-US" w:eastAsia="zh-CN"/>
        </w:rPr>
        <w:t xml:space="preserve">                                                  </w:t>
      </w:r>
    </w:p>
    <w:p w14:paraId="3799E82D">
      <w:pPr>
        <w:pStyle w:val="8"/>
        <w:spacing w:line="360" w:lineRule="auto"/>
        <w:ind w:firstLine="0" w:firstLineChars="0"/>
        <w:rPr>
          <w:rFonts w:hint="eastAsia" w:ascii="宋体" w:hAnsi="宋体" w:eastAsia="宋体" w:cs="宋体"/>
          <w:sz w:val="24"/>
          <w:lang w:val="en-US" w:eastAsia="zh-CN"/>
        </w:rPr>
      </w:pPr>
      <w:r>
        <w:rPr>
          <w:rFonts w:hint="eastAsia" w:ascii="宋体" w:hAnsi="宋体" w:eastAsia="宋体" w:cs="宋体"/>
          <w:sz w:val="24"/>
        </w:rPr>
        <w:t>联</w:t>
      </w:r>
      <w:r>
        <w:rPr>
          <w:rFonts w:hint="eastAsia" w:ascii="宋体" w:hAnsi="宋体" w:eastAsia="宋体" w:cs="宋体"/>
          <w:sz w:val="24"/>
          <w:lang w:val="en-US" w:eastAsia="zh-CN"/>
        </w:rPr>
        <w:t xml:space="preserve"> </w:t>
      </w:r>
      <w:r>
        <w:rPr>
          <w:rFonts w:hint="eastAsia" w:ascii="宋体" w:hAnsi="宋体" w:eastAsia="宋体" w:cs="宋体"/>
          <w:sz w:val="24"/>
        </w:rPr>
        <w:t>系</w:t>
      </w:r>
      <w:r>
        <w:rPr>
          <w:rFonts w:hint="eastAsia" w:ascii="宋体" w:hAnsi="宋体" w:eastAsia="宋体" w:cs="宋体"/>
          <w:sz w:val="24"/>
          <w:lang w:val="en-US" w:eastAsia="zh-CN"/>
        </w:rPr>
        <w:t xml:space="preserve"> </w:t>
      </w:r>
      <w:r>
        <w:rPr>
          <w:rFonts w:hint="eastAsia" w:ascii="宋体" w:hAnsi="宋体" w:eastAsia="宋体" w:cs="宋体"/>
          <w:sz w:val="24"/>
        </w:rPr>
        <w:t>人：</w:t>
      </w:r>
      <w:r>
        <w:rPr>
          <w:rFonts w:hint="eastAsia" w:ascii="宋体" w:hAnsi="宋体" w:eastAsia="宋体" w:cs="宋体"/>
          <w:sz w:val="24"/>
          <w:u w:val="single"/>
          <w:lang w:val="en-US" w:eastAsia="zh-CN"/>
        </w:rPr>
        <w:t xml:space="preserve">                                                  </w:t>
      </w:r>
    </w:p>
    <w:p w14:paraId="59CFB7A2">
      <w:pPr>
        <w:pStyle w:val="8"/>
        <w:spacing w:line="360" w:lineRule="auto"/>
        <w:ind w:firstLine="0" w:firstLineChars="0"/>
        <w:rPr>
          <w:rFonts w:hint="eastAsia"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lang w:val="en-US" w:eastAsia="zh-CN"/>
        </w:rPr>
        <w:t xml:space="preserve">                                                  </w:t>
      </w:r>
    </w:p>
    <w:p w14:paraId="2B62E69C">
      <w:pPr>
        <w:pStyle w:val="8"/>
        <w:spacing w:line="360" w:lineRule="auto"/>
        <w:ind w:firstLine="0" w:firstLineChars="0"/>
        <w:rPr>
          <w:rFonts w:hint="eastAsia" w:ascii="宋体" w:hAnsi="宋体" w:eastAsia="宋体" w:cs="宋体"/>
          <w:sz w:val="24"/>
        </w:rPr>
      </w:pPr>
    </w:p>
    <w:p w14:paraId="3CC31FA5">
      <w:pPr>
        <w:pStyle w:val="8"/>
        <w:spacing w:line="360" w:lineRule="auto"/>
        <w:ind w:firstLine="0" w:firstLineChars="0"/>
        <w:rPr>
          <w:rFonts w:hint="eastAsia" w:ascii="宋体" w:hAnsi="宋体" w:eastAsia="宋体" w:cs="宋体"/>
          <w:sz w:val="24"/>
        </w:rPr>
      </w:pPr>
    </w:p>
    <w:p w14:paraId="0AC24E02">
      <w:pPr>
        <w:overflowPunct w:val="0"/>
        <w:topLinePunct/>
        <w:adjustRightInd w:val="0"/>
        <w:snapToGrid w:val="0"/>
        <w:spacing w:line="360" w:lineRule="auto"/>
        <w:rPr>
          <w:rFonts w:hint="eastAsia" w:ascii="宋体" w:hAnsi="宋体" w:eastAsia="宋体" w:cs="宋体"/>
          <w:sz w:val="24"/>
        </w:rPr>
      </w:pPr>
    </w:p>
    <w:p w14:paraId="7E1AEF07">
      <w:pPr>
        <w:adjustRightInd w:val="0"/>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供应商</w:t>
      </w:r>
      <w:r>
        <w:rPr>
          <w:rFonts w:hint="eastAsia" w:ascii="宋体" w:hAnsi="宋体" w:eastAsia="宋体" w:cs="宋体"/>
          <w:bCs/>
          <w:color w:val="000000"/>
          <w:sz w:val="24"/>
          <w:szCs w:val="24"/>
          <w:highlight w:val="none"/>
        </w:rPr>
        <w:t>名称：</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（公章）</w:t>
      </w:r>
    </w:p>
    <w:p w14:paraId="575D7FC1">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法定代表人或授权代表人：</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14:paraId="1B92483D">
      <w:pPr>
        <w:adjustRightInd w:val="0"/>
        <w:snapToGrid w:val="0"/>
        <w:spacing w:line="480" w:lineRule="auto"/>
        <w:rPr>
          <w:rFonts w:hint="eastAsia" w:ascii="宋体" w:hAnsi="宋体" w:eastAsia="宋体" w:cs="宋体"/>
          <w:sz w:val="24"/>
        </w:rPr>
      </w:pPr>
      <w:r>
        <w:rPr>
          <w:rFonts w:hint="eastAsia" w:ascii="宋体" w:hAnsi="宋体" w:eastAsia="宋体" w:cs="宋体"/>
          <w:bCs/>
          <w:color w:val="000000"/>
          <w:kern w:val="2"/>
          <w:sz w:val="24"/>
          <w:szCs w:val="24"/>
          <w:highlight w:val="none"/>
          <w:lang w:val="en-US" w:eastAsia="zh-CN" w:bidi="ar-SA"/>
        </w:rPr>
        <w:t>日   期：</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年</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月</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日</w:t>
      </w:r>
    </w:p>
    <w:p w14:paraId="2BCDA388">
      <w:pPr>
        <w:autoSpaceDE w:val="0"/>
        <w:autoSpaceDN w:val="0"/>
        <w:adjustRightInd w:val="0"/>
        <w:snapToGrid w:val="0"/>
        <w:spacing w:after="156" w:afterLines="50" w:line="360" w:lineRule="auto"/>
        <w:jc w:val="center"/>
        <w:rPr>
          <w:rFonts w:hint="eastAsia" w:ascii="宋体" w:hAnsi="宋体" w:eastAsia="宋体" w:cs="宋体"/>
          <w:kern w:val="0"/>
          <w:sz w:val="28"/>
          <w:szCs w:val="28"/>
          <w:shd w:val="clear" w:color="auto" w:fill="FFFFFF"/>
          <w:lang w:eastAsia="zh-CN"/>
        </w:rPr>
      </w:pPr>
      <w:r>
        <w:rPr>
          <w:rFonts w:hint="eastAsia" w:ascii="宋体" w:hAnsi="宋体" w:eastAsia="宋体" w:cs="宋体"/>
          <w:sz w:val="24"/>
        </w:rPr>
        <w:br w:type="page"/>
      </w:r>
      <w:bookmarkStart w:id="45" w:name="_Toc293934824"/>
      <w:bookmarkEnd w:id="45"/>
      <w:r>
        <w:rPr>
          <w:rFonts w:hint="eastAsia" w:ascii="宋体" w:hAnsi="宋体" w:eastAsia="宋体" w:cs="宋体"/>
          <w:b/>
          <w:bCs/>
          <w:sz w:val="28"/>
          <w:szCs w:val="28"/>
          <w:highlight w:val="none"/>
        </w:rPr>
        <w:t>二、</w:t>
      </w:r>
      <w:r>
        <w:rPr>
          <w:rFonts w:hint="eastAsia" w:ascii="宋体" w:hAnsi="宋体" w:eastAsia="宋体" w:cs="宋体"/>
          <w:b/>
          <w:bCs/>
          <w:sz w:val="28"/>
          <w:szCs w:val="28"/>
          <w:highlight w:val="none"/>
          <w:lang w:eastAsia="zh-CN"/>
        </w:rPr>
        <w:t>首次磋商报价表</w:t>
      </w:r>
    </w:p>
    <w:p w14:paraId="686E006B">
      <w:pPr>
        <w:adjustRightInd w:val="0"/>
        <w:snapToGrid w:val="0"/>
        <w:spacing w:line="360" w:lineRule="auto"/>
        <w:rPr>
          <w:rFonts w:hint="eastAsia" w:ascii="宋体" w:hAnsi="宋体" w:eastAsia="宋体" w:cs="宋体"/>
          <w:sz w:val="24"/>
          <w:u w:val="single"/>
        </w:rPr>
      </w:pPr>
      <w:r>
        <w:rPr>
          <w:rFonts w:hint="eastAsia" w:ascii="宋体" w:hAnsi="宋体" w:eastAsia="宋体" w:cs="宋体"/>
          <w:sz w:val="24"/>
        </w:rPr>
        <w:t>项目名称：</w:t>
      </w:r>
    </w:p>
    <w:p w14:paraId="4AB5EF46">
      <w:pPr>
        <w:adjustRightInd w:val="0"/>
        <w:snapToGrid w:val="0"/>
        <w:spacing w:line="360" w:lineRule="auto"/>
        <w:rPr>
          <w:rFonts w:hint="default" w:ascii="宋体" w:hAnsi="宋体" w:eastAsia="宋体" w:cs="宋体"/>
          <w:sz w:val="24"/>
          <w:u w:val="none"/>
          <w:lang w:val="en-US" w:eastAsia="zh-CN"/>
        </w:rPr>
      </w:pPr>
      <w:r>
        <w:rPr>
          <w:rFonts w:hint="eastAsia" w:ascii="宋体" w:hAnsi="宋体" w:cs="宋体"/>
          <w:sz w:val="24"/>
          <w:u w:val="none"/>
          <w:lang w:val="en-US" w:eastAsia="zh-CN"/>
        </w:rPr>
        <w:t>项目编号：</w:t>
      </w:r>
    </w:p>
    <w:tbl>
      <w:tblPr>
        <w:tblStyle w:val="49"/>
        <w:tblW w:w="867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5494"/>
        <w:gridCol w:w="1033"/>
      </w:tblGrid>
      <w:tr w14:paraId="7D4C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152" w:type="dxa"/>
            <w:noWrap w:val="0"/>
            <w:vAlign w:val="center"/>
          </w:tcPr>
          <w:p w14:paraId="0B0E2326">
            <w:pPr>
              <w:spacing w:line="24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投标总报价</w:t>
            </w:r>
          </w:p>
          <w:p w14:paraId="53213735">
            <w:pPr>
              <w:spacing w:line="24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（元）</w:t>
            </w:r>
          </w:p>
        </w:tc>
        <w:tc>
          <w:tcPr>
            <w:tcW w:w="5494" w:type="dxa"/>
            <w:noWrap w:val="0"/>
            <w:vAlign w:val="center"/>
          </w:tcPr>
          <w:p w14:paraId="3AD2778F">
            <w:pPr>
              <w:spacing w:line="24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大写：                   小写：</w:t>
            </w:r>
          </w:p>
        </w:tc>
        <w:tc>
          <w:tcPr>
            <w:tcW w:w="1033" w:type="dxa"/>
            <w:noWrap w:val="0"/>
            <w:vAlign w:val="center"/>
          </w:tcPr>
          <w:p w14:paraId="756EBC6C">
            <w:pPr>
              <w:spacing w:line="240" w:lineRule="auto"/>
              <w:jc w:val="center"/>
              <w:rPr>
                <w:rFonts w:hint="eastAsia" w:ascii="宋体" w:hAnsi="宋体" w:eastAsia="宋体" w:cs="宋体"/>
                <w:bCs/>
                <w:color w:val="000000"/>
                <w:sz w:val="24"/>
                <w:szCs w:val="24"/>
                <w:lang w:eastAsia="zh-CN"/>
              </w:rPr>
            </w:pPr>
            <w:r>
              <w:rPr>
                <w:rFonts w:hint="eastAsia" w:ascii="宋体" w:hAnsi="宋体" w:cs="宋体"/>
                <w:bCs/>
                <w:color w:val="000000"/>
                <w:sz w:val="24"/>
                <w:szCs w:val="24"/>
                <w:lang w:eastAsia="zh-CN"/>
              </w:rPr>
              <w:t>备注</w:t>
            </w:r>
          </w:p>
        </w:tc>
      </w:tr>
      <w:tr w14:paraId="2D4D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52" w:type="dxa"/>
            <w:noWrap w:val="0"/>
            <w:vAlign w:val="center"/>
          </w:tcPr>
          <w:p w14:paraId="3D767958">
            <w:pPr>
              <w:spacing w:line="24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数量</w:t>
            </w:r>
          </w:p>
        </w:tc>
        <w:tc>
          <w:tcPr>
            <w:tcW w:w="5494" w:type="dxa"/>
            <w:noWrap w:val="0"/>
            <w:vAlign w:val="center"/>
          </w:tcPr>
          <w:p w14:paraId="65ABAE52">
            <w:pPr>
              <w:spacing w:line="240" w:lineRule="auto"/>
              <w:jc w:val="both"/>
              <w:rPr>
                <w:rFonts w:hint="default" w:ascii="宋体" w:hAnsi="宋体" w:eastAsia="宋体" w:cs="宋体"/>
                <w:bCs/>
                <w:color w:val="000000"/>
                <w:sz w:val="24"/>
                <w:szCs w:val="24"/>
                <w:lang w:val="en-US" w:eastAsia="zh-CN"/>
              </w:rPr>
            </w:pPr>
            <w:r>
              <w:rPr>
                <w:rFonts w:hint="eastAsia" w:ascii="宋体" w:hAnsi="宋体" w:eastAsia="宋体" w:cs="宋体"/>
                <w:b w:val="0"/>
                <w:bCs/>
                <w:sz w:val="24"/>
                <w:szCs w:val="24"/>
                <w:highlight w:val="none"/>
                <w:lang w:eastAsia="zh-CN"/>
              </w:rPr>
              <w:t>男性</w:t>
            </w:r>
            <w:r>
              <w:rPr>
                <w:rFonts w:hint="eastAsia" w:ascii="宋体" w:hAnsi="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lang w:eastAsia="zh-CN"/>
              </w:rPr>
              <w:t>人，</w:t>
            </w:r>
            <w:r>
              <w:rPr>
                <w:rFonts w:hint="eastAsia" w:ascii="宋体" w:hAnsi="宋体" w:cs="宋体"/>
                <w:b w:val="0"/>
                <w:bCs/>
                <w:sz w:val="24"/>
                <w:szCs w:val="24"/>
                <w:highlight w:val="none"/>
                <w:lang w:eastAsia="zh-CN"/>
              </w:rPr>
              <w:t>未婚女士</w:t>
            </w:r>
            <w:r>
              <w:rPr>
                <w:rFonts w:hint="eastAsia" w:ascii="宋体" w:hAnsi="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lang w:eastAsia="zh-CN"/>
              </w:rPr>
              <w:t>人</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已婚女士</w:t>
            </w:r>
            <w:r>
              <w:rPr>
                <w:rFonts w:hint="eastAsia" w:ascii="宋体" w:hAnsi="宋体" w:cs="宋体"/>
                <w:b w:val="0"/>
                <w:bCs/>
                <w:sz w:val="24"/>
                <w:szCs w:val="24"/>
                <w:highlight w:val="none"/>
                <w:u w:val="single"/>
                <w:lang w:val="en-US" w:eastAsia="zh-CN"/>
              </w:rPr>
              <w:t xml:space="preserve">   </w:t>
            </w:r>
            <w:r>
              <w:rPr>
                <w:rFonts w:hint="eastAsia" w:ascii="宋体" w:hAnsi="宋体" w:cs="宋体"/>
                <w:b w:val="0"/>
                <w:bCs/>
                <w:sz w:val="24"/>
                <w:szCs w:val="24"/>
                <w:highlight w:val="none"/>
                <w:lang w:val="en-US" w:eastAsia="zh-CN"/>
              </w:rPr>
              <w:t>人</w:t>
            </w:r>
          </w:p>
        </w:tc>
        <w:tc>
          <w:tcPr>
            <w:tcW w:w="1033" w:type="dxa"/>
            <w:vMerge w:val="restart"/>
            <w:noWrap w:val="0"/>
            <w:vAlign w:val="center"/>
          </w:tcPr>
          <w:p w14:paraId="7C3671D2">
            <w:pPr>
              <w:spacing w:line="240" w:lineRule="auto"/>
              <w:jc w:val="center"/>
              <w:rPr>
                <w:rFonts w:hint="eastAsia" w:ascii="宋体" w:hAnsi="宋体" w:eastAsia="宋体" w:cs="宋体"/>
                <w:b w:val="0"/>
                <w:bCs/>
                <w:sz w:val="24"/>
                <w:szCs w:val="24"/>
                <w:highlight w:val="none"/>
                <w:lang w:eastAsia="zh-CN"/>
              </w:rPr>
            </w:pPr>
          </w:p>
        </w:tc>
      </w:tr>
      <w:tr w14:paraId="1488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2152" w:type="dxa"/>
            <w:noWrap w:val="0"/>
            <w:vAlign w:val="center"/>
          </w:tcPr>
          <w:p w14:paraId="66D27A32">
            <w:pPr>
              <w:spacing w:line="240" w:lineRule="auto"/>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综合单价</w:t>
            </w:r>
          </w:p>
        </w:tc>
        <w:tc>
          <w:tcPr>
            <w:tcW w:w="5494" w:type="dxa"/>
            <w:noWrap w:val="0"/>
            <w:vAlign w:val="center"/>
          </w:tcPr>
          <w:p w14:paraId="3A4CBE95">
            <w:pPr>
              <w:spacing w:line="240" w:lineRule="auto"/>
              <w:jc w:val="both"/>
              <w:rPr>
                <w:rFonts w:hint="eastAsia" w:ascii="宋体" w:hAnsi="宋体" w:eastAsia="宋体" w:cs="宋体"/>
                <w:bCs/>
                <w:color w:val="000000"/>
                <w:sz w:val="24"/>
                <w:szCs w:val="24"/>
                <w:u w:val="none"/>
                <w:lang w:val="en-US" w:eastAsia="zh-CN"/>
              </w:rPr>
            </w:pPr>
            <w:r>
              <w:rPr>
                <w:rFonts w:hint="eastAsia" w:ascii="宋体" w:hAnsi="宋体" w:eastAsia="宋体" w:cs="宋体"/>
                <w:bCs/>
                <w:color w:val="000000"/>
                <w:sz w:val="24"/>
                <w:szCs w:val="24"/>
                <w:u w:val="none"/>
                <w:lang w:val="en-US" w:eastAsia="zh-CN"/>
              </w:rPr>
              <w:t>男性每人</w:t>
            </w:r>
            <w:r>
              <w:rPr>
                <w:rFonts w:hint="eastAsia" w:ascii="宋体" w:hAnsi="宋体" w:eastAsia="宋体" w:cs="宋体"/>
                <w:bCs/>
                <w:color w:val="000000"/>
                <w:sz w:val="24"/>
                <w:szCs w:val="24"/>
                <w:u w:val="single"/>
                <w:lang w:val="en-US" w:eastAsia="zh-CN"/>
              </w:rPr>
              <w:t xml:space="preserve"> </w:t>
            </w:r>
            <w:r>
              <w:rPr>
                <w:rFonts w:hint="eastAsia" w:ascii="宋体" w:hAnsi="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none"/>
                <w:lang w:val="en-US" w:eastAsia="zh-CN"/>
              </w:rPr>
              <w:t>元。</w:t>
            </w:r>
          </w:p>
          <w:p w14:paraId="2646CB91">
            <w:pPr>
              <w:spacing w:line="240" w:lineRule="auto"/>
              <w:jc w:val="both"/>
              <w:rPr>
                <w:rFonts w:hint="eastAsia" w:ascii="宋体" w:hAnsi="宋体" w:eastAsia="宋体" w:cs="宋体"/>
                <w:bCs/>
                <w:color w:val="000000"/>
                <w:sz w:val="24"/>
                <w:szCs w:val="24"/>
                <w:u w:val="none"/>
                <w:lang w:val="en-US" w:eastAsia="zh-CN"/>
              </w:rPr>
            </w:pPr>
            <w:r>
              <w:rPr>
                <w:rFonts w:hint="eastAsia" w:ascii="宋体" w:hAnsi="宋体" w:eastAsia="宋体" w:cs="宋体"/>
                <w:bCs/>
                <w:color w:val="000000"/>
                <w:sz w:val="24"/>
                <w:szCs w:val="24"/>
                <w:u w:val="none"/>
                <w:lang w:val="en-US" w:eastAsia="zh-CN"/>
              </w:rPr>
              <w:t>未婚女士每人</w:t>
            </w:r>
            <w:r>
              <w:rPr>
                <w:rFonts w:hint="eastAsia" w:ascii="宋体" w:hAnsi="宋体" w:eastAsia="宋体" w:cs="宋体"/>
                <w:bCs/>
                <w:color w:val="000000"/>
                <w:sz w:val="24"/>
                <w:szCs w:val="24"/>
                <w:u w:val="single"/>
                <w:lang w:val="en-US" w:eastAsia="zh-CN"/>
              </w:rPr>
              <w:t xml:space="preserve">   </w:t>
            </w:r>
            <w:r>
              <w:rPr>
                <w:rFonts w:hint="eastAsia" w:ascii="宋体" w:hAnsi="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none"/>
                <w:lang w:val="en-US" w:eastAsia="zh-CN"/>
              </w:rPr>
              <w:t>元。</w:t>
            </w:r>
          </w:p>
          <w:p w14:paraId="46E2F8D9">
            <w:pPr>
              <w:spacing w:line="240" w:lineRule="auto"/>
              <w:jc w:val="both"/>
              <w:rPr>
                <w:rFonts w:hint="eastAsia" w:ascii="宋体" w:hAnsi="宋体" w:eastAsia="宋体" w:cs="宋体"/>
                <w:bCs/>
                <w:color w:val="000000"/>
                <w:sz w:val="24"/>
                <w:szCs w:val="24"/>
                <w:u w:val="none"/>
                <w:lang w:val="en-US" w:eastAsia="zh-CN"/>
              </w:rPr>
            </w:pPr>
            <w:r>
              <w:rPr>
                <w:rFonts w:hint="eastAsia" w:ascii="宋体" w:hAnsi="宋体" w:eastAsia="宋体" w:cs="宋体"/>
                <w:bCs/>
                <w:color w:val="000000"/>
                <w:sz w:val="24"/>
                <w:szCs w:val="24"/>
                <w:u w:val="none"/>
                <w:lang w:val="en-US" w:eastAsia="zh-CN"/>
              </w:rPr>
              <w:t>已婚女性每人</w:t>
            </w:r>
            <w:r>
              <w:rPr>
                <w:rFonts w:hint="eastAsia" w:ascii="宋体" w:hAnsi="宋体" w:eastAsia="宋体" w:cs="宋体"/>
                <w:bCs/>
                <w:color w:val="000000"/>
                <w:sz w:val="24"/>
                <w:szCs w:val="24"/>
                <w:u w:val="single"/>
                <w:lang w:val="en-US" w:eastAsia="zh-CN"/>
              </w:rPr>
              <w:t xml:space="preserve">   </w:t>
            </w:r>
            <w:r>
              <w:rPr>
                <w:rFonts w:hint="eastAsia" w:ascii="宋体" w:hAnsi="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none"/>
                <w:lang w:val="en-US" w:eastAsia="zh-CN"/>
              </w:rPr>
              <w:t>元。</w:t>
            </w:r>
          </w:p>
        </w:tc>
        <w:tc>
          <w:tcPr>
            <w:tcW w:w="1033" w:type="dxa"/>
            <w:vMerge w:val="continue"/>
            <w:noWrap w:val="0"/>
            <w:vAlign w:val="center"/>
          </w:tcPr>
          <w:p w14:paraId="16E2A86D">
            <w:pPr>
              <w:spacing w:line="240" w:lineRule="auto"/>
              <w:jc w:val="center"/>
              <w:rPr>
                <w:rFonts w:hint="eastAsia" w:ascii="宋体" w:hAnsi="宋体" w:eastAsia="宋体" w:cs="宋体"/>
                <w:bCs/>
                <w:color w:val="000000"/>
                <w:sz w:val="24"/>
                <w:szCs w:val="24"/>
                <w:u w:val="none"/>
                <w:lang w:val="en-US" w:eastAsia="zh-CN"/>
              </w:rPr>
            </w:pPr>
          </w:p>
        </w:tc>
      </w:tr>
      <w:tr w14:paraId="649F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52" w:type="dxa"/>
            <w:noWrap w:val="0"/>
            <w:vAlign w:val="center"/>
          </w:tcPr>
          <w:p w14:paraId="09B14726">
            <w:pPr>
              <w:spacing w:line="240" w:lineRule="auto"/>
              <w:jc w:val="center"/>
              <w:rPr>
                <w:rFonts w:hint="eastAsia" w:ascii="宋体" w:hAnsi="宋体" w:eastAsia="宋体" w:cs="宋体"/>
                <w:bCs/>
                <w:color w:val="FF0000"/>
                <w:sz w:val="24"/>
                <w:szCs w:val="24"/>
                <w:highlight w:val="yellow"/>
                <w:lang w:eastAsia="zh-CN"/>
              </w:rPr>
            </w:pPr>
            <w:r>
              <w:rPr>
                <w:rFonts w:hint="eastAsia" w:ascii="宋体" w:hAnsi="宋体" w:eastAsia="宋体" w:cs="宋体"/>
                <w:bCs/>
                <w:color w:val="000000"/>
                <w:sz w:val="24"/>
                <w:szCs w:val="24"/>
                <w:lang w:eastAsia="zh-CN"/>
              </w:rPr>
              <w:t>服务期</w:t>
            </w:r>
          </w:p>
        </w:tc>
        <w:tc>
          <w:tcPr>
            <w:tcW w:w="5494" w:type="dxa"/>
            <w:noWrap w:val="0"/>
            <w:vAlign w:val="center"/>
          </w:tcPr>
          <w:p w14:paraId="1A0DB6C4">
            <w:pPr>
              <w:spacing w:line="240" w:lineRule="auto"/>
              <w:rPr>
                <w:rFonts w:hint="eastAsia" w:ascii="宋体" w:hAnsi="宋体" w:eastAsia="宋体" w:cs="宋体"/>
                <w:bCs/>
                <w:color w:val="FF0000"/>
                <w:sz w:val="24"/>
                <w:szCs w:val="24"/>
                <w:highlight w:val="yellow"/>
              </w:rPr>
            </w:pPr>
          </w:p>
        </w:tc>
        <w:tc>
          <w:tcPr>
            <w:tcW w:w="1033" w:type="dxa"/>
            <w:vMerge w:val="continue"/>
            <w:noWrap w:val="0"/>
            <w:vAlign w:val="center"/>
          </w:tcPr>
          <w:p w14:paraId="1DDE0DF9">
            <w:pPr>
              <w:spacing w:line="240" w:lineRule="auto"/>
              <w:rPr>
                <w:rFonts w:hint="eastAsia" w:ascii="宋体" w:hAnsi="宋体" w:eastAsia="宋体" w:cs="宋体"/>
                <w:bCs/>
                <w:color w:val="FF0000"/>
                <w:sz w:val="24"/>
                <w:szCs w:val="24"/>
                <w:highlight w:val="yellow"/>
              </w:rPr>
            </w:pPr>
          </w:p>
        </w:tc>
      </w:tr>
      <w:tr w14:paraId="6356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52" w:type="dxa"/>
            <w:noWrap w:val="0"/>
            <w:vAlign w:val="center"/>
          </w:tcPr>
          <w:p w14:paraId="385E4E3D">
            <w:pPr>
              <w:spacing w:line="240" w:lineRule="auto"/>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服务标准</w:t>
            </w:r>
          </w:p>
        </w:tc>
        <w:tc>
          <w:tcPr>
            <w:tcW w:w="5494" w:type="dxa"/>
            <w:noWrap w:val="0"/>
            <w:vAlign w:val="center"/>
          </w:tcPr>
          <w:p w14:paraId="6C7D7B5D">
            <w:pPr>
              <w:spacing w:line="240" w:lineRule="auto"/>
              <w:rPr>
                <w:rFonts w:hint="eastAsia" w:ascii="宋体" w:hAnsi="宋体" w:eastAsia="宋体" w:cs="宋体"/>
                <w:bCs/>
                <w:color w:val="FF0000"/>
                <w:sz w:val="24"/>
                <w:szCs w:val="24"/>
                <w:highlight w:val="yellow"/>
              </w:rPr>
            </w:pPr>
          </w:p>
        </w:tc>
        <w:tc>
          <w:tcPr>
            <w:tcW w:w="1033" w:type="dxa"/>
            <w:vMerge w:val="continue"/>
            <w:noWrap w:val="0"/>
            <w:vAlign w:val="center"/>
          </w:tcPr>
          <w:p w14:paraId="31A68CD9">
            <w:pPr>
              <w:spacing w:line="240" w:lineRule="auto"/>
              <w:rPr>
                <w:rFonts w:hint="eastAsia" w:ascii="宋体" w:hAnsi="宋体" w:eastAsia="宋体" w:cs="宋体"/>
                <w:bCs/>
                <w:color w:val="FF0000"/>
                <w:sz w:val="24"/>
                <w:szCs w:val="24"/>
                <w:highlight w:val="yellow"/>
              </w:rPr>
            </w:pPr>
          </w:p>
        </w:tc>
      </w:tr>
      <w:tr w14:paraId="79CE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52" w:type="dxa"/>
            <w:noWrap w:val="0"/>
            <w:vAlign w:val="center"/>
          </w:tcPr>
          <w:p w14:paraId="14E998D9">
            <w:pPr>
              <w:spacing w:line="24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其他说明事项</w:t>
            </w:r>
          </w:p>
          <w:p w14:paraId="15B3F9D2">
            <w:pPr>
              <w:spacing w:line="24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（如有）</w:t>
            </w:r>
          </w:p>
        </w:tc>
        <w:tc>
          <w:tcPr>
            <w:tcW w:w="5494" w:type="dxa"/>
            <w:noWrap w:val="0"/>
            <w:vAlign w:val="center"/>
          </w:tcPr>
          <w:p w14:paraId="5CC5D72B">
            <w:pPr>
              <w:spacing w:line="240" w:lineRule="auto"/>
              <w:rPr>
                <w:rFonts w:hint="eastAsia" w:ascii="宋体" w:hAnsi="宋体" w:eastAsia="宋体" w:cs="宋体"/>
                <w:bCs/>
                <w:color w:val="000000"/>
                <w:sz w:val="24"/>
                <w:szCs w:val="24"/>
              </w:rPr>
            </w:pPr>
          </w:p>
        </w:tc>
        <w:tc>
          <w:tcPr>
            <w:tcW w:w="1033" w:type="dxa"/>
            <w:vMerge w:val="continue"/>
            <w:noWrap w:val="0"/>
            <w:vAlign w:val="center"/>
          </w:tcPr>
          <w:p w14:paraId="7347293E">
            <w:pPr>
              <w:spacing w:line="240" w:lineRule="auto"/>
              <w:rPr>
                <w:rFonts w:hint="eastAsia" w:ascii="宋体" w:hAnsi="宋体" w:eastAsia="宋体" w:cs="宋体"/>
                <w:bCs/>
                <w:color w:val="000000"/>
                <w:sz w:val="24"/>
                <w:szCs w:val="24"/>
              </w:rPr>
            </w:pPr>
          </w:p>
        </w:tc>
      </w:tr>
    </w:tbl>
    <w:p w14:paraId="69C566F4">
      <w:pPr>
        <w:adjustRightInd w:val="0"/>
        <w:snapToGrid w:val="0"/>
        <w:spacing w:line="360" w:lineRule="auto"/>
        <w:rPr>
          <w:rFonts w:hint="eastAsia" w:ascii="宋体" w:hAnsi="宋体" w:eastAsia="宋体" w:cs="宋体"/>
          <w:b/>
          <w:bCs/>
          <w:sz w:val="24"/>
        </w:rPr>
      </w:pPr>
    </w:p>
    <w:p w14:paraId="11C215A1">
      <w:pPr>
        <w:adjustRightInd w:val="0"/>
        <w:snapToGrid w:val="0"/>
        <w:spacing w:line="360" w:lineRule="auto"/>
        <w:rPr>
          <w:rFonts w:hint="eastAsia" w:ascii="宋体" w:hAnsi="宋体" w:eastAsia="宋体" w:cs="宋体"/>
          <w:b/>
          <w:bCs/>
          <w:sz w:val="24"/>
        </w:rPr>
      </w:pPr>
      <w:r>
        <w:rPr>
          <w:rFonts w:hint="eastAsia" w:ascii="宋体" w:hAnsi="宋体" w:eastAsia="宋体" w:cs="宋体"/>
          <w:b/>
          <w:bCs/>
          <w:sz w:val="24"/>
        </w:rPr>
        <w:t>注：报价以元为单位保留到小数点后两位。</w:t>
      </w:r>
    </w:p>
    <w:p w14:paraId="54DAAA73">
      <w:pPr>
        <w:adjustRightInd w:val="0"/>
        <w:snapToGrid w:val="0"/>
        <w:spacing w:line="480" w:lineRule="auto"/>
        <w:rPr>
          <w:rFonts w:hint="eastAsia" w:ascii="宋体" w:hAnsi="宋体" w:eastAsia="宋体" w:cs="宋体"/>
          <w:bCs/>
          <w:sz w:val="24"/>
        </w:rPr>
      </w:pPr>
    </w:p>
    <w:p w14:paraId="7A0E9976">
      <w:pPr>
        <w:adjustRightInd w:val="0"/>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供应商</w:t>
      </w:r>
      <w:r>
        <w:rPr>
          <w:rFonts w:hint="eastAsia" w:ascii="宋体" w:hAnsi="宋体" w:eastAsia="宋体" w:cs="宋体"/>
          <w:bCs/>
          <w:color w:val="000000"/>
          <w:sz w:val="24"/>
          <w:szCs w:val="24"/>
          <w:highlight w:val="none"/>
        </w:rPr>
        <w:t>名称：</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（公章）</w:t>
      </w:r>
    </w:p>
    <w:p w14:paraId="51F57126">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法定代表人或授权代表人：</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14:paraId="014325A4">
      <w:pPr>
        <w:adjustRightInd w:val="0"/>
        <w:snapToGrid w:val="0"/>
        <w:spacing w:line="480" w:lineRule="auto"/>
        <w:rPr>
          <w:rFonts w:hint="eastAsia" w:ascii="宋体" w:hAnsi="宋体" w:eastAsia="宋体" w:cs="宋体"/>
          <w:sz w:val="24"/>
        </w:rPr>
      </w:pPr>
      <w:r>
        <w:rPr>
          <w:rFonts w:hint="eastAsia" w:ascii="宋体" w:hAnsi="宋体" w:eastAsia="宋体" w:cs="宋体"/>
          <w:bCs/>
          <w:color w:val="000000"/>
          <w:kern w:val="2"/>
          <w:sz w:val="24"/>
          <w:szCs w:val="24"/>
          <w:highlight w:val="none"/>
          <w:lang w:val="en-US" w:eastAsia="zh-CN" w:bidi="ar-SA"/>
        </w:rPr>
        <w:t>日   期：</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年</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月</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日</w:t>
      </w:r>
    </w:p>
    <w:p w14:paraId="247D0AA2">
      <w:pPr>
        <w:autoSpaceDE w:val="0"/>
        <w:autoSpaceDN w:val="0"/>
        <w:adjustRightInd w:val="0"/>
        <w:snapToGrid w:val="0"/>
        <w:spacing w:after="156" w:afterLines="50" w:line="360" w:lineRule="auto"/>
        <w:ind w:left="420" w:leftChars="200"/>
        <w:jc w:val="center"/>
        <w:rPr>
          <w:rFonts w:hint="eastAsia" w:ascii="宋体" w:hAnsi="宋体" w:eastAsia="宋体" w:cs="宋体"/>
          <w:sz w:val="24"/>
        </w:rPr>
        <w:sectPr>
          <w:pgSz w:w="11906" w:h="16838"/>
          <w:pgMar w:top="1440" w:right="1457" w:bottom="1440" w:left="1463" w:header="851" w:footer="992" w:gutter="0"/>
          <w:pgBorders>
            <w:top w:val="none" w:sz="0" w:space="0"/>
            <w:left w:val="none" w:sz="0" w:space="0"/>
            <w:bottom w:val="none" w:sz="0" w:space="0"/>
            <w:right w:val="none" w:sz="0" w:space="0"/>
          </w:pgBorders>
          <w:pgNumType w:fmt="decimal"/>
          <w:cols w:space="0" w:num="1"/>
          <w:titlePg/>
          <w:docGrid w:type="lines" w:linePitch="312" w:charSpace="0"/>
        </w:sectPr>
      </w:pPr>
    </w:p>
    <w:p w14:paraId="554D354D">
      <w:pPr>
        <w:autoSpaceDE w:val="0"/>
        <w:autoSpaceDN w:val="0"/>
        <w:adjustRightInd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分项报价表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475"/>
        <w:gridCol w:w="2130"/>
        <w:gridCol w:w="1841"/>
        <w:gridCol w:w="1841"/>
      </w:tblGrid>
      <w:tr w14:paraId="1287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14:paraId="074049E0">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序号</w:t>
            </w:r>
          </w:p>
        </w:tc>
        <w:tc>
          <w:tcPr>
            <w:tcW w:w="2475" w:type="dxa"/>
            <w:vAlign w:val="center"/>
          </w:tcPr>
          <w:p w14:paraId="00AEE8F1">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检查项目</w:t>
            </w:r>
          </w:p>
        </w:tc>
        <w:tc>
          <w:tcPr>
            <w:tcW w:w="2130" w:type="dxa"/>
            <w:vAlign w:val="center"/>
          </w:tcPr>
          <w:p w14:paraId="14578962">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男士（元/人）</w:t>
            </w:r>
          </w:p>
        </w:tc>
        <w:tc>
          <w:tcPr>
            <w:tcW w:w="1841" w:type="dxa"/>
            <w:vAlign w:val="center"/>
          </w:tcPr>
          <w:p w14:paraId="54947B68">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未婚女士（元/人）</w:t>
            </w:r>
          </w:p>
        </w:tc>
        <w:tc>
          <w:tcPr>
            <w:tcW w:w="1841" w:type="dxa"/>
            <w:vAlign w:val="center"/>
          </w:tcPr>
          <w:p w14:paraId="27489529">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已婚女士（元/人）</w:t>
            </w:r>
          </w:p>
        </w:tc>
      </w:tr>
      <w:tr w14:paraId="43A1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14:paraId="4C656018">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475" w:type="dxa"/>
            <w:vAlign w:val="center"/>
          </w:tcPr>
          <w:p w14:paraId="04DBF008">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体检常规及总检报告</w:t>
            </w:r>
          </w:p>
        </w:tc>
        <w:tc>
          <w:tcPr>
            <w:tcW w:w="2130" w:type="dxa"/>
            <w:vAlign w:val="center"/>
          </w:tcPr>
          <w:p w14:paraId="198B8646">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78031B6C">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6ECEEDEF">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1676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38EEF947">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2</w:t>
            </w:r>
          </w:p>
        </w:tc>
        <w:tc>
          <w:tcPr>
            <w:tcW w:w="2475" w:type="dxa"/>
            <w:vAlign w:val="center"/>
          </w:tcPr>
          <w:p w14:paraId="284B2A09">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眼底检查</w:t>
            </w:r>
          </w:p>
        </w:tc>
        <w:tc>
          <w:tcPr>
            <w:tcW w:w="2130" w:type="dxa"/>
            <w:vAlign w:val="center"/>
          </w:tcPr>
          <w:p w14:paraId="57034A9B">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664CE641">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71655F82">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7837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49B29ACA">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3</w:t>
            </w:r>
          </w:p>
        </w:tc>
        <w:tc>
          <w:tcPr>
            <w:tcW w:w="2475" w:type="dxa"/>
            <w:vAlign w:val="center"/>
          </w:tcPr>
          <w:p w14:paraId="39467C5C">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心电图</w:t>
            </w:r>
          </w:p>
        </w:tc>
        <w:tc>
          <w:tcPr>
            <w:tcW w:w="2130" w:type="dxa"/>
            <w:vAlign w:val="center"/>
          </w:tcPr>
          <w:p w14:paraId="073D800C">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6AC22D2D">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574B9FD5">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5B59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34965A39">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4</w:t>
            </w:r>
          </w:p>
        </w:tc>
        <w:tc>
          <w:tcPr>
            <w:tcW w:w="2475" w:type="dxa"/>
            <w:vAlign w:val="center"/>
          </w:tcPr>
          <w:p w14:paraId="197EE814">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碳13尿素呼吸实验</w:t>
            </w:r>
          </w:p>
        </w:tc>
        <w:tc>
          <w:tcPr>
            <w:tcW w:w="2130" w:type="dxa"/>
            <w:vAlign w:val="center"/>
          </w:tcPr>
          <w:p w14:paraId="4298AD58">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0C0713C3">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46592E6C">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0158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3B815CCC">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5</w:t>
            </w:r>
          </w:p>
        </w:tc>
        <w:tc>
          <w:tcPr>
            <w:tcW w:w="2475" w:type="dxa"/>
            <w:vAlign w:val="center"/>
          </w:tcPr>
          <w:p w14:paraId="1ADD3B71">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血常规</w:t>
            </w:r>
          </w:p>
        </w:tc>
        <w:tc>
          <w:tcPr>
            <w:tcW w:w="2130" w:type="dxa"/>
            <w:vAlign w:val="center"/>
          </w:tcPr>
          <w:p w14:paraId="57B8C02A">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717574D0">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26FDC162">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3F44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24259AE6">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6</w:t>
            </w:r>
          </w:p>
        </w:tc>
        <w:tc>
          <w:tcPr>
            <w:tcW w:w="2475" w:type="dxa"/>
            <w:vAlign w:val="center"/>
          </w:tcPr>
          <w:p w14:paraId="0BFBFF35">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血脂四项筛查</w:t>
            </w:r>
          </w:p>
        </w:tc>
        <w:tc>
          <w:tcPr>
            <w:tcW w:w="2130" w:type="dxa"/>
            <w:vAlign w:val="center"/>
          </w:tcPr>
          <w:p w14:paraId="23C6337F">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00954789">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218BE272">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792B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667B2687">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7</w:t>
            </w:r>
          </w:p>
        </w:tc>
        <w:tc>
          <w:tcPr>
            <w:tcW w:w="2475" w:type="dxa"/>
            <w:vAlign w:val="center"/>
          </w:tcPr>
          <w:p w14:paraId="392C616E">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尿常规</w:t>
            </w:r>
          </w:p>
        </w:tc>
        <w:tc>
          <w:tcPr>
            <w:tcW w:w="2130" w:type="dxa"/>
            <w:vAlign w:val="center"/>
          </w:tcPr>
          <w:p w14:paraId="6DE76751">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43B35012">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22501BCB">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705A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6A9806FC">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8</w:t>
            </w:r>
          </w:p>
        </w:tc>
        <w:tc>
          <w:tcPr>
            <w:tcW w:w="2475" w:type="dxa"/>
            <w:vAlign w:val="center"/>
          </w:tcPr>
          <w:p w14:paraId="5CDB2EDF">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肝功六项筛查</w:t>
            </w:r>
          </w:p>
        </w:tc>
        <w:tc>
          <w:tcPr>
            <w:tcW w:w="2130" w:type="dxa"/>
            <w:vAlign w:val="center"/>
          </w:tcPr>
          <w:p w14:paraId="6E289F3B">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3EFC82DA">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78C0CC69">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3B93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5A67332D">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9</w:t>
            </w:r>
          </w:p>
        </w:tc>
        <w:tc>
          <w:tcPr>
            <w:tcW w:w="2475" w:type="dxa"/>
            <w:vAlign w:val="center"/>
          </w:tcPr>
          <w:p w14:paraId="52BFCE2A">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空腹血糖</w:t>
            </w:r>
          </w:p>
        </w:tc>
        <w:tc>
          <w:tcPr>
            <w:tcW w:w="2130" w:type="dxa"/>
            <w:vAlign w:val="center"/>
          </w:tcPr>
          <w:p w14:paraId="661BCC52">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2E9BCD99">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1E57F762">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481F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13FE138A">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10</w:t>
            </w:r>
          </w:p>
        </w:tc>
        <w:tc>
          <w:tcPr>
            <w:tcW w:w="2475" w:type="dxa"/>
            <w:vAlign w:val="center"/>
          </w:tcPr>
          <w:p w14:paraId="06853487">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肾功两项筛查</w:t>
            </w:r>
          </w:p>
        </w:tc>
        <w:tc>
          <w:tcPr>
            <w:tcW w:w="2130" w:type="dxa"/>
            <w:vAlign w:val="center"/>
          </w:tcPr>
          <w:p w14:paraId="0E5BF290">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0BBEA7CE">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503A9D0F">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3D4F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71241DA1">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11</w:t>
            </w:r>
          </w:p>
        </w:tc>
        <w:tc>
          <w:tcPr>
            <w:tcW w:w="2475" w:type="dxa"/>
            <w:vAlign w:val="center"/>
          </w:tcPr>
          <w:p w14:paraId="32C3D5E1">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血清尿酸</w:t>
            </w:r>
          </w:p>
        </w:tc>
        <w:tc>
          <w:tcPr>
            <w:tcW w:w="2130" w:type="dxa"/>
            <w:vAlign w:val="center"/>
          </w:tcPr>
          <w:p w14:paraId="080D0C18">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16BE2210">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3C065A03">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1224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147772ED">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12</w:t>
            </w:r>
          </w:p>
        </w:tc>
        <w:tc>
          <w:tcPr>
            <w:tcW w:w="2475" w:type="dxa"/>
            <w:vAlign w:val="center"/>
          </w:tcPr>
          <w:p w14:paraId="4914ABDE">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肝癌筛查</w:t>
            </w:r>
          </w:p>
        </w:tc>
        <w:tc>
          <w:tcPr>
            <w:tcW w:w="2130" w:type="dxa"/>
            <w:vAlign w:val="center"/>
          </w:tcPr>
          <w:p w14:paraId="01F92CF0">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6EE1BF27">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540FD04D">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1029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17D6984E">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13</w:t>
            </w:r>
          </w:p>
        </w:tc>
        <w:tc>
          <w:tcPr>
            <w:tcW w:w="2475" w:type="dxa"/>
            <w:vAlign w:val="center"/>
          </w:tcPr>
          <w:p w14:paraId="5D513A39">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乙肝定性</w:t>
            </w:r>
          </w:p>
        </w:tc>
        <w:tc>
          <w:tcPr>
            <w:tcW w:w="2130" w:type="dxa"/>
            <w:vAlign w:val="center"/>
          </w:tcPr>
          <w:p w14:paraId="1F4EF56B">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134E2D15">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3C842E59">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7D6F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2E238EA2">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14</w:t>
            </w:r>
          </w:p>
        </w:tc>
        <w:tc>
          <w:tcPr>
            <w:tcW w:w="2475" w:type="dxa"/>
            <w:vAlign w:val="center"/>
          </w:tcPr>
          <w:p w14:paraId="15FE8220">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癌胚抗原（CEA）</w:t>
            </w:r>
          </w:p>
        </w:tc>
        <w:tc>
          <w:tcPr>
            <w:tcW w:w="2130" w:type="dxa"/>
            <w:vAlign w:val="center"/>
          </w:tcPr>
          <w:p w14:paraId="485A3A72">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558474DB">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4212D01A">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2958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4DC4B46B">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15</w:t>
            </w:r>
          </w:p>
        </w:tc>
        <w:tc>
          <w:tcPr>
            <w:tcW w:w="2475" w:type="dxa"/>
            <w:vAlign w:val="center"/>
          </w:tcPr>
          <w:p w14:paraId="4916F8EA">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游离前列腺特异抗原PSA</w:t>
            </w:r>
          </w:p>
        </w:tc>
        <w:tc>
          <w:tcPr>
            <w:tcW w:w="2130" w:type="dxa"/>
            <w:vAlign w:val="center"/>
          </w:tcPr>
          <w:p w14:paraId="4B4E208F">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2CFDE0BE">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7A5FCAD4">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214D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5C248C72">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16</w:t>
            </w:r>
          </w:p>
        </w:tc>
        <w:tc>
          <w:tcPr>
            <w:tcW w:w="2475" w:type="dxa"/>
            <w:vAlign w:val="center"/>
          </w:tcPr>
          <w:p w14:paraId="37075978">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CA125</w:t>
            </w:r>
          </w:p>
        </w:tc>
        <w:tc>
          <w:tcPr>
            <w:tcW w:w="2130" w:type="dxa"/>
            <w:vAlign w:val="center"/>
          </w:tcPr>
          <w:p w14:paraId="39A04DCD">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52E52C28">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7097C6B1">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2320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5D6EE4DB">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17</w:t>
            </w:r>
          </w:p>
        </w:tc>
        <w:tc>
          <w:tcPr>
            <w:tcW w:w="2475" w:type="dxa"/>
            <w:vAlign w:val="center"/>
          </w:tcPr>
          <w:p w14:paraId="712D3C38">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CA199</w:t>
            </w:r>
          </w:p>
        </w:tc>
        <w:tc>
          <w:tcPr>
            <w:tcW w:w="2130" w:type="dxa"/>
            <w:vAlign w:val="center"/>
          </w:tcPr>
          <w:p w14:paraId="2704AFC6">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539DC329">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6A585097">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2461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3E512D6B">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18</w:t>
            </w:r>
          </w:p>
        </w:tc>
        <w:tc>
          <w:tcPr>
            <w:tcW w:w="2475" w:type="dxa"/>
            <w:vAlign w:val="center"/>
          </w:tcPr>
          <w:p w14:paraId="547461CE">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心肌酶谱</w:t>
            </w:r>
          </w:p>
        </w:tc>
        <w:tc>
          <w:tcPr>
            <w:tcW w:w="2130" w:type="dxa"/>
            <w:vAlign w:val="center"/>
          </w:tcPr>
          <w:p w14:paraId="455599CD">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0F39405B">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7E1D3D2F">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583B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14BF6FC5">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19</w:t>
            </w:r>
          </w:p>
        </w:tc>
        <w:tc>
          <w:tcPr>
            <w:tcW w:w="2475" w:type="dxa"/>
            <w:shd w:val="clear" w:color="auto" w:fill="auto"/>
            <w:vAlign w:val="center"/>
          </w:tcPr>
          <w:p w14:paraId="72CD4CB5">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腹部彩超（无双肾）</w:t>
            </w:r>
          </w:p>
        </w:tc>
        <w:tc>
          <w:tcPr>
            <w:tcW w:w="2130" w:type="dxa"/>
            <w:vAlign w:val="center"/>
          </w:tcPr>
          <w:p w14:paraId="52F4A279">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0CD24FBB">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07107ADC">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0378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5189DC62">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20</w:t>
            </w:r>
          </w:p>
        </w:tc>
        <w:tc>
          <w:tcPr>
            <w:tcW w:w="2475" w:type="dxa"/>
            <w:vAlign w:val="center"/>
          </w:tcPr>
          <w:p w14:paraId="135A1A7B">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男性泌尿彩超</w:t>
            </w:r>
          </w:p>
        </w:tc>
        <w:tc>
          <w:tcPr>
            <w:tcW w:w="2130" w:type="dxa"/>
            <w:vAlign w:val="center"/>
          </w:tcPr>
          <w:p w14:paraId="333FF1AF">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2122F3D2">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771FC8D1">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5714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139B6FB9">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21</w:t>
            </w:r>
          </w:p>
        </w:tc>
        <w:tc>
          <w:tcPr>
            <w:tcW w:w="2475" w:type="dxa"/>
            <w:vAlign w:val="center"/>
          </w:tcPr>
          <w:p w14:paraId="1D3A20E9">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女性（子宫、附件）</w:t>
            </w:r>
          </w:p>
        </w:tc>
        <w:tc>
          <w:tcPr>
            <w:tcW w:w="2130" w:type="dxa"/>
            <w:vAlign w:val="center"/>
          </w:tcPr>
          <w:p w14:paraId="77A4B03B">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374BA56C">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2C09F0DF">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1FD4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5B86BB73">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22</w:t>
            </w:r>
          </w:p>
        </w:tc>
        <w:tc>
          <w:tcPr>
            <w:tcW w:w="2475" w:type="dxa"/>
            <w:vAlign w:val="center"/>
          </w:tcPr>
          <w:p w14:paraId="51F9A14A">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甲状腺彩超</w:t>
            </w:r>
          </w:p>
        </w:tc>
        <w:tc>
          <w:tcPr>
            <w:tcW w:w="2130" w:type="dxa"/>
            <w:vAlign w:val="center"/>
          </w:tcPr>
          <w:p w14:paraId="66D8B338">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1006B760">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580DF21D">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5DAC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0E005DF8">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23</w:t>
            </w:r>
          </w:p>
        </w:tc>
        <w:tc>
          <w:tcPr>
            <w:tcW w:w="2475" w:type="dxa"/>
            <w:vAlign w:val="center"/>
          </w:tcPr>
          <w:p w14:paraId="3D44E54D">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心脏彩超</w:t>
            </w:r>
          </w:p>
        </w:tc>
        <w:tc>
          <w:tcPr>
            <w:tcW w:w="2130" w:type="dxa"/>
            <w:vAlign w:val="center"/>
          </w:tcPr>
          <w:p w14:paraId="13E7C188">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7C575F3E">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46D9E270">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1982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7C909764">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24</w:t>
            </w:r>
          </w:p>
        </w:tc>
        <w:tc>
          <w:tcPr>
            <w:tcW w:w="2475" w:type="dxa"/>
            <w:vAlign w:val="center"/>
          </w:tcPr>
          <w:p w14:paraId="59D86583">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DR胸部正位拍片</w:t>
            </w:r>
          </w:p>
        </w:tc>
        <w:tc>
          <w:tcPr>
            <w:tcW w:w="2130" w:type="dxa"/>
            <w:vAlign w:val="center"/>
          </w:tcPr>
          <w:p w14:paraId="7F5BDAE6">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7BE45D62">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7B868C16">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6C35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74721741">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25</w:t>
            </w:r>
          </w:p>
        </w:tc>
        <w:tc>
          <w:tcPr>
            <w:tcW w:w="2475" w:type="dxa"/>
            <w:vAlign w:val="center"/>
          </w:tcPr>
          <w:p w14:paraId="2BD33887">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妇科检查</w:t>
            </w:r>
          </w:p>
        </w:tc>
        <w:tc>
          <w:tcPr>
            <w:tcW w:w="2130" w:type="dxa"/>
            <w:vAlign w:val="center"/>
          </w:tcPr>
          <w:p w14:paraId="10F87FF9">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3CEB41B6">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1B212BB0">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4320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2A65B167">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26</w:t>
            </w:r>
          </w:p>
        </w:tc>
        <w:tc>
          <w:tcPr>
            <w:tcW w:w="2475" w:type="dxa"/>
            <w:vAlign w:val="center"/>
          </w:tcPr>
          <w:p w14:paraId="6D841169">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妇科液基细胞学检查</w:t>
            </w:r>
          </w:p>
        </w:tc>
        <w:tc>
          <w:tcPr>
            <w:tcW w:w="2130" w:type="dxa"/>
            <w:vAlign w:val="center"/>
          </w:tcPr>
          <w:p w14:paraId="05DA54C1">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41624F38">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3DA57C5D">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0898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shd w:val="clear" w:color="auto" w:fill="auto"/>
            <w:vAlign w:val="center"/>
          </w:tcPr>
          <w:p w14:paraId="4B6B2C1C">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kern w:val="2"/>
                <w:sz w:val="21"/>
                <w:szCs w:val="21"/>
                <w:highlight w:val="none"/>
                <w:vertAlign w:val="baseline"/>
                <w:lang w:val="en-US" w:eastAsia="zh-CN" w:bidi="ar-SA"/>
              </w:rPr>
              <w:t>27</w:t>
            </w:r>
          </w:p>
        </w:tc>
        <w:tc>
          <w:tcPr>
            <w:tcW w:w="2475" w:type="dxa"/>
            <w:vAlign w:val="center"/>
          </w:tcPr>
          <w:p w14:paraId="06B926B1">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早饭</w:t>
            </w:r>
          </w:p>
        </w:tc>
        <w:tc>
          <w:tcPr>
            <w:tcW w:w="2130" w:type="dxa"/>
            <w:vAlign w:val="center"/>
          </w:tcPr>
          <w:p w14:paraId="0D23A743">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403E3A52">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14AA930A">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r w14:paraId="612F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0" w:type="dxa"/>
            <w:gridSpan w:val="2"/>
            <w:shd w:val="clear" w:color="auto" w:fill="auto"/>
            <w:vAlign w:val="center"/>
          </w:tcPr>
          <w:p w14:paraId="22579E94">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综合单价</w:t>
            </w:r>
          </w:p>
        </w:tc>
        <w:tc>
          <w:tcPr>
            <w:tcW w:w="2130" w:type="dxa"/>
            <w:vAlign w:val="center"/>
          </w:tcPr>
          <w:p w14:paraId="417349B3">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0A6393EF">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c>
          <w:tcPr>
            <w:tcW w:w="1841" w:type="dxa"/>
            <w:vAlign w:val="center"/>
          </w:tcPr>
          <w:p w14:paraId="50EF2049">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vertAlign w:val="baseline"/>
                <w:lang w:val="en-US" w:eastAsia="zh-CN"/>
              </w:rPr>
            </w:pPr>
          </w:p>
        </w:tc>
      </w:tr>
    </w:tbl>
    <w:p w14:paraId="588C231B">
      <w:pPr>
        <w:pStyle w:val="8"/>
        <w:ind w:firstLine="0" w:firstLineChars="0"/>
        <w:jc w:val="center"/>
        <w:rPr>
          <w:rFonts w:hint="eastAsia" w:ascii="宋体" w:hAnsi="宋体" w:eastAsia="宋体" w:cs="宋体"/>
          <w:sz w:val="28"/>
          <w:szCs w:val="28"/>
          <w:highlight w:val="none"/>
          <w:lang w:val="en-US" w:eastAsia="zh-CN"/>
        </w:rPr>
      </w:pPr>
    </w:p>
    <w:p w14:paraId="0E2F47A4">
      <w:pPr>
        <w:pStyle w:val="8"/>
        <w:spacing w:line="360" w:lineRule="auto"/>
        <w:ind w:firstLine="0" w:firstLineChars="0"/>
        <w:jc w:val="left"/>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注：1、供应商须按“分项报价表”的内容详细报出各个组成部分的报价，否则作无效响应处理，报价以元为单位，保留小数点后两位。不涉及的项目填“/”。</w:t>
      </w:r>
    </w:p>
    <w:p w14:paraId="421915ED">
      <w:pPr>
        <w:pStyle w:val="9"/>
        <w:ind w:left="0" w:leftChars="0" w:firstLine="0" w:firstLineChars="0"/>
        <w:rPr>
          <w:rFonts w:hint="default"/>
          <w:lang w:val="en-US" w:eastAsia="zh-CN"/>
        </w:rPr>
      </w:pPr>
      <w:r>
        <w:rPr>
          <w:rFonts w:hint="eastAsia" w:ascii="宋体" w:hAnsi="宋体" w:eastAsia="宋体" w:cs="宋体"/>
          <w:b/>
          <w:bCs/>
          <w:kern w:val="2"/>
          <w:sz w:val="24"/>
          <w:szCs w:val="24"/>
          <w:lang w:val="en-US" w:eastAsia="zh-CN" w:bidi="ar-SA"/>
        </w:rPr>
        <w:t>2、本表中“综合单价”须与“首次磋商报价表”中的“综合单价”保持一致。</w:t>
      </w:r>
    </w:p>
    <w:p w14:paraId="18F57478">
      <w:pPr>
        <w:pStyle w:val="9"/>
        <w:rPr>
          <w:rFonts w:hint="eastAsia" w:ascii="宋体" w:hAnsi="宋体" w:eastAsia="宋体" w:cs="宋体"/>
          <w:sz w:val="28"/>
          <w:szCs w:val="28"/>
          <w:highlight w:val="none"/>
          <w:lang w:val="en-US" w:eastAsia="zh-CN"/>
        </w:rPr>
      </w:pPr>
    </w:p>
    <w:p w14:paraId="359106E3">
      <w:pPr>
        <w:rPr>
          <w:rFonts w:hint="eastAsia"/>
          <w:lang w:val="en-US" w:eastAsia="zh-CN"/>
        </w:rPr>
      </w:pPr>
    </w:p>
    <w:p w14:paraId="43F2B18E">
      <w:pPr>
        <w:rPr>
          <w:rFonts w:hint="eastAsia" w:ascii="宋体" w:hAnsi="宋体" w:eastAsia="宋体" w:cs="宋体"/>
          <w:sz w:val="28"/>
          <w:szCs w:val="28"/>
          <w:highlight w:val="none"/>
          <w:lang w:val="en-US" w:eastAsia="zh-CN"/>
        </w:rPr>
      </w:pPr>
    </w:p>
    <w:p w14:paraId="42D18DB4">
      <w:pPr>
        <w:adjustRightInd w:val="0"/>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供应商</w:t>
      </w:r>
      <w:r>
        <w:rPr>
          <w:rFonts w:hint="eastAsia" w:ascii="宋体" w:hAnsi="宋体" w:eastAsia="宋体" w:cs="宋体"/>
          <w:bCs/>
          <w:color w:val="000000"/>
          <w:sz w:val="24"/>
          <w:szCs w:val="24"/>
          <w:highlight w:val="none"/>
        </w:rPr>
        <w:t>名称：</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（公章）</w:t>
      </w:r>
    </w:p>
    <w:p w14:paraId="471D537B">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法定代表人或授权代表人：</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14:paraId="0BEFF2AC">
      <w:pPr>
        <w:rPr>
          <w:rFonts w:hint="eastAsia" w:ascii="宋体" w:hAnsi="宋体" w:eastAsia="宋体" w:cs="宋体"/>
          <w:sz w:val="28"/>
          <w:szCs w:val="28"/>
          <w:highlight w:val="none"/>
          <w:lang w:val="en-US" w:eastAsia="zh-CN"/>
        </w:rPr>
      </w:pPr>
      <w:r>
        <w:rPr>
          <w:rFonts w:hint="eastAsia" w:ascii="宋体" w:hAnsi="宋体" w:eastAsia="宋体" w:cs="宋体"/>
          <w:bCs/>
          <w:color w:val="000000"/>
          <w:kern w:val="2"/>
          <w:sz w:val="24"/>
          <w:szCs w:val="24"/>
          <w:highlight w:val="none"/>
          <w:lang w:val="en-US" w:eastAsia="zh-CN" w:bidi="ar-SA"/>
        </w:rPr>
        <w:t>日   期：</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年</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月</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日</w:t>
      </w:r>
    </w:p>
    <w:p w14:paraId="6EB51B32">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p w14:paraId="2B5544E5">
      <w:pPr>
        <w:pStyle w:val="318"/>
        <w:keepNext/>
        <w:widowControl/>
        <w:wordWrap/>
        <w:spacing w:before="60" w:after="60" w:line="360" w:lineRule="auto"/>
        <w:jc w:val="center"/>
        <w:rPr>
          <w:rFonts w:hint="eastAsia" w:ascii="宋体" w:hAnsi="宋体" w:eastAsia="宋体" w:cs="宋体"/>
          <w:b/>
          <w:bCs/>
          <w:color w:val="auto"/>
          <w:kern w:val="0"/>
        </w:rPr>
      </w:pPr>
      <w:r>
        <w:rPr>
          <w:rFonts w:hint="eastAsia" w:ascii="宋体" w:hAnsi="宋体" w:eastAsia="宋体" w:cs="宋体"/>
          <w:b/>
          <w:bCs/>
          <w:color w:val="auto"/>
          <w:kern w:val="0"/>
        </w:rPr>
        <w:t>中小企业声明函</w:t>
      </w:r>
    </w:p>
    <w:p w14:paraId="5B527838">
      <w:pPr>
        <w:pStyle w:val="319"/>
        <w:widowControl/>
        <w:spacing w:line="360" w:lineRule="auto"/>
        <w:ind w:firstLine="480"/>
        <w:rPr>
          <w:rFonts w:hint="eastAsia" w:ascii="宋体" w:hAnsi="宋体" w:eastAsia="宋体" w:cs="宋体"/>
          <w:color w:val="auto"/>
        </w:rPr>
      </w:pPr>
      <w:r>
        <w:rPr>
          <w:rFonts w:hint="eastAsia" w:ascii="宋体" w:hAnsi="宋体" w:eastAsia="宋体" w:cs="宋体"/>
          <w:color w:val="auto"/>
        </w:rPr>
        <w:t>本公司（联合体）郑重声明，根据《政府采购促进中小 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采购活动，服务全部由符合政策要求的中小企业承接。相关企业（含联合体中的中小企业、签订分包意向协议的中小企业）的具体情况如下：</w:t>
      </w:r>
    </w:p>
    <w:p w14:paraId="39B2B54E">
      <w:pPr>
        <w:pStyle w:val="319"/>
        <w:widowControl/>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w:t>
      </w:r>
      <w:r>
        <w:rPr>
          <w:rFonts w:hint="eastAsia" w:ascii="宋体" w:hAnsi="宋体" w:cs="宋体"/>
          <w:color w:val="auto"/>
          <w:lang w:val="en-US" w:eastAsia="zh-CN"/>
        </w:rPr>
        <w:t>接</w:t>
      </w:r>
      <w:r>
        <w:rPr>
          <w:rFonts w:hint="eastAsia" w:ascii="宋体" w:hAnsi="宋体" w:eastAsia="宋体" w:cs="宋体"/>
          <w:color w:val="auto"/>
        </w:rPr>
        <w:t>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xml:space="preserve">      </w:t>
      </w:r>
      <w:r>
        <w:rPr>
          <w:rFonts w:hint="eastAsia" w:ascii="宋体" w:hAnsi="宋体" w:eastAsia="宋体" w:cs="宋体"/>
          <w:color w:val="auto"/>
        </w:rPr>
        <w:t>人，营业收入为</w:t>
      </w:r>
      <w:r>
        <w:rPr>
          <w:rFonts w:hint="eastAsia" w:ascii="宋体" w:hAnsi="宋体" w:eastAsia="宋体" w:cs="宋体"/>
          <w:color w:val="auto"/>
          <w:u w:val="single"/>
        </w:rPr>
        <w:t xml:space="preserve">      </w:t>
      </w:r>
      <w:r>
        <w:rPr>
          <w:rFonts w:hint="eastAsia" w:ascii="宋体" w:hAnsi="宋体" w:eastAsia="宋体" w:cs="宋体"/>
          <w:color w:val="auto"/>
        </w:rPr>
        <w:t>万元，资产总额为</w:t>
      </w:r>
      <w:r>
        <w:rPr>
          <w:rFonts w:hint="eastAsia" w:ascii="宋体" w:hAnsi="宋体" w:eastAsia="宋体" w:cs="宋体"/>
          <w:color w:val="auto"/>
          <w:u w:val="single"/>
        </w:rPr>
        <w:t xml:space="preserve">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2EEB8C55">
      <w:pPr>
        <w:pStyle w:val="319"/>
        <w:widowControl/>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w:t>
      </w:r>
      <w:r>
        <w:rPr>
          <w:rFonts w:hint="eastAsia" w:ascii="宋体" w:hAnsi="宋体" w:cs="宋体"/>
          <w:color w:val="auto"/>
          <w:lang w:val="en-US" w:eastAsia="zh-CN"/>
        </w:rPr>
        <w:t>接</w:t>
      </w:r>
      <w:r>
        <w:rPr>
          <w:rFonts w:hint="eastAsia" w:ascii="宋体" w:hAnsi="宋体" w:eastAsia="宋体" w:cs="宋体"/>
          <w:color w:val="auto"/>
        </w:rPr>
        <w:t>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xml:space="preserve">      </w:t>
      </w:r>
      <w:r>
        <w:rPr>
          <w:rFonts w:hint="eastAsia" w:ascii="宋体" w:hAnsi="宋体" w:eastAsia="宋体" w:cs="宋体"/>
          <w:color w:val="auto"/>
        </w:rPr>
        <w:t>人，营业收入为</w:t>
      </w:r>
      <w:r>
        <w:rPr>
          <w:rFonts w:hint="eastAsia" w:ascii="宋体" w:hAnsi="宋体" w:eastAsia="宋体" w:cs="宋体"/>
          <w:color w:val="auto"/>
          <w:u w:val="single"/>
        </w:rPr>
        <w:t xml:space="preserve">      </w:t>
      </w:r>
      <w:r>
        <w:rPr>
          <w:rFonts w:hint="eastAsia" w:ascii="宋体" w:hAnsi="宋体" w:eastAsia="宋体" w:cs="宋体"/>
          <w:color w:val="auto"/>
        </w:rPr>
        <w:t>万元，资产总额为</w:t>
      </w:r>
      <w:r>
        <w:rPr>
          <w:rFonts w:hint="eastAsia" w:ascii="宋体" w:hAnsi="宋体" w:eastAsia="宋体" w:cs="宋体"/>
          <w:color w:val="auto"/>
          <w:u w:val="single"/>
        </w:rPr>
        <w:t xml:space="preserve">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750CD5B9">
      <w:pPr>
        <w:pStyle w:val="319"/>
        <w:widowControl/>
        <w:spacing w:line="360" w:lineRule="auto"/>
        <w:ind w:firstLine="480"/>
        <w:rPr>
          <w:rFonts w:hint="eastAsia" w:ascii="宋体" w:hAnsi="宋体" w:eastAsia="宋体" w:cs="宋体"/>
          <w:color w:val="auto"/>
        </w:rPr>
      </w:pPr>
      <w:r>
        <w:rPr>
          <w:rFonts w:hint="eastAsia" w:ascii="宋体" w:hAnsi="宋体" w:eastAsia="宋体" w:cs="宋体"/>
          <w:color w:val="auto"/>
        </w:rPr>
        <w:t>……</w:t>
      </w:r>
    </w:p>
    <w:p w14:paraId="24F710AC">
      <w:pPr>
        <w:pStyle w:val="319"/>
        <w:widowControl/>
        <w:spacing w:line="360" w:lineRule="auto"/>
        <w:ind w:firstLine="480"/>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580FFF76">
      <w:pPr>
        <w:pStyle w:val="319"/>
        <w:widowControl/>
        <w:spacing w:line="360" w:lineRule="auto"/>
        <w:ind w:firstLine="480"/>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01B1B65E">
      <w:pPr>
        <w:pStyle w:val="319"/>
        <w:widowControl/>
        <w:spacing w:line="360" w:lineRule="auto"/>
        <w:ind w:firstLine="480"/>
        <w:rPr>
          <w:rFonts w:hint="eastAsia" w:ascii="宋体" w:hAnsi="宋体" w:eastAsia="宋体" w:cs="宋体"/>
          <w:color w:val="auto"/>
        </w:rPr>
      </w:pPr>
    </w:p>
    <w:p w14:paraId="49F93559">
      <w:pPr>
        <w:pStyle w:val="319"/>
        <w:widowControl/>
        <w:spacing w:line="360" w:lineRule="auto"/>
        <w:ind w:firstLine="480"/>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w:t>
      </w:r>
      <w:r>
        <w:rPr>
          <w:rFonts w:hint="eastAsia" w:ascii="宋体" w:hAnsi="宋体" w:eastAsia="宋体" w:cs="宋体"/>
          <w:color w:val="auto"/>
          <w:lang w:eastAsia="zh-CN"/>
        </w:rPr>
        <w:t>供应商</w:t>
      </w:r>
      <w:r>
        <w:rPr>
          <w:rFonts w:hint="eastAsia" w:ascii="宋体" w:hAnsi="宋体" w:eastAsia="宋体" w:cs="宋体"/>
          <w:color w:val="auto"/>
        </w:rPr>
        <w:t>全称并加盖公章）</w:t>
      </w:r>
    </w:p>
    <w:p w14:paraId="4E94ADA0">
      <w:pPr>
        <w:pStyle w:val="319"/>
        <w:widowControl/>
        <w:spacing w:line="360" w:lineRule="auto"/>
        <w:ind w:firstLine="480"/>
        <w:rPr>
          <w:rFonts w:hint="eastAsia" w:ascii="宋体" w:hAnsi="宋体" w:eastAsia="宋体" w:cs="宋体"/>
          <w:color w:val="auto"/>
        </w:rPr>
      </w:pPr>
      <w:bookmarkStart w:id="46" w:name="bookmark2"/>
      <w:bookmarkEnd w:id="46"/>
      <w:r>
        <w:rPr>
          <w:rFonts w:hint="eastAsia" w:ascii="宋体" w:hAnsi="宋体" w:eastAsia="宋体" w:cs="宋体"/>
          <w:color w:val="auto"/>
        </w:rPr>
        <w:t>日期：</w:t>
      </w:r>
    </w:p>
    <w:p w14:paraId="6715A8C4">
      <w:pPr>
        <w:pStyle w:val="319"/>
        <w:widowControl/>
        <w:spacing w:line="360" w:lineRule="auto"/>
        <w:ind w:firstLine="480"/>
        <w:rPr>
          <w:rFonts w:hint="eastAsia" w:ascii="宋体" w:hAnsi="宋体" w:eastAsia="宋体" w:cs="宋体"/>
          <w:color w:val="auto"/>
        </w:rPr>
      </w:pPr>
    </w:p>
    <w:p w14:paraId="4228D135">
      <w:pPr>
        <w:pStyle w:val="319"/>
        <w:widowControl/>
        <w:spacing w:line="360" w:lineRule="auto"/>
        <w:ind w:firstLine="480"/>
        <w:rPr>
          <w:rFonts w:hint="eastAsia" w:ascii="宋体" w:hAnsi="宋体" w:eastAsia="宋体" w:cs="宋体"/>
          <w:color w:val="auto"/>
        </w:rPr>
      </w:pPr>
      <w:r>
        <w:rPr>
          <w:rFonts w:hint="eastAsia" w:ascii="宋体" w:hAnsi="宋体" w:eastAsia="宋体" w:cs="宋体"/>
          <w:color w:val="auto"/>
          <w:lang w:val="en-US" w:eastAsia="zh-CN"/>
        </w:rPr>
        <w:t>注：</w:t>
      </w:r>
      <w:r>
        <w:rPr>
          <w:rFonts w:hint="eastAsia" w:ascii="宋体" w:hAnsi="宋体" w:eastAsia="宋体" w:cs="宋体"/>
          <w:color w:val="auto"/>
        </w:rPr>
        <w:t>从业人员、营业收入、资产总额填报上一年度数据，无上一年度数据的新成立企业可不填报。</w:t>
      </w:r>
    </w:p>
    <w:p w14:paraId="70986528">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br w:type="page"/>
      </w:r>
    </w:p>
    <w:p w14:paraId="0F62D80B">
      <w:pPr>
        <w:widowControl/>
        <w:spacing w:before="210" w:beforeLines="50" w:line="360" w:lineRule="auto"/>
        <w:jc w:val="left"/>
        <w:rPr>
          <w:rFonts w:hint="eastAsia" w:ascii="宋体" w:hAnsi="宋体" w:eastAsia="宋体" w:cs="宋体"/>
          <w:b/>
          <w:color w:val="auto"/>
          <w:kern w:val="0"/>
          <w:sz w:val="24"/>
        </w:rPr>
      </w:pPr>
      <w:r>
        <w:rPr>
          <w:rFonts w:hint="eastAsia" w:ascii="宋体" w:hAnsi="宋体" w:eastAsia="宋体" w:cs="宋体"/>
          <w:b/>
          <w:color w:val="auto"/>
          <w:kern w:val="0"/>
          <w:sz w:val="24"/>
        </w:rPr>
        <w:t>残疾人福利性单位声明函</w:t>
      </w:r>
    </w:p>
    <w:p w14:paraId="1A9BE550">
      <w:pPr>
        <w:widowControl/>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说明：当且仅当投标人为残疾人福利性单位的，应按下文给定格式填写声明函。未提供或未按给定格式提供声明函的，将不能享受招标文件规定的价格优惠政策，但不影响投标文件的有效性。</w:t>
      </w:r>
    </w:p>
    <w:p w14:paraId="3F22F987">
      <w:pPr>
        <w:widowControl/>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投标人在填报前请认真阅读《财政部、民政部、中国残疾人联合会关于促进残疾人就业政府采购政策的通知》（财库〔2017〕141号）相关规定。</w:t>
      </w:r>
    </w:p>
    <w:p w14:paraId="5E5BD9F3">
      <w:pPr>
        <w:pStyle w:val="318"/>
        <w:keepNext/>
        <w:widowControl/>
        <w:wordWrap/>
        <w:spacing w:before="60" w:after="60" w:line="360" w:lineRule="auto"/>
        <w:jc w:val="center"/>
        <w:rPr>
          <w:rFonts w:hint="eastAsia" w:ascii="宋体" w:hAnsi="宋体" w:eastAsia="宋体" w:cs="宋体"/>
          <w:color w:val="auto"/>
          <w:kern w:val="0"/>
        </w:rPr>
      </w:pPr>
    </w:p>
    <w:p w14:paraId="30D6D6EC">
      <w:pPr>
        <w:pStyle w:val="318"/>
        <w:keepNext/>
        <w:widowControl/>
        <w:wordWrap/>
        <w:spacing w:before="60" w:after="60" w:line="360" w:lineRule="auto"/>
        <w:jc w:val="center"/>
        <w:rPr>
          <w:rFonts w:hint="eastAsia" w:ascii="宋体" w:hAnsi="宋体" w:eastAsia="宋体" w:cs="宋体"/>
          <w:color w:val="auto"/>
          <w:kern w:val="0"/>
        </w:rPr>
      </w:pPr>
      <w:r>
        <w:rPr>
          <w:rFonts w:hint="eastAsia" w:ascii="宋体" w:hAnsi="宋体" w:eastAsia="宋体" w:cs="宋体"/>
          <w:color w:val="auto"/>
          <w:kern w:val="0"/>
        </w:rPr>
        <w:t>残疾人福利性单位声明函（格式）</w:t>
      </w:r>
    </w:p>
    <w:p w14:paraId="050021A8">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4"/>
          <w:u w:val="single"/>
        </w:rPr>
        <w:t>〈项目名称〉</w:t>
      </w: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rPr>
        <w:t>〈项目编号〉</w:t>
      </w:r>
      <w:r>
        <w:rPr>
          <w:rFonts w:hint="eastAsia" w:ascii="宋体" w:hAnsi="宋体" w:eastAsia="宋体" w:cs="宋体"/>
          <w:color w:val="auto"/>
          <w:kern w:val="0"/>
          <w:sz w:val="24"/>
        </w:rPr>
        <w:t>）采购活动提供本单位制造的货物（由本单位承担工程/提供服务），或者提供其他残疾人福利性单位制造的货物（不包括使用非残疾人福利性单位注册商标的货物）。</w:t>
      </w:r>
    </w:p>
    <w:p w14:paraId="2DD98B75">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本单位对上述声明的真实性负责。如有虚假，将依法承担相应责任。</w:t>
      </w:r>
    </w:p>
    <w:p w14:paraId="22032195">
      <w:pPr>
        <w:widowControl/>
        <w:spacing w:line="360" w:lineRule="auto"/>
        <w:ind w:firstLine="480" w:firstLineChars="200"/>
        <w:jc w:val="left"/>
        <w:rPr>
          <w:rFonts w:hint="eastAsia" w:ascii="宋体" w:hAnsi="宋体" w:eastAsia="宋体" w:cs="宋体"/>
          <w:color w:val="auto"/>
          <w:kern w:val="0"/>
          <w:sz w:val="24"/>
        </w:rPr>
      </w:pPr>
    </w:p>
    <w:p w14:paraId="3826FABD">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全称并加盖公章）</w:t>
      </w:r>
    </w:p>
    <w:p w14:paraId="1B3D8B46">
      <w:pPr>
        <w:widowControl/>
        <w:tabs>
          <w:tab w:val="left" w:pos="5670"/>
        </w:tabs>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日　期：　　年　月　日</w:t>
      </w:r>
    </w:p>
    <w:p w14:paraId="3CB6DECA">
      <w:pPr>
        <w:widowControl/>
        <w:spacing w:line="360" w:lineRule="auto"/>
        <w:ind w:firstLine="200"/>
        <w:jc w:val="left"/>
        <w:rPr>
          <w:rFonts w:hint="eastAsia" w:ascii="宋体" w:hAnsi="宋体" w:eastAsia="宋体" w:cs="宋体"/>
          <w:color w:val="auto"/>
          <w:kern w:val="0"/>
          <w:sz w:val="24"/>
        </w:rPr>
      </w:pPr>
      <w:r>
        <w:rPr>
          <w:rFonts w:hint="eastAsia" w:ascii="宋体" w:hAnsi="宋体" w:eastAsia="宋体" w:cs="宋体"/>
          <w:color w:val="auto"/>
          <w:kern w:val="0"/>
          <w:sz w:val="24"/>
        </w:rPr>
        <w:br w:type="page"/>
      </w:r>
    </w:p>
    <w:p w14:paraId="46DF1104">
      <w:pPr>
        <w:widowControl/>
        <w:spacing w:before="210" w:beforeLines="50" w:line="360" w:lineRule="auto"/>
        <w:jc w:val="left"/>
        <w:rPr>
          <w:rFonts w:hint="eastAsia" w:ascii="宋体" w:hAnsi="宋体" w:eastAsia="宋体" w:cs="宋体"/>
          <w:b/>
          <w:kern w:val="0"/>
          <w:sz w:val="24"/>
        </w:rPr>
      </w:pPr>
      <w:r>
        <w:rPr>
          <w:rFonts w:hint="eastAsia" w:ascii="宋体" w:hAnsi="宋体" w:eastAsia="宋体" w:cs="宋体"/>
          <w:b/>
          <w:kern w:val="0"/>
          <w:sz w:val="24"/>
        </w:rPr>
        <w:t>监狱企业证明函</w:t>
      </w:r>
    </w:p>
    <w:p w14:paraId="1D7543B3">
      <w:pPr>
        <w:widowControl/>
        <w:spacing w:line="360" w:lineRule="auto"/>
        <w:ind w:firstLine="480" w:firstLineChars="200"/>
        <w:jc w:val="left"/>
        <w:rPr>
          <w:rFonts w:hint="eastAsia" w:ascii="宋体" w:hAnsi="宋体" w:eastAsia="宋体" w:cs="宋体"/>
          <w:i/>
          <w:color w:val="auto"/>
          <w:kern w:val="0"/>
          <w:sz w:val="24"/>
        </w:rPr>
      </w:pPr>
      <w:r>
        <w:rPr>
          <w:rFonts w:hint="eastAsia" w:ascii="宋体" w:hAnsi="宋体" w:eastAsia="宋体" w:cs="宋体"/>
          <w:color w:val="000000"/>
          <w:kern w:val="24"/>
          <w:sz w:val="24"/>
          <w:szCs w:val="24"/>
          <w:lang w:val="en-US" w:eastAsia="zh-CN" w:bidi="ar-SA"/>
        </w:rPr>
        <w:t>说明：当且仅当投标人为监狱企业的，应当提供由省级以上监狱管理局、戒毒管理局（含新疆生产建设兵团）出具的属于监狱</w:t>
      </w:r>
      <w:r>
        <w:rPr>
          <w:rFonts w:hint="eastAsia" w:ascii="宋体" w:hAnsi="宋体" w:eastAsia="宋体" w:cs="宋体"/>
          <w:color w:val="auto"/>
          <w:kern w:val="24"/>
          <w:sz w:val="24"/>
          <w:szCs w:val="24"/>
          <w:lang w:val="en-US" w:eastAsia="zh-CN" w:bidi="ar-SA"/>
        </w:rPr>
        <w:t>企业的证明函（格式不限）。未提供证明函的，将不能享受招标文件规定的价格优惠政策，但不影响投标文件的有效性。</w:t>
      </w:r>
    </w:p>
    <w:p w14:paraId="034DB4AA">
      <w:pPr>
        <w:pStyle w:val="318"/>
        <w:keepNext/>
        <w:widowControl/>
        <w:wordWrap/>
        <w:spacing w:before="60" w:after="60" w:line="360" w:lineRule="auto"/>
        <w:jc w:val="center"/>
        <w:rPr>
          <w:rFonts w:hint="eastAsia" w:ascii="宋体" w:hAnsi="宋体" w:eastAsia="宋体" w:cs="宋体"/>
          <w:color w:val="auto"/>
          <w:kern w:val="0"/>
        </w:rPr>
      </w:pPr>
    </w:p>
    <w:p w14:paraId="0E067814">
      <w:pPr>
        <w:pStyle w:val="318"/>
        <w:keepNext/>
        <w:widowControl/>
        <w:wordWrap/>
        <w:spacing w:before="60" w:after="60" w:line="360" w:lineRule="auto"/>
        <w:jc w:val="center"/>
        <w:rPr>
          <w:rFonts w:hint="eastAsia" w:ascii="宋体" w:hAnsi="宋体" w:eastAsia="宋体" w:cs="宋体"/>
          <w:color w:val="auto"/>
          <w:kern w:val="0"/>
        </w:rPr>
      </w:pPr>
      <w:r>
        <w:rPr>
          <w:rFonts w:hint="eastAsia" w:ascii="宋体" w:hAnsi="宋体" w:eastAsia="宋体" w:cs="宋体"/>
          <w:color w:val="auto"/>
          <w:kern w:val="0"/>
        </w:rPr>
        <w:t>监狱企业证明函</w:t>
      </w:r>
    </w:p>
    <w:p w14:paraId="40678C17">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780ABF">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监狱企业参加政府采购活动时，应当提供由省级以上监狱管理局、戒毒管理局（含新疆生产建设兵团）出具的属于监狱企业的证明文件。</w:t>
      </w:r>
    </w:p>
    <w:p w14:paraId="2FF7B0A8">
      <w:pPr>
        <w:rPr>
          <w:rFonts w:hint="eastAsia" w:ascii="宋体" w:hAnsi="宋体" w:eastAsia="宋体" w:cs="宋体"/>
          <w:sz w:val="28"/>
          <w:szCs w:val="28"/>
          <w:highlight w:val="none"/>
          <w:lang w:val="en-US" w:eastAsia="zh-CN"/>
        </w:rPr>
      </w:pPr>
    </w:p>
    <w:p w14:paraId="6462015C">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331AA576">
      <w:pPr>
        <w:numPr>
          <w:ilvl w:val="0"/>
          <w:numId w:val="5"/>
        </w:numPr>
        <w:spacing w:line="360" w:lineRule="auto"/>
        <w:jc w:val="center"/>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技术部分</w:t>
      </w:r>
    </w:p>
    <w:p w14:paraId="65CCF3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w:t>
      </w:r>
      <w:r>
        <w:rPr>
          <w:rFonts w:hint="eastAsia" w:ascii="宋体" w:hAnsi="宋体" w:eastAsia="宋体" w:cs="宋体"/>
          <w:color w:val="auto"/>
          <w:sz w:val="24"/>
          <w:szCs w:val="24"/>
          <w:highlight w:val="none"/>
          <w:lang w:eastAsia="zh-CN"/>
        </w:rPr>
        <w:t>及评标办法</w:t>
      </w:r>
      <w:r>
        <w:rPr>
          <w:rFonts w:hint="eastAsia" w:ascii="宋体" w:hAnsi="宋体" w:eastAsia="宋体" w:cs="宋体"/>
          <w:color w:val="auto"/>
          <w:sz w:val="24"/>
          <w:szCs w:val="24"/>
          <w:highlight w:val="none"/>
        </w:rPr>
        <w:t>的要求编制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格式自拟</w:t>
      </w:r>
    </w:p>
    <w:p w14:paraId="0FC1F126">
      <w:pPr>
        <w:pStyle w:val="9"/>
        <w:rPr>
          <w:rFonts w:hint="eastAsia" w:ascii="宋体" w:hAnsi="宋体" w:eastAsia="宋体" w:cs="宋体"/>
          <w:lang w:val="en-US" w:eastAsia="zh-CN"/>
        </w:rPr>
      </w:pPr>
    </w:p>
    <w:p w14:paraId="2D20E056">
      <w:pPr>
        <w:rPr>
          <w:rFonts w:hint="eastAsia" w:ascii="宋体" w:hAnsi="宋体" w:eastAsia="宋体" w:cs="宋体"/>
          <w:lang w:val="en-US" w:eastAsia="zh-CN"/>
        </w:rPr>
      </w:pPr>
    </w:p>
    <w:p w14:paraId="2CC13703">
      <w:pPr>
        <w:rPr>
          <w:rFonts w:hint="eastAsia" w:ascii="宋体" w:hAnsi="宋体" w:eastAsia="宋体" w:cs="宋体"/>
          <w:lang w:val="en-US" w:eastAsia="zh-CN"/>
        </w:rPr>
      </w:pPr>
      <w:r>
        <w:rPr>
          <w:rFonts w:hint="eastAsia" w:ascii="宋体" w:hAnsi="宋体" w:eastAsia="宋体" w:cs="宋体"/>
          <w:lang w:val="en-US" w:eastAsia="zh-CN"/>
        </w:rPr>
        <w:br w:type="page"/>
      </w:r>
    </w:p>
    <w:p w14:paraId="56825C04">
      <w:pPr>
        <w:rPr>
          <w:rFonts w:hint="eastAsia"/>
          <w:b/>
          <w:bCs/>
          <w:sz w:val="24"/>
          <w:szCs w:val="32"/>
          <w:lang w:val="en-US" w:eastAsia="zh-CN"/>
        </w:rPr>
      </w:pPr>
      <w:r>
        <w:rPr>
          <w:rFonts w:hint="eastAsia"/>
          <w:b/>
          <w:bCs/>
          <w:sz w:val="24"/>
          <w:szCs w:val="32"/>
          <w:lang w:val="en-US" w:eastAsia="zh-CN"/>
        </w:rPr>
        <w:t>附件1：</w:t>
      </w:r>
    </w:p>
    <w:p w14:paraId="76C31FB8">
      <w:pPr>
        <w:pStyle w:val="4"/>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业绩证明文件</w:t>
      </w:r>
    </w:p>
    <w:tbl>
      <w:tblPr>
        <w:tblStyle w:val="4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2309"/>
        <w:gridCol w:w="2032"/>
        <w:gridCol w:w="1613"/>
      </w:tblGrid>
      <w:tr w14:paraId="61FC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51" w:type="dxa"/>
            <w:noWrap w:val="0"/>
            <w:vAlign w:val="center"/>
          </w:tcPr>
          <w:p w14:paraId="6941816F">
            <w:pPr>
              <w:pStyle w:val="315"/>
              <w:rPr>
                <w:rFonts w:ascii="宋体" w:hAnsi="宋体"/>
                <w:b w:val="0"/>
                <w:bCs/>
                <w:sz w:val="21"/>
                <w:szCs w:val="21"/>
              </w:rPr>
            </w:pPr>
            <w:r>
              <w:rPr>
                <w:rFonts w:hint="eastAsia" w:ascii="宋体" w:hAnsi="宋体"/>
                <w:b w:val="0"/>
                <w:bCs/>
                <w:sz w:val="21"/>
                <w:szCs w:val="21"/>
              </w:rPr>
              <w:t>序号</w:t>
            </w:r>
          </w:p>
        </w:tc>
        <w:tc>
          <w:tcPr>
            <w:tcW w:w="2268" w:type="dxa"/>
            <w:noWrap w:val="0"/>
            <w:vAlign w:val="center"/>
          </w:tcPr>
          <w:p w14:paraId="6616B09B">
            <w:pPr>
              <w:pStyle w:val="315"/>
              <w:rPr>
                <w:rFonts w:ascii="宋体" w:hAnsi="宋体"/>
                <w:b w:val="0"/>
                <w:bCs/>
                <w:sz w:val="21"/>
                <w:szCs w:val="21"/>
              </w:rPr>
            </w:pPr>
            <w:r>
              <w:rPr>
                <w:rFonts w:hint="eastAsia" w:ascii="宋体" w:hAnsi="宋体"/>
                <w:b w:val="0"/>
                <w:bCs/>
                <w:sz w:val="21"/>
                <w:szCs w:val="21"/>
              </w:rPr>
              <w:t>项目名称</w:t>
            </w:r>
          </w:p>
        </w:tc>
        <w:tc>
          <w:tcPr>
            <w:tcW w:w="2309" w:type="dxa"/>
            <w:noWrap w:val="0"/>
            <w:vAlign w:val="center"/>
          </w:tcPr>
          <w:p w14:paraId="769122C9">
            <w:pPr>
              <w:pStyle w:val="315"/>
              <w:rPr>
                <w:rFonts w:ascii="宋体" w:hAnsi="宋体"/>
                <w:b w:val="0"/>
                <w:bCs/>
                <w:sz w:val="21"/>
                <w:szCs w:val="21"/>
              </w:rPr>
            </w:pPr>
            <w:r>
              <w:rPr>
                <w:rFonts w:hint="eastAsia" w:ascii="宋体" w:hAnsi="宋体"/>
                <w:b w:val="0"/>
                <w:bCs/>
                <w:sz w:val="21"/>
                <w:szCs w:val="21"/>
              </w:rPr>
              <w:t>规模</w:t>
            </w:r>
          </w:p>
        </w:tc>
        <w:tc>
          <w:tcPr>
            <w:tcW w:w="2032" w:type="dxa"/>
            <w:noWrap w:val="0"/>
            <w:vAlign w:val="center"/>
          </w:tcPr>
          <w:p w14:paraId="6D935676">
            <w:pPr>
              <w:pStyle w:val="315"/>
              <w:rPr>
                <w:rFonts w:ascii="宋体" w:hAnsi="宋体"/>
                <w:b w:val="0"/>
                <w:bCs/>
                <w:sz w:val="21"/>
                <w:szCs w:val="21"/>
              </w:rPr>
            </w:pPr>
            <w:r>
              <w:rPr>
                <w:rFonts w:hint="eastAsia" w:ascii="宋体" w:hAnsi="宋体"/>
                <w:b w:val="0"/>
                <w:bCs/>
                <w:sz w:val="21"/>
                <w:szCs w:val="21"/>
              </w:rPr>
              <w:t>委托单位</w:t>
            </w:r>
          </w:p>
        </w:tc>
        <w:tc>
          <w:tcPr>
            <w:tcW w:w="1613" w:type="dxa"/>
            <w:noWrap w:val="0"/>
            <w:vAlign w:val="center"/>
          </w:tcPr>
          <w:p w14:paraId="706E25A1">
            <w:pPr>
              <w:pStyle w:val="315"/>
              <w:rPr>
                <w:rFonts w:ascii="宋体" w:hAnsi="宋体"/>
                <w:b w:val="0"/>
                <w:bCs/>
                <w:sz w:val="21"/>
                <w:szCs w:val="21"/>
              </w:rPr>
            </w:pPr>
            <w:r>
              <w:rPr>
                <w:rFonts w:hint="eastAsia" w:ascii="宋体" w:hAnsi="宋体"/>
                <w:b w:val="0"/>
                <w:bCs/>
                <w:sz w:val="21"/>
                <w:szCs w:val="21"/>
              </w:rPr>
              <w:t>合同签订日期</w:t>
            </w:r>
          </w:p>
        </w:tc>
      </w:tr>
      <w:tr w14:paraId="1BC0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51" w:type="dxa"/>
            <w:noWrap w:val="0"/>
            <w:vAlign w:val="center"/>
          </w:tcPr>
          <w:p w14:paraId="7D6F4D98">
            <w:pPr>
              <w:pStyle w:val="315"/>
              <w:rPr>
                <w:rFonts w:ascii="宋体" w:hAnsi="宋体"/>
                <w:b w:val="0"/>
                <w:bCs/>
                <w:sz w:val="21"/>
                <w:szCs w:val="21"/>
              </w:rPr>
            </w:pPr>
          </w:p>
        </w:tc>
        <w:tc>
          <w:tcPr>
            <w:tcW w:w="2268" w:type="dxa"/>
            <w:noWrap w:val="0"/>
            <w:vAlign w:val="center"/>
          </w:tcPr>
          <w:p w14:paraId="608682C4">
            <w:pPr>
              <w:pStyle w:val="315"/>
              <w:rPr>
                <w:rFonts w:ascii="宋体" w:hAnsi="宋体"/>
                <w:b w:val="0"/>
                <w:bCs/>
                <w:sz w:val="21"/>
                <w:szCs w:val="21"/>
              </w:rPr>
            </w:pPr>
          </w:p>
        </w:tc>
        <w:tc>
          <w:tcPr>
            <w:tcW w:w="2309" w:type="dxa"/>
            <w:noWrap w:val="0"/>
            <w:vAlign w:val="center"/>
          </w:tcPr>
          <w:p w14:paraId="721EAC15">
            <w:pPr>
              <w:spacing w:line="360" w:lineRule="auto"/>
              <w:jc w:val="center"/>
              <w:rPr>
                <w:rFonts w:ascii="宋体" w:hAnsi="宋体" w:cs="宋体"/>
                <w:b w:val="0"/>
                <w:bCs/>
                <w:sz w:val="21"/>
                <w:szCs w:val="21"/>
              </w:rPr>
            </w:pPr>
          </w:p>
        </w:tc>
        <w:tc>
          <w:tcPr>
            <w:tcW w:w="2032" w:type="dxa"/>
            <w:noWrap w:val="0"/>
            <w:vAlign w:val="center"/>
          </w:tcPr>
          <w:p w14:paraId="1CD276BE">
            <w:pPr>
              <w:pStyle w:val="315"/>
              <w:rPr>
                <w:rFonts w:ascii="宋体" w:hAnsi="宋体"/>
                <w:b w:val="0"/>
                <w:bCs/>
                <w:sz w:val="21"/>
                <w:szCs w:val="21"/>
              </w:rPr>
            </w:pPr>
          </w:p>
        </w:tc>
        <w:tc>
          <w:tcPr>
            <w:tcW w:w="1613" w:type="dxa"/>
            <w:noWrap w:val="0"/>
            <w:vAlign w:val="center"/>
          </w:tcPr>
          <w:p w14:paraId="671FE69E">
            <w:pPr>
              <w:pStyle w:val="315"/>
              <w:rPr>
                <w:rFonts w:ascii="宋体" w:hAnsi="宋体"/>
                <w:b w:val="0"/>
                <w:bCs/>
                <w:sz w:val="21"/>
                <w:szCs w:val="21"/>
              </w:rPr>
            </w:pPr>
          </w:p>
        </w:tc>
      </w:tr>
      <w:tr w14:paraId="7E71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51" w:type="dxa"/>
            <w:noWrap w:val="0"/>
            <w:vAlign w:val="center"/>
          </w:tcPr>
          <w:p w14:paraId="4098A746">
            <w:pPr>
              <w:pStyle w:val="315"/>
              <w:rPr>
                <w:rFonts w:ascii="宋体" w:hAnsi="宋体"/>
                <w:b w:val="0"/>
                <w:bCs/>
                <w:sz w:val="21"/>
                <w:szCs w:val="21"/>
              </w:rPr>
            </w:pPr>
          </w:p>
        </w:tc>
        <w:tc>
          <w:tcPr>
            <w:tcW w:w="2268" w:type="dxa"/>
            <w:noWrap w:val="0"/>
            <w:vAlign w:val="center"/>
          </w:tcPr>
          <w:p w14:paraId="0435ABB7">
            <w:pPr>
              <w:pStyle w:val="315"/>
              <w:rPr>
                <w:rFonts w:ascii="宋体" w:hAnsi="宋体"/>
                <w:b w:val="0"/>
                <w:bCs/>
                <w:sz w:val="21"/>
                <w:szCs w:val="21"/>
              </w:rPr>
            </w:pPr>
          </w:p>
        </w:tc>
        <w:tc>
          <w:tcPr>
            <w:tcW w:w="2309" w:type="dxa"/>
            <w:noWrap w:val="0"/>
            <w:vAlign w:val="center"/>
          </w:tcPr>
          <w:p w14:paraId="04C0198C">
            <w:pPr>
              <w:pStyle w:val="315"/>
              <w:rPr>
                <w:rFonts w:ascii="宋体" w:hAnsi="宋体"/>
                <w:b w:val="0"/>
                <w:bCs/>
                <w:sz w:val="21"/>
                <w:szCs w:val="21"/>
              </w:rPr>
            </w:pPr>
          </w:p>
        </w:tc>
        <w:tc>
          <w:tcPr>
            <w:tcW w:w="2032" w:type="dxa"/>
            <w:noWrap w:val="0"/>
            <w:vAlign w:val="center"/>
          </w:tcPr>
          <w:p w14:paraId="346CCE43">
            <w:pPr>
              <w:pStyle w:val="315"/>
              <w:rPr>
                <w:rFonts w:ascii="宋体" w:hAnsi="宋体"/>
                <w:b w:val="0"/>
                <w:bCs/>
                <w:sz w:val="21"/>
                <w:szCs w:val="21"/>
              </w:rPr>
            </w:pPr>
          </w:p>
        </w:tc>
        <w:tc>
          <w:tcPr>
            <w:tcW w:w="1613" w:type="dxa"/>
            <w:noWrap w:val="0"/>
            <w:vAlign w:val="center"/>
          </w:tcPr>
          <w:p w14:paraId="78E7804A">
            <w:pPr>
              <w:pStyle w:val="315"/>
              <w:rPr>
                <w:rFonts w:ascii="宋体" w:hAnsi="宋体"/>
                <w:b w:val="0"/>
                <w:bCs/>
                <w:sz w:val="21"/>
                <w:szCs w:val="21"/>
              </w:rPr>
            </w:pPr>
          </w:p>
        </w:tc>
      </w:tr>
      <w:tr w14:paraId="6DAE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51" w:type="dxa"/>
            <w:noWrap w:val="0"/>
            <w:vAlign w:val="center"/>
          </w:tcPr>
          <w:p w14:paraId="096FCD63">
            <w:pPr>
              <w:pStyle w:val="315"/>
              <w:rPr>
                <w:rFonts w:ascii="宋体" w:hAnsi="宋体"/>
                <w:b w:val="0"/>
                <w:bCs/>
                <w:sz w:val="21"/>
                <w:szCs w:val="21"/>
              </w:rPr>
            </w:pPr>
          </w:p>
        </w:tc>
        <w:tc>
          <w:tcPr>
            <w:tcW w:w="2268" w:type="dxa"/>
            <w:noWrap w:val="0"/>
            <w:vAlign w:val="center"/>
          </w:tcPr>
          <w:p w14:paraId="196DC985">
            <w:pPr>
              <w:pStyle w:val="315"/>
              <w:rPr>
                <w:rFonts w:ascii="宋体" w:hAnsi="宋体"/>
                <w:b w:val="0"/>
                <w:bCs/>
                <w:sz w:val="21"/>
                <w:szCs w:val="21"/>
              </w:rPr>
            </w:pPr>
          </w:p>
        </w:tc>
        <w:tc>
          <w:tcPr>
            <w:tcW w:w="2309" w:type="dxa"/>
            <w:noWrap w:val="0"/>
            <w:vAlign w:val="center"/>
          </w:tcPr>
          <w:p w14:paraId="752E7EE3">
            <w:pPr>
              <w:pStyle w:val="315"/>
              <w:rPr>
                <w:rFonts w:ascii="宋体" w:hAnsi="宋体"/>
                <w:b w:val="0"/>
                <w:bCs/>
                <w:sz w:val="21"/>
                <w:szCs w:val="21"/>
              </w:rPr>
            </w:pPr>
          </w:p>
        </w:tc>
        <w:tc>
          <w:tcPr>
            <w:tcW w:w="2032" w:type="dxa"/>
            <w:noWrap w:val="0"/>
            <w:vAlign w:val="center"/>
          </w:tcPr>
          <w:p w14:paraId="5BEECBDE">
            <w:pPr>
              <w:pStyle w:val="315"/>
              <w:rPr>
                <w:rFonts w:ascii="宋体" w:hAnsi="宋体"/>
                <w:b w:val="0"/>
                <w:bCs/>
                <w:sz w:val="21"/>
                <w:szCs w:val="21"/>
              </w:rPr>
            </w:pPr>
          </w:p>
        </w:tc>
        <w:tc>
          <w:tcPr>
            <w:tcW w:w="1613" w:type="dxa"/>
            <w:noWrap w:val="0"/>
            <w:vAlign w:val="center"/>
          </w:tcPr>
          <w:p w14:paraId="46F27725">
            <w:pPr>
              <w:pStyle w:val="315"/>
              <w:rPr>
                <w:rFonts w:ascii="宋体" w:hAnsi="宋体"/>
                <w:b w:val="0"/>
                <w:bCs/>
                <w:sz w:val="21"/>
                <w:szCs w:val="21"/>
              </w:rPr>
            </w:pPr>
          </w:p>
        </w:tc>
      </w:tr>
      <w:tr w14:paraId="45EF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51" w:type="dxa"/>
            <w:noWrap w:val="0"/>
            <w:vAlign w:val="center"/>
          </w:tcPr>
          <w:p w14:paraId="5A40246C">
            <w:pPr>
              <w:pStyle w:val="315"/>
              <w:rPr>
                <w:rFonts w:ascii="宋体" w:hAnsi="宋体"/>
                <w:b w:val="0"/>
                <w:bCs/>
                <w:sz w:val="21"/>
                <w:szCs w:val="21"/>
              </w:rPr>
            </w:pPr>
          </w:p>
        </w:tc>
        <w:tc>
          <w:tcPr>
            <w:tcW w:w="2268" w:type="dxa"/>
            <w:noWrap w:val="0"/>
            <w:vAlign w:val="center"/>
          </w:tcPr>
          <w:p w14:paraId="68587E11">
            <w:pPr>
              <w:pStyle w:val="315"/>
              <w:rPr>
                <w:rFonts w:ascii="宋体" w:hAnsi="宋体"/>
                <w:b w:val="0"/>
                <w:bCs/>
                <w:sz w:val="21"/>
                <w:szCs w:val="21"/>
              </w:rPr>
            </w:pPr>
          </w:p>
        </w:tc>
        <w:tc>
          <w:tcPr>
            <w:tcW w:w="2309" w:type="dxa"/>
            <w:noWrap w:val="0"/>
            <w:vAlign w:val="center"/>
          </w:tcPr>
          <w:p w14:paraId="79119DE5">
            <w:pPr>
              <w:pStyle w:val="315"/>
              <w:rPr>
                <w:rFonts w:ascii="宋体" w:hAnsi="宋体"/>
                <w:b w:val="0"/>
                <w:bCs/>
                <w:sz w:val="21"/>
                <w:szCs w:val="21"/>
              </w:rPr>
            </w:pPr>
          </w:p>
        </w:tc>
        <w:tc>
          <w:tcPr>
            <w:tcW w:w="2032" w:type="dxa"/>
            <w:noWrap w:val="0"/>
            <w:vAlign w:val="center"/>
          </w:tcPr>
          <w:p w14:paraId="08813846">
            <w:pPr>
              <w:pStyle w:val="315"/>
              <w:rPr>
                <w:rFonts w:ascii="宋体" w:hAnsi="宋体"/>
                <w:b w:val="0"/>
                <w:bCs/>
                <w:sz w:val="21"/>
                <w:szCs w:val="21"/>
              </w:rPr>
            </w:pPr>
          </w:p>
        </w:tc>
        <w:tc>
          <w:tcPr>
            <w:tcW w:w="1613" w:type="dxa"/>
            <w:noWrap w:val="0"/>
            <w:vAlign w:val="center"/>
          </w:tcPr>
          <w:p w14:paraId="69D6B57F">
            <w:pPr>
              <w:pStyle w:val="315"/>
              <w:rPr>
                <w:rFonts w:ascii="宋体" w:hAnsi="宋体"/>
                <w:b w:val="0"/>
                <w:bCs/>
                <w:sz w:val="21"/>
                <w:szCs w:val="21"/>
              </w:rPr>
            </w:pPr>
          </w:p>
        </w:tc>
      </w:tr>
      <w:tr w14:paraId="6370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51" w:type="dxa"/>
            <w:noWrap w:val="0"/>
            <w:vAlign w:val="center"/>
          </w:tcPr>
          <w:p w14:paraId="56EBED66">
            <w:pPr>
              <w:pStyle w:val="315"/>
              <w:rPr>
                <w:rFonts w:ascii="宋体" w:hAnsi="宋体"/>
                <w:b w:val="0"/>
                <w:bCs/>
                <w:sz w:val="21"/>
                <w:szCs w:val="21"/>
              </w:rPr>
            </w:pPr>
          </w:p>
        </w:tc>
        <w:tc>
          <w:tcPr>
            <w:tcW w:w="2268" w:type="dxa"/>
            <w:noWrap w:val="0"/>
            <w:vAlign w:val="center"/>
          </w:tcPr>
          <w:p w14:paraId="3F5E12CA">
            <w:pPr>
              <w:pStyle w:val="315"/>
              <w:rPr>
                <w:rFonts w:ascii="宋体" w:hAnsi="宋体"/>
                <w:b w:val="0"/>
                <w:bCs/>
                <w:sz w:val="21"/>
                <w:szCs w:val="21"/>
              </w:rPr>
            </w:pPr>
          </w:p>
        </w:tc>
        <w:tc>
          <w:tcPr>
            <w:tcW w:w="2309" w:type="dxa"/>
            <w:noWrap w:val="0"/>
            <w:vAlign w:val="center"/>
          </w:tcPr>
          <w:p w14:paraId="435AFB16">
            <w:pPr>
              <w:pStyle w:val="315"/>
              <w:rPr>
                <w:rFonts w:ascii="宋体" w:hAnsi="宋体"/>
                <w:b w:val="0"/>
                <w:bCs/>
                <w:sz w:val="21"/>
                <w:szCs w:val="21"/>
              </w:rPr>
            </w:pPr>
          </w:p>
        </w:tc>
        <w:tc>
          <w:tcPr>
            <w:tcW w:w="2032" w:type="dxa"/>
            <w:noWrap w:val="0"/>
            <w:vAlign w:val="center"/>
          </w:tcPr>
          <w:p w14:paraId="2311CC55">
            <w:pPr>
              <w:pStyle w:val="315"/>
              <w:rPr>
                <w:rFonts w:ascii="宋体" w:hAnsi="宋体"/>
                <w:b w:val="0"/>
                <w:bCs/>
                <w:sz w:val="21"/>
                <w:szCs w:val="21"/>
              </w:rPr>
            </w:pPr>
          </w:p>
        </w:tc>
        <w:tc>
          <w:tcPr>
            <w:tcW w:w="1613" w:type="dxa"/>
            <w:noWrap w:val="0"/>
            <w:vAlign w:val="center"/>
          </w:tcPr>
          <w:p w14:paraId="06C8D77A">
            <w:pPr>
              <w:pStyle w:val="315"/>
              <w:rPr>
                <w:rFonts w:ascii="宋体" w:hAnsi="宋体"/>
                <w:b w:val="0"/>
                <w:bCs/>
                <w:sz w:val="21"/>
                <w:szCs w:val="21"/>
              </w:rPr>
            </w:pPr>
          </w:p>
        </w:tc>
      </w:tr>
    </w:tbl>
    <w:p w14:paraId="2D808118">
      <w:pPr>
        <w:rPr>
          <w:rFonts w:hint="eastAsia" w:ascii="宋体" w:hAnsi="宋体"/>
          <w:b/>
          <w:bCs/>
          <w:sz w:val="24"/>
          <w:szCs w:val="32"/>
        </w:rPr>
      </w:pPr>
      <w:r>
        <w:rPr>
          <w:rFonts w:ascii="宋体" w:hAnsi="宋体"/>
          <w:b/>
          <w:bCs/>
          <w:sz w:val="24"/>
          <w:szCs w:val="32"/>
        </w:rPr>
        <w:t>注：</w:t>
      </w:r>
      <w:r>
        <w:rPr>
          <w:rFonts w:hint="eastAsia" w:ascii="宋体" w:hAnsi="宋体"/>
          <w:b/>
          <w:bCs/>
          <w:sz w:val="24"/>
          <w:szCs w:val="32"/>
        </w:rPr>
        <w:t>附</w:t>
      </w:r>
      <w:r>
        <w:rPr>
          <w:rFonts w:hint="eastAsia" w:ascii="宋体" w:hAnsi="宋体"/>
          <w:b/>
          <w:bCs/>
          <w:sz w:val="24"/>
          <w:szCs w:val="32"/>
          <w:lang w:val="en-US" w:eastAsia="zh-CN"/>
        </w:rPr>
        <w:t>加盖公章的合同复印件</w:t>
      </w:r>
      <w:r>
        <w:rPr>
          <w:rFonts w:hint="eastAsia" w:ascii="宋体" w:hAnsi="宋体"/>
          <w:b/>
          <w:bCs/>
          <w:sz w:val="24"/>
          <w:szCs w:val="32"/>
        </w:rPr>
        <w:t>；</w:t>
      </w:r>
    </w:p>
    <w:p w14:paraId="7C5A643A">
      <w:pPr>
        <w:rPr>
          <w:rFonts w:hint="eastAsia" w:ascii="宋体" w:hAnsi="宋体"/>
          <w:b/>
          <w:bCs/>
        </w:rPr>
      </w:pPr>
    </w:p>
    <w:p w14:paraId="796BA790">
      <w:pPr>
        <w:adjustRightInd w:val="0"/>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供应商</w:t>
      </w:r>
      <w:r>
        <w:rPr>
          <w:rFonts w:hint="eastAsia" w:ascii="宋体" w:hAnsi="宋体" w:eastAsia="宋体" w:cs="宋体"/>
          <w:bCs/>
          <w:color w:val="000000"/>
          <w:sz w:val="24"/>
          <w:szCs w:val="24"/>
          <w:highlight w:val="none"/>
        </w:rPr>
        <w:t>名称：</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（公章）</w:t>
      </w:r>
    </w:p>
    <w:p w14:paraId="612C3DCC">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法定代表人或授权代表人：</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14:paraId="282AE2EA">
      <w:pPr>
        <w:rPr>
          <w:rFonts w:hint="eastAsia" w:ascii="宋体" w:hAnsi="宋体"/>
          <w:b/>
          <w:bCs/>
        </w:rPr>
      </w:pPr>
      <w:r>
        <w:rPr>
          <w:rFonts w:hint="eastAsia" w:ascii="宋体" w:hAnsi="宋体" w:eastAsia="宋体" w:cs="宋体"/>
          <w:bCs/>
          <w:color w:val="000000"/>
          <w:kern w:val="2"/>
          <w:sz w:val="24"/>
          <w:szCs w:val="24"/>
          <w:highlight w:val="none"/>
          <w:lang w:val="en-US" w:eastAsia="zh-CN" w:bidi="ar-SA"/>
        </w:rPr>
        <w:t>日   期：</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年</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月</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日</w:t>
      </w:r>
    </w:p>
    <w:p w14:paraId="6D7435ED">
      <w:pPr>
        <w:rPr>
          <w:rFonts w:hint="eastAsia" w:ascii="宋体" w:hAnsi="宋体"/>
          <w:b/>
          <w:bCs/>
        </w:rPr>
      </w:pPr>
    </w:p>
    <w:p w14:paraId="6CF36EA4">
      <w:pPr>
        <w:rPr>
          <w:rFonts w:hint="eastAsia" w:ascii="Times New Roman" w:hAnsi="Times New Roman" w:eastAsia="宋体" w:cs="Times New Roman"/>
          <w:b/>
          <w:bCs/>
          <w:color w:val="auto"/>
          <w:kern w:val="2"/>
          <w:sz w:val="24"/>
          <w:szCs w:val="32"/>
          <w:lang w:val="en-US" w:eastAsia="zh-CN" w:bidi="ar-SA"/>
        </w:rPr>
      </w:pPr>
      <w:r>
        <w:rPr>
          <w:rFonts w:hint="eastAsia" w:ascii="Times New Roman" w:hAnsi="Times New Roman" w:eastAsia="宋体" w:cs="Times New Roman"/>
          <w:b/>
          <w:bCs/>
          <w:color w:val="auto"/>
          <w:kern w:val="2"/>
          <w:sz w:val="24"/>
          <w:szCs w:val="32"/>
          <w:lang w:val="en-US" w:eastAsia="zh-CN" w:bidi="ar-SA"/>
        </w:rPr>
        <w:br w:type="page"/>
      </w:r>
    </w:p>
    <w:p w14:paraId="5C319AA1">
      <w:pPr>
        <w:pStyle w:val="65"/>
        <w:rPr>
          <w:rFonts w:hint="eastAsia"/>
          <w:lang w:val="en-US" w:eastAsia="zh-CN"/>
        </w:rPr>
      </w:pPr>
      <w:r>
        <w:rPr>
          <w:rFonts w:hint="eastAsia" w:ascii="Times New Roman" w:hAnsi="Times New Roman" w:eastAsia="宋体" w:cs="Times New Roman"/>
          <w:b/>
          <w:bCs/>
          <w:color w:val="auto"/>
          <w:kern w:val="2"/>
          <w:sz w:val="24"/>
          <w:szCs w:val="32"/>
          <w:lang w:val="en-US" w:eastAsia="zh-CN" w:bidi="ar-SA"/>
        </w:rPr>
        <w:t>附件2：</w:t>
      </w:r>
    </w:p>
    <w:p w14:paraId="6A0D6C5D">
      <w:pPr>
        <w:pStyle w:val="4"/>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商务响应偏离表</w:t>
      </w:r>
    </w:p>
    <w:p w14:paraId="7399819C">
      <w:pPr>
        <w:spacing w:line="360" w:lineRule="auto"/>
        <w:jc w:val="left"/>
        <w:rPr>
          <w:rFonts w:hint="eastAsia" w:ascii="宋体" w:hAnsi="宋体" w:eastAsia="宋体" w:cs="宋体"/>
          <w:bCs/>
          <w:sz w:val="24"/>
          <w:szCs w:val="24"/>
          <w:u w:val="single"/>
        </w:rPr>
      </w:pPr>
      <w:r>
        <w:rPr>
          <w:rFonts w:hint="eastAsia" w:ascii="宋体" w:hAnsi="宋体" w:cs="宋体"/>
          <w:bCs/>
          <w:sz w:val="24"/>
          <w:szCs w:val="24"/>
          <w:lang w:eastAsia="zh-CN"/>
        </w:rPr>
        <w:t>供应商</w:t>
      </w:r>
      <w:r>
        <w:rPr>
          <w:rFonts w:hint="eastAsia" w:ascii="宋体" w:hAnsi="宋体" w:eastAsia="宋体" w:cs="宋体"/>
          <w:bCs/>
          <w:sz w:val="24"/>
          <w:szCs w:val="24"/>
        </w:rPr>
        <w:t>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项目编号：</w:t>
      </w:r>
      <w:r>
        <w:rPr>
          <w:rFonts w:hint="eastAsia" w:ascii="宋体" w:hAnsi="宋体" w:eastAsia="宋体" w:cs="宋体"/>
          <w:bCs/>
          <w:sz w:val="24"/>
          <w:szCs w:val="24"/>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378"/>
        <w:gridCol w:w="2572"/>
        <w:gridCol w:w="1882"/>
        <w:gridCol w:w="1304"/>
      </w:tblGrid>
      <w:tr w14:paraId="7EC0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9" w:type="dxa"/>
            <w:noWrap w:val="0"/>
            <w:tcMar>
              <w:top w:w="57" w:type="dxa"/>
              <w:left w:w="28" w:type="dxa"/>
              <w:bottom w:w="57" w:type="dxa"/>
              <w:right w:w="28" w:type="dxa"/>
            </w:tcMar>
            <w:vAlign w:val="center"/>
          </w:tcPr>
          <w:p w14:paraId="3753DD6E">
            <w:pPr>
              <w:spacing w:line="360" w:lineRule="auto"/>
              <w:ind w:left="-97" w:leftChars="-46"/>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378" w:type="dxa"/>
            <w:noWrap w:val="0"/>
            <w:tcMar>
              <w:top w:w="57" w:type="dxa"/>
              <w:left w:w="28" w:type="dxa"/>
              <w:bottom w:w="57" w:type="dxa"/>
              <w:right w:w="28" w:type="dxa"/>
            </w:tcMar>
            <w:vAlign w:val="center"/>
          </w:tcPr>
          <w:p w14:paraId="6F60812F">
            <w:pPr>
              <w:spacing w:line="360" w:lineRule="auto"/>
              <w:ind w:left="210" w:leftChars="100"/>
              <w:jc w:val="center"/>
              <w:rPr>
                <w:rFonts w:hint="eastAsia" w:ascii="宋体" w:hAnsi="宋体" w:eastAsia="宋体" w:cs="宋体"/>
                <w:bCs/>
                <w:sz w:val="24"/>
                <w:szCs w:val="24"/>
              </w:rPr>
            </w:pPr>
            <w:r>
              <w:rPr>
                <w:rFonts w:hint="eastAsia" w:ascii="宋体" w:hAnsi="宋体" w:cs="宋体"/>
                <w:bCs/>
                <w:sz w:val="24"/>
                <w:szCs w:val="24"/>
                <w:lang w:eastAsia="zh-CN"/>
              </w:rPr>
              <w:t>磋商</w:t>
            </w:r>
            <w:r>
              <w:rPr>
                <w:rFonts w:hint="eastAsia" w:ascii="宋体" w:hAnsi="宋体" w:eastAsia="宋体" w:cs="宋体"/>
                <w:bCs/>
                <w:sz w:val="24"/>
                <w:szCs w:val="24"/>
              </w:rPr>
              <w:t>文件</w:t>
            </w:r>
          </w:p>
          <w:p w14:paraId="42F60257">
            <w:pPr>
              <w:spacing w:line="360" w:lineRule="auto"/>
              <w:ind w:left="210" w:leftChars="100"/>
              <w:jc w:val="center"/>
              <w:rPr>
                <w:rFonts w:hint="eastAsia" w:ascii="宋体" w:hAnsi="宋体" w:eastAsia="宋体" w:cs="宋体"/>
                <w:bCs/>
                <w:sz w:val="24"/>
                <w:szCs w:val="24"/>
              </w:rPr>
            </w:pPr>
            <w:r>
              <w:rPr>
                <w:rFonts w:hint="eastAsia" w:ascii="宋体" w:hAnsi="宋体" w:eastAsia="宋体" w:cs="宋体"/>
                <w:bCs/>
                <w:sz w:val="24"/>
                <w:szCs w:val="24"/>
              </w:rPr>
              <w:t>商务要求</w:t>
            </w:r>
          </w:p>
        </w:tc>
        <w:tc>
          <w:tcPr>
            <w:tcW w:w="2572" w:type="dxa"/>
            <w:noWrap w:val="0"/>
            <w:tcMar>
              <w:top w:w="57" w:type="dxa"/>
              <w:left w:w="28" w:type="dxa"/>
              <w:bottom w:w="57" w:type="dxa"/>
              <w:right w:w="28" w:type="dxa"/>
            </w:tcMar>
            <w:vAlign w:val="center"/>
          </w:tcPr>
          <w:p w14:paraId="27AB9472">
            <w:pPr>
              <w:spacing w:line="360" w:lineRule="auto"/>
              <w:ind w:left="210" w:leftChars="100"/>
              <w:jc w:val="center"/>
              <w:rPr>
                <w:rFonts w:hint="eastAsia" w:ascii="宋体" w:hAnsi="宋体" w:eastAsia="宋体" w:cs="宋体"/>
                <w:bCs/>
                <w:sz w:val="24"/>
                <w:szCs w:val="24"/>
              </w:rPr>
            </w:pPr>
            <w:r>
              <w:rPr>
                <w:rFonts w:hint="eastAsia" w:ascii="宋体" w:hAnsi="宋体" w:cs="宋体"/>
                <w:bCs/>
                <w:sz w:val="24"/>
                <w:szCs w:val="24"/>
                <w:lang w:eastAsia="zh-CN"/>
              </w:rPr>
              <w:t>响应</w:t>
            </w:r>
            <w:r>
              <w:rPr>
                <w:rFonts w:hint="eastAsia" w:ascii="宋体" w:hAnsi="宋体" w:eastAsia="宋体" w:cs="宋体"/>
                <w:bCs/>
                <w:sz w:val="24"/>
                <w:szCs w:val="24"/>
              </w:rPr>
              <w:t>文件</w:t>
            </w:r>
          </w:p>
          <w:p w14:paraId="523BE551">
            <w:pPr>
              <w:spacing w:line="360" w:lineRule="auto"/>
              <w:ind w:left="210" w:leftChars="100"/>
              <w:jc w:val="center"/>
              <w:rPr>
                <w:rFonts w:hint="eastAsia" w:ascii="宋体" w:hAnsi="宋体" w:eastAsia="宋体" w:cs="宋体"/>
                <w:bCs/>
                <w:sz w:val="24"/>
                <w:szCs w:val="24"/>
              </w:rPr>
            </w:pPr>
            <w:r>
              <w:rPr>
                <w:rFonts w:hint="eastAsia" w:ascii="宋体" w:hAnsi="宋体" w:eastAsia="宋体" w:cs="宋体"/>
                <w:bCs/>
                <w:sz w:val="24"/>
                <w:szCs w:val="24"/>
              </w:rPr>
              <w:t>商务响应</w:t>
            </w:r>
          </w:p>
        </w:tc>
        <w:tc>
          <w:tcPr>
            <w:tcW w:w="1882" w:type="dxa"/>
            <w:noWrap w:val="0"/>
            <w:tcMar>
              <w:top w:w="57" w:type="dxa"/>
              <w:left w:w="28" w:type="dxa"/>
              <w:bottom w:w="57" w:type="dxa"/>
              <w:right w:w="28" w:type="dxa"/>
            </w:tcMar>
            <w:vAlign w:val="center"/>
          </w:tcPr>
          <w:p w14:paraId="750F3AE1">
            <w:pPr>
              <w:spacing w:line="360" w:lineRule="auto"/>
              <w:ind w:left="210" w:leftChars="100"/>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304" w:type="dxa"/>
            <w:noWrap w:val="0"/>
            <w:vAlign w:val="center"/>
          </w:tcPr>
          <w:p w14:paraId="5AA8862D">
            <w:pPr>
              <w:spacing w:line="360" w:lineRule="auto"/>
              <w:ind w:left="210" w:leftChars="100"/>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14:paraId="4A3F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09" w:type="dxa"/>
            <w:noWrap w:val="0"/>
            <w:tcMar>
              <w:top w:w="57" w:type="dxa"/>
              <w:left w:w="28" w:type="dxa"/>
              <w:bottom w:w="57" w:type="dxa"/>
              <w:right w:w="28" w:type="dxa"/>
            </w:tcMar>
            <w:vAlign w:val="center"/>
          </w:tcPr>
          <w:p w14:paraId="5435102F">
            <w:pPr>
              <w:spacing w:line="360" w:lineRule="auto"/>
              <w:ind w:left="210" w:leftChars="100"/>
              <w:jc w:val="center"/>
              <w:rPr>
                <w:rFonts w:hint="eastAsia" w:ascii="宋体" w:hAnsi="宋体" w:eastAsia="宋体" w:cs="宋体"/>
                <w:bCs/>
                <w:sz w:val="24"/>
                <w:szCs w:val="24"/>
              </w:rPr>
            </w:pPr>
          </w:p>
        </w:tc>
        <w:tc>
          <w:tcPr>
            <w:tcW w:w="2378" w:type="dxa"/>
            <w:noWrap w:val="0"/>
            <w:tcMar>
              <w:top w:w="57" w:type="dxa"/>
              <w:left w:w="28" w:type="dxa"/>
              <w:bottom w:w="57" w:type="dxa"/>
              <w:right w:w="28" w:type="dxa"/>
            </w:tcMar>
            <w:vAlign w:val="center"/>
          </w:tcPr>
          <w:p w14:paraId="04F6AC2B">
            <w:pPr>
              <w:spacing w:line="360" w:lineRule="auto"/>
              <w:ind w:left="210" w:leftChars="100"/>
              <w:rPr>
                <w:rFonts w:hint="eastAsia" w:ascii="宋体" w:hAnsi="宋体" w:eastAsia="宋体" w:cs="宋体"/>
                <w:bCs/>
                <w:sz w:val="24"/>
                <w:szCs w:val="24"/>
              </w:rPr>
            </w:pPr>
          </w:p>
        </w:tc>
        <w:tc>
          <w:tcPr>
            <w:tcW w:w="2572" w:type="dxa"/>
            <w:noWrap w:val="0"/>
            <w:tcMar>
              <w:top w:w="57" w:type="dxa"/>
              <w:left w:w="28" w:type="dxa"/>
              <w:bottom w:w="57" w:type="dxa"/>
              <w:right w:w="28" w:type="dxa"/>
            </w:tcMar>
            <w:vAlign w:val="center"/>
          </w:tcPr>
          <w:p w14:paraId="494FF4EF">
            <w:pPr>
              <w:spacing w:line="360" w:lineRule="auto"/>
              <w:ind w:left="210" w:leftChars="100"/>
              <w:rPr>
                <w:rFonts w:hint="eastAsia" w:ascii="宋体" w:hAnsi="宋体" w:eastAsia="宋体" w:cs="宋体"/>
                <w:bCs/>
                <w:sz w:val="24"/>
                <w:szCs w:val="24"/>
              </w:rPr>
            </w:pPr>
          </w:p>
        </w:tc>
        <w:tc>
          <w:tcPr>
            <w:tcW w:w="1882" w:type="dxa"/>
            <w:noWrap w:val="0"/>
            <w:tcMar>
              <w:top w:w="57" w:type="dxa"/>
              <w:left w:w="28" w:type="dxa"/>
              <w:bottom w:w="57" w:type="dxa"/>
              <w:right w:w="28" w:type="dxa"/>
            </w:tcMar>
            <w:vAlign w:val="center"/>
          </w:tcPr>
          <w:p w14:paraId="76FB8E77">
            <w:pPr>
              <w:spacing w:line="360" w:lineRule="auto"/>
              <w:ind w:left="210" w:leftChars="100"/>
              <w:rPr>
                <w:rFonts w:hint="eastAsia" w:ascii="宋体" w:hAnsi="宋体" w:eastAsia="宋体" w:cs="宋体"/>
                <w:bCs/>
                <w:sz w:val="24"/>
                <w:szCs w:val="24"/>
              </w:rPr>
            </w:pPr>
          </w:p>
        </w:tc>
        <w:tc>
          <w:tcPr>
            <w:tcW w:w="1304" w:type="dxa"/>
            <w:noWrap w:val="0"/>
            <w:vAlign w:val="center"/>
          </w:tcPr>
          <w:p w14:paraId="77B6890F">
            <w:pPr>
              <w:spacing w:line="360" w:lineRule="auto"/>
              <w:ind w:left="210" w:leftChars="100"/>
              <w:jc w:val="center"/>
              <w:rPr>
                <w:rFonts w:hint="eastAsia" w:ascii="宋体" w:hAnsi="宋体" w:eastAsia="宋体" w:cs="宋体"/>
                <w:bCs/>
                <w:sz w:val="24"/>
                <w:szCs w:val="24"/>
              </w:rPr>
            </w:pPr>
          </w:p>
        </w:tc>
      </w:tr>
      <w:tr w14:paraId="1781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09" w:type="dxa"/>
            <w:noWrap w:val="0"/>
            <w:tcMar>
              <w:top w:w="57" w:type="dxa"/>
              <w:left w:w="28" w:type="dxa"/>
              <w:bottom w:w="57" w:type="dxa"/>
              <w:right w:w="28" w:type="dxa"/>
            </w:tcMar>
            <w:vAlign w:val="center"/>
          </w:tcPr>
          <w:p w14:paraId="46C8E19C">
            <w:pPr>
              <w:spacing w:line="360" w:lineRule="auto"/>
              <w:ind w:left="210" w:leftChars="100"/>
              <w:rPr>
                <w:rFonts w:hint="eastAsia" w:ascii="宋体" w:hAnsi="宋体" w:eastAsia="宋体" w:cs="宋体"/>
                <w:bCs/>
                <w:sz w:val="24"/>
                <w:szCs w:val="24"/>
              </w:rPr>
            </w:pPr>
          </w:p>
        </w:tc>
        <w:tc>
          <w:tcPr>
            <w:tcW w:w="2378" w:type="dxa"/>
            <w:noWrap w:val="0"/>
            <w:tcMar>
              <w:top w:w="57" w:type="dxa"/>
              <w:left w:w="28" w:type="dxa"/>
              <w:bottom w:w="57" w:type="dxa"/>
              <w:right w:w="28" w:type="dxa"/>
            </w:tcMar>
            <w:vAlign w:val="center"/>
          </w:tcPr>
          <w:p w14:paraId="0DE7FA54">
            <w:pPr>
              <w:spacing w:line="360" w:lineRule="auto"/>
              <w:ind w:left="210" w:leftChars="100"/>
              <w:rPr>
                <w:rFonts w:hint="eastAsia" w:ascii="宋体" w:hAnsi="宋体" w:eastAsia="宋体" w:cs="宋体"/>
                <w:bCs/>
                <w:sz w:val="24"/>
                <w:szCs w:val="24"/>
              </w:rPr>
            </w:pPr>
          </w:p>
        </w:tc>
        <w:tc>
          <w:tcPr>
            <w:tcW w:w="2572" w:type="dxa"/>
            <w:noWrap w:val="0"/>
            <w:tcMar>
              <w:top w:w="57" w:type="dxa"/>
              <w:left w:w="28" w:type="dxa"/>
              <w:bottom w:w="57" w:type="dxa"/>
              <w:right w:w="28" w:type="dxa"/>
            </w:tcMar>
            <w:vAlign w:val="center"/>
          </w:tcPr>
          <w:p w14:paraId="421816F2">
            <w:pPr>
              <w:spacing w:line="360" w:lineRule="auto"/>
              <w:ind w:left="210" w:leftChars="100"/>
              <w:rPr>
                <w:rFonts w:hint="eastAsia" w:ascii="宋体" w:hAnsi="宋体" w:eastAsia="宋体" w:cs="宋体"/>
                <w:bCs/>
                <w:sz w:val="24"/>
                <w:szCs w:val="24"/>
              </w:rPr>
            </w:pPr>
          </w:p>
        </w:tc>
        <w:tc>
          <w:tcPr>
            <w:tcW w:w="1882" w:type="dxa"/>
            <w:noWrap w:val="0"/>
            <w:tcMar>
              <w:top w:w="57" w:type="dxa"/>
              <w:left w:w="28" w:type="dxa"/>
              <w:bottom w:w="57" w:type="dxa"/>
              <w:right w:w="28" w:type="dxa"/>
            </w:tcMar>
            <w:vAlign w:val="center"/>
          </w:tcPr>
          <w:p w14:paraId="1EEDF391">
            <w:pPr>
              <w:spacing w:line="360" w:lineRule="auto"/>
              <w:ind w:left="210" w:leftChars="100"/>
              <w:rPr>
                <w:rFonts w:hint="eastAsia" w:ascii="宋体" w:hAnsi="宋体" w:eastAsia="宋体" w:cs="宋体"/>
                <w:bCs/>
                <w:sz w:val="24"/>
                <w:szCs w:val="24"/>
              </w:rPr>
            </w:pPr>
          </w:p>
        </w:tc>
        <w:tc>
          <w:tcPr>
            <w:tcW w:w="1304" w:type="dxa"/>
            <w:noWrap w:val="0"/>
            <w:vAlign w:val="center"/>
          </w:tcPr>
          <w:p w14:paraId="2E3FF761">
            <w:pPr>
              <w:spacing w:line="360" w:lineRule="auto"/>
              <w:ind w:left="210" w:leftChars="100"/>
              <w:rPr>
                <w:rFonts w:hint="eastAsia" w:ascii="宋体" w:hAnsi="宋体" w:eastAsia="宋体" w:cs="宋体"/>
                <w:bCs/>
                <w:sz w:val="24"/>
                <w:szCs w:val="24"/>
              </w:rPr>
            </w:pPr>
          </w:p>
        </w:tc>
      </w:tr>
      <w:tr w14:paraId="7C85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9" w:type="dxa"/>
            <w:noWrap w:val="0"/>
            <w:tcMar>
              <w:top w:w="57" w:type="dxa"/>
              <w:left w:w="28" w:type="dxa"/>
              <w:bottom w:w="57" w:type="dxa"/>
              <w:right w:w="28" w:type="dxa"/>
            </w:tcMar>
            <w:vAlign w:val="center"/>
          </w:tcPr>
          <w:p w14:paraId="07513AF6">
            <w:pPr>
              <w:spacing w:line="360" w:lineRule="auto"/>
              <w:ind w:left="210" w:leftChars="100"/>
              <w:rPr>
                <w:rFonts w:hint="eastAsia" w:ascii="宋体" w:hAnsi="宋体" w:eastAsia="宋体" w:cs="宋体"/>
                <w:bCs/>
                <w:sz w:val="24"/>
                <w:szCs w:val="24"/>
              </w:rPr>
            </w:pPr>
          </w:p>
        </w:tc>
        <w:tc>
          <w:tcPr>
            <w:tcW w:w="2378" w:type="dxa"/>
            <w:noWrap w:val="0"/>
            <w:tcMar>
              <w:top w:w="57" w:type="dxa"/>
              <w:left w:w="28" w:type="dxa"/>
              <w:bottom w:w="57" w:type="dxa"/>
              <w:right w:w="28" w:type="dxa"/>
            </w:tcMar>
            <w:vAlign w:val="center"/>
          </w:tcPr>
          <w:p w14:paraId="7797D199">
            <w:pPr>
              <w:spacing w:line="360" w:lineRule="auto"/>
              <w:ind w:left="210" w:leftChars="100"/>
              <w:rPr>
                <w:rFonts w:hint="eastAsia" w:ascii="宋体" w:hAnsi="宋体" w:eastAsia="宋体" w:cs="宋体"/>
                <w:bCs/>
                <w:sz w:val="24"/>
                <w:szCs w:val="24"/>
              </w:rPr>
            </w:pPr>
          </w:p>
        </w:tc>
        <w:tc>
          <w:tcPr>
            <w:tcW w:w="2572" w:type="dxa"/>
            <w:noWrap w:val="0"/>
            <w:tcMar>
              <w:top w:w="57" w:type="dxa"/>
              <w:left w:w="28" w:type="dxa"/>
              <w:bottom w:w="57" w:type="dxa"/>
              <w:right w:w="28" w:type="dxa"/>
            </w:tcMar>
            <w:vAlign w:val="center"/>
          </w:tcPr>
          <w:p w14:paraId="23BF553C">
            <w:pPr>
              <w:spacing w:line="360" w:lineRule="auto"/>
              <w:ind w:left="210" w:leftChars="100"/>
              <w:rPr>
                <w:rFonts w:hint="eastAsia" w:ascii="宋体" w:hAnsi="宋体" w:eastAsia="宋体" w:cs="宋体"/>
                <w:bCs/>
                <w:sz w:val="24"/>
                <w:szCs w:val="24"/>
              </w:rPr>
            </w:pPr>
          </w:p>
        </w:tc>
        <w:tc>
          <w:tcPr>
            <w:tcW w:w="1882" w:type="dxa"/>
            <w:noWrap w:val="0"/>
            <w:tcMar>
              <w:top w:w="57" w:type="dxa"/>
              <w:left w:w="28" w:type="dxa"/>
              <w:bottom w:w="57" w:type="dxa"/>
              <w:right w:w="28" w:type="dxa"/>
            </w:tcMar>
            <w:vAlign w:val="center"/>
          </w:tcPr>
          <w:p w14:paraId="4AB84716">
            <w:pPr>
              <w:spacing w:line="360" w:lineRule="auto"/>
              <w:ind w:left="210" w:leftChars="100"/>
              <w:rPr>
                <w:rFonts w:hint="eastAsia" w:ascii="宋体" w:hAnsi="宋体" w:eastAsia="宋体" w:cs="宋体"/>
                <w:bCs/>
                <w:sz w:val="24"/>
                <w:szCs w:val="24"/>
              </w:rPr>
            </w:pPr>
          </w:p>
        </w:tc>
        <w:tc>
          <w:tcPr>
            <w:tcW w:w="1304" w:type="dxa"/>
            <w:noWrap w:val="0"/>
            <w:vAlign w:val="center"/>
          </w:tcPr>
          <w:p w14:paraId="1BAAFC3B">
            <w:pPr>
              <w:spacing w:line="360" w:lineRule="auto"/>
              <w:ind w:left="210" w:leftChars="100"/>
              <w:rPr>
                <w:rFonts w:hint="eastAsia" w:ascii="宋体" w:hAnsi="宋体" w:eastAsia="宋体" w:cs="宋体"/>
                <w:bCs/>
                <w:sz w:val="24"/>
                <w:szCs w:val="24"/>
              </w:rPr>
            </w:pPr>
          </w:p>
        </w:tc>
      </w:tr>
      <w:tr w14:paraId="3A0E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9" w:type="dxa"/>
            <w:noWrap w:val="0"/>
            <w:tcMar>
              <w:top w:w="57" w:type="dxa"/>
              <w:left w:w="28" w:type="dxa"/>
              <w:bottom w:w="57" w:type="dxa"/>
              <w:right w:w="28" w:type="dxa"/>
            </w:tcMar>
            <w:vAlign w:val="center"/>
          </w:tcPr>
          <w:p w14:paraId="18B09B9C">
            <w:pPr>
              <w:spacing w:line="360" w:lineRule="auto"/>
              <w:ind w:left="210" w:leftChars="100"/>
              <w:rPr>
                <w:rFonts w:hint="eastAsia" w:ascii="宋体" w:hAnsi="宋体" w:eastAsia="宋体" w:cs="宋体"/>
                <w:bCs/>
                <w:sz w:val="24"/>
                <w:szCs w:val="24"/>
              </w:rPr>
            </w:pPr>
          </w:p>
        </w:tc>
        <w:tc>
          <w:tcPr>
            <w:tcW w:w="2378" w:type="dxa"/>
            <w:noWrap w:val="0"/>
            <w:tcMar>
              <w:top w:w="57" w:type="dxa"/>
              <w:left w:w="28" w:type="dxa"/>
              <w:bottom w:w="57" w:type="dxa"/>
              <w:right w:w="28" w:type="dxa"/>
            </w:tcMar>
            <w:vAlign w:val="center"/>
          </w:tcPr>
          <w:p w14:paraId="6ADFEDEA">
            <w:pPr>
              <w:spacing w:line="360" w:lineRule="auto"/>
              <w:ind w:left="210" w:leftChars="100"/>
              <w:rPr>
                <w:rFonts w:hint="eastAsia" w:ascii="宋体" w:hAnsi="宋体" w:eastAsia="宋体" w:cs="宋体"/>
                <w:bCs/>
                <w:sz w:val="24"/>
                <w:szCs w:val="24"/>
              </w:rPr>
            </w:pPr>
          </w:p>
        </w:tc>
        <w:tc>
          <w:tcPr>
            <w:tcW w:w="2572" w:type="dxa"/>
            <w:noWrap w:val="0"/>
            <w:tcMar>
              <w:top w:w="57" w:type="dxa"/>
              <w:left w:w="28" w:type="dxa"/>
              <w:bottom w:w="57" w:type="dxa"/>
              <w:right w:w="28" w:type="dxa"/>
            </w:tcMar>
            <w:vAlign w:val="center"/>
          </w:tcPr>
          <w:p w14:paraId="3BAEA1A2">
            <w:pPr>
              <w:spacing w:line="360" w:lineRule="auto"/>
              <w:ind w:left="210" w:leftChars="100"/>
              <w:rPr>
                <w:rFonts w:hint="eastAsia" w:ascii="宋体" w:hAnsi="宋体" w:eastAsia="宋体" w:cs="宋体"/>
                <w:bCs/>
                <w:sz w:val="24"/>
                <w:szCs w:val="24"/>
              </w:rPr>
            </w:pPr>
          </w:p>
        </w:tc>
        <w:tc>
          <w:tcPr>
            <w:tcW w:w="1882" w:type="dxa"/>
            <w:noWrap w:val="0"/>
            <w:tcMar>
              <w:top w:w="57" w:type="dxa"/>
              <w:left w:w="28" w:type="dxa"/>
              <w:bottom w:w="57" w:type="dxa"/>
              <w:right w:w="28" w:type="dxa"/>
            </w:tcMar>
            <w:vAlign w:val="center"/>
          </w:tcPr>
          <w:p w14:paraId="6B81FDFF">
            <w:pPr>
              <w:spacing w:line="360" w:lineRule="auto"/>
              <w:ind w:left="210" w:leftChars="100"/>
              <w:rPr>
                <w:rFonts w:hint="eastAsia" w:ascii="宋体" w:hAnsi="宋体" w:eastAsia="宋体" w:cs="宋体"/>
                <w:bCs/>
                <w:sz w:val="24"/>
                <w:szCs w:val="24"/>
              </w:rPr>
            </w:pPr>
          </w:p>
        </w:tc>
        <w:tc>
          <w:tcPr>
            <w:tcW w:w="1304" w:type="dxa"/>
            <w:noWrap w:val="0"/>
            <w:vAlign w:val="center"/>
          </w:tcPr>
          <w:p w14:paraId="66930981">
            <w:pPr>
              <w:spacing w:line="360" w:lineRule="auto"/>
              <w:ind w:left="210" w:leftChars="100"/>
              <w:rPr>
                <w:rFonts w:hint="eastAsia" w:ascii="宋体" w:hAnsi="宋体" w:eastAsia="宋体" w:cs="宋体"/>
                <w:bCs/>
                <w:sz w:val="24"/>
                <w:szCs w:val="24"/>
              </w:rPr>
            </w:pPr>
          </w:p>
        </w:tc>
      </w:tr>
      <w:tr w14:paraId="10CF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9" w:type="dxa"/>
            <w:noWrap w:val="0"/>
            <w:tcMar>
              <w:top w:w="57" w:type="dxa"/>
              <w:left w:w="28" w:type="dxa"/>
              <w:bottom w:w="57" w:type="dxa"/>
              <w:right w:w="28" w:type="dxa"/>
            </w:tcMar>
            <w:vAlign w:val="center"/>
          </w:tcPr>
          <w:p w14:paraId="23255B7C">
            <w:pPr>
              <w:spacing w:line="360" w:lineRule="auto"/>
              <w:ind w:left="210" w:leftChars="100"/>
              <w:rPr>
                <w:rFonts w:hint="eastAsia" w:ascii="宋体" w:hAnsi="宋体" w:eastAsia="宋体" w:cs="宋体"/>
                <w:bCs/>
                <w:sz w:val="24"/>
                <w:szCs w:val="24"/>
              </w:rPr>
            </w:pPr>
          </w:p>
        </w:tc>
        <w:tc>
          <w:tcPr>
            <w:tcW w:w="2378" w:type="dxa"/>
            <w:noWrap w:val="0"/>
            <w:tcMar>
              <w:top w:w="57" w:type="dxa"/>
              <w:left w:w="28" w:type="dxa"/>
              <w:bottom w:w="57" w:type="dxa"/>
              <w:right w:w="28" w:type="dxa"/>
            </w:tcMar>
            <w:vAlign w:val="center"/>
          </w:tcPr>
          <w:p w14:paraId="0CED7F6F">
            <w:pPr>
              <w:spacing w:line="360" w:lineRule="auto"/>
              <w:ind w:left="210" w:leftChars="100"/>
              <w:rPr>
                <w:rFonts w:hint="eastAsia" w:ascii="宋体" w:hAnsi="宋体" w:eastAsia="宋体" w:cs="宋体"/>
                <w:bCs/>
                <w:sz w:val="24"/>
                <w:szCs w:val="24"/>
              </w:rPr>
            </w:pPr>
          </w:p>
        </w:tc>
        <w:tc>
          <w:tcPr>
            <w:tcW w:w="2572" w:type="dxa"/>
            <w:noWrap w:val="0"/>
            <w:tcMar>
              <w:top w:w="57" w:type="dxa"/>
              <w:left w:w="28" w:type="dxa"/>
              <w:bottom w:w="57" w:type="dxa"/>
              <w:right w:w="28" w:type="dxa"/>
            </w:tcMar>
            <w:vAlign w:val="center"/>
          </w:tcPr>
          <w:p w14:paraId="53C7E250">
            <w:pPr>
              <w:spacing w:line="360" w:lineRule="auto"/>
              <w:ind w:left="210" w:leftChars="100"/>
              <w:rPr>
                <w:rFonts w:hint="eastAsia" w:ascii="宋体" w:hAnsi="宋体" w:eastAsia="宋体" w:cs="宋体"/>
                <w:bCs/>
                <w:sz w:val="24"/>
                <w:szCs w:val="24"/>
              </w:rPr>
            </w:pPr>
          </w:p>
        </w:tc>
        <w:tc>
          <w:tcPr>
            <w:tcW w:w="1882" w:type="dxa"/>
            <w:noWrap w:val="0"/>
            <w:tcMar>
              <w:top w:w="57" w:type="dxa"/>
              <w:left w:w="28" w:type="dxa"/>
              <w:bottom w:w="57" w:type="dxa"/>
              <w:right w:w="28" w:type="dxa"/>
            </w:tcMar>
            <w:vAlign w:val="center"/>
          </w:tcPr>
          <w:p w14:paraId="33FC8272">
            <w:pPr>
              <w:spacing w:line="360" w:lineRule="auto"/>
              <w:ind w:left="210" w:leftChars="100"/>
              <w:rPr>
                <w:rFonts w:hint="eastAsia" w:ascii="宋体" w:hAnsi="宋体" w:eastAsia="宋体" w:cs="宋体"/>
                <w:bCs/>
                <w:sz w:val="24"/>
                <w:szCs w:val="24"/>
              </w:rPr>
            </w:pPr>
          </w:p>
        </w:tc>
        <w:tc>
          <w:tcPr>
            <w:tcW w:w="1304" w:type="dxa"/>
            <w:noWrap w:val="0"/>
            <w:vAlign w:val="center"/>
          </w:tcPr>
          <w:p w14:paraId="4E7F91C5">
            <w:pPr>
              <w:spacing w:line="360" w:lineRule="auto"/>
              <w:ind w:left="210" w:leftChars="100"/>
              <w:rPr>
                <w:rFonts w:hint="eastAsia" w:ascii="宋体" w:hAnsi="宋体" w:eastAsia="宋体" w:cs="宋体"/>
                <w:bCs/>
                <w:sz w:val="24"/>
                <w:szCs w:val="24"/>
              </w:rPr>
            </w:pPr>
          </w:p>
        </w:tc>
      </w:tr>
      <w:tr w14:paraId="1BCC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9" w:type="dxa"/>
            <w:noWrap w:val="0"/>
            <w:tcMar>
              <w:top w:w="57" w:type="dxa"/>
              <w:left w:w="28" w:type="dxa"/>
              <w:bottom w:w="57" w:type="dxa"/>
              <w:right w:w="28" w:type="dxa"/>
            </w:tcMar>
            <w:vAlign w:val="center"/>
          </w:tcPr>
          <w:p w14:paraId="3FA7DAFC">
            <w:pPr>
              <w:spacing w:line="360" w:lineRule="auto"/>
              <w:ind w:left="210" w:leftChars="100"/>
              <w:rPr>
                <w:rFonts w:hint="eastAsia" w:ascii="宋体" w:hAnsi="宋体" w:eastAsia="宋体" w:cs="宋体"/>
                <w:bCs/>
                <w:sz w:val="24"/>
                <w:szCs w:val="24"/>
              </w:rPr>
            </w:pPr>
          </w:p>
        </w:tc>
        <w:tc>
          <w:tcPr>
            <w:tcW w:w="2378" w:type="dxa"/>
            <w:noWrap w:val="0"/>
            <w:tcMar>
              <w:top w:w="57" w:type="dxa"/>
              <w:left w:w="28" w:type="dxa"/>
              <w:bottom w:w="57" w:type="dxa"/>
              <w:right w:w="28" w:type="dxa"/>
            </w:tcMar>
            <w:vAlign w:val="center"/>
          </w:tcPr>
          <w:p w14:paraId="280214AB">
            <w:pPr>
              <w:spacing w:line="360" w:lineRule="auto"/>
              <w:ind w:left="210" w:leftChars="100"/>
              <w:rPr>
                <w:rFonts w:hint="eastAsia" w:ascii="宋体" w:hAnsi="宋体" w:eastAsia="宋体" w:cs="宋体"/>
                <w:bCs/>
                <w:sz w:val="24"/>
                <w:szCs w:val="24"/>
              </w:rPr>
            </w:pPr>
          </w:p>
        </w:tc>
        <w:tc>
          <w:tcPr>
            <w:tcW w:w="2572" w:type="dxa"/>
            <w:noWrap w:val="0"/>
            <w:tcMar>
              <w:top w:w="57" w:type="dxa"/>
              <w:left w:w="28" w:type="dxa"/>
              <w:bottom w:w="57" w:type="dxa"/>
              <w:right w:w="28" w:type="dxa"/>
            </w:tcMar>
            <w:vAlign w:val="center"/>
          </w:tcPr>
          <w:p w14:paraId="683ECE39">
            <w:pPr>
              <w:spacing w:line="360" w:lineRule="auto"/>
              <w:ind w:left="210" w:leftChars="100"/>
              <w:rPr>
                <w:rFonts w:hint="eastAsia" w:ascii="宋体" w:hAnsi="宋体" w:eastAsia="宋体" w:cs="宋体"/>
                <w:bCs/>
                <w:sz w:val="24"/>
                <w:szCs w:val="24"/>
              </w:rPr>
            </w:pPr>
          </w:p>
        </w:tc>
        <w:tc>
          <w:tcPr>
            <w:tcW w:w="1882" w:type="dxa"/>
            <w:noWrap w:val="0"/>
            <w:tcMar>
              <w:top w:w="57" w:type="dxa"/>
              <w:left w:w="28" w:type="dxa"/>
              <w:bottom w:w="57" w:type="dxa"/>
              <w:right w:w="28" w:type="dxa"/>
            </w:tcMar>
            <w:vAlign w:val="center"/>
          </w:tcPr>
          <w:p w14:paraId="41E6CBD8">
            <w:pPr>
              <w:spacing w:line="360" w:lineRule="auto"/>
              <w:ind w:left="210" w:leftChars="100"/>
              <w:rPr>
                <w:rFonts w:hint="eastAsia" w:ascii="宋体" w:hAnsi="宋体" w:eastAsia="宋体" w:cs="宋体"/>
                <w:bCs/>
                <w:sz w:val="24"/>
                <w:szCs w:val="24"/>
              </w:rPr>
            </w:pPr>
          </w:p>
        </w:tc>
        <w:tc>
          <w:tcPr>
            <w:tcW w:w="1304" w:type="dxa"/>
            <w:noWrap w:val="0"/>
            <w:vAlign w:val="center"/>
          </w:tcPr>
          <w:p w14:paraId="01CE58D5">
            <w:pPr>
              <w:spacing w:line="360" w:lineRule="auto"/>
              <w:ind w:left="210" w:leftChars="100"/>
              <w:rPr>
                <w:rFonts w:hint="eastAsia" w:ascii="宋体" w:hAnsi="宋体" w:eastAsia="宋体" w:cs="宋体"/>
                <w:bCs/>
                <w:sz w:val="24"/>
                <w:szCs w:val="24"/>
              </w:rPr>
            </w:pPr>
          </w:p>
        </w:tc>
      </w:tr>
      <w:tr w14:paraId="1AC4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9" w:type="dxa"/>
            <w:noWrap w:val="0"/>
            <w:tcMar>
              <w:top w:w="57" w:type="dxa"/>
              <w:left w:w="28" w:type="dxa"/>
              <w:bottom w:w="57" w:type="dxa"/>
              <w:right w:w="28" w:type="dxa"/>
            </w:tcMar>
            <w:vAlign w:val="center"/>
          </w:tcPr>
          <w:p w14:paraId="12C4B147">
            <w:pPr>
              <w:spacing w:line="360" w:lineRule="auto"/>
              <w:ind w:left="210" w:leftChars="100"/>
              <w:rPr>
                <w:rFonts w:hint="eastAsia" w:ascii="宋体" w:hAnsi="宋体" w:eastAsia="宋体" w:cs="宋体"/>
                <w:bCs/>
                <w:sz w:val="24"/>
                <w:szCs w:val="24"/>
              </w:rPr>
            </w:pPr>
          </w:p>
        </w:tc>
        <w:tc>
          <w:tcPr>
            <w:tcW w:w="2378" w:type="dxa"/>
            <w:noWrap w:val="0"/>
            <w:tcMar>
              <w:top w:w="57" w:type="dxa"/>
              <w:left w:w="28" w:type="dxa"/>
              <w:bottom w:w="57" w:type="dxa"/>
              <w:right w:w="28" w:type="dxa"/>
            </w:tcMar>
            <w:vAlign w:val="center"/>
          </w:tcPr>
          <w:p w14:paraId="32AF4012">
            <w:pPr>
              <w:spacing w:line="360" w:lineRule="auto"/>
              <w:ind w:left="210" w:leftChars="100"/>
              <w:rPr>
                <w:rFonts w:hint="eastAsia" w:ascii="宋体" w:hAnsi="宋体" w:eastAsia="宋体" w:cs="宋体"/>
                <w:bCs/>
                <w:sz w:val="24"/>
                <w:szCs w:val="24"/>
              </w:rPr>
            </w:pPr>
          </w:p>
        </w:tc>
        <w:tc>
          <w:tcPr>
            <w:tcW w:w="2572" w:type="dxa"/>
            <w:noWrap w:val="0"/>
            <w:tcMar>
              <w:top w:w="57" w:type="dxa"/>
              <w:left w:w="28" w:type="dxa"/>
              <w:bottom w:w="57" w:type="dxa"/>
              <w:right w:w="28" w:type="dxa"/>
            </w:tcMar>
            <w:vAlign w:val="center"/>
          </w:tcPr>
          <w:p w14:paraId="28503FAD">
            <w:pPr>
              <w:spacing w:line="360" w:lineRule="auto"/>
              <w:ind w:left="210" w:leftChars="100"/>
              <w:rPr>
                <w:rFonts w:hint="eastAsia" w:ascii="宋体" w:hAnsi="宋体" w:eastAsia="宋体" w:cs="宋体"/>
                <w:bCs/>
                <w:sz w:val="24"/>
                <w:szCs w:val="24"/>
              </w:rPr>
            </w:pPr>
          </w:p>
        </w:tc>
        <w:tc>
          <w:tcPr>
            <w:tcW w:w="1882" w:type="dxa"/>
            <w:noWrap w:val="0"/>
            <w:tcMar>
              <w:top w:w="57" w:type="dxa"/>
              <w:left w:w="28" w:type="dxa"/>
              <w:bottom w:w="57" w:type="dxa"/>
              <w:right w:w="28" w:type="dxa"/>
            </w:tcMar>
            <w:vAlign w:val="center"/>
          </w:tcPr>
          <w:p w14:paraId="109C8A94">
            <w:pPr>
              <w:spacing w:line="360" w:lineRule="auto"/>
              <w:ind w:left="210" w:leftChars="100"/>
              <w:rPr>
                <w:rFonts w:hint="eastAsia" w:ascii="宋体" w:hAnsi="宋体" w:eastAsia="宋体" w:cs="宋体"/>
                <w:bCs/>
                <w:sz w:val="24"/>
                <w:szCs w:val="24"/>
              </w:rPr>
            </w:pPr>
          </w:p>
        </w:tc>
        <w:tc>
          <w:tcPr>
            <w:tcW w:w="1304" w:type="dxa"/>
            <w:noWrap w:val="0"/>
            <w:vAlign w:val="center"/>
          </w:tcPr>
          <w:p w14:paraId="3955892A">
            <w:pPr>
              <w:spacing w:line="360" w:lineRule="auto"/>
              <w:ind w:left="210" w:leftChars="100"/>
              <w:rPr>
                <w:rFonts w:hint="eastAsia" w:ascii="宋体" w:hAnsi="宋体" w:eastAsia="宋体" w:cs="宋体"/>
                <w:bCs/>
                <w:sz w:val="24"/>
                <w:szCs w:val="24"/>
              </w:rPr>
            </w:pPr>
          </w:p>
        </w:tc>
      </w:tr>
      <w:tr w14:paraId="04F2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9" w:type="dxa"/>
            <w:noWrap w:val="0"/>
            <w:tcMar>
              <w:top w:w="57" w:type="dxa"/>
              <w:left w:w="28" w:type="dxa"/>
              <w:bottom w:w="57" w:type="dxa"/>
              <w:right w:w="28" w:type="dxa"/>
            </w:tcMar>
            <w:vAlign w:val="center"/>
          </w:tcPr>
          <w:p w14:paraId="71C89D2E">
            <w:pPr>
              <w:spacing w:line="360" w:lineRule="auto"/>
              <w:ind w:left="210" w:leftChars="100"/>
              <w:rPr>
                <w:rFonts w:hint="eastAsia" w:ascii="宋体" w:hAnsi="宋体" w:eastAsia="宋体" w:cs="宋体"/>
                <w:bCs/>
                <w:sz w:val="24"/>
                <w:szCs w:val="24"/>
              </w:rPr>
            </w:pPr>
          </w:p>
        </w:tc>
        <w:tc>
          <w:tcPr>
            <w:tcW w:w="2378" w:type="dxa"/>
            <w:noWrap w:val="0"/>
            <w:tcMar>
              <w:top w:w="57" w:type="dxa"/>
              <w:left w:w="28" w:type="dxa"/>
              <w:bottom w:w="57" w:type="dxa"/>
              <w:right w:w="28" w:type="dxa"/>
            </w:tcMar>
            <w:vAlign w:val="center"/>
          </w:tcPr>
          <w:p w14:paraId="5E90C822">
            <w:pPr>
              <w:spacing w:line="360" w:lineRule="auto"/>
              <w:ind w:left="210" w:leftChars="100"/>
              <w:rPr>
                <w:rFonts w:hint="eastAsia" w:ascii="宋体" w:hAnsi="宋体" w:eastAsia="宋体" w:cs="宋体"/>
                <w:bCs/>
                <w:sz w:val="24"/>
                <w:szCs w:val="24"/>
              </w:rPr>
            </w:pPr>
          </w:p>
        </w:tc>
        <w:tc>
          <w:tcPr>
            <w:tcW w:w="2572" w:type="dxa"/>
            <w:noWrap w:val="0"/>
            <w:tcMar>
              <w:top w:w="57" w:type="dxa"/>
              <w:left w:w="28" w:type="dxa"/>
              <w:bottom w:w="57" w:type="dxa"/>
              <w:right w:w="28" w:type="dxa"/>
            </w:tcMar>
            <w:vAlign w:val="center"/>
          </w:tcPr>
          <w:p w14:paraId="0BE7469B">
            <w:pPr>
              <w:spacing w:line="360" w:lineRule="auto"/>
              <w:ind w:left="210" w:leftChars="100"/>
              <w:rPr>
                <w:rFonts w:hint="eastAsia" w:ascii="宋体" w:hAnsi="宋体" w:eastAsia="宋体" w:cs="宋体"/>
                <w:bCs/>
                <w:sz w:val="24"/>
                <w:szCs w:val="24"/>
              </w:rPr>
            </w:pPr>
          </w:p>
        </w:tc>
        <w:tc>
          <w:tcPr>
            <w:tcW w:w="1882" w:type="dxa"/>
            <w:noWrap w:val="0"/>
            <w:tcMar>
              <w:top w:w="57" w:type="dxa"/>
              <w:left w:w="28" w:type="dxa"/>
              <w:bottom w:w="57" w:type="dxa"/>
              <w:right w:w="28" w:type="dxa"/>
            </w:tcMar>
            <w:vAlign w:val="center"/>
          </w:tcPr>
          <w:p w14:paraId="35AF7A66">
            <w:pPr>
              <w:spacing w:line="360" w:lineRule="auto"/>
              <w:ind w:left="210" w:leftChars="100"/>
              <w:rPr>
                <w:rFonts w:hint="eastAsia" w:ascii="宋体" w:hAnsi="宋体" w:eastAsia="宋体" w:cs="宋体"/>
                <w:bCs/>
                <w:sz w:val="24"/>
                <w:szCs w:val="24"/>
              </w:rPr>
            </w:pPr>
          </w:p>
        </w:tc>
        <w:tc>
          <w:tcPr>
            <w:tcW w:w="1304" w:type="dxa"/>
            <w:noWrap w:val="0"/>
            <w:vAlign w:val="center"/>
          </w:tcPr>
          <w:p w14:paraId="1675E01A">
            <w:pPr>
              <w:spacing w:line="360" w:lineRule="auto"/>
              <w:ind w:left="210" w:leftChars="100"/>
              <w:rPr>
                <w:rFonts w:hint="eastAsia" w:ascii="宋体" w:hAnsi="宋体" w:eastAsia="宋体" w:cs="宋体"/>
                <w:bCs/>
                <w:sz w:val="24"/>
                <w:szCs w:val="24"/>
              </w:rPr>
            </w:pPr>
          </w:p>
        </w:tc>
      </w:tr>
      <w:tr w14:paraId="4E63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9" w:type="dxa"/>
            <w:noWrap w:val="0"/>
            <w:tcMar>
              <w:top w:w="57" w:type="dxa"/>
              <w:left w:w="28" w:type="dxa"/>
              <w:bottom w:w="57" w:type="dxa"/>
              <w:right w:w="28" w:type="dxa"/>
            </w:tcMar>
            <w:vAlign w:val="center"/>
          </w:tcPr>
          <w:p w14:paraId="15E86779">
            <w:pPr>
              <w:spacing w:line="360" w:lineRule="auto"/>
              <w:ind w:left="210" w:leftChars="100"/>
              <w:rPr>
                <w:rFonts w:hint="eastAsia" w:ascii="宋体" w:hAnsi="宋体" w:eastAsia="宋体" w:cs="宋体"/>
                <w:bCs/>
                <w:sz w:val="24"/>
                <w:szCs w:val="24"/>
              </w:rPr>
            </w:pPr>
          </w:p>
        </w:tc>
        <w:tc>
          <w:tcPr>
            <w:tcW w:w="2378" w:type="dxa"/>
            <w:noWrap w:val="0"/>
            <w:tcMar>
              <w:top w:w="57" w:type="dxa"/>
              <w:left w:w="28" w:type="dxa"/>
              <w:bottom w:w="57" w:type="dxa"/>
              <w:right w:w="28" w:type="dxa"/>
            </w:tcMar>
            <w:vAlign w:val="center"/>
          </w:tcPr>
          <w:p w14:paraId="5294EFA0">
            <w:pPr>
              <w:spacing w:line="360" w:lineRule="auto"/>
              <w:ind w:left="210" w:leftChars="100"/>
              <w:rPr>
                <w:rFonts w:hint="eastAsia" w:ascii="宋体" w:hAnsi="宋体" w:eastAsia="宋体" w:cs="宋体"/>
                <w:bCs/>
                <w:sz w:val="24"/>
                <w:szCs w:val="24"/>
              </w:rPr>
            </w:pPr>
          </w:p>
        </w:tc>
        <w:tc>
          <w:tcPr>
            <w:tcW w:w="2572" w:type="dxa"/>
            <w:noWrap w:val="0"/>
            <w:tcMar>
              <w:top w:w="57" w:type="dxa"/>
              <w:left w:w="28" w:type="dxa"/>
              <w:bottom w:w="57" w:type="dxa"/>
              <w:right w:w="28" w:type="dxa"/>
            </w:tcMar>
            <w:vAlign w:val="center"/>
          </w:tcPr>
          <w:p w14:paraId="50CBF7B8">
            <w:pPr>
              <w:spacing w:line="360" w:lineRule="auto"/>
              <w:ind w:left="210" w:leftChars="100"/>
              <w:rPr>
                <w:rFonts w:hint="eastAsia" w:ascii="宋体" w:hAnsi="宋体" w:eastAsia="宋体" w:cs="宋体"/>
                <w:bCs/>
                <w:sz w:val="24"/>
                <w:szCs w:val="24"/>
              </w:rPr>
            </w:pPr>
          </w:p>
        </w:tc>
        <w:tc>
          <w:tcPr>
            <w:tcW w:w="1882" w:type="dxa"/>
            <w:noWrap w:val="0"/>
            <w:tcMar>
              <w:top w:w="57" w:type="dxa"/>
              <w:left w:w="28" w:type="dxa"/>
              <w:bottom w:w="57" w:type="dxa"/>
              <w:right w:w="28" w:type="dxa"/>
            </w:tcMar>
            <w:vAlign w:val="center"/>
          </w:tcPr>
          <w:p w14:paraId="323FF676">
            <w:pPr>
              <w:spacing w:line="360" w:lineRule="auto"/>
              <w:ind w:left="210" w:leftChars="100"/>
              <w:rPr>
                <w:rFonts w:hint="eastAsia" w:ascii="宋体" w:hAnsi="宋体" w:eastAsia="宋体" w:cs="宋体"/>
                <w:bCs/>
                <w:sz w:val="24"/>
                <w:szCs w:val="24"/>
              </w:rPr>
            </w:pPr>
          </w:p>
        </w:tc>
        <w:tc>
          <w:tcPr>
            <w:tcW w:w="1304" w:type="dxa"/>
            <w:noWrap w:val="0"/>
            <w:vAlign w:val="center"/>
          </w:tcPr>
          <w:p w14:paraId="370B5891">
            <w:pPr>
              <w:spacing w:line="360" w:lineRule="auto"/>
              <w:ind w:left="210" w:leftChars="100"/>
              <w:rPr>
                <w:rFonts w:hint="eastAsia" w:ascii="宋体" w:hAnsi="宋体" w:eastAsia="宋体" w:cs="宋体"/>
                <w:bCs/>
                <w:sz w:val="24"/>
                <w:szCs w:val="24"/>
              </w:rPr>
            </w:pPr>
          </w:p>
        </w:tc>
      </w:tr>
      <w:tr w14:paraId="443D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9" w:type="dxa"/>
            <w:noWrap w:val="0"/>
            <w:tcMar>
              <w:top w:w="57" w:type="dxa"/>
              <w:left w:w="28" w:type="dxa"/>
              <w:bottom w:w="57" w:type="dxa"/>
              <w:right w:w="28" w:type="dxa"/>
            </w:tcMar>
            <w:vAlign w:val="center"/>
          </w:tcPr>
          <w:p w14:paraId="4CCF4DAA">
            <w:pPr>
              <w:spacing w:line="360" w:lineRule="auto"/>
              <w:ind w:left="210" w:leftChars="100"/>
              <w:rPr>
                <w:rFonts w:hint="eastAsia" w:ascii="宋体" w:hAnsi="宋体" w:eastAsia="宋体" w:cs="宋体"/>
                <w:bCs/>
                <w:sz w:val="24"/>
                <w:szCs w:val="24"/>
              </w:rPr>
            </w:pPr>
          </w:p>
        </w:tc>
        <w:tc>
          <w:tcPr>
            <w:tcW w:w="2378" w:type="dxa"/>
            <w:noWrap w:val="0"/>
            <w:tcMar>
              <w:top w:w="57" w:type="dxa"/>
              <w:left w:w="28" w:type="dxa"/>
              <w:bottom w:w="57" w:type="dxa"/>
              <w:right w:w="28" w:type="dxa"/>
            </w:tcMar>
            <w:vAlign w:val="center"/>
          </w:tcPr>
          <w:p w14:paraId="230490CF">
            <w:pPr>
              <w:spacing w:line="360" w:lineRule="auto"/>
              <w:ind w:left="210" w:leftChars="100"/>
              <w:rPr>
                <w:rFonts w:hint="eastAsia" w:ascii="宋体" w:hAnsi="宋体" w:eastAsia="宋体" w:cs="宋体"/>
                <w:bCs/>
                <w:sz w:val="24"/>
                <w:szCs w:val="24"/>
              </w:rPr>
            </w:pPr>
          </w:p>
        </w:tc>
        <w:tc>
          <w:tcPr>
            <w:tcW w:w="2572" w:type="dxa"/>
            <w:noWrap w:val="0"/>
            <w:tcMar>
              <w:top w:w="57" w:type="dxa"/>
              <w:left w:w="28" w:type="dxa"/>
              <w:bottom w:w="57" w:type="dxa"/>
              <w:right w:w="28" w:type="dxa"/>
            </w:tcMar>
            <w:vAlign w:val="center"/>
          </w:tcPr>
          <w:p w14:paraId="7A9196AF">
            <w:pPr>
              <w:spacing w:line="360" w:lineRule="auto"/>
              <w:ind w:left="210" w:leftChars="100"/>
              <w:rPr>
                <w:rFonts w:hint="eastAsia" w:ascii="宋体" w:hAnsi="宋体" w:eastAsia="宋体" w:cs="宋体"/>
                <w:bCs/>
                <w:sz w:val="24"/>
                <w:szCs w:val="24"/>
              </w:rPr>
            </w:pPr>
          </w:p>
        </w:tc>
        <w:tc>
          <w:tcPr>
            <w:tcW w:w="1882" w:type="dxa"/>
            <w:noWrap w:val="0"/>
            <w:tcMar>
              <w:top w:w="57" w:type="dxa"/>
              <w:left w:w="28" w:type="dxa"/>
              <w:bottom w:w="57" w:type="dxa"/>
              <w:right w:w="28" w:type="dxa"/>
            </w:tcMar>
            <w:vAlign w:val="center"/>
          </w:tcPr>
          <w:p w14:paraId="4226AA4F">
            <w:pPr>
              <w:spacing w:line="360" w:lineRule="auto"/>
              <w:ind w:left="210" w:leftChars="100"/>
              <w:rPr>
                <w:rFonts w:hint="eastAsia" w:ascii="宋体" w:hAnsi="宋体" w:eastAsia="宋体" w:cs="宋体"/>
                <w:bCs/>
                <w:sz w:val="24"/>
                <w:szCs w:val="24"/>
              </w:rPr>
            </w:pPr>
          </w:p>
        </w:tc>
        <w:tc>
          <w:tcPr>
            <w:tcW w:w="1304" w:type="dxa"/>
            <w:noWrap w:val="0"/>
            <w:vAlign w:val="center"/>
          </w:tcPr>
          <w:p w14:paraId="4191A060">
            <w:pPr>
              <w:spacing w:line="360" w:lineRule="auto"/>
              <w:ind w:left="210" w:leftChars="100"/>
              <w:rPr>
                <w:rFonts w:hint="eastAsia" w:ascii="宋体" w:hAnsi="宋体" w:eastAsia="宋体" w:cs="宋体"/>
                <w:bCs/>
                <w:sz w:val="24"/>
                <w:szCs w:val="24"/>
              </w:rPr>
            </w:pPr>
          </w:p>
        </w:tc>
      </w:tr>
      <w:tr w14:paraId="5859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9" w:type="dxa"/>
            <w:noWrap w:val="0"/>
            <w:tcMar>
              <w:top w:w="57" w:type="dxa"/>
              <w:left w:w="28" w:type="dxa"/>
              <w:bottom w:w="57" w:type="dxa"/>
              <w:right w:w="28" w:type="dxa"/>
            </w:tcMar>
            <w:vAlign w:val="center"/>
          </w:tcPr>
          <w:p w14:paraId="048BDBA9">
            <w:pPr>
              <w:spacing w:line="360" w:lineRule="auto"/>
              <w:ind w:left="210" w:leftChars="100"/>
              <w:rPr>
                <w:rFonts w:hint="eastAsia" w:ascii="宋体" w:hAnsi="宋体" w:eastAsia="宋体" w:cs="宋体"/>
                <w:bCs/>
                <w:sz w:val="24"/>
                <w:szCs w:val="24"/>
              </w:rPr>
            </w:pPr>
          </w:p>
        </w:tc>
        <w:tc>
          <w:tcPr>
            <w:tcW w:w="2378" w:type="dxa"/>
            <w:noWrap w:val="0"/>
            <w:tcMar>
              <w:top w:w="57" w:type="dxa"/>
              <w:left w:w="28" w:type="dxa"/>
              <w:bottom w:w="57" w:type="dxa"/>
              <w:right w:w="28" w:type="dxa"/>
            </w:tcMar>
            <w:vAlign w:val="center"/>
          </w:tcPr>
          <w:p w14:paraId="3C2D7597">
            <w:pPr>
              <w:spacing w:line="360" w:lineRule="auto"/>
              <w:ind w:left="210" w:leftChars="100"/>
              <w:rPr>
                <w:rFonts w:hint="eastAsia" w:ascii="宋体" w:hAnsi="宋体" w:eastAsia="宋体" w:cs="宋体"/>
                <w:bCs/>
                <w:sz w:val="24"/>
                <w:szCs w:val="24"/>
              </w:rPr>
            </w:pPr>
          </w:p>
        </w:tc>
        <w:tc>
          <w:tcPr>
            <w:tcW w:w="2572" w:type="dxa"/>
            <w:noWrap w:val="0"/>
            <w:tcMar>
              <w:top w:w="57" w:type="dxa"/>
              <w:left w:w="28" w:type="dxa"/>
              <w:bottom w:w="57" w:type="dxa"/>
              <w:right w:w="28" w:type="dxa"/>
            </w:tcMar>
            <w:vAlign w:val="center"/>
          </w:tcPr>
          <w:p w14:paraId="5C9304EC">
            <w:pPr>
              <w:spacing w:line="360" w:lineRule="auto"/>
              <w:ind w:left="210" w:leftChars="100"/>
              <w:rPr>
                <w:rFonts w:hint="eastAsia" w:ascii="宋体" w:hAnsi="宋体" w:eastAsia="宋体" w:cs="宋体"/>
                <w:bCs/>
                <w:sz w:val="24"/>
                <w:szCs w:val="24"/>
              </w:rPr>
            </w:pPr>
          </w:p>
        </w:tc>
        <w:tc>
          <w:tcPr>
            <w:tcW w:w="1882" w:type="dxa"/>
            <w:noWrap w:val="0"/>
            <w:tcMar>
              <w:top w:w="57" w:type="dxa"/>
              <w:left w:w="28" w:type="dxa"/>
              <w:bottom w:w="57" w:type="dxa"/>
              <w:right w:w="28" w:type="dxa"/>
            </w:tcMar>
            <w:vAlign w:val="center"/>
          </w:tcPr>
          <w:p w14:paraId="24FDC9AA">
            <w:pPr>
              <w:spacing w:line="360" w:lineRule="auto"/>
              <w:ind w:left="210" w:leftChars="100"/>
              <w:rPr>
                <w:rFonts w:hint="eastAsia" w:ascii="宋体" w:hAnsi="宋体" w:eastAsia="宋体" w:cs="宋体"/>
                <w:bCs/>
                <w:sz w:val="24"/>
                <w:szCs w:val="24"/>
              </w:rPr>
            </w:pPr>
          </w:p>
        </w:tc>
        <w:tc>
          <w:tcPr>
            <w:tcW w:w="1304" w:type="dxa"/>
            <w:noWrap w:val="0"/>
            <w:vAlign w:val="center"/>
          </w:tcPr>
          <w:p w14:paraId="321B99D2">
            <w:pPr>
              <w:spacing w:line="360" w:lineRule="auto"/>
              <w:ind w:left="210" w:leftChars="100"/>
              <w:rPr>
                <w:rFonts w:hint="eastAsia" w:ascii="宋体" w:hAnsi="宋体" w:eastAsia="宋体" w:cs="宋体"/>
                <w:bCs/>
                <w:sz w:val="24"/>
                <w:szCs w:val="24"/>
              </w:rPr>
            </w:pPr>
          </w:p>
        </w:tc>
      </w:tr>
      <w:tr w14:paraId="7FE1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9" w:type="dxa"/>
            <w:noWrap w:val="0"/>
            <w:tcMar>
              <w:top w:w="57" w:type="dxa"/>
              <w:left w:w="28" w:type="dxa"/>
              <w:bottom w:w="57" w:type="dxa"/>
              <w:right w:w="28" w:type="dxa"/>
            </w:tcMar>
            <w:vAlign w:val="center"/>
          </w:tcPr>
          <w:p w14:paraId="72E9BE4F">
            <w:pPr>
              <w:spacing w:line="360" w:lineRule="auto"/>
              <w:ind w:left="210" w:leftChars="100"/>
              <w:rPr>
                <w:rFonts w:hint="eastAsia" w:ascii="宋体" w:hAnsi="宋体" w:eastAsia="宋体" w:cs="宋体"/>
                <w:bCs/>
                <w:sz w:val="24"/>
                <w:szCs w:val="24"/>
              </w:rPr>
            </w:pPr>
          </w:p>
        </w:tc>
        <w:tc>
          <w:tcPr>
            <w:tcW w:w="2378" w:type="dxa"/>
            <w:noWrap w:val="0"/>
            <w:tcMar>
              <w:top w:w="57" w:type="dxa"/>
              <w:left w:w="28" w:type="dxa"/>
              <w:bottom w:w="57" w:type="dxa"/>
              <w:right w:w="28" w:type="dxa"/>
            </w:tcMar>
            <w:vAlign w:val="center"/>
          </w:tcPr>
          <w:p w14:paraId="1E794C32">
            <w:pPr>
              <w:spacing w:line="360" w:lineRule="auto"/>
              <w:ind w:left="210" w:leftChars="100"/>
              <w:rPr>
                <w:rFonts w:hint="eastAsia" w:ascii="宋体" w:hAnsi="宋体" w:eastAsia="宋体" w:cs="宋体"/>
                <w:bCs/>
                <w:sz w:val="24"/>
                <w:szCs w:val="24"/>
              </w:rPr>
            </w:pPr>
          </w:p>
        </w:tc>
        <w:tc>
          <w:tcPr>
            <w:tcW w:w="2572" w:type="dxa"/>
            <w:noWrap w:val="0"/>
            <w:tcMar>
              <w:top w:w="57" w:type="dxa"/>
              <w:left w:w="28" w:type="dxa"/>
              <w:bottom w:w="57" w:type="dxa"/>
              <w:right w:w="28" w:type="dxa"/>
            </w:tcMar>
            <w:vAlign w:val="center"/>
          </w:tcPr>
          <w:p w14:paraId="6D22EA9F">
            <w:pPr>
              <w:spacing w:line="360" w:lineRule="auto"/>
              <w:ind w:left="210" w:leftChars="100"/>
              <w:rPr>
                <w:rFonts w:hint="eastAsia" w:ascii="宋体" w:hAnsi="宋体" w:eastAsia="宋体" w:cs="宋体"/>
                <w:bCs/>
                <w:sz w:val="24"/>
                <w:szCs w:val="24"/>
              </w:rPr>
            </w:pPr>
          </w:p>
        </w:tc>
        <w:tc>
          <w:tcPr>
            <w:tcW w:w="1882" w:type="dxa"/>
            <w:noWrap w:val="0"/>
            <w:tcMar>
              <w:top w:w="57" w:type="dxa"/>
              <w:left w:w="28" w:type="dxa"/>
              <w:bottom w:w="57" w:type="dxa"/>
              <w:right w:w="28" w:type="dxa"/>
            </w:tcMar>
            <w:vAlign w:val="center"/>
          </w:tcPr>
          <w:p w14:paraId="059109CD">
            <w:pPr>
              <w:spacing w:line="360" w:lineRule="auto"/>
              <w:ind w:left="210" w:leftChars="100"/>
              <w:rPr>
                <w:rFonts w:hint="eastAsia" w:ascii="宋体" w:hAnsi="宋体" w:eastAsia="宋体" w:cs="宋体"/>
                <w:bCs/>
                <w:sz w:val="24"/>
                <w:szCs w:val="24"/>
              </w:rPr>
            </w:pPr>
          </w:p>
        </w:tc>
        <w:tc>
          <w:tcPr>
            <w:tcW w:w="1304" w:type="dxa"/>
            <w:noWrap w:val="0"/>
            <w:vAlign w:val="center"/>
          </w:tcPr>
          <w:p w14:paraId="0BE738C6">
            <w:pPr>
              <w:spacing w:line="360" w:lineRule="auto"/>
              <w:ind w:left="210" w:leftChars="100"/>
              <w:rPr>
                <w:rFonts w:hint="eastAsia" w:ascii="宋体" w:hAnsi="宋体" w:eastAsia="宋体" w:cs="宋体"/>
                <w:bCs/>
                <w:sz w:val="24"/>
                <w:szCs w:val="24"/>
              </w:rPr>
            </w:pPr>
          </w:p>
        </w:tc>
      </w:tr>
    </w:tbl>
    <w:p w14:paraId="19F238F6">
      <w:pPr>
        <w:spacing w:line="360" w:lineRule="auto"/>
        <w:rPr>
          <w:rFonts w:hint="eastAsia" w:ascii="宋体" w:hAnsi="宋体" w:eastAsia="宋体" w:cs="宋体"/>
          <w:color w:val="000000"/>
          <w:sz w:val="24"/>
          <w:szCs w:val="24"/>
        </w:rPr>
      </w:pPr>
      <w:r>
        <w:rPr>
          <w:rFonts w:hint="eastAsia" w:ascii="宋体" w:hAnsi="宋体" w:eastAsia="宋体" w:cs="宋体"/>
          <w:b/>
          <w:sz w:val="24"/>
          <w:szCs w:val="24"/>
        </w:rPr>
        <w:t>注：偏离情况填写正偏离、响应、负偏离。如有漏报、瞒报</w:t>
      </w:r>
      <w:r>
        <w:rPr>
          <w:rFonts w:hint="eastAsia" w:ascii="宋体" w:hAnsi="宋体" w:cs="宋体"/>
          <w:b/>
          <w:sz w:val="24"/>
          <w:szCs w:val="24"/>
          <w:lang w:eastAsia="zh-CN"/>
        </w:rPr>
        <w:t>磋商</w:t>
      </w:r>
      <w:r>
        <w:rPr>
          <w:rFonts w:hint="eastAsia" w:ascii="宋体" w:hAnsi="宋体" w:eastAsia="宋体" w:cs="宋体"/>
          <w:b/>
          <w:sz w:val="24"/>
          <w:szCs w:val="24"/>
        </w:rPr>
        <w:t>文件所要求的商务要求实质性要求的将视为没有实质性响应本</w:t>
      </w:r>
      <w:r>
        <w:rPr>
          <w:rFonts w:hint="eastAsia" w:ascii="宋体" w:hAnsi="宋体" w:cs="宋体"/>
          <w:b/>
          <w:sz w:val="24"/>
          <w:szCs w:val="24"/>
          <w:lang w:eastAsia="zh-CN"/>
        </w:rPr>
        <w:t>磋商</w:t>
      </w:r>
      <w:r>
        <w:rPr>
          <w:rFonts w:hint="eastAsia" w:ascii="宋体" w:hAnsi="宋体" w:eastAsia="宋体" w:cs="宋体"/>
          <w:b/>
          <w:sz w:val="24"/>
          <w:szCs w:val="24"/>
        </w:rPr>
        <w:t>文件。</w:t>
      </w:r>
    </w:p>
    <w:p w14:paraId="61F20CCE">
      <w:pPr>
        <w:spacing w:line="360" w:lineRule="auto"/>
        <w:ind w:right="-161" w:firstLine="960" w:firstLineChars="400"/>
        <w:jc w:val="right"/>
        <w:rPr>
          <w:rFonts w:hint="eastAsia" w:ascii="宋体" w:hAnsi="宋体" w:eastAsia="宋体" w:cs="宋体"/>
          <w:color w:val="000000"/>
          <w:sz w:val="24"/>
          <w:szCs w:val="24"/>
        </w:rPr>
      </w:pPr>
    </w:p>
    <w:p w14:paraId="5AA344FA">
      <w:pPr>
        <w:adjustRightInd w:val="0"/>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供应商</w:t>
      </w:r>
      <w:r>
        <w:rPr>
          <w:rFonts w:hint="eastAsia" w:ascii="宋体" w:hAnsi="宋体" w:eastAsia="宋体" w:cs="宋体"/>
          <w:bCs/>
          <w:color w:val="000000"/>
          <w:sz w:val="24"/>
          <w:szCs w:val="24"/>
          <w:highlight w:val="none"/>
        </w:rPr>
        <w:t>名称：</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（公章）</w:t>
      </w:r>
    </w:p>
    <w:p w14:paraId="62023961">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法定代表人或授权代表人：</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14:paraId="358BEB48">
      <w:pPr>
        <w:spacing w:line="360" w:lineRule="auto"/>
        <w:ind w:right="-161"/>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日   期：</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年</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月</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日</w:t>
      </w:r>
    </w:p>
    <w:p w14:paraId="0F842E8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DF48300">
      <w:pPr>
        <w:widowControl/>
        <w:numPr>
          <w:ilvl w:val="0"/>
          <w:numId w:val="5"/>
        </w:numPr>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其他资料</w:t>
      </w:r>
    </w:p>
    <w:p w14:paraId="7C502D6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供应商认为需要提供的其他资料</w:t>
      </w:r>
    </w:p>
    <w:sectPr>
      <w:footerReference r:id="rId15" w:type="first"/>
      <w:footerReference r:id="rId14" w:type="default"/>
      <w:pgSz w:w="11906" w:h="16838"/>
      <w:pgMar w:top="1440" w:right="1457" w:bottom="1440" w:left="1463" w:header="851" w:footer="992" w:gutter="0"/>
      <w:pgBorders>
        <w:top w:val="none" w:sz="0" w:space="0"/>
        <w:left w:val="none" w:sz="0" w:space="0"/>
        <w:bottom w:val="none" w:sz="0" w:space="0"/>
        <w:right w:val="none" w:sz="0" w:space="0"/>
      </w:pgBorders>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Ђˎ̥">
    <w:altName w:val="Times New Roman"/>
    <w:panose1 w:val="00000000000000000000"/>
    <w:charset w:val="00"/>
    <w:family w:val="auto"/>
    <w:pitch w:val="default"/>
    <w:sig w:usb0="00000000" w:usb1="00000000" w:usb2="00000000" w:usb3="00000000" w:csb0="00040001" w:csb1="00000000"/>
  </w:font>
  <w:font w:name="Bodoni MT">
    <w:altName w:val="Bodoni"/>
    <w:panose1 w:val="02070603080606020203"/>
    <w:charset w:val="00"/>
    <w:family w:val="roman"/>
    <w:pitch w:val="default"/>
    <w:sig w:usb0="00000000" w:usb1="00000000" w:usb2="00000000" w:usb3="00000000" w:csb0="20000001" w:csb1="00000000"/>
  </w:font>
  <w:font w:name="Bodoni">
    <w:panose1 w:val="02070603060706020303"/>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77F62">
    <w:pPr>
      <w:pStyle w:val="31"/>
      <w:framePr w:wrap="around" w:vAnchor="text" w:hAnchor="margin" w:xAlign="center" w:y="1"/>
      <w:rPr>
        <w:rStyle w:val="53"/>
      </w:rPr>
    </w:pPr>
    <w:r>
      <w:fldChar w:fldCharType="begin"/>
    </w:r>
    <w:r>
      <w:rPr>
        <w:rStyle w:val="53"/>
      </w:rPr>
      <w:instrText xml:space="preserve">PAGE  </w:instrText>
    </w:r>
    <w:r>
      <w:fldChar w:fldCharType="end"/>
    </w:r>
  </w:p>
  <w:p w14:paraId="21D1841E">
    <w:pPr>
      <w:pStyle w:val="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ED3BC">
    <w:pPr>
      <w:pStyle w:val="3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E655E">
                          <w:pPr>
                            <w:pStyle w:val="31"/>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CE655E">
                    <w:pPr>
                      <w:pStyle w:val="31"/>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1AF09">
    <w:pPr>
      <w:pStyle w:val="31"/>
      <w:tabs>
        <w:tab w:val="center" w:pos="4493"/>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910F">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050C">
    <w:pPr>
      <w:pStyle w:val="31"/>
      <w:tabs>
        <w:tab w:val="center" w:pos="4493"/>
        <w:tab w:val="clear" w:pos="4153"/>
      </w:tabs>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C7AC5">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4150F">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2368E">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47E0E">
                          <w:pPr>
                            <w:pStyle w:val="31"/>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947E0E">
                    <w:pPr>
                      <w:pStyle w:val="31"/>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1DC438">
                          <w:pPr>
                            <w:snapToGrid w:val="0"/>
                            <w:rPr>
                              <w:sz w:val="18"/>
                            </w:rPr>
                          </w:pP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kF58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X16jxWVPXoqjMM9DLQ1cxwpmGgPbbDpS4QY5Und81VdNUQm06X1ar0uKSUpNzuEXzxd9wHjWwWW&#10;JaPmgZ4vqypO7zGOpXNJ6ubgQRuTn9C4vwKEOUZU3oHpdmIyTpysOOyHid4emjOx62kPau5o7Tkz&#10;7xzJnFZmNsJs7Gfj6IM+dDToMk+J/u4YaaQ8aeowwhLD5NADZq7TsqUN+dPPVU8/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CpBefOAQAAqAMAAA4AAAAAAAAAAQAgAAAAHgEAAGRycy9l&#10;Mm9Eb2MueG1sUEsFBgAAAAAGAAYAWQEAAF4FAAAAAA==&#10;">
              <v:fill on="f" focussize="0,0"/>
              <v:stroke on="f"/>
              <v:imagedata o:title=""/>
              <o:lock v:ext="edit" aspectratio="f"/>
              <v:textbox inset="0mm,0mm,0mm,0mm" style="mso-fit-shape-to-text:t;">
                <w:txbxContent>
                  <w:p w14:paraId="0D1DC438">
                    <w:pPr>
                      <w:snapToGrid w:val="0"/>
                      <w:rPr>
                        <w:sz w:val="1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1D4BC">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D651F">
                          <w:pPr>
                            <w:pStyle w:val="31"/>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AD651F">
                    <w:pPr>
                      <w:pStyle w:val="31"/>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A4E90">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59C12">
                          <w:pPr>
                            <w:pStyle w:val="31"/>
                          </w:pPr>
                          <w:r>
                            <w:t xml:space="preserve">第 </w:t>
                          </w:r>
                          <w:r>
                            <w:fldChar w:fldCharType="begin"/>
                          </w:r>
                          <w:r>
                            <w:instrText xml:space="preserve"> PAGE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D59C12">
                    <w:pPr>
                      <w:pStyle w:val="31"/>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15819">
    <w:pPr>
      <w:pStyle w:val="32"/>
      <w:jc w:val="left"/>
      <w:rPr>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3087B">
    <w:pPr>
      <w:pStyle w:val="32"/>
      <w:tabs>
        <w:tab w:val="center" w:pos="4153"/>
        <w:tab w:val="right" w:pos="8306"/>
      </w:tabs>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7ADD">
    <w:pPr>
      <w:pStyle w:val="3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21FC7"/>
    <w:multiLevelType w:val="singleLevel"/>
    <w:tmpl w:val="ABE21FC7"/>
    <w:lvl w:ilvl="0" w:tentative="0">
      <w:start w:val="1"/>
      <w:numFmt w:val="chineseCounting"/>
      <w:suff w:val="nothing"/>
      <w:lvlText w:val="%1、"/>
      <w:lvlJc w:val="left"/>
      <w:rPr>
        <w:rFonts w:hint="eastAsia"/>
      </w:rPr>
    </w:lvl>
  </w:abstractNum>
  <w:abstractNum w:abstractNumId="1">
    <w:nsid w:val="1B2B703C"/>
    <w:multiLevelType w:val="singleLevel"/>
    <w:tmpl w:val="1B2B703C"/>
    <w:lvl w:ilvl="0" w:tentative="0">
      <w:start w:val="1"/>
      <w:numFmt w:val="chineseCounting"/>
      <w:suff w:val="nothing"/>
      <w:lvlText w:val="%1、"/>
      <w:lvlJc w:val="left"/>
      <w:rPr>
        <w:rFonts w:hint="eastAsia"/>
      </w:rPr>
    </w:lvl>
  </w:abstractNum>
  <w:abstractNum w:abstractNumId="2">
    <w:nsid w:val="3D690109"/>
    <w:multiLevelType w:val="singleLevel"/>
    <w:tmpl w:val="3D690109"/>
    <w:lvl w:ilvl="0" w:tentative="0">
      <w:start w:val="3"/>
      <w:numFmt w:val="chineseCounting"/>
      <w:suff w:val="nothing"/>
      <w:lvlText w:val="第%1部分、"/>
      <w:lvlJc w:val="left"/>
      <w:rPr>
        <w:rFonts w:hint="eastAsia"/>
      </w:rPr>
    </w:lvl>
  </w:abstractNum>
  <w:abstractNum w:abstractNumId="3">
    <w:nsid w:val="5937C3F8"/>
    <w:multiLevelType w:val="singleLevel"/>
    <w:tmpl w:val="5937C3F8"/>
    <w:lvl w:ilvl="0" w:tentative="0">
      <w:start w:val="2"/>
      <w:numFmt w:val="decimal"/>
      <w:suff w:val="nothing"/>
      <w:lvlText w:val="%1、"/>
      <w:lvlJc w:val="left"/>
    </w:lvl>
  </w:abstractNum>
  <w:abstractNum w:abstractNumId="4">
    <w:nsid w:val="6DCEB95F"/>
    <w:multiLevelType w:val="singleLevel"/>
    <w:tmpl w:val="6DCEB95F"/>
    <w:lvl w:ilvl="0" w:tentative="0">
      <w:start w:val="1"/>
      <w:numFmt w:val="decimal"/>
      <w:suff w:val="nothing"/>
      <w:lvlText w:val="%1、"/>
      <w:lvlJc w:val="left"/>
      <w:rPr>
        <w:rFonts w:hint="default" w:ascii="宋体" w:hAnsi="宋体" w:eastAsia="宋体" w:cstheme="minorEastAsia"/>
        <w:sz w:val="24"/>
        <w:szCs w:val="24"/>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YzgyNjUwYjljYTQ1YTZjY2Q0ZDYyN2UxMzMzNWEifQ=="/>
  </w:docVars>
  <w:rsids>
    <w:rsidRoot w:val="00172A27"/>
    <w:rsid w:val="000118A6"/>
    <w:rsid w:val="00020033"/>
    <w:rsid w:val="000278FD"/>
    <w:rsid w:val="00035DDE"/>
    <w:rsid w:val="0004086F"/>
    <w:rsid w:val="000729B1"/>
    <w:rsid w:val="00077DC4"/>
    <w:rsid w:val="0008076A"/>
    <w:rsid w:val="00083D34"/>
    <w:rsid w:val="000A2EE8"/>
    <w:rsid w:val="000A6D8D"/>
    <w:rsid w:val="000C50D1"/>
    <w:rsid w:val="00112040"/>
    <w:rsid w:val="001226A4"/>
    <w:rsid w:val="00137BF8"/>
    <w:rsid w:val="00171D1A"/>
    <w:rsid w:val="00172A27"/>
    <w:rsid w:val="001975B4"/>
    <w:rsid w:val="001E6EA5"/>
    <w:rsid w:val="001F00FA"/>
    <w:rsid w:val="001F7DDA"/>
    <w:rsid w:val="00212A28"/>
    <w:rsid w:val="00213301"/>
    <w:rsid w:val="002149E7"/>
    <w:rsid w:val="002719F7"/>
    <w:rsid w:val="00294E0D"/>
    <w:rsid w:val="002B45FB"/>
    <w:rsid w:val="002D28A5"/>
    <w:rsid w:val="00322449"/>
    <w:rsid w:val="00342556"/>
    <w:rsid w:val="003632E5"/>
    <w:rsid w:val="0037466B"/>
    <w:rsid w:val="003F3D04"/>
    <w:rsid w:val="00401674"/>
    <w:rsid w:val="004023FA"/>
    <w:rsid w:val="00457D5C"/>
    <w:rsid w:val="00470EA3"/>
    <w:rsid w:val="00481960"/>
    <w:rsid w:val="00483A05"/>
    <w:rsid w:val="004960B2"/>
    <w:rsid w:val="004A4B7D"/>
    <w:rsid w:val="004B6504"/>
    <w:rsid w:val="004E2DDD"/>
    <w:rsid w:val="004F29D0"/>
    <w:rsid w:val="00554FED"/>
    <w:rsid w:val="00562C55"/>
    <w:rsid w:val="005664CE"/>
    <w:rsid w:val="0056776E"/>
    <w:rsid w:val="005D3FB8"/>
    <w:rsid w:val="005F34F6"/>
    <w:rsid w:val="00606614"/>
    <w:rsid w:val="006276E6"/>
    <w:rsid w:val="00651A05"/>
    <w:rsid w:val="0067022E"/>
    <w:rsid w:val="00671525"/>
    <w:rsid w:val="00674C9B"/>
    <w:rsid w:val="006D2E93"/>
    <w:rsid w:val="006D3DDA"/>
    <w:rsid w:val="006D6603"/>
    <w:rsid w:val="006E6468"/>
    <w:rsid w:val="006F37BC"/>
    <w:rsid w:val="00784799"/>
    <w:rsid w:val="007B640D"/>
    <w:rsid w:val="007C0B26"/>
    <w:rsid w:val="00823E0E"/>
    <w:rsid w:val="00840D24"/>
    <w:rsid w:val="00846811"/>
    <w:rsid w:val="00867068"/>
    <w:rsid w:val="00873E44"/>
    <w:rsid w:val="00880216"/>
    <w:rsid w:val="008D3F32"/>
    <w:rsid w:val="008E5731"/>
    <w:rsid w:val="008F2DB3"/>
    <w:rsid w:val="0092263A"/>
    <w:rsid w:val="00934F49"/>
    <w:rsid w:val="00940B81"/>
    <w:rsid w:val="00947657"/>
    <w:rsid w:val="0095185C"/>
    <w:rsid w:val="00951FEE"/>
    <w:rsid w:val="00972ED4"/>
    <w:rsid w:val="00974AD1"/>
    <w:rsid w:val="00984CBC"/>
    <w:rsid w:val="00991B16"/>
    <w:rsid w:val="009B123B"/>
    <w:rsid w:val="009B6EBD"/>
    <w:rsid w:val="009C39F1"/>
    <w:rsid w:val="009F15A6"/>
    <w:rsid w:val="00A071B1"/>
    <w:rsid w:val="00A31A56"/>
    <w:rsid w:val="00A40ABE"/>
    <w:rsid w:val="00A46C09"/>
    <w:rsid w:val="00A551CF"/>
    <w:rsid w:val="00A8528F"/>
    <w:rsid w:val="00A97829"/>
    <w:rsid w:val="00A97BD4"/>
    <w:rsid w:val="00AA2F0C"/>
    <w:rsid w:val="00AA6B5A"/>
    <w:rsid w:val="00AC680A"/>
    <w:rsid w:val="00AE4E5E"/>
    <w:rsid w:val="00AF4554"/>
    <w:rsid w:val="00B23DDB"/>
    <w:rsid w:val="00B858CE"/>
    <w:rsid w:val="00BA0D01"/>
    <w:rsid w:val="00C4526F"/>
    <w:rsid w:val="00CE61CA"/>
    <w:rsid w:val="00CF4E7C"/>
    <w:rsid w:val="00D50E2B"/>
    <w:rsid w:val="00D63540"/>
    <w:rsid w:val="00DA6CE6"/>
    <w:rsid w:val="00DB004A"/>
    <w:rsid w:val="00DD2393"/>
    <w:rsid w:val="00DF5997"/>
    <w:rsid w:val="00E12E9D"/>
    <w:rsid w:val="00E309F1"/>
    <w:rsid w:val="00E36C27"/>
    <w:rsid w:val="00E6307D"/>
    <w:rsid w:val="00E74EB1"/>
    <w:rsid w:val="00EA5BC3"/>
    <w:rsid w:val="00EA6A42"/>
    <w:rsid w:val="00EB5EED"/>
    <w:rsid w:val="00EB60B2"/>
    <w:rsid w:val="00F06647"/>
    <w:rsid w:val="00F525C4"/>
    <w:rsid w:val="00F54779"/>
    <w:rsid w:val="00F66623"/>
    <w:rsid w:val="00F92F08"/>
    <w:rsid w:val="00FB31D6"/>
    <w:rsid w:val="00FF72A8"/>
    <w:rsid w:val="01086C64"/>
    <w:rsid w:val="010C58BC"/>
    <w:rsid w:val="01164BFE"/>
    <w:rsid w:val="011E7A41"/>
    <w:rsid w:val="0129206B"/>
    <w:rsid w:val="01356835"/>
    <w:rsid w:val="01396E1E"/>
    <w:rsid w:val="013C3FDB"/>
    <w:rsid w:val="0154536E"/>
    <w:rsid w:val="015B456C"/>
    <w:rsid w:val="015F07A8"/>
    <w:rsid w:val="01677C43"/>
    <w:rsid w:val="017E1F09"/>
    <w:rsid w:val="01870CD3"/>
    <w:rsid w:val="019045A1"/>
    <w:rsid w:val="01966AE8"/>
    <w:rsid w:val="019841FA"/>
    <w:rsid w:val="019C07AC"/>
    <w:rsid w:val="01A16B52"/>
    <w:rsid w:val="01A372B8"/>
    <w:rsid w:val="01AD4F02"/>
    <w:rsid w:val="01B446F6"/>
    <w:rsid w:val="01BE3132"/>
    <w:rsid w:val="01BF025E"/>
    <w:rsid w:val="01C67C8E"/>
    <w:rsid w:val="01EB13A6"/>
    <w:rsid w:val="01F463D4"/>
    <w:rsid w:val="01FE11DD"/>
    <w:rsid w:val="021178DF"/>
    <w:rsid w:val="02117DC5"/>
    <w:rsid w:val="021835A3"/>
    <w:rsid w:val="021B4775"/>
    <w:rsid w:val="021E3D99"/>
    <w:rsid w:val="02232CDC"/>
    <w:rsid w:val="023A31EA"/>
    <w:rsid w:val="026E6F9B"/>
    <w:rsid w:val="02702364"/>
    <w:rsid w:val="02732292"/>
    <w:rsid w:val="02740BC1"/>
    <w:rsid w:val="02796ADE"/>
    <w:rsid w:val="027E3833"/>
    <w:rsid w:val="028529F6"/>
    <w:rsid w:val="028753C1"/>
    <w:rsid w:val="02B27F97"/>
    <w:rsid w:val="02BF3289"/>
    <w:rsid w:val="02C276F2"/>
    <w:rsid w:val="02C37900"/>
    <w:rsid w:val="02C71E7B"/>
    <w:rsid w:val="02D4385D"/>
    <w:rsid w:val="02EB4148"/>
    <w:rsid w:val="030D20D8"/>
    <w:rsid w:val="030D6559"/>
    <w:rsid w:val="03134779"/>
    <w:rsid w:val="03340C74"/>
    <w:rsid w:val="03342008"/>
    <w:rsid w:val="033670E2"/>
    <w:rsid w:val="033A2937"/>
    <w:rsid w:val="033B4572"/>
    <w:rsid w:val="03442F56"/>
    <w:rsid w:val="03497734"/>
    <w:rsid w:val="03507D3F"/>
    <w:rsid w:val="035C6DF3"/>
    <w:rsid w:val="036F6B27"/>
    <w:rsid w:val="0370464D"/>
    <w:rsid w:val="03720D3D"/>
    <w:rsid w:val="03791FC8"/>
    <w:rsid w:val="03802F3B"/>
    <w:rsid w:val="0380772A"/>
    <w:rsid w:val="03843986"/>
    <w:rsid w:val="038A1CCF"/>
    <w:rsid w:val="03A700A5"/>
    <w:rsid w:val="03A9350C"/>
    <w:rsid w:val="03B056C1"/>
    <w:rsid w:val="03B13985"/>
    <w:rsid w:val="03B46B82"/>
    <w:rsid w:val="03BA25A3"/>
    <w:rsid w:val="03BA365B"/>
    <w:rsid w:val="03BC7892"/>
    <w:rsid w:val="03CA6F85"/>
    <w:rsid w:val="03CC1F3F"/>
    <w:rsid w:val="03EE2DB6"/>
    <w:rsid w:val="040F3E66"/>
    <w:rsid w:val="040F6767"/>
    <w:rsid w:val="041065E3"/>
    <w:rsid w:val="04165F1D"/>
    <w:rsid w:val="04260532"/>
    <w:rsid w:val="04356715"/>
    <w:rsid w:val="043A617E"/>
    <w:rsid w:val="04421CDF"/>
    <w:rsid w:val="04426D8D"/>
    <w:rsid w:val="045418E9"/>
    <w:rsid w:val="045A4C00"/>
    <w:rsid w:val="045C0111"/>
    <w:rsid w:val="046C5452"/>
    <w:rsid w:val="046E5030"/>
    <w:rsid w:val="04865A0D"/>
    <w:rsid w:val="049539F5"/>
    <w:rsid w:val="04996A90"/>
    <w:rsid w:val="04A25D40"/>
    <w:rsid w:val="04AD2120"/>
    <w:rsid w:val="04B14BFB"/>
    <w:rsid w:val="04BB0E0D"/>
    <w:rsid w:val="04C87100"/>
    <w:rsid w:val="04C97D84"/>
    <w:rsid w:val="04CA4D78"/>
    <w:rsid w:val="04D56B94"/>
    <w:rsid w:val="04E34650"/>
    <w:rsid w:val="04E85114"/>
    <w:rsid w:val="04F217BD"/>
    <w:rsid w:val="04FF5445"/>
    <w:rsid w:val="050F2D5D"/>
    <w:rsid w:val="051B5AFD"/>
    <w:rsid w:val="052D2AB1"/>
    <w:rsid w:val="05355D38"/>
    <w:rsid w:val="05382C92"/>
    <w:rsid w:val="053C6237"/>
    <w:rsid w:val="05405242"/>
    <w:rsid w:val="05432CC2"/>
    <w:rsid w:val="054A15F9"/>
    <w:rsid w:val="05512434"/>
    <w:rsid w:val="055819A6"/>
    <w:rsid w:val="0563380C"/>
    <w:rsid w:val="05636827"/>
    <w:rsid w:val="05782372"/>
    <w:rsid w:val="057845E6"/>
    <w:rsid w:val="05800F65"/>
    <w:rsid w:val="058536B2"/>
    <w:rsid w:val="05864443"/>
    <w:rsid w:val="058E06F6"/>
    <w:rsid w:val="05905BF1"/>
    <w:rsid w:val="05911A52"/>
    <w:rsid w:val="0599238B"/>
    <w:rsid w:val="05BF732D"/>
    <w:rsid w:val="05C202D1"/>
    <w:rsid w:val="05C869C2"/>
    <w:rsid w:val="05D14557"/>
    <w:rsid w:val="05D425CE"/>
    <w:rsid w:val="05DE1D42"/>
    <w:rsid w:val="05E675A2"/>
    <w:rsid w:val="05FC16A2"/>
    <w:rsid w:val="06062500"/>
    <w:rsid w:val="0607573C"/>
    <w:rsid w:val="06194873"/>
    <w:rsid w:val="063110D8"/>
    <w:rsid w:val="06423D9D"/>
    <w:rsid w:val="064E1A9B"/>
    <w:rsid w:val="06612714"/>
    <w:rsid w:val="0667442D"/>
    <w:rsid w:val="067803E8"/>
    <w:rsid w:val="068B2CB1"/>
    <w:rsid w:val="06937501"/>
    <w:rsid w:val="069B053B"/>
    <w:rsid w:val="06B238FA"/>
    <w:rsid w:val="06B5096F"/>
    <w:rsid w:val="06B6599E"/>
    <w:rsid w:val="06CE2DB9"/>
    <w:rsid w:val="06D2060F"/>
    <w:rsid w:val="06D42A05"/>
    <w:rsid w:val="06DC407B"/>
    <w:rsid w:val="07045864"/>
    <w:rsid w:val="07087DBA"/>
    <w:rsid w:val="070E0EFE"/>
    <w:rsid w:val="0710121F"/>
    <w:rsid w:val="07112C54"/>
    <w:rsid w:val="07116F7D"/>
    <w:rsid w:val="071C4551"/>
    <w:rsid w:val="071D36E8"/>
    <w:rsid w:val="07225724"/>
    <w:rsid w:val="072405F5"/>
    <w:rsid w:val="07346A53"/>
    <w:rsid w:val="073C7FCF"/>
    <w:rsid w:val="074778FA"/>
    <w:rsid w:val="074814BA"/>
    <w:rsid w:val="074A5107"/>
    <w:rsid w:val="074D3351"/>
    <w:rsid w:val="075500DB"/>
    <w:rsid w:val="07620B19"/>
    <w:rsid w:val="07797F74"/>
    <w:rsid w:val="07923495"/>
    <w:rsid w:val="079D03CA"/>
    <w:rsid w:val="07B34014"/>
    <w:rsid w:val="07B94355"/>
    <w:rsid w:val="07C65BAD"/>
    <w:rsid w:val="07D03CED"/>
    <w:rsid w:val="07D61F6D"/>
    <w:rsid w:val="07D9338B"/>
    <w:rsid w:val="07E61E2B"/>
    <w:rsid w:val="080F7349"/>
    <w:rsid w:val="081473CE"/>
    <w:rsid w:val="081D7743"/>
    <w:rsid w:val="082A70AF"/>
    <w:rsid w:val="082A747D"/>
    <w:rsid w:val="08443378"/>
    <w:rsid w:val="08445D98"/>
    <w:rsid w:val="084C768F"/>
    <w:rsid w:val="08616CCE"/>
    <w:rsid w:val="08774F58"/>
    <w:rsid w:val="087D15BB"/>
    <w:rsid w:val="087D3E25"/>
    <w:rsid w:val="08843C93"/>
    <w:rsid w:val="08A70BD3"/>
    <w:rsid w:val="08A743E4"/>
    <w:rsid w:val="08AA1E06"/>
    <w:rsid w:val="08BB07FD"/>
    <w:rsid w:val="08BE0969"/>
    <w:rsid w:val="08C07E24"/>
    <w:rsid w:val="08D00067"/>
    <w:rsid w:val="08DB1659"/>
    <w:rsid w:val="08F91439"/>
    <w:rsid w:val="08FB15CE"/>
    <w:rsid w:val="091066B6"/>
    <w:rsid w:val="09171199"/>
    <w:rsid w:val="09181CFD"/>
    <w:rsid w:val="09192FF2"/>
    <w:rsid w:val="0921144B"/>
    <w:rsid w:val="092803CD"/>
    <w:rsid w:val="093F0D49"/>
    <w:rsid w:val="094311D8"/>
    <w:rsid w:val="094C247E"/>
    <w:rsid w:val="094E2FE5"/>
    <w:rsid w:val="095B73E3"/>
    <w:rsid w:val="09664528"/>
    <w:rsid w:val="09677578"/>
    <w:rsid w:val="098174E9"/>
    <w:rsid w:val="09880942"/>
    <w:rsid w:val="099759F9"/>
    <w:rsid w:val="099811F9"/>
    <w:rsid w:val="099C4507"/>
    <w:rsid w:val="099D2CA1"/>
    <w:rsid w:val="09A33B60"/>
    <w:rsid w:val="09A412D6"/>
    <w:rsid w:val="09A83253"/>
    <w:rsid w:val="09AB24F4"/>
    <w:rsid w:val="09AC427E"/>
    <w:rsid w:val="09B52A27"/>
    <w:rsid w:val="09B95084"/>
    <w:rsid w:val="09B97B8C"/>
    <w:rsid w:val="09BA7B09"/>
    <w:rsid w:val="09C30B0C"/>
    <w:rsid w:val="09CB607F"/>
    <w:rsid w:val="09D21387"/>
    <w:rsid w:val="09D36D1D"/>
    <w:rsid w:val="09F41FAF"/>
    <w:rsid w:val="0A14116A"/>
    <w:rsid w:val="0A186776"/>
    <w:rsid w:val="0A1A30C8"/>
    <w:rsid w:val="0A1D691B"/>
    <w:rsid w:val="0A1F1E71"/>
    <w:rsid w:val="0A2A78D6"/>
    <w:rsid w:val="0A2B760D"/>
    <w:rsid w:val="0A3219BF"/>
    <w:rsid w:val="0A35072C"/>
    <w:rsid w:val="0A3A34A0"/>
    <w:rsid w:val="0A3B6F30"/>
    <w:rsid w:val="0A3F3FAA"/>
    <w:rsid w:val="0A3F5003"/>
    <w:rsid w:val="0A41795F"/>
    <w:rsid w:val="0A426137"/>
    <w:rsid w:val="0A4A3E4A"/>
    <w:rsid w:val="0A4E3A7E"/>
    <w:rsid w:val="0A5151D8"/>
    <w:rsid w:val="0A525023"/>
    <w:rsid w:val="0A580DB3"/>
    <w:rsid w:val="0A5C5694"/>
    <w:rsid w:val="0A5E3497"/>
    <w:rsid w:val="0A601778"/>
    <w:rsid w:val="0A8612C8"/>
    <w:rsid w:val="0A872679"/>
    <w:rsid w:val="0A93759F"/>
    <w:rsid w:val="0A9B5C61"/>
    <w:rsid w:val="0ABA4ED8"/>
    <w:rsid w:val="0AC13531"/>
    <w:rsid w:val="0ADE1599"/>
    <w:rsid w:val="0AF25B09"/>
    <w:rsid w:val="0AFD0EBC"/>
    <w:rsid w:val="0B076D01"/>
    <w:rsid w:val="0B161675"/>
    <w:rsid w:val="0B263468"/>
    <w:rsid w:val="0B2F3ABC"/>
    <w:rsid w:val="0B3246FA"/>
    <w:rsid w:val="0B354AFA"/>
    <w:rsid w:val="0B3D1D48"/>
    <w:rsid w:val="0B5718C7"/>
    <w:rsid w:val="0B574884"/>
    <w:rsid w:val="0B6438AA"/>
    <w:rsid w:val="0B645030"/>
    <w:rsid w:val="0B77491E"/>
    <w:rsid w:val="0B791BFE"/>
    <w:rsid w:val="0B860213"/>
    <w:rsid w:val="0B95776D"/>
    <w:rsid w:val="0B9C0230"/>
    <w:rsid w:val="0BA957B5"/>
    <w:rsid w:val="0BAB15A1"/>
    <w:rsid w:val="0BBD4120"/>
    <w:rsid w:val="0BC105FE"/>
    <w:rsid w:val="0BCD088E"/>
    <w:rsid w:val="0BCE479A"/>
    <w:rsid w:val="0BCE55B0"/>
    <w:rsid w:val="0BED7182"/>
    <w:rsid w:val="0BF16C73"/>
    <w:rsid w:val="0C071333"/>
    <w:rsid w:val="0C092799"/>
    <w:rsid w:val="0C1D176D"/>
    <w:rsid w:val="0C1E31EF"/>
    <w:rsid w:val="0C254C56"/>
    <w:rsid w:val="0C275F3F"/>
    <w:rsid w:val="0C282886"/>
    <w:rsid w:val="0C2911DD"/>
    <w:rsid w:val="0C2959CB"/>
    <w:rsid w:val="0C402975"/>
    <w:rsid w:val="0C41302A"/>
    <w:rsid w:val="0C41686B"/>
    <w:rsid w:val="0C4B27B4"/>
    <w:rsid w:val="0C4F4CAB"/>
    <w:rsid w:val="0C502837"/>
    <w:rsid w:val="0C515227"/>
    <w:rsid w:val="0C5F4415"/>
    <w:rsid w:val="0C70404D"/>
    <w:rsid w:val="0C705FEA"/>
    <w:rsid w:val="0C8E3016"/>
    <w:rsid w:val="0C8E42AB"/>
    <w:rsid w:val="0C923CBB"/>
    <w:rsid w:val="0C934EA4"/>
    <w:rsid w:val="0C954E6C"/>
    <w:rsid w:val="0C9B09E6"/>
    <w:rsid w:val="0C9D673A"/>
    <w:rsid w:val="0CA13339"/>
    <w:rsid w:val="0CAF0101"/>
    <w:rsid w:val="0CB02D55"/>
    <w:rsid w:val="0CBF6E1E"/>
    <w:rsid w:val="0CC450AB"/>
    <w:rsid w:val="0CC555AF"/>
    <w:rsid w:val="0CC802F4"/>
    <w:rsid w:val="0CC9324A"/>
    <w:rsid w:val="0CE02843"/>
    <w:rsid w:val="0CEA640D"/>
    <w:rsid w:val="0CEC1358"/>
    <w:rsid w:val="0CF2426D"/>
    <w:rsid w:val="0CF255C4"/>
    <w:rsid w:val="0CFB69DE"/>
    <w:rsid w:val="0CFC4542"/>
    <w:rsid w:val="0D191EC3"/>
    <w:rsid w:val="0D1E2739"/>
    <w:rsid w:val="0D232572"/>
    <w:rsid w:val="0D361360"/>
    <w:rsid w:val="0D366907"/>
    <w:rsid w:val="0D4045DB"/>
    <w:rsid w:val="0D524941"/>
    <w:rsid w:val="0D527499"/>
    <w:rsid w:val="0D575FB3"/>
    <w:rsid w:val="0D5D6EA1"/>
    <w:rsid w:val="0D6241E0"/>
    <w:rsid w:val="0D650996"/>
    <w:rsid w:val="0D685825"/>
    <w:rsid w:val="0D816B79"/>
    <w:rsid w:val="0D9C01D3"/>
    <w:rsid w:val="0D9E5730"/>
    <w:rsid w:val="0DAE7D1E"/>
    <w:rsid w:val="0DB23A55"/>
    <w:rsid w:val="0DBE3598"/>
    <w:rsid w:val="0DC66919"/>
    <w:rsid w:val="0DCE465C"/>
    <w:rsid w:val="0DD728B0"/>
    <w:rsid w:val="0DDA1988"/>
    <w:rsid w:val="0DE0768C"/>
    <w:rsid w:val="0DED16BC"/>
    <w:rsid w:val="0DF32D7A"/>
    <w:rsid w:val="0E0038AC"/>
    <w:rsid w:val="0E057C8A"/>
    <w:rsid w:val="0E0D1A6E"/>
    <w:rsid w:val="0E114426"/>
    <w:rsid w:val="0E2447F1"/>
    <w:rsid w:val="0E276085"/>
    <w:rsid w:val="0E2F4723"/>
    <w:rsid w:val="0E37726F"/>
    <w:rsid w:val="0E3E79DA"/>
    <w:rsid w:val="0E4B437B"/>
    <w:rsid w:val="0E52195F"/>
    <w:rsid w:val="0E5608D6"/>
    <w:rsid w:val="0E5E7EC3"/>
    <w:rsid w:val="0E615783"/>
    <w:rsid w:val="0E756495"/>
    <w:rsid w:val="0E793AA3"/>
    <w:rsid w:val="0E7C47EE"/>
    <w:rsid w:val="0E8C6261"/>
    <w:rsid w:val="0E906965"/>
    <w:rsid w:val="0E957B75"/>
    <w:rsid w:val="0E9D177C"/>
    <w:rsid w:val="0EAA4628"/>
    <w:rsid w:val="0EB25ADB"/>
    <w:rsid w:val="0EC0292C"/>
    <w:rsid w:val="0EDB1F1D"/>
    <w:rsid w:val="0EE26341"/>
    <w:rsid w:val="0EE43B17"/>
    <w:rsid w:val="0EED0C69"/>
    <w:rsid w:val="0EED22FD"/>
    <w:rsid w:val="0EEF1694"/>
    <w:rsid w:val="0EF94C14"/>
    <w:rsid w:val="0EFA4090"/>
    <w:rsid w:val="0EFA6181"/>
    <w:rsid w:val="0EFD0021"/>
    <w:rsid w:val="0F0063BF"/>
    <w:rsid w:val="0F031835"/>
    <w:rsid w:val="0F0551D3"/>
    <w:rsid w:val="0F0E18EA"/>
    <w:rsid w:val="0F2C48AA"/>
    <w:rsid w:val="0F326A69"/>
    <w:rsid w:val="0F3649EA"/>
    <w:rsid w:val="0F3E112D"/>
    <w:rsid w:val="0F450A05"/>
    <w:rsid w:val="0F480FAB"/>
    <w:rsid w:val="0F4A52DE"/>
    <w:rsid w:val="0F4F0551"/>
    <w:rsid w:val="0F557BF8"/>
    <w:rsid w:val="0F5F5CA8"/>
    <w:rsid w:val="0F6E0E90"/>
    <w:rsid w:val="0F772BE0"/>
    <w:rsid w:val="0F934BD4"/>
    <w:rsid w:val="0F9A4637"/>
    <w:rsid w:val="0F9B265D"/>
    <w:rsid w:val="0F9F06F7"/>
    <w:rsid w:val="0FB61135"/>
    <w:rsid w:val="0FEF7F7A"/>
    <w:rsid w:val="0FF9631D"/>
    <w:rsid w:val="0FFA00C0"/>
    <w:rsid w:val="10037862"/>
    <w:rsid w:val="100A5B1A"/>
    <w:rsid w:val="10172273"/>
    <w:rsid w:val="101822F4"/>
    <w:rsid w:val="101B2ECD"/>
    <w:rsid w:val="103248F4"/>
    <w:rsid w:val="10417A9D"/>
    <w:rsid w:val="10432CDE"/>
    <w:rsid w:val="104E5940"/>
    <w:rsid w:val="10524583"/>
    <w:rsid w:val="10534337"/>
    <w:rsid w:val="10564B8E"/>
    <w:rsid w:val="105C08FA"/>
    <w:rsid w:val="106B4B1A"/>
    <w:rsid w:val="106E7218"/>
    <w:rsid w:val="10710C93"/>
    <w:rsid w:val="107478D6"/>
    <w:rsid w:val="10815DF3"/>
    <w:rsid w:val="109040B1"/>
    <w:rsid w:val="10AD0C8E"/>
    <w:rsid w:val="10AF225B"/>
    <w:rsid w:val="10B05AA5"/>
    <w:rsid w:val="10B54EF7"/>
    <w:rsid w:val="10DC0157"/>
    <w:rsid w:val="10E37236"/>
    <w:rsid w:val="10E44419"/>
    <w:rsid w:val="10E721A2"/>
    <w:rsid w:val="10EA3456"/>
    <w:rsid w:val="10EC6962"/>
    <w:rsid w:val="10ED6F62"/>
    <w:rsid w:val="10F667CF"/>
    <w:rsid w:val="10FA5F74"/>
    <w:rsid w:val="10FC467D"/>
    <w:rsid w:val="10FC4DAE"/>
    <w:rsid w:val="11003CCF"/>
    <w:rsid w:val="11015E44"/>
    <w:rsid w:val="1109142E"/>
    <w:rsid w:val="11123786"/>
    <w:rsid w:val="11174F57"/>
    <w:rsid w:val="112A0463"/>
    <w:rsid w:val="11331863"/>
    <w:rsid w:val="113B43A3"/>
    <w:rsid w:val="113D2012"/>
    <w:rsid w:val="11477EB7"/>
    <w:rsid w:val="114837BC"/>
    <w:rsid w:val="114C7BEA"/>
    <w:rsid w:val="114E2013"/>
    <w:rsid w:val="1153530B"/>
    <w:rsid w:val="116003F7"/>
    <w:rsid w:val="116E58C0"/>
    <w:rsid w:val="117A3266"/>
    <w:rsid w:val="11887A11"/>
    <w:rsid w:val="118A4F0F"/>
    <w:rsid w:val="118D441F"/>
    <w:rsid w:val="11987B90"/>
    <w:rsid w:val="11AB22F6"/>
    <w:rsid w:val="11AB6926"/>
    <w:rsid w:val="11B9652B"/>
    <w:rsid w:val="11C35D89"/>
    <w:rsid w:val="11D37829"/>
    <w:rsid w:val="11D92ECB"/>
    <w:rsid w:val="11DF5162"/>
    <w:rsid w:val="11E1306C"/>
    <w:rsid w:val="11E72B13"/>
    <w:rsid w:val="11ED7290"/>
    <w:rsid w:val="11F2191E"/>
    <w:rsid w:val="11F30640"/>
    <w:rsid w:val="11F32274"/>
    <w:rsid w:val="11F36B75"/>
    <w:rsid w:val="11F660FD"/>
    <w:rsid w:val="1202296B"/>
    <w:rsid w:val="12122D29"/>
    <w:rsid w:val="121A14E4"/>
    <w:rsid w:val="121D1E44"/>
    <w:rsid w:val="122408C3"/>
    <w:rsid w:val="12381B3A"/>
    <w:rsid w:val="12577258"/>
    <w:rsid w:val="12596ADD"/>
    <w:rsid w:val="125C2907"/>
    <w:rsid w:val="125D2641"/>
    <w:rsid w:val="126239DA"/>
    <w:rsid w:val="126F67D2"/>
    <w:rsid w:val="12911D66"/>
    <w:rsid w:val="12B23E99"/>
    <w:rsid w:val="12BC6158"/>
    <w:rsid w:val="12C3209B"/>
    <w:rsid w:val="12C62AB4"/>
    <w:rsid w:val="12DA0004"/>
    <w:rsid w:val="12E212FA"/>
    <w:rsid w:val="12EA7CAB"/>
    <w:rsid w:val="12EC73C8"/>
    <w:rsid w:val="12ED07E3"/>
    <w:rsid w:val="12F241BA"/>
    <w:rsid w:val="12F450AC"/>
    <w:rsid w:val="12F92A50"/>
    <w:rsid w:val="13020A9F"/>
    <w:rsid w:val="130262C4"/>
    <w:rsid w:val="13030B2B"/>
    <w:rsid w:val="13046C1F"/>
    <w:rsid w:val="1309552F"/>
    <w:rsid w:val="130A5353"/>
    <w:rsid w:val="131524C5"/>
    <w:rsid w:val="1323743D"/>
    <w:rsid w:val="132B4B3A"/>
    <w:rsid w:val="1332191F"/>
    <w:rsid w:val="13444F5F"/>
    <w:rsid w:val="13474641"/>
    <w:rsid w:val="134C6044"/>
    <w:rsid w:val="13513155"/>
    <w:rsid w:val="13616775"/>
    <w:rsid w:val="13742901"/>
    <w:rsid w:val="137C21F2"/>
    <w:rsid w:val="13852496"/>
    <w:rsid w:val="13953E91"/>
    <w:rsid w:val="139B5E1E"/>
    <w:rsid w:val="139E41CE"/>
    <w:rsid w:val="13A021F1"/>
    <w:rsid w:val="13AB0854"/>
    <w:rsid w:val="13AC347F"/>
    <w:rsid w:val="13B70E32"/>
    <w:rsid w:val="13BB4711"/>
    <w:rsid w:val="13C2715F"/>
    <w:rsid w:val="13CC609E"/>
    <w:rsid w:val="13D80718"/>
    <w:rsid w:val="13EC7F48"/>
    <w:rsid w:val="13F44AB9"/>
    <w:rsid w:val="1409537B"/>
    <w:rsid w:val="142A4A78"/>
    <w:rsid w:val="142D3634"/>
    <w:rsid w:val="142E0B67"/>
    <w:rsid w:val="1436023B"/>
    <w:rsid w:val="14496D56"/>
    <w:rsid w:val="1468552D"/>
    <w:rsid w:val="14863396"/>
    <w:rsid w:val="148E576F"/>
    <w:rsid w:val="149541F0"/>
    <w:rsid w:val="149A1EF2"/>
    <w:rsid w:val="149E5B7D"/>
    <w:rsid w:val="14B82EDA"/>
    <w:rsid w:val="14B876D1"/>
    <w:rsid w:val="14B922F8"/>
    <w:rsid w:val="14B93E66"/>
    <w:rsid w:val="14B972DD"/>
    <w:rsid w:val="14CD7CDB"/>
    <w:rsid w:val="14D90940"/>
    <w:rsid w:val="14E6675C"/>
    <w:rsid w:val="14E76E65"/>
    <w:rsid w:val="14F742F1"/>
    <w:rsid w:val="14F7473F"/>
    <w:rsid w:val="14FE0765"/>
    <w:rsid w:val="15070502"/>
    <w:rsid w:val="150D619F"/>
    <w:rsid w:val="150F3AF8"/>
    <w:rsid w:val="152139F9"/>
    <w:rsid w:val="152B2D95"/>
    <w:rsid w:val="15403421"/>
    <w:rsid w:val="15476049"/>
    <w:rsid w:val="1563293D"/>
    <w:rsid w:val="15646910"/>
    <w:rsid w:val="15712BD2"/>
    <w:rsid w:val="1571429F"/>
    <w:rsid w:val="1572793C"/>
    <w:rsid w:val="158C00E3"/>
    <w:rsid w:val="158C1918"/>
    <w:rsid w:val="15925EE4"/>
    <w:rsid w:val="159A128A"/>
    <w:rsid w:val="159D34B7"/>
    <w:rsid w:val="159D39C7"/>
    <w:rsid w:val="159D61C0"/>
    <w:rsid w:val="159E4B80"/>
    <w:rsid w:val="15A637CB"/>
    <w:rsid w:val="15AC6DA3"/>
    <w:rsid w:val="15B66837"/>
    <w:rsid w:val="15C24DE5"/>
    <w:rsid w:val="15D915AE"/>
    <w:rsid w:val="15DD52DC"/>
    <w:rsid w:val="15E05B5A"/>
    <w:rsid w:val="15E338E5"/>
    <w:rsid w:val="15EB50C7"/>
    <w:rsid w:val="15F07F9B"/>
    <w:rsid w:val="15F5110D"/>
    <w:rsid w:val="16007BEB"/>
    <w:rsid w:val="161E602E"/>
    <w:rsid w:val="16220A12"/>
    <w:rsid w:val="16290CFD"/>
    <w:rsid w:val="16341EBD"/>
    <w:rsid w:val="16363F41"/>
    <w:rsid w:val="16414172"/>
    <w:rsid w:val="1642510D"/>
    <w:rsid w:val="16460595"/>
    <w:rsid w:val="16473933"/>
    <w:rsid w:val="164E66E2"/>
    <w:rsid w:val="16587785"/>
    <w:rsid w:val="165B320F"/>
    <w:rsid w:val="166747F5"/>
    <w:rsid w:val="166F7788"/>
    <w:rsid w:val="16775FC6"/>
    <w:rsid w:val="167A6401"/>
    <w:rsid w:val="16857CF4"/>
    <w:rsid w:val="168B1A72"/>
    <w:rsid w:val="168B264E"/>
    <w:rsid w:val="1697093D"/>
    <w:rsid w:val="169C77DB"/>
    <w:rsid w:val="16AB3DC4"/>
    <w:rsid w:val="16AF39B2"/>
    <w:rsid w:val="16B16755"/>
    <w:rsid w:val="16B22AC0"/>
    <w:rsid w:val="16B34401"/>
    <w:rsid w:val="16D33295"/>
    <w:rsid w:val="16D843D0"/>
    <w:rsid w:val="16DA3FF8"/>
    <w:rsid w:val="16DB37EE"/>
    <w:rsid w:val="16E93593"/>
    <w:rsid w:val="16F31AAA"/>
    <w:rsid w:val="16F7466B"/>
    <w:rsid w:val="16FC458E"/>
    <w:rsid w:val="16FD7881"/>
    <w:rsid w:val="16FE364C"/>
    <w:rsid w:val="170058B7"/>
    <w:rsid w:val="17134731"/>
    <w:rsid w:val="171F4C62"/>
    <w:rsid w:val="174D7E49"/>
    <w:rsid w:val="175665D9"/>
    <w:rsid w:val="176E7E87"/>
    <w:rsid w:val="17905B43"/>
    <w:rsid w:val="17930310"/>
    <w:rsid w:val="179A522B"/>
    <w:rsid w:val="17B457C7"/>
    <w:rsid w:val="17B86AAE"/>
    <w:rsid w:val="17BF5EF1"/>
    <w:rsid w:val="17C4413B"/>
    <w:rsid w:val="17C626AA"/>
    <w:rsid w:val="17CF6845"/>
    <w:rsid w:val="17E304C2"/>
    <w:rsid w:val="18195A8B"/>
    <w:rsid w:val="183B43AC"/>
    <w:rsid w:val="18406BBD"/>
    <w:rsid w:val="185019D6"/>
    <w:rsid w:val="186A2C77"/>
    <w:rsid w:val="18752226"/>
    <w:rsid w:val="187C428F"/>
    <w:rsid w:val="187D1E98"/>
    <w:rsid w:val="18847056"/>
    <w:rsid w:val="188822F6"/>
    <w:rsid w:val="189345FB"/>
    <w:rsid w:val="1898628C"/>
    <w:rsid w:val="189C65BA"/>
    <w:rsid w:val="189D72B9"/>
    <w:rsid w:val="18AB01A9"/>
    <w:rsid w:val="18AF208B"/>
    <w:rsid w:val="18C07B0D"/>
    <w:rsid w:val="18CD1E7D"/>
    <w:rsid w:val="18D1262D"/>
    <w:rsid w:val="18DA3BE1"/>
    <w:rsid w:val="18DD6B73"/>
    <w:rsid w:val="18DE674D"/>
    <w:rsid w:val="18E2370A"/>
    <w:rsid w:val="18EE606A"/>
    <w:rsid w:val="18EF453A"/>
    <w:rsid w:val="18F67D4C"/>
    <w:rsid w:val="190510A1"/>
    <w:rsid w:val="190A2398"/>
    <w:rsid w:val="19197205"/>
    <w:rsid w:val="191D515C"/>
    <w:rsid w:val="19241D0A"/>
    <w:rsid w:val="1929181D"/>
    <w:rsid w:val="192E4D69"/>
    <w:rsid w:val="193C7C41"/>
    <w:rsid w:val="193E101D"/>
    <w:rsid w:val="19543F09"/>
    <w:rsid w:val="19561EB2"/>
    <w:rsid w:val="195F7E78"/>
    <w:rsid w:val="19625900"/>
    <w:rsid w:val="19626F4A"/>
    <w:rsid w:val="196A32DC"/>
    <w:rsid w:val="196D545F"/>
    <w:rsid w:val="196E33DC"/>
    <w:rsid w:val="197A3A86"/>
    <w:rsid w:val="19807D09"/>
    <w:rsid w:val="19982A04"/>
    <w:rsid w:val="19A31D9A"/>
    <w:rsid w:val="19A64024"/>
    <w:rsid w:val="19B06FFD"/>
    <w:rsid w:val="19B748B4"/>
    <w:rsid w:val="19B906A4"/>
    <w:rsid w:val="19BA35FD"/>
    <w:rsid w:val="19BD4DB3"/>
    <w:rsid w:val="19BF2633"/>
    <w:rsid w:val="19C56D2C"/>
    <w:rsid w:val="19D24C26"/>
    <w:rsid w:val="19E36D5D"/>
    <w:rsid w:val="19E971DB"/>
    <w:rsid w:val="19EF669E"/>
    <w:rsid w:val="19FB5F55"/>
    <w:rsid w:val="19FF0FDF"/>
    <w:rsid w:val="1A017A2D"/>
    <w:rsid w:val="1A1A2E34"/>
    <w:rsid w:val="1A1A75D1"/>
    <w:rsid w:val="1A2443B4"/>
    <w:rsid w:val="1A2D26B6"/>
    <w:rsid w:val="1A307037"/>
    <w:rsid w:val="1A342417"/>
    <w:rsid w:val="1A3F7FA4"/>
    <w:rsid w:val="1A403BAF"/>
    <w:rsid w:val="1A425536"/>
    <w:rsid w:val="1A481282"/>
    <w:rsid w:val="1A485B68"/>
    <w:rsid w:val="1A524D9B"/>
    <w:rsid w:val="1A5A1F07"/>
    <w:rsid w:val="1A674767"/>
    <w:rsid w:val="1A6D4D8F"/>
    <w:rsid w:val="1A791911"/>
    <w:rsid w:val="1A861582"/>
    <w:rsid w:val="1A871532"/>
    <w:rsid w:val="1A903AFB"/>
    <w:rsid w:val="1A9822F1"/>
    <w:rsid w:val="1A9D4D54"/>
    <w:rsid w:val="1A9F3D20"/>
    <w:rsid w:val="1AA612E2"/>
    <w:rsid w:val="1AA749A0"/>
    <w:rsid w:val="1AB01AA7"/>
    <w:rsid w:val="1ABB28BF"/>
    <w:rsid w:val="1ADB06C7"/>
    <w:rsid w:val="1ADB46D6"/>
    <w:rsid w:val="1AEA51C4"/>
    <w:rsid w:val="1AFC08B7"/>
    <w:rsid w:val="1AFF12A4"/>
    <w:rsid w:val="1B0E405B"/>
    <w:rsid w:val="1B0F0EC3"/>
    <w:rsid w:val="1B1442BD"/>
    <w:rsid w:val="1B1A1B11"/>
    <w:rsid w:val="1B1C2884"/>
    <w:rsid w:val="1B44362A"/>
    <w:rsid w:val="1B4659B0"/>
    <w:rsid w:val="1B5A3929"/>
    <w:rsid w:val="1B702D4C"/>
    <w:rsid w:val="1B70730A"/>
    <w:rsid w:val="1B723256"/>
    <w:rsid w:val="1BAD69F3"/>
    <w:rsid w:val="1BAE39C1"/>
    <w:rsid w:val="1BB76FAE"/>
    <w:rsid w:val="1BB835B1"/>
    <w:rsid w:val="1BBB39CE"/>
    <w:rsid w:val="1BBF5FB4"/>
    <w:rsid w:val="1BC85727"/>
    <w:rsid w:val="1BCE535F"/>
    <w:rsid w:val="1BCF1C0B"/>
    <w:rsid w:val="1BD35D71"/>
    <w:rsid w:val="1BD63B81"/>
    <w:rsid w:val="1BDF09CC"/>
    <w:rsid w:val="1BF72C59"/>
    <w:rsid w:val="1C024584"/>
    <w:rsid w:val="1C30724A"/>
    <w:rsid w:val="1C321C7D"/>
    <w:rsid w:val="1C3B35F5"/>
    <w:rsid w:val="1C427BA2"/>
    <w:rsid w:val="1C561DC3"/>
    <w:rsid w:val="1C5D5C5E"/>
    <w:rsid w:val="1C64400B"/>
    <w:rsid w:val="1C776221"/>
    <w:rsid w:val="1C782BD3"/>
    <w:rsid w:val="1C7A3A71"/>
    <w:rsid w:val="1C7A3D6D"/>
    <w:rsid w:val="1C837E6C"/>
    <w:rsid w:val="1C8F07A2"/>
    <w:rsid w:val="1CAE64BA"/>
    <w:rsid w:val="1CB457DF"/>
    <w:rsid w:val="1CC0271E"/>
    <w:rsid w:val="1CD44DE9"/>
    <w:rsid w:val="1CD53F3C"/>
    <w:rsid w:val="1CD62947"/>
    <w:rsid w:val="1CE030CE"/>
    <w:rsid w:val="1CF15458"/>
    <w:rsid w:val="1CFD26F2"/>
    <w:rsid w:val="1D211006"/>
    <w:rsid w:val="1D320E99"/>
    <w:rsid w:val="1D335296"/>
    <w:rsid w:val="1D38416D"/>
    <w:rsid w:val="1D46097F"/>
    <w:rsid w:val="1D4C1E36"/>
    <w:rsid w:val="1D532F28"/>
    <w:rsid w:val="1D552B18"/>
    <w:rsid w:val="1D8C5A8B"/>
    <w:rsid w:val="1DAF1AA9"/>
    <w:rsid w:val="1DB12606"/>
    <w:rsid w:val="1DB44B12"/>
    <w:rsid w:val="1DB93368"/>
    <w:rsid w:val="1DB93A55"/>
    <w:rsid w:val="1DBB710C"/>
    <w:rsid w:val="1DC04451"/>
    <w:rsid w:val="1DCC031A"/>
    <w:rsid w:val="1E0137E4"/>
    <w:rsid w:val="1E070710"/>
    <w:rsid w:val="1E0A0C63"/>
    <w:rsid w:val="1E183D56"/>
    <w:rsid w:val="1E1B6D86"/>
    <w:rsid w:val="1E231108"/>
    <w:rsid w:val="1E25455A"/>
    <w:rsid w:val="1E5248CC"/>
    <w:rsid w:val="1E696B3C"/>
    <w:rsid w:val="1E6A11AD"/>
    <w:rsid w:val="1E6D174A"/>
    <w:rsid w:val="1E9406E9"/>
    <w:rsid w:val="1EAA6634"/>
    <w:rsid w:val="1EAD6683"/>
    <w:rsid w:val="1EB45D14"/>
    <w:rsid w:val="1EB86012"/>
    <w:rsid w:val="1EBA31E8"/>
    <w:rsid w:val="1EC76150"/>
    <w:rsid w:val="1ED418AB"/>
    <w:rsid w:val="1ED6480F"/>
    <w:rsid w:val="1ED815CC"/>
    <w:rsid w:val="1EE50723"/>
    <w:rsid w:val="1EF41DCE"/>
    <w:rsid w:val="1EF47B01"/>
    <w:rsid w:val="1F0D6046"/>
    <w:rsid w:val="1F2626D1"/>
    <w:rsid w:val="1F2B4A85"/>
    <w:rsid w:val="1F2E38E2"/>
    <w:rsid w:val="1F3D6270"/>
    <w:rsid w:val="1F3E5B46"/>
    <w:rsid w:val="1F42460C"/>
    <w:rsid w:val="1F4E188E"/>
    <w:rsid w:val="1F57445A"/>
    <w:rsid w:val="1F5C54B6"/>
    <w:rsid w:val="1F61342B"/>
    <w:rsid w:val="1F7C3566"/>
    <w:rsid w:val="1F885EA4"/>
    <w:rsid w:val="1F8E05D9"/>
    <w:rsid w:val="1FA072EB"/>
    <w:rsid w:val="1FB02549"/>
    <w:rsid w:val="1FB34C0A"/>
    <w:rsid w:val="1FBF6D38"/>
    <w:rsid w:val="1FC52DBA"/>
    <w:rsid w:val="1FC56CDF"/>
    <w:rsid w:val="1FC658C9"/>
    <w:rsid w:val="1FCD2AAA"/>
    <w:rsid w:val="1FD36554"/>
    <w:rsid w:val="1FF80C1E"/>
    <w:rsid w:val="1FF955FD"/>
    <w:rsid w:val="1FFC6429"/>
    <w:rsid w:val="20052895"/>
    <w:rsid w:val="20174450"/>
    <w:rsid w:val="20196830"/>
    <w:rsid w:val="202B70A7"/>
    <w:rsid w:val="20360CA0"/>
    <w:rsid w:val="204C4020"/>
    <w:rsid w:val="205D69DE"/>
    <w:rsid w:val="206550E2"/>
    <w:rsid w:val="207B415A"/>
    <w:rsid w:val="2085443B"/>
    <w:rsid w:val="208706BB"/>
    <w:rsid w:val="208E444E"/>
    <w:rsid w:val="208F6CC9"/>
    <w:rsid w:val="209253B3"/>
    <w:rsid w:val="209763F1"/>
    <w:rsid w:val="20AD2B9C"/>
    <w:rsid w:val="20D263E6"/>
    <w:rsid w:val="20D45E90"/>
    <w:rsid w:val="20DF3022"/>
    <w:rsid w:val="20E61DB7"/>
    <w:rsid w:val="20EA2A65"/>
    <w:rsid w:val="20EC0D15"/>
    <w:rsid w:val="20F71053"/>
    <w:rsid w:val="20F71C18"/>
    <w:rsid w:val="21064F07"/>
    <w:rsid w:val="210E3ED0"/>
    <w:rsid w:val="21202395"/>
    <w:rsid w:val="2126281C"/>
    <w:rsid w:val="213672FD"/>
    <w:rsid w:val="21370155"/>
    <w:rsid w:val="213C108E"/>
    <w:rsid w:val="213C691D"/>
    <w:rsid w:val="213D5DFF"/>
    <w:rsid w:val="213E5EE0"/>
    <w:rsid w:val="214B184A"/>
    <w:rsid w:val="21645ED7"/>
    <w:rsid w:val="216C75E1"/>
    <w:rsid w:val="218B49CF"/>
    <w:rsid w:val="219243E4"/>
    <w:rsid w:val="219870A0"/>
    <w:rsid w:val="21B95CF6"/>
    <w:rsid w:val="21BC1DA3"/>
    <w:rsid w:val="21C4324D"/>
    <w:rsid w:val="21CC0070"/>
    <w:rsid w:val="21DE0574"/>
    <w:rsid w:val="21DE532D"/>
    <w:rsid w:val="21DF12CC"/>
    <w:rsid w:val="21E44613"/>
    <w:rsid w:val="21EA26F6"/>
    <w:rsid w:val="21EB5A8B"/>
    <w:rsid w:val="21F82C05"/>
    <w:rsid w:val="21FF6CDF"/>
    <w:rsid w:val="220821C8"/>
    <w:rsid w:val="22111D35"/>
    <w:rsid w:val="2214735E"/>
    <w:rsid w:val="221F4905"/>
    <w:rsid w:val="22427C13"/>
    <w:rsid w:val="224454B9"/>
    <w:rsid w:val="22455D51"/>
    <w:rsid w:val="2250591D"/>
    <w:rsid w:val="225D3185"/>
    <w:rsid w:val="226132BE"/>
    <w:rsid w:val="226B43F4"/>
    <w:rsid w:val="22755638"/>
    <w:rsid w:val="22895D9B"/>
    <w:rsid w:val="2289678D"/>
    <w:rsid w:val="22914CB6"/>
    <w:rsid w:val="229A7974"/>
    <w:rsid w:val="22AB09E3"/>
    <w:rsid w:val="22AE1C1B"/>
    <w:rsid w:val="22B76CA7"/>
    <w:rsid w:val="22BC11D6"/>
    <w:rsid w:val="22BF31CF"/>
    <w:rsid w:val="22D42137"/>
    <w:rsid w:val="22DD153C"/>
    <w:rsid w:val="22DF6070"/>
    <w:rsid w:val="22DF6FEF"/>
    <w:rsid w:val="22E5248F"/>
    <w:rsid w:val="22E93CC7"/>
    <w:rsid w:val="22E94EB2"/>
    <w:rsid w:val="22EC4AD8"/>
    <w:rsid w:val="22F56B4C"/>
    <w:rsid w:val="22FE3C10"/>
    <w:rsid w:val="230962D3"/>
    <w:rsid w:val="230B087E"/>
    <w:rsid w:val="231C16D1"/>
    <w:rsid w:val="231D3D05"/>
    <w:rsid w:val="23217D52"/>
    <w:rsid w:val="23583534"/>
    <w:rsid w:val="235A4CA6"/>
    <w:rsid w:val="2369313B"/>
    <w:rsid w:val="237017EF"/>
    <w:rsid w:val="237062E0"/>
    <w:rsid w:val="2373475E"/>
    <w:rsid w:val="23761769"/>
    <w:rsid w:val="238464DA"/>
    <w:rsid w:val="238547B4"/>
    <w:rsid w:val="23877A3B"/>
    <w:rsid w:val="23A24309"/>
    <w:rsid w:val="23AF459A"/>
    <w:rsid w:val="23C31665"/>
    <w:rsid w:val="23CA5BA6"/>
    <w:rsid w:val="23D16249"/>
    <w:rsid w:val="23DA5DE6"/>
    <w:rsid w:val="23F80193"/>
    <w:rsid w:val="23FA71BC"/>
    <w:rsid w:val="23FB7198"/>
    <w:rsid w:val="24154DBD"/>
    <w:rsid w:val="241D59E1"/>
    <w:rsid w:val="241D7AF0"/>
    <w:rsid w:val="242D6CC7"/>
    <w:rsid w:val="24446686"/>
    <w:rsid w:val="244E2977"/>
    <w:rsid w:val="2453676C"/>
    <w:rsid w:val="245D610E"/>
    <w:rsid w:val="246E665B"/>
    <w:rsid w:val="2471637A"/>
    <w:rsid w:val="247B5F08"/>
    <w:rsid w:val="2486145B"/>
    <w:rsid w:val="24891566"/>
    <w:rsid w:val="24894EA0"/>
    <w:rsid w:val="248F4DDE"/>
    <w:rsid w:val="249B5E35"/>
    <w:rsid w:val="24A076B1"/>
    <w:rsid w:val="24A60395"/>
    <w:rsid w:val="24B30B11"/>
    <w:rsid w:val="24CB7C75"/>
    <w:rsid w:val="24DE7331"/>
    <w:rsid w:val="24E91D87"/>
    <w:rsid w:val="24F31A04"/>
    <w:rsid w:val="24F609FE"/>
    <w:rsid w:val="24FE0CDF"/>
    <w:rsid w:val="24FE6A30"/>
    <w:rsid w:val="250824DF"/>
    <w:rsid w:val="250F5D47"/>
    <w:rsid w:val="25137BAE"/>
    <w:rsid w:val="251938B0"/>
    <w:rsid w:val="251F61A7"/>
    <w:rsid w:val="25217019"/>
    <w:rsid w:val="25345F2F"/>
    <w:rsid w:val="25380A16"/>
    <w:rsid w:val="253C586F"/>
    <w:rsid w:val="2542426C"/>
    <w:rsid w:val="254259F1"/>
    <w:rsid w:val="25441A81"/>
    <w:rsid w:val="254D333E"/>
    <w:rsid w:val="25601FDC"/>
    <w:rsid w:val="25646491"/>
    <w:rsid w:val="256A5FE2"/>
    <w:rsid w:val="258C6EF5"/>
    <w:rsid w:val="259778F7"/>
    <w:rsid w:val="259D0CF4"/>
    <w:rsid w:val="25A667D6"/>
    <w:rsid w:val="25A742B3"/>
    <w:rsid w:val="25A95A70"/>
    <w:rsid w:val="25D51A02"/>
    <w:rsid w:val="25D53EAC"/>
    <w:rsid w:val="25D80D37"/>
    <w:rsid w:val="25DA0A71"/>
    <w:rsid w:val="25ED75AA"/>
    <w:rsid w:val="25F47829"/>
    <w:rsid w:val="25F608E6"/>
    <w:rsid w:val="25FD1F39"/>
    <w:rsid w:val="2612595C"/>
    <w:rsid w:val="26127ABA"/>
    <w:rsid w:val="26171769"/>
    <w:rsid w:val="26331017"/>
    <w:rsid w:val="264077C3"/>
    <w:rsid w:val="264B480C"/>
    <w:rsid w:val="26630B0F"/>
    <w:rsid w:val="26632C23"/>
    <w:rsid w:val="266A0D69"/>
    <w:rsid w:val="266B1B0B"/>
    <w:rsid w:val="266D2F42"/>
    <w:rsid w:val="26714548"/>
    <w:rsid w:val="267425D3"/>
    <w:rsid w:val="267B10C6"/>
    <w:rsid w:val="267D42F6"/>
    <w:rsid w:val="267E3E01"/>
    <w:rsid w:val="268362C1"/>
    <w:rsid w:val="26892B7B"/>
    <w:rsid w:val="26A369A8"/>
    <w:rsid w:val="26B1096B"/>
    <w:rsid w:val="26B87718"/>
    <w:rsid w:val="26BA34B4"/>
    <w:rsid w:val="26C30FEA"/>
    <w:rsid w:val="26C65B3C"/>
    <w:rsid w:val="26CB1A16"/>
    <w:rsid w:val="26CE786B"/>
    <w:rsid w:val="26E33F24"/>
    <w:rsid w:val="26F27976"/>
    <w:rsid w:val="26F30769"/>
    <w:rsid w:val="2702551C"/>
    <w:rsid w:val="2708238F"/>
    <w:rsid w:val="27115DE2"/>
    <w:rsid w:val="27125F14"/>
    <w:rsid w:val="27221698"/>
    <w:rsid w:val="272A7E84"/>
    <w:rsid w:val="27320A3C"/>
    <w:rsid w:val="273C42E8"/>
    <w:rsid w:val="273C5CC3"/>
    <w:rsid w:val="27474FC6"/>
    <w:rsid w:val="274E0A80"/>
    <w:rsid w:val="2752740E"/>
    <w:rsid w:val="27554102"/>
    <w:rsid w:val="27614596"/>
    <w:rsid w:val="276B1428"/>
    <w:rsid w:val="278E3F9A"/>
    <w:rsid w:val="279369D8"/>
    <w:rsid w:val="279F09C8"/>
    <w:rsid w:val="27B85093"/>
    <w:rsid w:val="27C44DE4"/>
    <w:rsid w:val="27C830C9"/>
    <w:rsid w:val="27CD39E8"/>
    <w:rsid w:val="27CE7DA4"/>
    <w:rsid w:val="27D2175B"/>
    <w:rsid w:val="27DF1BEA"/>
    <w:rsid w:val="27EC70D6"/>
    <w:rsid w:val="27F23795"/>
    <w:rsid w:val="27F26F54"/>
    <w:rsid w:val="27FD4E90"/>
    <w:rsid w:val="280F1E94"/>
    <w:rsid w:val="281807FF"/>
    <w:rsid w:val="28190684"/>
    <w:rsid w:val="281F201A"/>
    <w:rsid w:val="282C7B73"/>
    <w:rsid w:val="283143C2"/>
    <w:rsid w:val="283B2111"/>
    <w:rsid w:val="283C272B"/>
    <w:rsid w:val="28445183"/>
    <w:rsid w:val="28482D76"/>
    <w:rsid w:val="28486088"/>
    <w:rsid w:val="284C3184"/>
    <w:rsid w:val="28543405"/>
    <w:rsid w:val="28697739"/>
    <w:rsid w:val="28873B3B"/>
    <w:rsid w:val="28904CC6"/>
    <w:rsid w:val="2896448B"/>
    <w:rsid w:val="289A00A4"/>
    <w:rsid w:val="289C1112"/>
    <w:rsid w:val="28AF00EF"/>
    <w:rsid w:val="28C74290"/>
    <w:rsid w:val="28C76526"/>
    <w:rsid w:val="28D258AA"/>
    <w:rsid w:val="28D62A6E"/>
    <w:rsid w:val="28F02624"/>
    <w:rsid w:val="28F54804"/>
    <w:rsid w:val="29183321"/>
    <w:rsid w:val="291862BB"/>
    <w:rsid w:val="291B4DD7"/>
    <w:rsid w:val="291E0523"/>
    <w:rsid w:val="2923388E"/>
    <w:rsid w:val="292978E8"/>
    <w:rsid w:val="292F320A"/>
    <w:rsid w:val="29357A83"/>
    <w:rsid w:val="293E54EF"/>
    <w:rsid w:val="29456573"/>
    <w:rsid w:val="294C1BD3"/>
    <w:rsid w:val="295948CA"/>
    <w:rsid w:val="296B3AE9"/>
    <w:rsid w:val="29760BDE"/>
    <w:rsid w:val="2977546C"/>
    <w:rsid w:val="297B09F3"/>
    <w:rsid w:val="297F11CF"/>
    <w:rsid w:val="299D1A7A"/>
    <w:rsid w:val="29AC1FD6"/>
    <w:rsid w:val="29B71C16"/>
    <w:rsid w:val="29BC4910"/>
    <w:rsid w:val="29C8077F"/>
    <w:rsid w:val="29CD40AA"/>
    <w:rsid w:val="29D80886"/>
    <w:rsid w:val="29E654E5"/>
    <w:rsid w:val="29E74DB9"/>
    <w:rsid w:val="29EC6F6F"/>
    <w:rsid w:val="29F4433E"/>
    <w:rsid w:val="29FA4AED"/>
    <w:rsid w:val="2A00417E"/>
    <w:rsid w:val="2A00687A"/>
    <w:rsid w:val="2A036C9A"/>
    <w:rsid w:val="2A0E1BB8"/>
    <w:rsid w:val="2A1B4A63"/>
    <w:rsid w:val="2A23268B"/>
    <w:rsid w:val="2A2B739C"/>
    <w:rsid w:val="2A300CCD"/>
    <w:rsid w:val="2A3241C9"/>
    <w:rsid w:val="2A433971"/>
    <w:rsid w:val="2A4346E5"/>
    <w:rsid w:val="2A454FBC"/>
    <w:rsid w:val="2A827A1E"/>
    <w:rsid w:val="2A843F27"/>
    <w:rsid w:val="2A912403"/>
    <w:rsid w:val="2A9B61C3"/>
    <w:rsid w:val="2AA36B5F"/>
    <w:rsid w:val="2AA877A4"/>
    <w:rsid w:val="2AA87F80"/>
    <w:rsid w:val="2AC4436A"/>
    <w:rsid w:val="2ACB46DB"/>
    <w:rsid w:val="2ACB5006"/>
    <w:rsid w:val="2AD91065"/>
    <w:rsid w:val="2AE52C28"/>
    <w:rsid w:val="2AE54D5B"/>
    <w:rsid w:val="2AE85D04"/>
    <w:rsid w:val="2AEB79E4"/>
    <w:rsid w:val="2AF16B39"/>
    <w:rsid w:val="2AF26F65"/>
    <w:rsid w:val="2AF60FBE"/>
    <w:rsid w:val="2B194836"/>
    <w:rsid w:val="2B287437"/>
    <w:rsid w:val="2B34797A"/>
    <w:rsid w:val="2B441D16"/>
    <w:rsid w:val="2B4C20EA"/>
    <w:rsid w:val="2B4E269B"/>
    <w:rsid w:val="2B533AB4"/>
    <w:rsid w:val="2B535A2C"/>
    <w:rsid w:val="2B547ED2"/>
    <w:rsid w:val="2B5B64CB"/>
    <w:rsid w:val="2B6C17DA"/>
    <w:rsid w:val="2B6C7973"/>
    <w:rsid w:val="2B872DC9"/>
    <w:rsid w:val="2B90792A"/>
    <w:rsid w:val="2B9125D6"/>
    <w:rsid w:val="2B9241B8"/>
    <w:rsid w:val="2B99209C"/>
    <w:rsid w:val="2B992B65"/>
    <w:rsid w:val="2BA50A37"/>
    <w:rsid w:val="2BBE424D"/>
    <w:rsid w:val="2BD91D3A"/>
    <w:rsid w:val="2BDC17A5"/>
    <w:rsid w:val="2BEE242F"/>
    <w:rsid w:val="2BF832AE"/>
    <w:rsid w:val="2C0061E0"/>
    <w:rsid w:val="2C043854"/>
    <w:rsid w:val="2C082DDE"/>
    <w:rsid w:val="2C2005B3"/>
    <w:rsid w:val="2C310BB9"/>
    <w:rsid w:val="2C395A82"/>
    <w:rsid w:val="2C4B69AC"/>
    <w:rsid w:val="2C630AE6"/>
    <w:rsid w:val="2C743646"/>
    <w:rsid w:val="2C796C69"/>
    <w:rsid w:val="2C82701B"/>
    <w:rsid w:val="2C8B735E"/>
    <w:rsid w:val="2CA10CC9"/>
    <w:rsid w:val="2CAD14CA"/>
    <w:rsid w:val="2CAE05D8"/>
    <w:rsid w:val="2CC448C8"/>
    <w:rsid w:val="2CCE2260"/>
    <w:rsid w:val="2CD0422B"/>
    <w:rsid w:val="2CD6130F"/>
    <w:rsid w:val="2CD97ED7"/>
    <w:rsid w:val="2CDF443D"/>
    <w:rsid w:val="2CE57349"/>
    <w:rsid w:val="2CEA697F"/>
    <w:rsid w:val="2CF07D41"/>
    <w:rsid w:val="2D15439D"/>
    <w:rsid w:val="2D181123"/>
    <w:rsid w:val="2D1C121E"/>
    <w:rsid w:val="2D2F584F"/>
    <w:rsid w:val="2D3702C9"/>
    <w:rsid w:val="2D3A16A4"/>
    <w:rsid w:val="2D422A50"/>
    <w:rsid w:val="2D45510B"/>
    <w:rsid w:val="2D461652"/>
    <w:rsid w:val="2D4D6953"/>
    <w:rsid w:val="2D5C752D"/>
    <w:rsid w:val="2D5D3C06"/>
    <w:rsid w:val="2D6913A6"/>
    <w:rsid w:val="2D6C5B94"/>
    <w:rsid w:val="2D7134DF"/>
    <w:rsid w:val="2D761817"/>
    <w:rsid w:val="2D7D6ABF"/>
    <w:rsid w:val="2D8562DF"/>
    <w:rsid w:val="2D8D54E4"/>
    <w:rsid w:val="2D910B1E"/>
    <w:rsid w:val="2D975195"/>
    <w:rsid w:val="2D984A51"/>
    <w:rsid w:val="2DAA65E2"/>
    <w:rsid w:val="2DBC58A4"/>
    <w:rsid w:val="2DCC1103"/>
    <w:rsid w:val="2DD53315"/>
    <w:rsid w:val="2DD826E7"/>
    <w:rsid w:val="2DD945CE"/>
    <w:rsid w:val="2DE11E24"/>
    <w:rsid w:val="2E032286"/>
    <w:rsid w:val="2E143443"/>
    <w:rsid w:val="2E166456"/>
    <w:rsid w:val="2E2679D0"/>
    <w:rsid w:val="2E435ED6"/>
    <w:rsid w:val="2E58270B"/>
    <w:rsid w:val="2E5E5C0B"/>
    <w:rsid w:val="2E604AFF"/>
    <w:rsid w:val="2E6345A0"/>
    <w:rsid w:val="2E7379F9"/>
    <w:rsid w:val="2E757B91"/>
    <w:rsid w:val="2EA44CBF"/>
    <w:rsid w:val="2EA63C26"/>
    <w:rsid w:val="2EAB2859"/>
    <w:rsid w:val="2EE46DE1"/>
    <w:rsid w:val="2EEC3498"/>
    <w:rsid w:val="2EEC4701"/>
    <w:rsid w:val="2EEE0998"/>
    <w:rsid w:val="2EF93C1F"/>
    <w:rsid w:val="2EFC4430"/>
    <w:rsid w:val="2F10716F"/>
    <w:rsid w:val="2F2443BA"/>
    <w:rsid w:val="2F2D326E"/>
    <w:rsid w:val="2F373A50"/>
    <w:rsid w:val="2F3A5A0E"/>
    <w:rsid w:val="2F416D1A"/>
    <w:rsid w:val="2F550242"/>
    <w:rsid w:val="2F564F68"/>
    <w:rsid w:val="2F576F95"/>
    <w:rsid w:val="2F5808EB"/>
    <w:rsid w:val="2F58354D"/>
    <w:rsid w:val="2F5B45B5"/>
    <w:rsid w:val="2F5E7D3A"/>
    <w:rsid w:val="2F6842CF"/>
    <w:rsid w:val="2F792957"/>
    <w:rsid w:val="2F8A2281"/>
    <w:rsid w:val="2F955B19"/>
    <w:rsid w:val="2F9565B6"/>
    <w:rsid w:val="2FB14F22"/>
    <w:rsid w:val="2FB86297"/>
    <w:rsid w:val="2FBA2587"/>
    <w:rsid w:val="2FBE036A"/>
    <w:rsid w:val="2FBE480E"/>
    <w:rsid w:val="2FBF030F"/>
    <w:rsid w:val="2FC0643E"/>
    <w:rsid w:val="2FC21414"/>
    <w:rsid w:val="2FCA505E"/>
    <w:rsid w:val="2FD55524"/>
    <w:rsid w:val="2FDA6E7D"/>
    <w:rsid w:val="2FEA0023"/>
    <w:rsid w:val="2FEC3129"/>
    <w:rsid w:val="2FF70481"/>
    <w:rsid w:val="2FFE2258"/>
    <w:rsid w:val="3000200D"/>
    <w:rsid w:val="30093CDB"/>
    <w:rsid w:val="300D18A0"/>
    <w:rsid w:val="302335D5"/>
    <w:rsid w:val="30246888"/>
    <w:rsid w:val="30284A62"/>
    <w:rsid w:val="3043305C"/>
    <w:rsid w:val="3052492A"/>
    <w:rsid w:val="305B104D"/>
    <w:rsid w:val="30605C52"/>
    <w:rsid w:val="3062519A"/>
    <w:rsid w:val="306F76A8"/>
    <w:rsid w:val="30704F92"/>
    <w:rsid w:val="307B4F65"/>
    <w:rsid w:val="30834282"/>
    <w:rsid w:val="30951BFC"/>
    <w:rsid w:val="309700AA"/>
    <w:rsid w:val="30987964"/>
    <w:rsid w:val="30996C00"/>
    <w:rsid w:val="309D2809"/>
    <w:rsid w:val="30A25EDE"/>
    <w:rsid w:val="30A53824"/>
    <w:rsid w:val="30A9726C"/>
    <w:rsid w:val="30B83D15"/>
    <w:rsid w:val="30C03947"/>
    <w:rsid w:val="30C135E3"/>
    <w:rsid w:val="30C30574"/>
    <w:rsid w:val="30C318F4"/>
    <w:rsid w:val="30CC79B3"/>
    <w:rsid w:val="30CD0AD4"/>
    <w:rsid w:val="30D636EF"/>
    <w:rsid w:val="30DD5421"/>
    <w:rsid w:val="30F10AFB"/>
    <w:rsid w:val="30F273DD"/>
    <w:rsid w:val="30F319E9"/>
    <w:rsid w:val="31014391"/>
    <w:rsid w:val="310C20C0"/>
    <w:rsid w:val="31133A2C"/>
    <w:rsid w:val="311C6541"/>
    <w:rsid w:val="31236F94"/>
    <w:rsid w:val="312D64AC"/>
    <w:rsid w:val="312E1520"/>
    <w:rsid w:val="314245BC"/>
    <w:rsid w:val="314F785D"/>
    <w:rsid w:val="31544E5A"/>
    <w:rsid w:val="315547DC"/>
    <w:rsid w:val="315701F2"/>
    <w:rsid w:val="31623F26"/>
    <w:rsid w:val="31684A32"/>
    <w:rsid w:val="318A771D"/>
    <w:rsid w:val="319A1B03"/>
    <w:rsid w:val="31AA34EA"/>
    <w:rsid w:val="31AA504A"/>
    <w:rsid w:val="31CE735D"/>
    <w:rsid w:val="31D80646"/>
    <w:rsid w:val="31D82201"/>
    <w:rsid w:val="31DC5D51"/>
    <w:rsid w:val="31E506E7"/>
    <w:rsid w:val="31EE2DCC"/>
    <w:rsid w:val="31F20088"/>
    <w:rsid w:val="31F938DC"/>
    <w:rsid w:val="32057D1D"/>
    <w:rsid w:val="32071AED"/>
    <w:rsid w:val="320A7897"/>
    <w:rsid w:val="321710A0"/>
    <w:rsid w:val="322A7F39"/>
    <w:rsid w:val="322D1CAE"/>
    <w:rsid w:val="32320F8D"/>
    <w:rsid w:val="323315F4"/>
    <w:rsid w:val="324C4498"/>
    <w:rsid w:val="324E0FF3"/>
    <w:rsid w:val="324F2C51"/>
    <w:rsid w:val="3252429D"/>
    <w:rsid w:val="325763C8"/>
    <w:rsid w:val="326300EA"/>
    <w:rsid w:val="32774086"/>
    <w:rsid w:val="328113E4"/>
    <w:rsid w:val="328603F8"/>
    <w:rsid w:val="328858A0"/>
    <w:rsid w:val="329B5EF7"/>
    <w:rsid w:val="32A46A5D"/>
    <w:rsid w:val="32AE009D"/>
    <w:rsid w:val="32B9196A"/>
    <w:rsid w:val="32BC76A7"/>
    <w:rsid w:val="32DF36FA"/>
    <w:rsid w:val="32F240BC"/>
    <w:rsid w:val="32FA2A04"/>
    <w:rsid w:val="330B38C7"/>
    <w:rsid w:val="33136C4A"/>
    <w:rsid w:val="33263C88"/>
    <w:rsid w:val="33316C94"/>
    <w:rsid w:val="33333CC6"/>
    <w:rsid w:val="333809DE"/>
    <w:rsid w:val="33557715"/>
    <w:rsid w:val="335E7CBA"/>
    <w:rsid w:val="335F3C12"/>
    <w:rsid w:val="33606F9E"/>
    <w:rsid w:val="337213E2"/>
    <w:rsid w:val="33745910"/>
    <w:rsid w:val="338711F2"/>
    <w:rsid w:val="338B1B97"/>
    <w:rsid w:val="338B532F"/>
    <w:rsid w:val="338D69D1"/>
    <w:rsid w:val="3397101D"/>
    <w:rsid w:val="33B12738"/>
    <w:rsid w:val="33B12FC3"/>
    <w:rsid w:val="33BA1474"/>
    <w:rsid w:val="33C86F9F"/>
    <w:rsid w:val="33C90582"/>
    <w:rsid w:val="33CB656F"/>
    <w:rsid w:val="33D37E15"/>
    <w:rsid w:val="33EC1DEE"/>
    <w:rsid w:val="33F702EF"/>
    <w:rsid w:val="33F87F82"/>
    <w:rsid w:val="34036C9E"/>
    <w:rsid w:val="34127A92"/>
    <w:rsid w:val="341344FB"/>
    <w:rsid w:val="341712D0"/>
    <w:rsid w:val="341D2E63"/>
    <w:rsid w:val="342F4EFB"/>
    <w:rsid w:val="344C034A"/>
    <w:rsid w:val="346403C4"/>
    <w:rsid w:val="347914E6"/>
    <w:rsid w:val="348538D8"/>
    <w:rsid w:val="348C4450"/>
    <w:rsid w:val="3491429F"/>
    <w:rsid w:val="349B328E"/>
    <w:rsid w:val="34A51AF9"/>
    <w:rsid w:val="34A76D73"/>
    <w:rsid w:val="34B122F8"/>
    <w:rsid w:val="34B13FF9"/>
    <w:rsid w:val="34B97534"/>
    <w:rsid w:val="34BA5263"/>
    <w:rsid w:val="34C75A69"/>
    <w:rsid w:val="34C90AC0"/>
    <w:rsid w:val="34CF599B"/>
    <w:rsid w:val="34D266FE"/>
    <w:rsid w:val="34E73359"/>
    <w:rsid w:val="34EF19EF"/>
    <w:rsid w:val="34F60E45"/>
    <w:rsid w:val="34FB1F4D"/>
    <w:rsid w:val="34FC3C69"/>
    <w:rsid w:val="35010DB4"/>
    <w:rsid w:val="35032503"/>
    <w:rsid w:val="350815EC"/>
    <w:rsid w:val="351C29DE"/>
    <w:rsid w:val="351D1FD7"/>
    <w:rsid w:val="352D33BE"/>
    <w:rsid w:val="352F318A"/>
    <w:rsid w:val="353049B6"/>
    <w:rsid w:val="353804C5"/>
    <w:rsid w:val="3538471B"/>
    <w:rsid w:val="35480889"/>
    <w:rsid w:val="35494624"/>
    <w:rsid w:val="355025AF"/>
    <w:rsid w:val="35582CA6"/>
    <w:rsid w:val="355C665B"/>
    <w:rsid w:val="35780FBB"/>
    <w:rsid w:val="357A6D00"/>
    <w:rsid w:val="357D4824"/>
    <w:rsid w:val="3589345D"/>
    <w:rsid w:val="35A617CB"/>
    <w:rsid w:val="35B45A71"/>
    <w:rsid w:val="35CB6696"/>
    <w:rsid w:val="35D87DD1"/>
    <w:rsid w:val="35E0667B"/>
    <w:rsid w:val="35E745AD"/>
    <w:rsid w:val="35FE27E2"/>
    <w:rsid w:val="361967B4"/>
    <w:rsid w:val="3627193C"/>
    <w:rsid w:val="36360DCF"/>
    <w:rsid w:val="36405F7D"/>
    <w:rsid w:val="36433F95"/>
    <w:rsid w:val="364D41ED"/>
    <w:rsid w:val="36502E3D"/>
    <w:rsid w:val="36610931"/>
    <w:rsid w:val="36783969"/>
    <w:rsid w:val="367E39BA"/>
    <w:rsid w:val="36800F28"/>
    <w:rsid w:val="368816D2"/>
    <w:rsid w:val="36903323"/>
    <w:rsid w:val="3697159D"/>
    <w:rsid w:val="369B52FF"/>
    <w:rsid w:val="36A617D4"/>
    <w:rsid w:val="36A74600"/>
    <w:rsid w:val="36A924E2"/>
    <w:rsid w:val="36A94409"/>
    <w:rsid w:val="36AC6633"/>
    <w:rsid w:val="36B204FD"/>
    <w:rsid w:val="36B93898"/>
    <w:rsid w:val="36C344B8"/>
    <w:rsid w:val="36CF3AA9"/>
    <w:rsid w:val="36D73033"/>
    <w:rsid w:val="36D84C5D"/>
    <w:rsid w:val="36DB5CA6"/>
    <w:rsid w:val="36DD37CC"/>
    <w:rsid w:val="36E47612"/>
    <w:rsid w:val="36E50687"/>
    <w:rsid w:val="36ED2577"/>
    <w:rsid w:val="3708485F"/>
    <w:rsid w:val="37365661"/>
    <w:rsid w:val="376813EB"/>
    <w:rsid w:val="3768578B"/>
    <w:rsid w:val="377A5206"/>
    <w:rsid w:val="37816ADB"/>
    <w:rsid w:val="378B6948"/>
    <w:rsid w:val="37A913F9"/>
    <w:rsid w:val="37AE08B7"/>
    <w:rsid w:val="37B16815"/>
    <w:rsid w:val="37B64F7F"/>
    <w:rsid w:val="37BE35FD"/>
    <w:rsid w:val="37BE6397"/>
    <w:rsid w:val="37C02F56"/>
    <w:rsid w:val="37C403E5"/>
    <w:rsid w:val="37D42E21"/>
    <w:rsid w:val="37D55EF6"/>
    <w:rsid w:val="37E57E53"/>
    <w:rsid w:val="38064362"/>
    <w:rsid w:val="380F5C07"/>
    <w:rsid w:val="38217ADE"/>
    <w:rsid w:val="38237904"/>
    <w:rsid w:val="38355F69"/>
    <w:rsid w:val="383F397D"/>
    <w:rsid w:val="38405CF0"/>
    <w:rsid w:val="384B2C4F"/>
    <w:rsid w:val="384B7517"/>
    <w:rsid w:val="384F487F"/>
    <w:rsid w:val="385612FA"/>
    <w:rsid w:val="385E37AB"/>
    <w:rsid w:val="38776339"/>
    <w:rsid w:val="389C59D6"/>
    <w:rsid w:val="38A87FBB"/>
    <w:rsid w:val="38AB6CE6"/>
    <w:rsid w:val="38BB6BDF"/>
    <w:rsid w:val="38C2158E"/>
    <w:rsid w:val="38C31F0F"/>
    <w:rsid w:val="38D40AB5"/>
    <w:rsid w:val="38D44DA9"/>
    <w:rsid w:val="38D71401"/>
    <w:rsid w:val="38DB665C"/>
    <w:rsid w:val="38DD251F"/>
    <w:rsid w:val="38DE13F0"/>
    <w:rsid w:val="38E15393"/>
    <w:rsid w:val="38E17486"/>
    <w:rsid w:val="38E61C57"/>
    <w:rsid w:val="38EE0521"/>
    <w:rsid w:val="39027565"/>
    <w:rsid w:val="391C2899"/>
    <w:rsid w:val="395A4A24"/>
    <w:rsid w:val="396D6BBB"/>
    <w:rsid w:val="396F0069"/>
    <w:rsid w:val="39904E64"/>
    <w:rsid w:val="399A7363"/>
    <w:rsid w:val="39A71E6F"/>
    <w:rsid w:val="39C773BE"/>
    <w:rsid w:val="39C8579A"/>
    <w:rsid w:val="39D709A6"/>
    <w:rsid w:val="39DB6D94"/>
    <w:rsid w:val="39DC1478"/>
    <w:rsid w:val="39E21EB4"/>
    <w:rsid w:val="39E22B73"/>
    <w:rsid w:val="39E6170B"/>
    <w:rsid w:val="39F10553"/>
    <w:rsid w:val="39F13E98"/>
    <w:rsid w:val="39FA6443"/>
    <w:rsid w:val="3A035CD4"/>
    <w:rsid w:val="3A0557A4"/>
    <w:rsid w:val="3A0B0650"/>
    <w:rsid w:val="3A1A3591"/>
    <w:rsid w:val="3A240339"/>
    <w:rsid w:val="3A3316C8"/>
    <w:rsid w:val="3A383736"/>
    <w:rsid w:val="3A3E06F2"/>
    <w:rsid w:val="3A466183"/>
    <w:rsid w:val="3A4F198A"/>
    <w:rsid w:val="3A514DE4"/>
    <w:rsid w:val="3A5C0632"/>
    <w:rsid w:val="3A611805"/>
    <w:rsid w:val="3A690DF9"/>
    <w:rsid w:val="3A731C3E"/>
    <w:rsid w:val="3A8020EA"/>
    <w:rsid w:val="3A8863EF"/>
    <w:rsid w:val="3A8F48CE"/>
    <w:rsid w:val="3A9813DE"/>
    <w:rsid w:val="3AA57C5F"/>
    <w:rsid w:val="3AAA44BC"/>
    <w:rsid w:val="3AAB73AA"/>
    <w:rsid w:val="3ABC194A"/>
    <w:rsid w:val="3AC9547A"/>
    <w:rsid w:val="3AD74888"/>
    <w:rsid w:val="3AED0669"/>
    <w:rsid w:val="3AED3481"/>
    <w:rsid w:val="3AF96796"/>
    <w:rsid w:val="3AFD443D"/>
    <w:rsid w:val="3B0964ED"/>
    <w:rsid w:val="3B0D3370"/>
    <w:rsid w:val="3B1A1C78"/>
    <w:rsid w:val="3B292898"/>
    <w:rsid w:val="3B2D67CB"/>
    <w:rsid w:val="3B326D1A"/>
    <w:rsid w:val="3B351BFC"/>
    <w:rsid w:val="3B50008A"/>
    <w:rsid w:val="3B505310"/>
    <w:rsid w:val="3B5B35ED"/>
    <w:rsid w:val="3B684B69"/>
    <w:rsid w:val="3B784A94"/>
    <w:rsid w:val="3B822912"/>
    <w:rsid w:val="3B873815"/>
    <w:rsid w:val="3B990F98"/>
    <w:rsid w:val="3B9D772A"/>
    <w:rsid w:val="3BA02B4E"/>
    <w:rsid w:val="3BA83A3B"/>
    <w:rsid w:val="3BB137F1"/>
    <w:rsid w:val="3BB23508"/>
    <w:rsid w:val="3BB3790D"/>
    <w:rsid w:val="3BBF6E72"/>
    <w:rsid w:val="3BC15D12"/>
    <w:rsid w:val="3BE13D5E"/>
    <w:rsid w:val="3BF10322"/>
    <w:rsid w:val="3C0337AE"/>
    <w:rsid w:val="3C0D43F7"/>
    <w:rsid w:val="3C234B4F"/>
    <w:rsid w:val="3C4A052D"/>
    <w:rsid w:val="3C4F1204"/>
    <w:rsid w:val="3C5712BA"/>
    <w:rsid w:val="3C5A58BF"/>
    <w:rsid w:val="3C67262F"/>
    <w:rsid w:val="3C8F5568"/>
    <w:rsid w:val="3C9C465F"/>
    <w:rsid w:val="3CA134EE"/>
    <w:rsid w:val="3CB7061B"/>
    <w:rsid w:val="3CB76A7F"/>
    <w:rsid w:val="3CBE794A"/>
    <w:rsid w:val="3CD04FD4"/>
    <w:rsid w:val="3CEC5C28"/>
    <w:rsid w:val="3CEE008A"/>
    <w:rsid w:val="3CF26B34"/>
    <w:rsid w:val="3CF96A52"/>
    <w:rsid w:val="3CFB49A7"/>
    <w:rsid w:val="3D006A28"/>
    <w:rsid w:val="3D1D385A"/>
    <w:rsid w:val="3D204C27"/>
    <w:rsid w:val="3D566151"/>
    <w:rsid w:val="3D5A62B4"/>
    <w:rsid w:val="3D6A38DF"/>
    <w:rsid w:val="3D6A4820"/>
    <w:rsid w:val="3D7D177C"/>
    <w:rsid w:val="3D867C33"/>
    <w:rsid w:val="3D934F7B"/>
    <w:rsid w:val="3D9766AF"/>
    <w:rsid w:val="3D982B9C"/>
    <w:rsid w:val="3D9D0352"/>
    <w:rsid w:val="3DB63BCA"/>
    <w:rsid w:val="3DB8289D"/>
    <w:rsid w:val="3DCB0000"/>
    <w:rsid w:val="3DD13C9C"/>
    <w:rsid w:val="3DD32F7B"/>
    <w:rsid w:val="3DDB1CF4"/>
    <w:rsid w:val="3DE23DBE"/>
    <w:rsid w:val="3DF02F72"/>
    <w:rsid w:val="3E043549"/>
    <w:rsid w:val="3E112566"/>
    <w:rsid w:val="3E1D1ACD"/>
    <w:rsid w:val="3E362625"/>
    <w:rsid w:val="3E387867"/>
    <w:rsid w:val="3E4357A6"/>
    <w:rsid w:val="3E65296D"/>
    <w:rsid w:val="3E690E76"/>
    <w:rsid w:val="3E8D3D29"/>
    <w:rsid w:val="3E955C21"/>
    <w:rsid w:val="3E9574A2"/>
    <w:rsid w:val="3EAC40BD"/>
    <w:rsid w:val="3EC14435"/>
    <w:rsid w:val="3EC1467C"/>
    <w:rsid w:val="3EC23511"/>
    <w:rsid w:val="3EC4412D"/>
    <w:rsid w:val="3ED410EB"/>
    <w:rsid w:val="3EE22BD7"/>
    <w:rsid w:val="3EE258C2"/>
    <w:rsid w:val="3EE76533"/>
    <w:rsid w:val="3EF27B52"/>
    <w:rsid w:val="3EF47AB4"/>
    <w:rsid w:val="3EFA1FBB"/>
    <w:rsid w:val="3F0430CE"/>
    <w:rsid w:val="3F046514"/>
    <w:rsid w:val="3F0F49D0"/>
    <w:rsid w:val="3F1D262A"/>
    <w:rsid w:val="3F201C44"/>
    <w:rsid w:val="3F2B54B3"/>
    <w:rsid w:val="3F3E5A9B"/>
    <w:rsid w:val="3F3F0A74"/>
    <w:rsid w:val="3F400F95"/>
    <w:rsid w:val="3F405659"/>
    <w:rsid w:val="3F530F91"/>
    <w:rsid w:val="3F5A2794"/>
    <w:rsid w:val="3F652E05"/>
    <w:rsid w:val="3F751A29"/>
    <w:rsid w:val="3F8F130E"/>
    <w:rsid w:val="3F965ED3"/>
    <w:rsid w:val="3FA0399D"/>
    <w:rsid w:val="3FA96224"/>
    <w:rsid w:val="3FAF3AEE"/>
    <w:rsid w:val="3FB876C0"/>
    <w:rsid w:val="3FBC573B"/>
    <w:rsid w:val="3FCF4E4C"/>
    <w:rsid w:val="3FDD6F27"/>
    <w:rsid w:val="3FFA1502"/>
    <w:rsid w:val="400925A5"/>
    <w:rsid w:val="40110B4E"/>
    <w:rsid w:val="40113FBA"/>
    <w:rsid w:val="40433C6D"/>
    <w:rsid w:val="404E0723"/>
    <w:rsid w:val="40524A96"/>
    <w:rsid w:val="405921A9"/>
    <w:rsid w:val="4074630C"/>
    <w:rsid w:val="409163A3"/>
    <w:rsid w:val="40A5187E"/>
    <w:rsid w:val="40AA0AD2"/>
    <w:rsid w:val="40AC5D5D"/>
    <w:rsid w:val="40B03E89"/>
    <w:rsid w:val="40B352C8"/>
    <w:rsid w:val="40B42CAA"/>
    <w:rsid w:val="40CA1589"/>
    <w:rsid w:val="40CB5BF7"/>
    <w:rsid w:val="40D46ACE"/>
    <w:rsid w:val="40DC7785"/>
    <w:rsid w:val="40E107F4"/>
    <w:rsid w:val="40ED5934"/>
    <w:rsid w:val="40FE736E"/>
    <w:rsid w:val="41057C9B"/>
    <w:rsid w:val="41090804"/>
    <w:rsid w:val="4112309F"/>
    <w:rsid w:val="4113520B"/>
    <w:rsid w:val="41234BFB"/>
    <w:rsid w:val="412755BD"/>
    <w:rsid w:val="412D1CC3"/>
    <w:rsid w:val="413A2410"/>
    <w:rsid w:val="41474753"/>
    <w:rsid w:val="414E2E44"/>
    <w:rsid w:val="414F78D5"/>
    <w:rsid w:val="416B52C8"/>
    <w:rsid w:val="416D1EE1"/>
    <w:rsid w:val="4171348E"/>
    <w:rsid w:val="41771649"/>
    <w:rsid w:val="417B2387"/>
    <w:rsid w:val="41833C3E"/>
    <w:rsid w:val="419434B5"/>
    <w:rsid w:val="41B565FA"/>
    <w:rsid w:val="41B97186"/>
    <w:rsid w:val="41BF7E5D"/>
    <w:rsid w:val="41CB228A"/>
    <w:rsid w:val="41CE4F7E"/>
    <w:rsid w:val="41CF0114"/>
    <w:rsid w:val="41D107DC"/>
    <w:rsid w:val="41D17A19"/>
    <w:rsid w:val="41DD6A74"/>
    <w:rsid w:val="41EB0DA2"/>
    <w:rsid w:val="41EF4D2A"/>
    <w:rsid w:val="41F354C9"/>
    <w:rsid w:val="41F52311"/>
    <w:rsid w:val="41F76057"/>
    <w:rsid w:val="41F92E32"/>
    <w:rsid w:val="42196B3E"/>
    <w:rsid w:val="422B5D33"/>
    <w:rsid w:val="42436046"/>
    <w:rsid w:val="42506478"/>
    <w:rsid w:val="425C68B8"/>
    <w:rsid w:val="426621C4"/>
    <w:rsid w:val="42672BAA"/>
    <w:rsid w:val="426C536F"/>
    <w:rsid w:val="426F47C3"/>
    <w:rsid w:val="42721F4D"/>
    <w:rsid w:val="427E0AF0"/>
    <w:rsid w:val="428B0AB4"/>
    <w:rsid w:val="428B6F92"/>
    <w:rsid w:val="42981E8D"/>
    <w:rsid w:val="429C0749"/>
    <w:rsid w:val="429D6DF6"/>
    <w:rsid w:val="42CA08AB"/>
    <w:rsid w:val="42D13739"/>
    <w:rsid w:val="42DD463F"/>
    <w:rsid w:val="42ED2FE9"/>
    <w:rsid w:val="42FC4CE2"/>
    <w:rsid w:val="42FF0B84"/>
    <w:rsid w:val="42FF24F0"/>
    <w:rsid w:val="43057DD8"/>
    <w:rsid w:val="430E6B71"/>
    <w:rsid w:val="431D1AB5"/>
    <w:rsid w:val="43254901"/>
    <w:rsid w:val="43282690"/>
    <w:rsid w:val="432C33F8"/>
    <w:rsid w:val="432C4D53"/>
    <w:rsid w:val="43302100"/>
    <w:rsid w:val="433D620C"/>
    <w:rsid w:val="43441284"/>
    <w:rsid w:val="435E5BA8"/>
    <w:rsid w:val="435F68D1"/>
    <w:rsid w:val="4362320A"/>
    <w:rsid w:val="43683A23"/>
    <w:rsid w:val="436D6BD2"/>
    <w:rsid w:val="436E7F7D"/>
    <w:rsid w:val="43706BA1"/>
    <w:rsid w:val="43744791"/>
    <w:rsid w:val="43752570"/>
    <w:rsid w:val="43790837"/>
    <w:rsid w:val="438224CC"/>
    <w:rsid w:val="43995F39"/>
    <w:rsid w:val="43A55CA9"/>
    <w:rsid w:val="43AC23C9"/>
    <w:rsid w:val="43B42D34"/>
    <w:rsid w:val="43C046C9"/>
    <w:rsid w:val="43EE2A18"/>
    <w:rsid w:val="43F52ECB"/>
    <w:rsid w:val="44054362"/>
    <w:rsid w:val="440A263E"/>
    <w:rsid w:val="44111710"/>
    <w:rsid w:val="44116DDF"/>
    <w:rsid w:val="442211C8"/>
    <w:rsid w:val="442E6AFE"/>
    <w:rsid w:val="44347262"/>
    <w:rsid w:val="443E1AC8"/>
    <w:rsid w:val="444019DB"/>
    <w:rsid w:val="4444288F"/>
    <w:rsid w:val="444C6351"/>
    <w:rsid w:val="44546983"/>
    <w:rsid w:val="44695F56"/>
    <w:rsid w:val="446A5BCA"/>
    <w:rsid w:val="4473751E"/>
    <w:rsid w:val="44764150"/>
    <w:rsid w:val="448C5CC4"/>
    <w:rsid w:val="44930D8B"/>
    <w:rsid w:val="44965090"/>
    <w:rsid w:val="44983428"/>
    <w:rsid w:val="449A0979"/>
    <w:rsid w:val="44A122DD"/>
    <w:rsid w:val="44A20EAD"/>
    <w:rsid w:val="44A31946"/>
    <w:rsid w:val="44A3548D"/>
    <w:rsid w:val="44B11B7E"/>
    <w:rsid w:val="44B34348"/>
    <w:rsid w:val="44B72665"/>
    <w:rsid w:val="44C31F95"/>
    <w:rsid w:val="44C76A36"/>
    <w:rsid w:val="44CA32DA"/>
    <w:rsid w:val="44D05958"/>
    <w:rsid w:val="44D77AAC"/>
    <w:rsid w:val="44E16ED6"/>
    <w:rsid w:val="44E8569F"/>
    <w:rsid w:val="44EA36A2"/>
    <w:rsid w:val="44EF50EA"/>
    <w:rsid w:val="44F26591"/>
    <w:rsid w:val="44F55792"/>
    <w:rsid w:val="450008A6"/>
    <w:rsid w:val="450D4160"/>
    <w:rsid w:val="4517259F"/>
    <w:rsid w:val="453645D1"/>
    <w:rsid w:val="453A628D"/>
    <w:rsid w:val="455A12D9"/>
    <w:rsid w:val="45605CF4"/>
    <w:rsid w:val="4572728A"/>
    <w:rsid w:val="45741238"/>
    <w:rsid w:val="458060F6"/>
    <w:rsid w:val="458E1911"/>
    <w:rsid w:val="45BE7196"/>
    <w:rsid w:val="45F05143"/>
    <w:rsid w:val="45F13AC8"/>
    <w:rsid w:val="45FA4104"/>
    <w:rsid w:val="46002FBA"/>
    <w:rsid w:val="461F1208"/>
    <w:rsid w:val="463C1EE1"/>
    <w:rsid w:val="463D26C6"/>
    <w:rsid w:val="46420213"/>
    <w:rsid w:val="464306B0"/>
    <w:rsid w:val="464473C4"/>
    <w:rsid w:val="465A5CE3"/>
    <w:rsid w:val="46661ACE"/>
    <w:rsid w:val="466E0AC9"/>
    <w:rsid w:val="46733D05"/>
    <w:rsid w:val="469B0FAE"/>
    <w:rsid w:val="46A460B4"/>
    <w:rsid w:val="46C02AFD"/>
    <w:rsid w:val="46CB4C46"/>
    <w:rsid w:val="46E35351"/>
    <w:rsid w:val="46E959DB"/>
    <w:rsid w:val="46F619DB"/>
    <w:rsid w:val="46F661E4"/>
    <w:rsid w:val="46FD249B"/>
    <w:rsid w:val="470A27C3"/>
    <w:rsid w:val="47163A16"/>
    <w:rsid w:val="471734AF"/>
    <w:rsid w:val="47174CA9"/>
    <w:rsid w:val="4729360D"/>
    <w:rsid w:val="47380C4A"/>
    <w:rsid w:val="473B2E19"/>
    <w:rsid w:val="47447224"/>
    <w:rsid w:val="4751299A"/>
    <w:rsid w:val="475B3B0B"/>
    <w:rsid w:val="476004BE"/>
    <w:rsid w:val="476A067C"/>
    <w:rsid w:val="476C3B0A"/>
    <w:rsid w:val="477B5067"/>
    <w:rsid w:val="477B5D50"/>
    <w:rsid w:val="478B7E7C"/>
    <w:rsid w:val="47994953"/>
    <w:rsid w:val="47A23253"/>
    <w:rsid w:val="47B24801"/>
    <w:rsid w:val="47C77C52"/>
    <w:rsid w:val="47CD3318"/>
    <w:rsid w:val="47D36112"/>
    <w:rsid w:val="47D45806"/>
    <w:rsid w:val="47D92BE3"/>
    <w:rsid w:val="47F73F54"/>
    <w:rsid w:val="47FF3332"/>
    <w:rsid w:val="480212AB"/>
    <w:rsid w:val="48027359"/>
    <w:rsid w:val="4803299C"/>
    <w:rsid w:val="48033126"/>
    <w:rsid w:val="480962F8"/>
    <w:rsid w:val="482013B2"/>
    <w:rsid w:val="482113C4"/>
    <w:rsid w:val="48253225"/>
    <w:rsid w:val="482C385B"/>
    <w:rsid w:val="482D1F14"/>
    <w:rsid w:val="4830067E"/>
    <w:rsid w:val="484E2C87"/>
    <w:rsid w:val="486729F8"/>
    <w:rsid w:val="48677BFC"/>
    <w:rsid w:val="48767ADA"/>
    <w:rsid w:val="487936A5"/>
    <w:rsid w:val="488526D8"/>
    <w:rsid w:val="48891F70"/>
    <w:rsid w:val="489B7F2B"/>
    <w:rsid w:val="489D3738"/>
    <w:rsid w:val="48BF79BD"/>
    <w:rsid w:val="48DA66E1"/>
    <w:rsid w:val="48DB03B3"/>
    <w:rsid w:val="48E00EFA"/>
    <w:rsid w:val="490816C4"/>
    <w:rsid w:val="491C556E"/>
    <w:rsid w:val="4924528A"/>
    <w:rsid w:val="49276B29"/>
    <w:rsid w:val="492F20CA"/>
    <w:rsid w:val="4936495A"/>
    <w:rsid w:val="494A11AD"/>
    <w:rsid w:val="49526CD2"/>
    <w:rsid w:val="49791E3C"/>
    <w:rsid w:val="498D6EDC"/>
    <w:rsid w:val="49A1730B"/>
    <w:rsid w:val="49CC2177"/>
    <w:rsid w:val="49CE11CF"/>
    <w:rsid w:val="49D229F3"/>
    <w:rsid w:val="49D767A1"/>
    <w:rsid w:val="49D92F00"/>
    <w:rsid w:val="49DF6AF8"/>
    <w:rsid w:val="49E76B4D"/>
    <w:rsid w:val="49EE6335"/>
    <w:rsid w:val="49F0190B"/>
    <w:rsid w:val="4A006708"/>
    <w:rsid w:val="4A0708E8"/>
    <w:rsid w:val="4A312D2C"/>
    <w:rsid w:val="4A340FA6"/>
    <w:rsid w:val="4A5165FB"/>
    <w:rsid w:val="4A645F5C"/>
    <w:rsid w:val="4A6606F1"/>
    <w:rsid w:val="4A7125A4"/>
    <w:rsid w:val="4A7162AD"/>
    <w:rsid w:val="4A720B36"/>
    <w:rsid w:val="4A9E48FC"/>
    <w:rsid w:val="4AA932CB"/>
    <w:rsid w:val="4AB72317"/>
    <w:rsid w:val="4ACA1E9E"/>
    <w:rsid w:val="4ADC1E06"/>
    <w:rsid w:val="4AE80A03"/>
    <w:rsid w:val="4AEA79B9"/>
    <w:rsid w:val="4AEE089A"/>
    <w:rsid w:val="4B136269"/>
    <w:rsid w:val="4B1A1FA0"/>
    <w:rsid w:val="4B1B7C67"/>
    <w:rsid w:val="4B27320B"/>
    <w:rsid w:val="4B47347F"/>
    <w:rsid w:val="4B6A4A77"/>
    <w:rsid w:val="4B732656"/>
    <w:rsid w:val="4B780A86"/>
    <w:rsid w:val="4B7D3700"/>
    <w:rsid w:val="4B91163D"/>
    <w:rsid w:val="4B9425A7"/>
    <w:rsid w:val="4B9C7EE6"/>
    <w:rsid w:val="4B9D2E53"/>
    <w:rsid w:val="4BA3274E"/>
    <w:rsid w:val="4BB61220"/>
    <w:rsid w:val="4BBC79FC"/>
    <w:rsid w:val="4BBE7F36"/>
    <w:rsid w:val="4BC965B6"/>
    <w:rsid w:val="4BD20B53"/>
    <w:rsid w:val="4BE57347"/>
    <w:rsid w:val="4BED6927"/>
    <w:rsid w:val="4BF21670"/>
    <w:rsid w:val="4BF57B74"/>
    <w:rsid w:val="4BFD09ED"/>
    <w:rsid w:val="4C15282F"/>
    <w:rsid w:val="4C161E81"/>
    <w:rsid w:val="4C345AD4"/>
    <w:rsid w:val="4C38034B"/>
    <w:rsid w:val="4C3924AC"/>
    <w:rsid w:val="4C3C5793"/>
    <w:rsid w:val="4C44171A"/>
    <w:rsid w:val="4C4E226F"/>
    <w:rsid w:val="4C4E7935"/>
    <w:rsid w:val="4C5249E4"/>
    <w:rsid w:val="4C545601"/>
    <w:rsid w:val="4C640D03"/>
    <w:rsid w:val="4C6608AF"/>
    <w:rsid w:val="4C7548EB"/>
    <w:rsid w:val="4C7650BF"/>
    <w:rsid w:val="4C79566F"/>
    <w:rsid w:val="4C853D9F"/>
    <w:rsid w:val="4C88262E"/>
    <w:rsid w:val="4C8C776B"/>
    <w:rsid w:val="4C9478CA"/>
    <w:rsid w:val="4CA41285"/>
    <w:rsid w:val="4CAC5CC3"/>
    <w:rsid w:val="4CB232CB"/>
    <w:rsid w:val="4CBE09A6"/>
    <w:rsid w:val="4CC239AB"/>
    <w:rsid w:val="4CE74DA6"/>
    <w:rsid w:val="4CF85E2A"/>
    <w:rsid w:val="4D0959DD"/>
    <w:rsid w:val="4D175A50"/>
    <w:rsid w:val="4D20440D"/>
    <w:rsid w:val="4D376461"/>
    <w:rsid w:val="4D3857A8"/>
    <w:rsid w:val="4D3D4B6D"/>
    <w:rsid w:val="4D620492"/>
    <w:rsid w:val="4D6C7200"/>
    <w:rsid w:val="4D6E5660"/>
    <w:rsid w:val="4D717433"/>
    <w:rsid w:val="4D7218AC"/>
    <w:rsid w:val="4D790C63"/>
    <w:rsid w:val="4D7E3E25"/>
    <w:rsid w:val="4D7F3051"/>
    <w:rsid w:val="4D807194"/>
    <w:rsid w:val="4D811F1C"/>
    <w:rsid w:val="4D814D4A"/>
    <w:rsid w:val="4D9C79E3"/>
    <w:rsid w:val="4D9F0EB1"/>
    <w:rsid w:val="4DA74B94"/>
    <w:rsid w:val="4DA81030"/>
    <w:rsid w:val="4DAB2E13"/>
    <w:rsid w:val="4DBB576A"/>
    <w:rsid w:val="4DC4211A"/>
    <w:rsid w:val="4DC4539E"/>
    <w:rsid w:val="4DC514F9"/>
    <w:rsid w:val="4DCB03CA"/>
    <w:rsid w:val="4DD11580"/>
    <w:rsid w:val="4DD97DAF"/>
    <w:rsid w:val="4DDA685F"/>
    <w:rsid w:val="4DDC25D7"/>
    <w:rsid w:val="4DE33966"/>
    <w:rsid w:val="4DE9429F"/>
    <w:rsid w:val="4DEC5C79"/>
    <w:rsid w:val="4DF740D0"/>
    <w:rsid w:val="4DF8087A"/>
    <w:rsid w:val="4DFE5697"/>
    <w:rsid w:val="4E003CEA"/>
    <w:rsid w:val="4E004C8C"/>
    <w:rsid w:val="4E012B0D"/>
    <w:rsid w:val="4E093721"/>
    <w:rsid w:val="4E105340"/>
    <w:rsid w:val="4E114C86"/>
    <w:rsid w:val="4E127759"/>
    <w:rsid w:val="4E143B1F"/>
    <w:rsid w:val="4E174F2E"/>
    <w:rsid w:val="4E1C3B3F"/>
    <w:rsid w:val="4E1D336E"/>
    <w:rsid w:val="4E231FB4"/>
    <w:rsid w:val="4E257ADB"/>
    <w:rsid w:val="4E286F2F"/>
    <w:rsid w:val="4E293346"/>
    <w:rsid w:val="4E3D783C"/>
    <w:rsid w:val="4E422A98"/>
    <w:rsid w:val="4E467A51"/>
    <w:rsid w:val="4E50443F"/>
    <w:rsid w:val="4E5A52AA"/>
    <w:rsid w:val="4E610A22"/>
    <w:rsid w:val="4E6A6E54"/>
    <w:rsid w:val="4E7E543D"/>
    <w:rsid w:val="4E8744D4"/>
    <w:rsid w:val="4E8A6875"/>
    <w:rsid w:val="4E8B7D7F"/>
    <w:rsid w:val="4E8E036E"/>
    <w:rsid w:val="4E8F2FDE"/>
    <w:rsid w:val="4E9C0C8B"/>
    <w:rsid w:val="4E9C6765"/>
    <w:rsid w:val="4EA52579"/>
    <w:rsid w:val="4EAC68F3"/>
    <w:rsid w:val="4EB44AD2"/>
    <w:rsid w:val="4EDB463D"/>
    <w:rsid w:val="4EF2591B"/>
    <w:rsid w:val="4EF4658C"/>
    <w:rsid w:val="4EF95A66"/>
    <w:rsid w:val="4EFA05FF"/>
    <w:rsid w:val="4EFC02F4"/>
    <w:rsid w:val="4F07798B"/>
    <w:rsid w:val="4F1D6A04"/>
    <w:rsid w:val="4F215689"/>
    <w:rsid w:val="4F232E67"/>
    <w:rsid w:val="4F243251"/>
    <w:rsid w:val="4F25530B"/>
    <w:rsid w:val="4F29451C"/>
    <w:rsid w:val="4F2B6CFC"/>
    <w:rsid w:val="4F2E202D"/>
    <w:rsid w:val="4F4162AC"/>
    <w:rsid w:val="4F4A1E20"/>
    <w:rsid w:val="4F4A6AF7"/>
    <w:rsid w:val="4F4D6BA5"/>
    <w:rsid w:val="4F554E5A"/>
    <w:rsid w:val="4F5D34E1"/>
    <w:rsid w:val="4F5F1376"/>
    <w:rsid w:val="4F700E05"/>
    <w:rsid w:val="4F70140E"/>
    <w:rsid w:val="4F72636A"/>
    <w:rsid w:val="4F765516"/>
    <w:rsid w:val="4F7A3D36"/>
    <w:rsid w:val="4F7B3BCB"/>
    <w:rsid w:val="4F8E5013"/>
    <w:rsid w:val="4F933C70"/>
    <w:rsid w:val="4F9A41C7"/>
    <w:rsid w:val="4F9B2BC5"/>
    <w:rsid w:val="4F9C192E"/>
    <w:rsid w:val="4FA0743F"/>
    <w:rsid w:val="4FAD47AB"/>
    <w:rsid w:val="4FAE7CB2"/>
    <w:rsid w:val="4FB40010"/>
    <w:rsid w:val="4FC366E7"/>
    <w:rsid w:val="4FC650D9"/>
    <w:rsid w:val="4FCD0F7C"/>
    <w:rsid w:val="4FD740E6"/>
    <w:rsid w:val="4FE13943"/>
    <w:rsid w:val="4FE2746B"/>
    <w:rsid w:val="4FE536C0"/>
    <w:rsid w:val="4FF35BC0"/>
    <w:rsid w:val="4FF9120D"/>
    <w:rsid w:val="4FFB1A4D"/>
    <w:rsid w:val="50067DD6"/>
    <w:rsid w:val="50081462"/>
    <w:rsid w:val="50174804"/>
    <w:rsid w:val="50312382"/>
    <w:rsid w:val="50345E4E"/>
    <w:rsid w:val="505668F7"/>
    <w:rsid w:val="50567393"/>
    <w:rsid w:val="505F1B5B"/>
    <w:rsid w:val="505F5A14"/>
    <w:rsid w:val="50744D49"/>
    <w:rsid w:val="507F63E9"/>
    <w:rsid w:val="50946A56"/>
    <w:rsid w:val="50967F7E"/>
    <w:rsid w:val="50A02484"/>
    <w:rsid w:val="50A266C0"/>
    <w:rsid w:val="50A64D69"/>
    <w:rsid w:val="50BC3FFA"/>
    <w:rsid w:val="50CB7737"/>
    <w:rsid w:val="50DC31A8"/>
    <w:rsid w:val="50E25B01"/>
    <w:rsid w:val="50E42A3A"/>
    <w:rsid w:val="50E73A05"/>
    <w:rsid w:val="50E83041"/>
    <w:rsid w:val="50ED34C5"/>
    <w:rsid w:val="50F25C6E"/>
    <w:rsid w:val="50F27B43"/>
    <w:rsid w:val="50F64804"/>
    <w:rsid w:val="5106422C"/>
    <w:rsid w:val="51071118"/>
    <w:rsid w:val="51082574"/>
    <w:rsid w:val="51143E36"/>
    <w:rsid w:val="51234A1F"/>
    <w:rsid w:val="51322A8D"/>
    <w:rsid w:val="5132585B"/>
    <w:rsid w:val="51351BE8"/>
    <w:rsid w:val="514767E8"/>
    <w:rsid w:val="514A1FB9"/>
    <w:rsid w:val="51591468"/>
    <w:rsid w:val="517F16CD"/>
    <w:rsid w:val="518152E4"/>
    <w:rsid w:val="51815569"/>
    <w:rsid w:val="518311FE"/>
    <w:rsid w:val="518C41AB"/>
    <w:rsid w:val="519350A6"/>
    <w:rsid w:val="519A39CC"/>
    <w:rsid w:val="519C2D2D"/>
    <w:rsid w:val="51A5108F"/>
    <w:rsid w:val="51B5251C"/>
    <w:rsid w:val="51BB243C"/>
    <w:rsid w:val="51C87EE4"/>
    <w:rsid w:val="51C91C81"/>
    <w:rsid w:val="51CF557E"/>
    <w:rsid w:val="51D22EB2"/>
    <w:rsid w:val="51D72070"/>
    <w:rsid w:val="51D826B0"/>
    <w:rsid w:val="51E061A1"/>
    <w:rsid w:val="51E27FCD"/>
    <w:rsid w:val="51EA5D3C"/>
    <w:rsid w:val="51F62227"/>
    <w:rsid w:val="51FA04C1"/>
    <w:rsid w:val="51FA239D"/>
    <w:rsid w:val="51FD5237"/>
    <w:rsid w:val="520305F7"/>
    <w:rsid w:val="52081080"/>
    <w:rsid w:val="521E0065"/>
    <w:rsid w:val="521F7917"/>
    <w:rsid w:val="52227A2A"/>
    <w:rsid w:val="52397FF8"/>
    <w:rsid w:val="523D0E4F"/>
    <w:rsid w:val="525370A4"/>
    <w:rsid w:val="525941F7"/>
    <w:rsid w:val="525C547D"/>
    <w:rsid w:val="52605F62"/>
    <w:rsid w:val="52681B98"/>
    <w:rsid w:val="52806965"/>
    <w:rsid w:val="52816A7D"/>
    <w:rsid w:val="528B3007"/>
    <w:rsid w:val="52917E6D"/>
    <w:rsid w:val="52924CE6"/>
    <w:rsid w:val="52AC62C4"/>
    <w:rsid w:val="52AE4E78"/>
    <w:rsid w:val="52B633F7"/>
    <w:rsid w:val="52BD6C15"/>
    <w:rsid w:val="52BF303D"/>
    <w:rsid w:val="52E40D12"/>
    <w:rsid w:val="52E6641D"/>
    <w:rsid w:val="52EF5850"/>
    <w:rsid w:val="52F474CB"/>
    <w:rsid w:val="52F77CF4"/>
    <w:rsid w:val="5302703C"/>
    <w:rsid w:val="53150615"/>
    <w:rsid w:val="533F163E"/>
    <w:rsid w:val="53511BDB"/>
    <w:rsid w:val="53545E4C"/>
    <w:rsid w:val="5359297B"/>
    <w:rsid w:val="535D0523"/>
    <w:rsid w:val="535F30A6"/>
    <w:rsid w:val="53647AE4"/>
    <w:rsid w:val="537200FA"/>
    <w:rsid w:val="53844984"/>
    <w:rsid w:val="539230C8"/>
    <w:rsid w:val="53B449A8"/>
    <w:rsid w:val="53B6661D"/>
    <w:rsid w:val="53C16CB6"/>
    <w:rsid w:val="53C72B28"/>
    <w:rsid w:val="53CC20AE"/>
    <w:rsid w:val="53D17D36"/>
    <w:rsid w:val="53D25B8D"/>
    <w:rsid w:val="53D54458"/>
    <w:rsid w:val="53E13A43"/>
    <w:rsid w:val="53F47047"/>
    <w:rsid w:val="53F63A5B"/>
    <w:rsid w:val="53F933F4"/>
    <w:rsid w:val="53FC4369"/>
    <w:rsid w:val="53FF2974"/>
    <w:rsid w:val="54212AF2"/>
    <w:rsid w:val="54330DB9"/>
    <w:rsid w:val="54413194"/>
    <w:rsid w:val="5441670B"/>
    <w:rsid w:val="5448228F"/>
    <w:rsid w:val="544B1287"/>
    <w:rsid w:val="54517855"/>
    <w:rsid w:val="54526826"/>
    <w:rsid w:val="5458533D"/>
    <w:rsid w:val="5467032C"/>
    <w:rsid w:val="546926EB"/>
    <w:rsid w:val="546B06C4"/>
    <w:rsid w:val="54723681"/>
    <w:rsid w:val="54744689"/>
    <w:rsid w:val="54831600"/>
    <w:rsid w:val="54866DF9"/>
    <w:rsid w:val="54881EFA"/>
    <w:rsid w:val="549A0B1E"/>
    <w:rsid w:val="549C03CB"/>
    <w:rsid w:val="549D355D"/>
    <w:rsid w:val="54AD3355"/>
    <w:rsid w:val="54D16921"/>
    <w:rsid w:val="54D579C0"/>
    <w:rsid w:val="54E4580A"/>
    <w:rsid w:val="54E64223"/>
    <w:rsid w:val="54F07385"/>
    <w:rsid w:val="54F2623D"/>
    <w:rsid w:val="54F4029A"/>
    <w:rsid w:val="54F503EE"/>
    <w:rsid w:val="54F71E24"/>
    <w:rsid w:val="54FA376E"/>
    <w:rsid w:val="54FB77E7"/>
    <w:rsid w:val="55143F69"/>
    <w:rsid w:val="551759DE"/>
    <w:rsid w:val="55236036"/>
    <w:rsid w:val="552503C0"/>
    <w:rsid w:val="553113F1"/>
    <w:rsid w:val="55375E0C"/>
    <w:rsid w:val="55377EA9"/>
    <w:rsid w:val="5540169E"/>
    <w:rsid w:val="55517407"/>
    <w:rsid w:val="555313D1"/>
    <w:rsid w:val="5561474F"/>
    <w:rsid w:val="556354BA"/>
    <w:rsid w:val="55696219"/>
    <w:rsid w:val="556E3A84"/>
    <w:rsid w:val="557012B1"/>
    <w:rsid w:val="557A29D4"/>
    <w:rsid w:val="55884A28"/>
    <w:rsid w:val="558C5AF6"/>
    <w:rsid w:val="558D578F"/>
    <w:rsid w:val="558E46C8"/>
    <w:rsid w:val="559E6AF2"/>
    <w:rsid w:val="55A334DF"/>
    <w:rsid w:val="55A608D6"/>
    <w:rsid w:val="55AF107E"/>
    <w:rsid w:val="55B24A68"/>
    <w:rsid w:val="55C211E9"/>
    <w:rsid w:val="55F518E6"/>
    <w:rsid w:val="55F63F27"/>
    <w:rsid w:val="55FC4016"/>
    <w:rsid w:val="560371D3"/>
    <w:rsid w:val="561B179B"/>
    <w:rsid w:val="561B2A72"/>
    <w:rsid w:val="562107F3"/>
    <w:rsid w:val="56290384"/>
    <w:rsid w:val="563275EC"/>
    <w:rsid w:val="563A60ED"/>
    <w:rsid w:val="564C5E20"/>
    <w:rsid w:val="5672005D"/>
    <w:rsid w:val="56887689"/>
    <w:rsid w:val="568B1CA2"/>
    <w:rsid w:val="568F1D3C"/>
    <w:rsid w:val="56905D0C"/>
    <w:rsid w:val="5696344C"/>
    <w:rsid w:val="56A31EE4"/>
    <w:rsid w:val="56A613A5"/>
    <w:rsid w:val="56B00762"/>
    <w:rsid w:val="56B1479D"/>
    <w:rsid w:val="56B43073"/>
    <w:rsid w:val="56BC524F"/>
    <w:rsid w:val="56BE0ACC"/>
    <w:rsid w:val="56C51C5B"/>
    <w:rsid w:val="56C86857"/>
    <w:rsid w:val="56D94E70"/>
    <w:rsid w:val="56DA7BB6"/>
    <w:rsid w:val="56DC112E"/>
    <w:rsid w:val="56F9341E"/>
    <w:rsid w:val="56FA57F3"/>
    <w:rsid w:val="57175B19"/>
    <w:rsid w:val="571C40DD"/>
    <w:rsid w:val="57270623"/>
    <w:rsid w:val="572956BD"/>
    <w:rsid w:val="573A62BB"/>
    <w:rsid w:val="573B52A1"/>
    <w:rsid w:val="57407237"/>
    <w:rsid w:val="575A3F59"/>
    <w:rsid w:val="575C71A1"/>
    <w:rsid w:val="578F06BB"/>
    <w:rsid w:val="579161E1"/>
    <w:rsid w:val="5792500D"/>
    <w:rsid w:val="5799310E"/>
    <w:rsid w:val="579D048A"/>
    <w:rsid w:val="579F1681"/>
    <w:rsid w:val="57C71C02"/>
    <w:rsid w:val="57C83E10"/>
    <w:rsid w:val="57C855D7"/>
    <w:rsid w:val="57CF2DAF"/>
    <w:rsid w:val="57D720C5"/>
    <w:rsid w:val="57FC1483"/>
    <w:rsid w:val="580A1411"/>
    <w:rsid w:val="58115925"/>
    <w:rsid w:val="581B18D5"/>
    <w:rsid w:val="581B7414"/>
    <w:rsid w:val="581E495D"/>
    <w:rsid w:val="5822619F"/>
    <w:rsid w:val="5825184F"/>
    <w:rsid w:val="58295909"/>
    <w:rsid w:val="582E2A2F"/>
    <w:rsid w:val="58404804"/>
    <w:rsid w:val="58411BAF"/>
    <w:rsid w:val="58414F41"/>
    <w:rsid w:val="58497CF1"/>
    <w:rsid w:val="584B3F4E"/>
    <w:rsid w:val="584C76FB"/>
    <w:rsid w:val="584E29FC"/>
    <w:rsid w:val="585242C6"/>
    <w:rsid w:val="585A5CE5"/>
    <w:rsid w:val="585C5687"/>
    <w:rsid w:val="586B614D"/>
    <w:rsid w:val="58704048"/>
    <w:rsid w:val="587176F7"/>
    <w:rsid w:val="58796E5D"/>
    <w:rsid w:val="58796FC0"/>
    <w:rsid w:val="5881186B"/>
    <w:rsid w:val="58A5046E"/>
    <w:rsid w:val="58C10BDC"/>
    <w:rsid w:val="58EC1756"/>
    <w:rsid w:val="58F40A71"/>
    <w:rsid w:val="58F703D8"/>
    <w:rsid w:val="58F91823"/>
    <w:rsid w:val="59084281"/>
    <w:rsid w:val="590C17D5"/>
    <w:rsid w:val="590E27D5"/>
    <w:rsid w:val="59113E09"/>
    <w:rsid w:val="59123351"/>
    <w:rsid w:val="59161773"/>
    <w:rsid w:val="59195D7D"/>
    <w:rsid w:val="59246B2D"/>
    <w:rsid w:val="5930270E"/>
    <w:rsid w:val="593B2784"/>
    <w:rsid w:val="593B28A8"/>
    <w:rsid w:val="593B4656"/>
    <w:rsid w:val="59600617"/>
    <w:rsid w:val="59617E35"/>
    <w:rsid w:val="59630BDE"/>
    <w:rsid w:val="59633BAD"/>
    <w:rsid w:val="5964244A"/>
    <w:rsid w:val="59737D55"/>
    <w:rsid w:val="597E2795"/>
    <w:rsid w:val="5994792B"/>
    <w:rsid w:val="599E791B"/>
    <w:rsid w:val="59AC68EC"/>
    <w:rsid w:val="59AE080A"/>
    <w:rsid w:val="59B46A59"/>
    <w:rsid w:val="59CC3500"/>
    <w:rsid w:val="59D74DFD"/>
    <w:rsid w:val="59F10141"/>
    <w:rsid w:val="59FC3FBE"/>
    <w:rsid w:val="5A0F694A"/>
    <w:rsid w:val="5A18725A"/>
    <w:rsid w:val="5A1B7FE4"/>
    <w:rsid w:val="5A1D25C0"/>
    <w:rsid w:val="5A1D410A"/>
    <w:rsid w:val="5A296BA4"/>
    <w:rsid w:val="5A2A3977"/>
    <w:rsid w:val="5A2C52C7"/>
    <w:rsid w:val="5A3753B0"/>
    <w:rsid w:val="5A4E2E49"/>
    <w:rsid w:val="5A544D62"/>
    <w:rsid w:val="5A5F1050"/>
    <w:rsid w:val="5A635DDE"/>
    <w:rsid w:val="5A683D38"/>
    <w:rsid w:val="5A85504F"/>
    <w:rsid w:val="5A86458C"/>
    <w:rsid w:val="5A8B33BB"/>
    <w:rsid w:val="5A9933ED"/>
    <w:rsid w:val="5A9B4F5A"/>
    <w:rsid w:val="5A9B58D0"/>
    <w:rsid w:val="5AA5526F"/>
    <w:rsid w:val="5AAA00EE"/>
    <w:rsid w:val="5AAB60CB"/>
    <w:rsid w:val="5AC449B1"/>
    <w:rsid w:val="5ACF4A5E"/>
    <w:rsid w:val="5AD2433C"/>
    <w:rsid w:val="5AD555FA"/>
    <w:rsid w:val="5AE82F6C"/>
    <w:rsid w:val="5AE90B31"/>
    <w:rsid w:val="5AF26030"/>
    <w:rsid w:val="5AF66E13"/>
    <w:rsid w:val="5B025BB3"/>
    <w:rsid w:val="5B0D7D27"/>
    <w:rsid w:val="5B1A3F9C"/>
    <w:rsid w:val="5B3111C9"/>
    <w:rsid w:val="5B3F6DFB"/>
    <w:rsid w:val="5B5D6A2D"/>
    <w:rsid w:val="5B620E26"/>
    <w:rsid w:val="5B696ACB"/>
    <w:rsid w:val="5B6B45E8"/>
    <w:rsid w:val="5B6D521A"/>
    <w:rsid w:val="5B6E1114"/>
    <w:rsid w:val="5BBC4F05"/>
    <w:rsid w:val="5BD47A46"/>
    <w:rsid w:val="5BF83A33"/>
    <w:rsid w:val="5BFD47CC"/>
    <w:rsid w:val="5C0208A8"/>
    <w:rsid w:val="5C0A20B9"/>
    <w:rsid w:val="5C1A317F"/>
    <w:rsid w:val="5C1E4249"/>
    <w:rsid w:val="5C2F7682"/>
    <w:rsid w:val="5C335FA8"/>
    <w:rsid w:val="5C390BF5"/>
    <w:rsid w:val="5C536A19"/>
    <w:rsid w:val="5C6157FF"/>
    <w:rsid w:val="5C693D8D"/>
    <w:rsid w:val="5C8F3F34"/>
    <w:rsid w:val="5C981DBF"/>
    <w:rsid w:val="5CA96AF6"/>
    <w:rsid w:val="5CAF3971"/>
    <w:rsid w:val="5CBF0186"/>
    <w:rsid w:val="5CBF1E09"/>
    <w:rsid w:val="5CC523BE"/>
    <w:rsid w:val="5CC77913"/>
    <w:rsid w:val="5CCB0D71"/>
    <w:rsid w:val="5CD1707F"/>
    <w:rsid w:val="5CD97586"/>
    <w:rsid w:val="5CE62B2B"/>
    <w:rsid w:val="5CF30EF8"/>
    <w:rsid w:val="5CFB3EEF"/>
    <w:rsid w:val="5D1033A7"/>
    <w:rsid w:val="5D1478B5"/>
    <w:rsid w:val="5D177188"/>
    <w:rsid w:val="5D267E6E"/>
    <w:rsid w:val="5D2861BC"/>
    <w:rsid w:val="5D2C7FD7"/>
    <w:rsid w:val="5D327732"/>
    <w:rsid w:val="5D327B1E"/>
    <w:rsid w:val="5D46181B"/>
    <w:rsid w:val="5D4D7D9E"/>
    <w:rsid w:val="5D574E5E"/>
    <w:rsid w:val="5D5D3C3F"/>
    <w:rsid w:val="5D5F216B"/>
    <w:rsid w:val="5D6937F0"/>
    <w:rsid w:val="5D755C10"/>
    <w:rsid w:val="5D7863A6"/>
    <w:rsid w:val="5D7B35CB"/>
    <w:rsid w:val="5D7D6B28"/>
    <w:rsid w:val="5D8331B0"/>
    <w:rsid w:val="5D887F75"/>
    <w:rsid w:val="5D900478"/>
    <w:rsid w:val="5D9238E4"/>
    <w:rsid w:val="5D967631"/>
    <w:rsid w:val="5DA23AFF"/>
    <w:rsid w:val="5DAB1072"/>
    <w:rsid w:val="5DB02DB0"/>
    <w:rsid w:val="5DC4409C"/>
    <w:rsid w:val="5DC8035B"/>
    <w:rsid w:val="5DE27C1C"/>
    <w:rsid w:val="5DEC120C"/>
    <w:rsid w:val="5DEC505E"/>
    <w:rsid w:val="5DF272AD"/>
    <w:rsid w:val="5DF44B1A"/>
    <w:rsid w:val="5DF80174"/>
    <w:rsid w:val="5E021DB5"/>
    <w:rsid w:val="5E1A7207"/>
    <w:rsid w:val="5E49669F"/>
    <w:rsid w:val="5E60690D"/>
    <w:rsid w:val="5E61439A"/>
    <w:rsid w:val="5E682C04"/>
    <w:rsid w:val="5E6958CA"/>
    <w:rsid w:val="5E6D32C9"/>
    <w:rsid w:val="5E9C1D95"/>
    <w:rsid w:val="5EA37F75"/>
    <w:rsid w:val="5EAF5D37"/>
    <w:rsid w:val="5EBA7A7A"/>
    <w:rsid w:val="5EBD2A8B"/>
    <w:rsid w:val="5ED935E0"/>
    <w:rsid w:val="5EDE1978"/>
    <w:rsid w:val="5EE0749D"/>
    <w:rsid w:val="5EE338B7"/>
    <w:rsid w:val="5EEA3F79"/>
    <w:rsid w:val="5EFE1C81"/>
    <w:rsid w:val="5F050868"/>
    <w:rsid w:val="5F0A7EBD"/>
    <w:rsid w:val="5F0B032B"/>
    <w:rsid w:val="5F0F0525"/>
    <w:rsid w:val="5F4156C1"/>
    <w:rsid w:val="5F4255BA"/>
    <w:rsid w:val="5F497001"/>
    <w:rsid w:val="5F4B4EC7"/>
    <w:rsid w:val="5F525F4E"/>
    <w:rsid w:val="5F571AF0"/>
    <w:rsid w:val="5F5C4AB8"/>
    <w:rsid w:val="5F683681"/>
    <w:rsid w:val="5F69359F"/>
    <w:rsid w:val="5F6B207F"/>
    <w:rsid w:val="5F6F5774"/>
    <w:rsid w:val="5F744BB8"/>
    <w:rsid w:val="5F7A15A1"/>
    <w:rsid w:val="5F8E08C2"/>
    <w:rsid w:val="5FB2054C"/>
    <w:rsid w:val="5FBF5D3B"/>
    <w:rsid w:val="5FCA4716"/>
    <w:rsid w:val="5FD24FFC"/>
    <w:rsid w:val="5FDF68F3"/>
    <w:rsid w:val="5FE25A3A"/>
    <w:rsid w:val="5FE43C0B"/>
    <w:rsid w:val="5FE44E33"/>
    <w:rsid w:val="5FE85247"/>
    <w:rsid w:val="60061BAF"/>
    <w:rsid w:val="60067040"/>
    <w:rsid w:val="600A073A"/>
    <w:rsid w:val="60130EAA"/>
    <w:rsid w:val="60172E67"/>
    <w:rsid w:val="602264F3"/>
    <w:rsid w:val="60243C2E"/>
    <w:rsid w:val="60402552"/>
    <w:rsid w:val="60430361"/>
    <w:rsid w:val="60487659"/>
    <w:rsid w:val="604B0611"/>
    <w:rsid w:val="6051058D"/>
    <w:rsid w:val="605B4D9F"/>
    <w:rsid w:val="607D4856"/>
    <w:rsid w:val="607F306C"/>
    <w:rsid w:val="608C6AE7"/>
    <w:rsid w:val="609726EA"/>
    <w:rsid w:val="60AC5691"/>
    <w:rsid w:val="60B303A5"/>
    <w:rsid w:val="60BB69F2"/>
    <w:rsid w:val="60BD2209"/>
    <w:rsid w:val="60C01C5D"/>
    <w:rsid w:val="60CE28B2"/>
    <w:rsid w:val="60D43772"/>
    <w:rsid w:val="60DE6614"/>
    <w:rsid w:val="60E1095A"/>
    <w:rsid w:val="60F326D0"/>
    <w:rsid w:val="60F63558"/>
    <w:rsid w:val="60F93E75"/>
    <w:rsid w:val="61083DD4"/>
    <w:rsid w:val="610936A9"/>
    <w:rsid w:val="610F41BD"/>
    <w:rsid w:val="612148C5"/>
    <w:rsid w:val="6132417C"/>
    <w:rsid w:val="61394E36"/>
    <w:rsid w:val="614E5E5D"/>
    <w:rsid w:val="61523785"/>
    <w:rsid w:val="61574DC6"/>
    <w:rsid w:val="61624BE2"/>
    <w:rsid w:val="61671D60"/>
    <w:rsid w:val="616C3362"/>
    <w:rsid w:val="616F0AD4"/>
    <w:rsid w:val="617B746E"/>
    <w:rsid w:val="61801886"/>
    <w:rsid w:val="6183676A"/>
    <w:rsid w:val="61B40B56"/>
    <w:rsid w:val="61C611C4"/>
    <w:rsid w:val="61D07906"/>
    <w:rsid w:val="61DA45CD"/>
    <w:rsid w:val="61E73B15"/>
    <w:rsid w:val="61E824DC"/>
    <w:rsid w:val="61ED7683"/>
    <w:rsid w:val="61F752D7"/>
    <w:rsid w:val="61FD75D0"/>
    <w:rsid w:val="620C0E63"/>
    <w:rsid w:val="620D0B5A"/>
    <w:rsid w:val="621131D0"/>
    <w:rsid w:val="621F081A"/>
    <w:rsid w:val="6222203F"/>
    <w:rsid w:val="622B4980"/>
    <w:rsid w:val="623B1FC4"/>
    <w:rsid w:val="6242684C"/>
    <w:rsid w:val="625A681D"/>
    <w:rsid w:val="625B4554"/>
    <w:rsid w:val="625C14D1"/>
    <w:rsid w:val="626369CC"/>
    <w:rsid w:val="62647A70"/>
    <w:rsid w:val="627651C8"/>
    <w:rsid w:val="628F5D40"/>
    <w:rsid w:val="62970BD7"/>
    <w:rsid w:val="62A12B73"/>
    <w:rsid w:val="62B31701"/>
    <w:rsid w:val="62BD058B"/>
    <w:rsid w:val="62C06F9B"/>
    <w:rsid w:val="62CA3D28"/>
    <w:rsid w:val="62D62483"/>
    <w:rsid w:val="62D6425F"/>
    <w:rsid w:val="62D81168"/>
    <w:rsid w:val="62DB7C73"/>
    <w:rsid w:val="62E123C8"/>
    <w:rsid w:val="62E27675"/>
    <w:rsid w:val="62E416C5"/>
    <w:rsid w:val="62EA0E9B"/>
    <w:rsid w:val="62F45876"/>
    <w:rsid w:val="62F66A1B"/>
    <w:rsid w:val="62FA10DE"/>
    <w:rsid w:val="63015B92"/>
    <w:rsid w:val="63184EA6"/>
    <w:rsid w:val="63186CCA"/>
    <w:rsid w:val="631D0F61"/>
    <w:rsid w:val="631D56B7"/>
    <w:rsid w:val="6329124F"/>
    <w:rsid w:val="632F4E6E"/>
    <w:rsid w:val="6330680E"/>
    <w:rsid w:val="633A772C"/>
    <w:rsid w:val="633A7E34"/>
    <w:rsid w:val="633C574F"/>
    <w:rsid w:val="634020EB"/>
    <w:rsid w:val="634D1C88"/>
    <w:rsid w:val="63504356"/>
    <w:rsid w:val="6350614E"/>
    <w:rsid w:val="635942DD"/>
    <w:rsid w:val="636040E8"/>
    <w:rsid w:val="637E33E3"/>
    <w:rsid w:val="63800FCD"/>
    <w:rsid w:val="63957059"/>
    <w:rsid w:val="639A6E96"/>
    <w:rsid w:val="63B35DBD"/>
    <w:rsid w:val="63B76868"/>
    <w:rsid w:val="63B9174E"/>
    <w:rsid w:val="63C507A1"/>
    <w:rsid w:val="63CB1AB3"/>
    <w:rsid w:val="63D32A54"/>
    <w:rsid w:val="63DD3C48"/>
    <w:rsid w:val="63E315FF"/>
    <w:rsid w:val="63E31B72"/>
    <w:rsid w:val="63E56E61"/>
    <w:rsid w:val="63E702EB"/>
    <w:rsid w:val="63EB712D"/>
    <w:rsid w:val="63F846E4"/>
    <w:rsid w:val="6414229C"/>
    <w:rsid w:val="64160DD4"/>
    <w:rsid w:val="641E0DFC"/>
    <w:rsid w:val="64306D81"/>
    <w:rsid w:val="643E1A14"/>
    <w:rsid w:val="644214BE"/>
    <w:rsid w:val="64445DE5"/>
    <w:rsid w:val="644C5FB0"/>
    <w:rsid w:val="645A08FE"/>
    <w:rsid w:val="64606144"/>
    <w:rsid w:val="64694C1A"/>
    <w:rsid w:val="646C10DE"/>
    <w:rsid w:val="646E106A"/>
    <w:rsid w:val="647117EF"/>
    <w:rsid w:val="64746C6E"/>
    <w:rsid w:val="647C220A"/>
    <w:rsid w:val="6499728C"/>
    <w:rsid w:val="649C1BE7"/>
    <w:rsid w:val="64A33835"/>
    <w:rsid w:val="64AA7839"/>
    <w:rsid w:val="64AE1328"/>
    <w:rsid w:val="64AF7279"/>
    <w:rsid w:val="64C03C61"/>
    <w:rsid w:val="64CC0858"/>
    <w:rsid w:val="64D052FB"/>
    <w:rsid w:val="64D51274"/>
    <w:rsid w:val="64DB5D01"/>
    <w:rsid w:val="64DC784D"/>
    <w:rsid w:val="64DD1254"/>
    <w:rsid w:val="64E35D11"/>
    <w:rsid w:val="64EE0858"/>
    <w:rsid w:val="64F03ECD"/>
    <w:rsid w:val="64F1206D"/>
    <w:rsid w:val="64F4321F"/>
    <w:rsid w:val="64FA743B"/>
    <w:rsid w:val="64FE03D0"/>
    <w:rsid w:val="65130235"/>
    <w:rsid w:val="65165F77"/>
    <w:rsid w:val="651B17E0"/>
    <w:rsid w:val="651E345E"/>
    <w:rsid w:val="652F1C95"/>
    <w:rsid w:val="6531463B"/>
    <w:rsid w:val="65322A5F"/>
    <w:rsid w:val="65393A14"/>
    <w:rsid w:val="653D206E"/>
    <w:rsid w:val="653E2AB0"/>
    <w:rsid w:val="65420BA7"/>
    <w:rsid w:val="6548332C"/>
    <w:rsid w:val="65486F98"/>
    <w:rsid w:val="6558012C"/>
    <w:rsid w:val="656015CD"/>
    <w:rsid w:val="656405BB"/>
    <w:rsid w:val="65755E9D"/>
    <w:rsid w:val="6587477F"/>
    <w:rsid w:val="65884EB2"/>
    <w:rsid w:val="658D432B"/>
    <w:rsid w:val="658E743E"/>
    <w:rsid w:val="65966F82"/>
    <w:rsid w:val="65A672FB"/>
    <w:rsid w:val="65AD349C"/>
    <w:rsid w:val="65C854C3"/>
    <w:rsid w:val="65D02070"/>
    <w:rsid w:val="65E5102F"/>
    <w:rsid w:val="65F13805"/>
    <w:rsid w:val="65F22FB3"/>
    <w:rsid w:val="65FC5C0B"/>
    <w:rsid w:val="660C26AE"/>
    <w:rsid w:val="66192E4C"/>
    <w:rsid w:val="662A7F2C"/>
    <w:rsid w:val="664A03AA"/>
    <w:rsid w:val="664B58B7"/>
    <w:rsid w:val="664F6186"/>
    <w:rsid w:val="665705F5"/>
    <w:rsid w:val="665B659E"/>
    <w:rsid w:val="66646E5E"/>
    <w:rsid w:val="667623FB"/>
    <w:rsid w:val="667E5B82"/>
    <w:rsid w:val="668138C4"/>
    <w:rsid w:val="668C5269"/>
    <w:rsid w:val="66970374"/>
    <w:rsid w:val="669B13C3"/>
    <w:rsid w:val="66B07C14"/>
    <w:rsid w:val="66B75D08"/>
    <w:rsid w:val="66E77BCB"/>
    <w:rsid w:val="66EC6F90"/>
    <w:rsid w:val="66EE41A8"/>
    <w:rsid w:val="66F538DA"/>
    <w:rsid w:val="66FF725E"/>
    <w:rsid w:val="6703647E"/>
    <w:rsid w:val="670C13E0"/>
    <w:rsid w:val="671309C0"/>
    <w:rsid w:val="671A1657"/>
    <w:rsid w:val="671F5969"/>
    <w:rsid w:val="67246D70"/>
    <w:rsid w:val="672C1A82"/>
    <w:rsid w:val="673F5705"/>
    <w:rsid w:val="675F5A77"/>
    <w:rsid w:val="67680211"/>
    <w:rsid w:val="677264C5"/>
    <w:rsid w:val="67845738"/>
    <w:rsid w:val="678C0773"/>
    <w:rsid w:val="67B076D1"/>
    <w:rsid w:val="67B32EF9"/>
    <w:rsid w:val="67BC2E06"/>
    <w:rsid w:val="67CD377F"/>
    <w:rsid w:val="67DF6634"/>
    <w:rsid w:val="6812737D"/>
    <w:rsid w:val="68153E41"/>
    <w:rsid w:val="68246D76"/>
    <w:rsid w:val="68252C02"/>
    <w:rsid w:val="682664D1"/>
    <w:rsid w:val="682E35D8"/>
    <w:rsid w:val="682E4B84"/>
    <w:rsid w:val="68320044"/>
    <w:rsid w:val="6854080E"/>
    <w:rsid w:val="68661062"/>
    <w:rsid w:val="68663C2D"/>
    <w:rsid w:val="68682995"/>
    <w:rsid w:val="686D76C0"/>
    <w:rsid w:val="68760436"/>
    <w:rsid w:val="687C6109"/>
    <w:rsid w:val="687D2044"/>
    <w:rsid w:val="68804067"/>
    <w:rsid w:val="68834071"/>
    <w:rsid w:val="688D6B5E"/>
    <w:rsid w:val="68934A25"/>
    <w:rsid w:val="689D6D62"/>
    <w:rsid w:val="68A06FD5"/>
    <w:rsid w:val="68AC2B84"/>
    <w:rsid w:val="68AF6C0E"/>
    <w:rsid w:val="68B95918"/>
    <w:rsid w:val="68BC3A71"/>
    <w:rsid w:val="68F95994"/>
    <w:rsid w:val="690A1718"/>
    <w:rsid w:val="691224E9"/>
    <w:rsid w:val="692002B6"/>
    <w:rsid w:val="69206E80"/>
    <w:rsid w:val="692A1CC9"/>
    <w:rsid w:val="69394D4B"/>
    <w:rsid w:val="693A7972"/>
    <w:rsid w:val="694801FC"/>
    <w:rsid w:val="694875D5"/>
    <w:rsid w:val="695157D0"/>
    <w:rsid w:val="69524E67"/>
    <w:rsid w:val="69921AC9"/>
    <w:rsid w:val="69934CEA"/>
    <w:rsid w:val="69A077D5"/>
    <w:rsid w:val="69A52400"/>
    <w:rsid w:val="69B50662"/>
    <w:rsid w:val="69B77069"/>
    <w:rsid w:val="69BA15C7"/>
    <w:rsid w:val="69C75644"/>
    <w:rsid w:val="69CA6194"/>
    <w:rsid w:val="69DB2C1B"/>
    <w:rsid w:val="69FF4D34"/>
    <w:rsid w:val="6A3C6E58"/>
    <w:rsid w:val="6A4610AD"/>
    <w:rsid w:val="6A480BCD"/>
    <w:rsid w:val="6A5B426A"/>
    <w:rsid w:val="6A6415A4"/>
    <w:rsid w:val="6A657488"/>
    <w:rsid w:val="6A6668A8"/>
    <w:rsid w:val="6A6B2A80"/>
    <w:rsid w:val="6A794FDE"/>
    <w:rsid w:val="6A7E6396"/>
    <w:rsid w:val="6A8A71EB"/>
    <w:rsid w:val="6A92007A"/>
    <w:rsid w:val="6A9653B5"/>
    <w:rsid w:val="6AA81A7B"/>
    <w:rsid w:val="6AB63AC9"/>
    <w:rsid w:val="6AC51FCB"/>
    <w:rsid w:val="6ACF4D2F"/>
    <w:rsid w:val="6AD71D6F"/>
    <w:rsid w:val="6AD82E4B"/>
    <w:rsid w:val="6AE11093"/>
    <w:rsid w:val="6AE17590"/>
    <w:rsid w:val="6AEA7F3A"/>
    <w:rsid w:val="6AEB3393"/>
    <w:rsid w:val="6AED6B6D"/>
    <w:rsid w:val="6AF52C6A"/>
    <w:rsid w:val="6AF62D7F"/>
    <w:rsid w:val="6AF64881"/>
    <w:rsid w:val="6B0013F8"/>
    <w:rsid w:val="6B024F6C"/>
    <w:rsid w:val="6B1B7E43"/>
    <w:rsid w:val="6B2346BC"/>
    <w:rsid w:val="6B2666DC"/>
    <w:rsid w:val="6B2B6446"/>
    <w:rsid w:val="6B3F4400"/>
    <w:rsid w:val="6B5D53F9"/>
    <w:rsid w:val="6B607C5C"/>
    <w:rsid w:val="6B682C27"/>
    <w:rsid w:val="6B6C7BC0"/>
    <w:rsid w:val="6B703894"/>
    <w:rsid w:val="6B780FF2"/>
    <w:rsid w:val="6B8579B3"/>
    <w:rsid w:val="6B8A4366"/>
    <w:rsid w:val="6B9702A7"/>
    <w:rsid w:val="6B997650"/>
    <w:rsid w:val="6B9C4E1F"/>
    <w:rsid w:val="6BA641AA"/>
    <w:rsid w:val="6BAD45E0"/>
    <w:rsid w:val="6BBE45B2"/>
    <w:rsid w:val="6BBF6B79"/>
    <w:rsid w:val="6BE0499F"/>
    <w:rsid w:val="6BE4292B"/>
    <w:rsid w:val="6BF56CCD"/>
    <w:rsid w:val="6BF62DDE"/>
    <w:rsid w:val="6BFF137F"/>
    <w:rsid w:val="6C016918"/>
    <w:rsid w:val="6C017DC1"/>
    <w:rsid w:val="6C053A4B"/>
    <w:rsid w:val="6C0C14AB"/>
    <w:rsid w:val="6C0D2CDF"/>
    <w:rsid w:val="6C0E1756"/>
    <w:rsid w:val="6C157315"/>
    <w:rsid w:val="6C174BB2"/>
    <w:rsid w:val="6C2D626C"/>
    <w:rsid w:val="6C301D0A"/>
    <w:rsid w:val="6C371528"/>
    <w:rsid w:val="6C4C159F"/>
    <w:rsid w:val="6C5829F1"/>
    <w:rsid w:val="6C692E30"/>
    <w:rsid w:val="6C6B0756"/>
    <w:rsid w:val="6C6E1B62"/>
    <w:rsid w:val="6C711CE5"/>
    <w:rsid w:val="6C803030"/>
    <w:rsid w:val="6C956968"/>
    <w:rsid w:val="6CAA1CFE"/>
    <w:rsid w:val="6CC5621E"/>
    <w:rsid w:val="6CCF5389"/>
    <w:rsid w:val="6CD1288B"/>
    <w:rsid w:val="6CD62ECE"/>
    <w:rsid w:val="6CE16718"/>
    <w:rsid w:val="6CE3039D"/>
    <w:rsid w:val="6CE34040"/>
    <w:rsid w:val="6CE80F96"/>
    <w:rsid w:val="6CED10B3"/>
    <w:rsid w:val="6CFA1CDB"/>
    <w:rsid w:val="6CFF00DA"/>
    <w:rsid w:val="6D132EA7"/>
    <w:rsid w:val="6D17755B"/>
    <w:rsid w:val="6D285F3C"/>
    <w:rsid w:val="6D3073C6"/>
    <w:rsid w:val="6D3700FB"/>
    <w:rsid w:val="6D3C0545"/>
    <w:rsid w:val="6D4827C3"/>
    <w:rsid w:val="6D535020"/>
    <w:rsid w:val="6D5B4CE7"/>
    <w:rsid w:val="6D733C2E"/>
    <w:rsid w:val="6D96027F"/>
    <w:rsid w:val="6D985E7F"/>
    <w:rsid w:val="6DAE554B"/>
    <w:rsid w:val="6DC17E0B"/>
    <w:rsid w:val="6DDB3A2E"/>
    <w:rsid w:val="6DDF5593"/>
    <w:rsid w:val="6DE023C8"/>
    <w:rsid w:val="6DE64306"/>
    <w:rsid w:val="6DF54EAB"/>
    <w:rsid w:val="6DFF05C3"/>
    <w:rsid w:val="6E1374F8"/>
    <w:rsid w:val="6E193682"/>
    <w:rsid w:val="6E1B1BEA"/>
    <w:rsid w:val="6E24100B"/>
    <w:rsid w:val="6E2E05FD"/>
    <w:rsid w:val="6E305F2E"/>
    <w:rsid w:val="6E317227"/>
    <w:rsid w:val="6E3C0BF0"/>
    <w:rsid w:val="6E4B7905"/>
    <w:rsid w:val="6E547627"/>
    <w:rsid w:val="6E550974"/>
    <w:rsid w:val="6E655AED"/>
    <w:rsid w:val="6E673D8B"/>
    <w:rsid w:val="6E744CAB"/>
    <w:rsid w:val="6E776B69"/>
    <w:rsid w:val="6E800B0E"/>
    <w:rsid w:val="6E881C94"/>
    <w:rsid w:val="6E8B20E1"/>
    <w:rsid w:val="6E8D57A4"/>
    <w:rsid w:val="6E8E6B7E"/>
    <w:rsid w:val="6E9028F6"/>
    <w:rsid w:val="6E91666F"/>
    <w:rsid w:val="6E951F9C"/>
    <w:rsid w:val="6EC62E05"/>
    <w:rsid w:val="6EC8257F"/>
    <w:rsid w:val="6EDB1E6E"/>
    <w:rsid w:val="6EED1AF7"/>
    <w:rsid w:val="6EFC21A8"/>
    <w:rsid w:val="6EFD6530"/>
    <w:rsid w:val="6F0D2199"/>
    <w:rsid w:val="6F132006"/>
    <w:rsid w:val="6F2638D9"/>
    <w:rsid w:val="6F44184B"/>
    <w:rsid w:val="6F4A519B"/>
    <w:rsid w:val="6F4A611B"/>
    <w:rsid w:val="6F571A8F"/>
    <w:rsid w:val="6F5967AC"/>
    <w:rsid w:val="6F653D83"/>
    <w:rsid w:val="6F6778D2"/>
    <w:rsid w:val="6F710DB7"/>
    <w:rsid w:val="6F8A5598"/>
    <w:rsid w:val="6F8C11AD"/>
    <w:rsid w:val="6F8D7609"/>
    <w:rsid w:val="6F92002E"/>
    <w:rsid w:val="6F9A394F"/>
    <w:rsid w:val="6F9D30E1"/>
    <w:rsid w:val="6FA36BF6"/>
    <w:rsid w:val="6FA9742E"/>
    <w:rsid w:val="6FAC5CFA"/>
    <w:rsid w:val="6FC6312E"/>
    <w:rsid w:val="6FCE205B"/>
    <w:rsid w:val="6FD7195D"/>
    <w:rsid w:val="6FD85334"/>
    <w:rsid w:val="6FE70C11"/>
    <w:rsid w:val="6FF061A0"/>
    <w:rsid w:val="6FF11EBF"/>
    <w:rsid w:val="6FF330E2"/>
    <w:rsid w:val="6FF356A3"/>
    <w:rsid w:val="70036644"/>
    <w:rsid w:val="700446C0"/>
    <w:rsid w:val="70061007"/>
    <w:rsid w:val="700C4914"/>
    <w:rsid w:val="70190B38"/>
    <w:rsid w:val="701F36FB"/>
    <w:rsid w:val="701F6F73"/>
    <w:rsid w:val="702C2747"/>
    <w:rsid w:val="702F3415"/>
    <w:rsid w:val="703A5210"/>
    <w:rsid w:val="70420D36"/>
    <w:rsid w:val="70454CB8"/>
    <w:rsid w:val="7055396B"/>
    <w:rsid w:val="70690614"/>
    <w:rsid w:val="706933FF"/>
    <w:rsid w:val="706E676D"/>
    <w:rsid w:val="70703E97"/>
    <w:rsid w:val="70785D38"/>
    <w:rsid w:val="707F33DD"/>
    <w:rsid w:val="70836227"/>
    <w:rsid w:val="708839AB"/>
    <w:rsid w:val="708C39F4"/>
    <w:rsid w:val="708C74F9"/>
    <w:rsid w:val="70915B2A"/>
    <w:rsid w:val="709E2CF7"/>
    <w:rsid w:val="709F1517"/>
    <w:rsid w:val="70A051C1"/>
    <w:rsid w:val="70A74564"/>
    <w:rsid w:val="70AC6178"/>
    <w:rsid w:val="70B36D70"/>
    <w:rsid w:val="70B43CFB"/>
    <w:rsid w:val="70B85CFB"/>
    <w:rsid w:val="70C3215D"/>
    <w:rsid w:val="70C42D2B"/>
    <w:rsid w:val="70E3515D"/>
    <w:rsid w:val="71080738"/>
    <w:rsid w:val="71185272"/>
    <w:rsid w:val="71195291"/>
    <w:rsid w:val="71232BCC"/>
    <w:rsid w:val="712525CE"/>
    <w:rsid w:val="7125265A"/>
    <w:rsid w:val="712B6906"/>
    <w:rsid w:val="712E2FDE"/>
    <w:rsid w:val="713364DE"/>
    <w:rsid w:val="713B37A6"/>
    <w:rsid w:val="71403EC4"/>
    <w:rsid w:val="71423C0D"/>
    <w:rsid w:val="714D544B"/>
    <w:rsid w:val="717D0FDB"/>
    <w:rsid w:val="71851F01"/>
    <w:rsid w:val="718624A7"/>
    <w:rsid w:val="718A77FB"/>
    <w:rsid w:val="71952D11"/>
    <w:rsid w:val="71A30B93"/>
    <w:rsid w:val="71B80151"/>
    <w:rsid w:val="71BB412E"/>
    <w:rsid w:val="71D6753D"/>
    <w:rsid w:val="71D97362"/>
    <w:rsid w:val="71DD1D67"/>
    <w:rsid w:val="71E01FA5"/>
    <w:rsid w:val="71E13181"/>
    <w:rsid w:val="71ED442F"/>
    <w:rsid w:val="71EE2EF7"/>
    <w:rsid w:val="71F40CEB"/>
    <w:rsid w:val="720F62DE"/>
    <w:rsid w:val="72134B02"/>
    <w:rsid w:val="722770D2"/>
    <w:rsid w:val="72287652"/>
    <w:rsid w:val="722E3159"/>
    <w:rsid w:val="72300ED8"/>
    <w:rsid w:val="72600ED9"/>
    <w:rsid w:val="72957319"/>
    <w:rsid w:val="72B76A57"/>
    <w:rsid w:val="72C57698"/>
    <w:rsid w:val="72CD0C79"/>
    <w:rsid w:val="72E639E1"/>
    <w:rsid w:val="72EB4ABB"/>
    <w:rsid w:val="72F53670"/>
    <w:rsid w:val="72F651EC"/>
    <w:rsid w:val="72F8039F"/>
    <w:rsid w:val="7312468D"/>
    <w:rsid w:val="731A1275"/>
    <w:rsid w:val="731F36EE"/>
    <w:rsid w:val="732A0AED"/>
    <w:rsid w:val="732D5129"/>
    <w:rsid w:val="73316A3B"/>
    <w:rsid w:val="734F0FD2"/>
    <w:rsid w:val="735650C1"/>
    <w:rsid w:val="735F52AE"/>
    <w:rsid w:val="73607D61"/>
    <w:rsid w:val="737F0276"/>
    <w:rsid w:val="7382593B"/>
    <w:rsid w:val="738D6399"/>
    <w:rsid w:val="73903399"/>
    <w:rsid w:val="73A6496A"/>
    <w:rsid w:val="73B21CDC"/>
    <w:rsid w:val="73B35EB4"/>
    <w:rsid w:val="73D9426D"/>
    <w:rsid w:val="73E86D31"/>
    <w:rsid w:val="740D5C23"/>
    <w:rsid w:val="741A2FE4"/>
    <w:rsid w:val="74207328"/>
    <w:rsid w:val="74315FF7"/>
    <w:rsid w:val="744A3CA5"/>
    <w:rsid w:val="74644028"/>
    <w:rsid w:val="7466605D"/>
    <w:rsid w:val="74753764"/>
    <w:rsid w:val="747A7805"/>
    <w:rsid w:val="749374C8"/>
    <w:rsid w:val="749A016E"/>
    <w:rsid w:val="749D1097"/>
    <w:rsid w:val="74B9247B"/>
    <w:rsid w:val="74BB61F3"/>
    <w:rsid w:val="74C35E83"/>
    <w:rsid w:val="74CA3755"/>
    <w:rsid w:val="74D64813"/>
    <w:rsid w:val="74DB7DB6"/>
    <w:rsid w:val="74E7205E"/>
    <w:rsid w:val="74EB6AD9"/>
    <w:rsid w:val="74F84652"/>
    <w:rsid w:val="74F91BF5"/>
    <w:rsid w:val="75004AF5"/>
    <w:rsid w:val="75042FD1"/>
    <w:rsid w:val="75055E28"/>
    <w:rsid w:val="750570B9"/>
    <w:rsid w:val="75127B90"/>
    <w:rsid w:val="75132688"/>
    <w:rsid w:val="751332B1"/>
    <w:rsid w:val="751748D0"/>
    <w:rsid w:val="75236CF6"/>
    <w:rsid w:val="752E487E"/>
    <w:rsid w:val="753143D6"/>
    <w:rsid w:val="753567E4"/>
    <w:rsid w:val="753627AC"/>
    <w:rsid w:val="753843CD"/>
    <w:rsid w:val="754F7AEE"/>
    <w:rsid w:val="755C1784"/>
    <w:rsid w:val="75671555"/>
    <w:rsid w:val="75735611"/>
    <w:rsid w:val="75825A34"/>
    <w:rsid w:val="75991528"/>
    <w:rsid w:val="75A85E1C"/>
    <w:rsid w:val="75B3140A"/>
    <w:rsid w:val="75BD0880"/>
    <w:rsid w:val="75BD29C1"/>
    <w:rsid w:val="75BF599C"/>
    <w:rsid w:val="75C12BF5"/>
    <w:rsid w:val="75C161BF"/>
    <w:rsid w:val="75C94FD7"/>
    <w:rsid w:val="75CF5661"/>
    <w:rsid w:val="75E1399D"/>
    <w:rsid w:val="75E65634"/>
    <w:rsid w:val="75F25C45"/>
    <w:rsid w:val="75FF7B56"/>
    <w:rsid w:val="76032C2D"/>
    <w:rsid w:val="76042151"/>
    <w:rsid w:val="760D75C6"/>
    <w:rsid w:val="761D2801"/>
    <w:rsid w:val="761E4BDE"/>
    <w:rsid w:val="76216307"/>
    <w:rsid w:val="762A170A"/>
    <w:rsid w:val="76397434"/>
    <w:rsid w:val="76486164"/>
    <w:rsid w:val="765816DC"/>
    <w:rsid w:val="76595F13"/>
    <w:rsid w:val="7669764E"/>
    <w:rsid w:val="766C1709"/>
    <w:rsid w:val="767B5044"/>
    <w:rsid w:val="767E6B59"/>
    <w:rsid w:val="76815174"/>
    <w:rsid w:val="769D604E"/>
    <w:rsid w:val="769F5926"/>
    <w:rsid w:val="76A018B1"/>
    <w:rsid w:val="76A643DD"/>
    <w:rsid w:val="76B23FA9"/>
    <w:rsid w:val="76B31BBD"/>
    <w:rsid w:val="76C46D6F"/>
    <w:rsid w:val="76CF379E"/>
    <w:rsid w:val="76CF70DD"/>
    <w:rsid w:val="76D270A5"/>
    <w:rsid w:val="76E77245"/>
    <w:rsid w:val="76F61609"/>
    <w:rsid w:val="770A5A5D"/>
    <w:rsid w:val="770A5C5A"/>
    <w:rsid w:val="770F58A0"/>
    <w:rsid w:val="771F6DA9"/>
    <w:rsid w:val="77273E3E"/>
    <w:rsid w:val="772D2D9F"/>
    <w:rsid w:val="77434104"/>
    <w:rsid w:val="774B0BA9"/>
    <w:rsid w:val="77553225"/>
    <w:rsid w:val="776238E8"/>
    <w:rsid w:val="776244EC"/>
    <w:rsid w:val="777349AC"/>
    <w:rsid w:val="777F30DE"/>
    <w:rsid w:val="7798366F"/>
    <w:rsid w:val="77A54B9E"/>
    <w:rsid w:val="77CC53A2"/>
    <w:rsid w:val="77CC5DE3"/>
    <w:rsid w:val="77E34CB2"/>
    <w:rsid w:val="77F55376"/>
    <w:rsid w:val="77F83908"/>
    <w:rsid w:val="77F84529"/>
    <w:rsid w:val="77FF5DB7"/>
    <w:rsid w:val="781007A0"/>
    <w:rsid w:val="781E0F73"/>
    <w:rsid w:val="7822182D"/>
    <w:rsid w:val="782F4F2E"/>
    <w:rsid w:val="783A5F58"/>
    <w:rsid w:val="783C790D"/>
    <w:rsid w:val="784F4855"/>
    <w:rsid w:val="78507213"/>
    <w:rsid w:val="7860333A"/>
    <w:rsid w:val="78631CA6"/>
    <w:rsid w:val="78654354"/>
    <w:rsid w:val="78703466"/>
    <w:rsid w:val="7874552D"/>
    <w:rsid w:val="788B02FE"/>
    <w:rsid w:val="7891038F"/>
    <w:rsid w:val="78921279"/>
    <w:rsid w:val="789434A2"/>
    <w:rsid w:val="78986F25"/>
    <w:rsid w:val="789E38D2"/>
    <w:rsid w:val="78A4516C"/>
    <w:rsid w:val="78A82F32"/>
    <w:rsid w:val="78B6564F"/>
    <w:rsid w:val="78C71CF9"/>
    <w:rsid w:val="78CC26F3"/>
    <w:rsid w:val="78D21D5D"/>
    <w:rsid w:val="78D63C88"/>
    <w:rsid w:val="78DA268D"/>
    <w:rsid w:val="78E21F79"/>
    <w:rsid w:val="78E60C82"/>
    <w:rsid w:val="78E8667F"/>
    <w:rsid w:val="78EC4417"/>
    <w:rsid w:val="78F3522E"/>
    <w:rsid w:val="78FB2FEE"/>
    <w:rsid w:val="78FC72C9"/>
    <w:rsid w:val="78FF006C"/>
    <w:rsid w:val="79004B1D"/>
    <w:rsid w:val="790F18C0"/>
    <w:rsid w:val="79234880"/>
    <w:rsid w:val="79284561"/>
    <w:rsid w:val="79291C6E"/>
    <w:rsid w:val="79294073"/>
    <w:rsid w:val="79297B73"/>
    <w:rsid w:val="792E2BA3"/>
    <w:rsid w:val="79482222"/>
    <w:rsid w:val="794842DB"/>
    <w:rsid w:val="794D5F01"/>
    <w:rsid w:val="794D64C1"/>
    <w:rsid w:val="797A5A3D"/>
    <w:rsid w:val="798A6ABA"/>
    <w:rsid w:val="79911DAA"/>
    <w:rsid w:val="7997527B"/>
    <w:rsid w:val="799956BD"/>
    <w:rsid w:val="79A23AC1"/>
    <w:rsid w:val="79A500A9"/>
    <w:rsid w:val="79AC0800"/>
    <w:rsid w:val="79B57059"/>
    <w:rsid w:val="79B85A12"/>
    <w:rsid w:val="79CA4FD2"/>
    <w:rsid w:val="79F14121"/>
    <w:rsid w:val="79F53FA2"/>
    <w:rsid w:val="79F75862"/>
    <w:rsid w:val="7A010B4C"/>
    <w:rsid w:val="7A197440"/>
    <w:rsid w:val="7A223609"/>
    <w:rsid w:val="7A252828"/>
    <w:rsid w:val="7A326307"/>
    <w:rsid w:val="7A350662"/>
    <w:rsid w:val="7A372B43"/>
    <w:rsid w:val="7A44480C"/>
    <w:rsid w:val="7A505612"/>
    <w:rsid w:val="7A5717E7"/>
    <w:rsid w:val="7A596C15"/>
    <w:rsid w:val="7A677EA2"/>
    <w:rsid w:val="7A710C7F"/>
    <w:rsid w:val="7A802904"/>
    <w:rsid w:val="7A8F3742"/>
    <w:rsid w:val="7A9413AE"/>
    <w:rsid w:val="7AA03EC1"/>
    <w:rsid w:val="7AA31588"/>
    <w:rsid w:val="7AA37E55"/>
    <w:rsid w:val="7AB96681"/>
    <w:rsid w:val="7ABA1851"/>
    <w:rsid w:val="7AC2196B"/>
    <w:rsid w:val="7AC36A5F"/>
    <w:rsid w:val="7ACA09C8"/>
    <w:rsid w:val="7AD46321"/>
    <w:rsid w:val="7AD77F7F"/>
    <w:rsid w:val="7AE07EBB"/>
    <w:rsid w:val="7AE82733"/>
    <w:rsid w:val="7AEB441B"/>
    <w:rsid w:val="7AEC3C28"/>
    <w:rsid w:val="7B022228"/>
    <w:rsid w:val="7B1B45F0"/>
    <w:rsid w:val="7B220D7A"/>
    <w:rsid w:val="7B355364"/>
    <w:rsid w:val="7B364F1D"/>
    <w:rsid w:val="7B4B13F7"/>
    <w:rsid w:val="7B4D1A20"/>
    <w:rsid w:val="7B4D232C"/>
    <w:rsid w:val="7B527778"/>
    <w:rsid w:val="7B5465F3"/>
    <w:rsid w:val="7B6416C7"/>
    <w:rsid w:val="7B663BB8"/>
    <w:rsid w:val="7B6F6B0A"/>
    <w:rsid w:val="7B731B95"/>
    <w:rsid w:val="7B7965F5"/>
    <w:rsid w:val="7B7C4CCB"/>
    <w:rsid w:val="7B8C08E9"/>
    <w:rsid w:val="7B9749E4"/>
    <w:rsid w:val="7BAB345A"/>
    <w:rsid w:val="7BB01100"/>
    <w:rsid w:val="7BC053F6"/>
    <w:rsid w:val="7BC277EE"/>
    <w:rsid w:val="7BC519DE"/>
    <w:rsid w:val="7BE8736A"/>
    <w:rsid w:val="7BFE67CE"/>
    <w:rsid w:val="7C0A31F8"/>
    <w:rsid w:val="7C1A4033"/>
    <w:rsid w:val="7C2E374F"/>
    <w:rsid w:val="7C370588"/>
    <w:rsid w:val="7C3776F2"/>
    <w:rsid w:val="7C3C40BE"/>
    <w:rsid w:val="7C555E33"/>
    <w:rsid w:val="7C6243DD"/>
    <w:rsid w:val="7C656B56"/>
    <w:rsid w:val="7C6D071B"/>
    <w:rsid w:val="7CC00796"/>
    <w:rsid w:val="7CC066AD"/>
    <w:rsid w:val="7CC852EA"/>
    <w:rsid w:val="7CCD4D16"/>
    <w:rsid w:val="7CCF2277"/>
    <w:rsid w:val="7CD01390"/>
    <w:rsid w:val="7CD439B7"/>
    <w:rsid w:val="7CD6006E"/>
    <w:rsid w:val="7CE54C97"/>
    <w:rsid w:val="7CED707B"/>
    <w:rsid w:val="7CF20143"/>
    <w:rsid w:val="7CFC48B9"/>
    <w:rsid w:val="7D0329AB"/>
    <w:rsid w:val="7D032E2D"/>
    <w:rsid w:val="7D0F0EC3"/>
    <w:rsid w:val="7D164CC3"/>
    <w:rsid w:val="7D18425A"/>
    <w:rsid w:val="7D2E589D"/>
    <w:rsid w:val="7D345172"/>
    <w:rsid w:val="7D4509A2"/>
    <w:rsid w:val="7D480840"/>
    <w:rsid w:val="7D6108FC"/>
    <w:rsid w:val="7D676D8D"/>
    <w:rsid w:val="7D676E47"/>
    <w:rsid w:val="7D70069E"/>
    <w:rsid w:val="7D775F70"/>
    <w:rsid w:val="7D790F88"/>
    <w:rsid w:val="7D7B6428"/>
    <w:rsid w:val="7D936280"/>
    <w:rsid w:val="7D982F4B"/>
    <w:rsid w:val="7DA13EA4"/>
    <w:rsid w:val="7DA1452B"/>
    <w:rsid w:val="7DA22646"/>
    <w:rsid w:val="7DA2269D"/>
    <w:rsid w:val="7DA419BD"/>
    <w:rsid w:val="7DA650D8"/>
    <w:rsid w:val="7DA74F27"/>
    <w:rsid w:val="7DB56EC3"/>
    <w:rsid w:val="7DB7431A"/>
    <w:rsid w:val="7DBF62FB"/>
    <w:rsid w:val="7DDF653D"/>
    <w:rsid w:val="7DED36E6"/>
    <w:rsid w:val="7DEF39BC"/>
    <w:rsid w:val="7E083634"/>
    <w:rsid w:val="7E122BD0"/>
    <w:rsid w:val="7E2A3353"/>
    <w:rsid w:val="7E311F58"/>
    <w:rsid w:val="7E425A1B"/>
    <w:rsid w:val="7E53699C"/>
    <w:rsid w:val="7E6B6EDC"/>
    <w:rsid w:val="7E9824AE"/>
    <w:rsid w:val="7EB96EE8"/>
    <w:rsid w:val="7EC329DD"/>
    <w:rsid w:val="7EC85A83"/>
    <w:rsid w:val="7EE24646"/>
    <w:rsid w:val="7EEE633C"/>
    <w:rsid w:val="7EF172B4"/>
    <w:rsid w:val="7F096AA5"/>
    <w:rsid w:val="7F136CCA"/>
    <w:rsid w:val="7F1C1F84"/>
    <w:rsid w:val="7F463D34"/>
    <w:rsid w:val="7F535694"/>
    <w:rsid w:val="7F5B1F7D"/>
    <w:rsid w:val="7F6D0E6B"/>
    <w:rsid w:val="7F7E3ED1"/>
    <w:rsid w:val="7F87110F"/>
    <w:rsid w:val="7F8718CB"/>
    <w:rsid w:val="7F8D0E37"/>
    <w:rsid w:val="7F914B7A"/>
    <w:rsid w:val="7F932247"/>
    <w:rsid w:val="7F950FBD"/>
    <w:rsid w:val="7F956660"/>
    <w:rsid w:val="7FAF2DF8"/>
    <w:rsid w:val="7FB718CB"/>
    <w:rsid w:val="7FC166D5"/>
    <w:rsid w:val="7FC770DA"/>
    <w:rsid w:val="7FCE3564"/>
    <w:rsid w:val="7FD05249"/>
    <w:rsid w:val="7FD34919"/>
    <w:rsid w:val="7FDF3485"/>
    <w:rsid w:val="7FE27E67"/>
    <w:rsid w:val="7FE5589A"/>
    <w:rsid w:val="7FF8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qFormat="1" w:uiPriority="99"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8"/>
    <w:qFormat/>
    <w:uiPriority w:val="0"/>
    <w:pPr>
      <w:keepNext/>
      <w:widowControl/>
      <w:tabs>
        <w:tab w:val="left" w:pos="432"/>
      </w:tabs>
      <w:jc w:val="center"/>
      <w:outlineLvl w:val="0"/>
    </w:pPr>
    <w:rPr>
      <w:rFonts w:ascii="宋体" w:hAnsi="宋体" w:cs="宋体"/>
      <w:b/>
      <w:bCs/>
      <w:color w:val="000000"/>
      <w:kern w:val="0"/>
      <w:sz w:val="28"/>
      <w:szCs w:val="10"/>
      <w:highlight w:val="none"/>
    </w:rPr>
  </w:style>
  <w:style w:type="paragraph" w:styleId="4">
    <w:name w:val="heading 2"/>
    <w:basedOn w:val="1"/>
    <w:next w:val="1"/>
    <w:link w:val="98"/>
    <w:qFormat/>
    <w:uiPriority w:val="0"/>
    <w:pPr>
      <w:keepNext/>
      <w:keepLines/>
      <w:spacing w:before="260" w:after="260" w:line="413" w:lineRule="auto"/>
      <w:outlineLvl w:val="1"/>
    </w:pPr>
    <w:rPr>
      <w:rFonts w:ascii="Arial" w:hAnsi="Arial" w:eastAsia="黑体"/>
      <w:b/>
      <w:bCs/>
      <w:kern w:val="0"/>
      <w:sz w:val="32"/>
      <w:szCs w:val="32"/>
    </w:rPr>
  </w:style>
  <w:style w:type="paragraph" w:styleId="5">
    <w:name w:val="heading 3"/>
    <w:basedOn w:val="1"/>
    <w:next w:val="1"/>
    <w:link w:val="82"/>
    <w:qFormat/>
    <w:uiPriority w:val="0"/>
    <w:pPr>
      <w:keepNext/>
      <w:keepLines/>
      <w:spacing w:line="416" w:lineRule="auto"/>
      <w:outlineLvl w:val="2"/>
    </w:pPr>
    <w:rPr>
      <w:b/>
      <w:bCs/>
      <w:sz w:val="32"/>
      <w:szCs w:val="32"/>
    </w:rPr>
  </w:style>
  <w:style w:type="paragraph" w:styleId="6">
    <w:name w:val="heading 4"/>
    <w:basedOn w:val="1"/>
    <w:next w:val="1"/>
    <w:link w:val="7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3"/>
    <w:qFormat/>
    <w:uiPriority w:val="0"/>
    <w:pPr>
      <w:keepNext/>
      <w:widowControl/>
      <w:spacing w:before="280" w:after="290" w:line="374" w:lineRule="auto"/>
      <w:outlineLvl w:val="4"/>
    </w:pPr>
    <w:rPr>
      <w:rFonts w:ascii="Calibri" w:hAnsi="Calibri"/>
      <w:b/>
      <w:bCs/>
      <w:kern w:val="0"/>
      <w:sz w:val="28"/>
      <w:szCs w:val="28"/>
    </w:rPr>
  </w:style>
  <w:style w:type="paragraph" w:styleId="10">
    <w:name w:val="heading 6"/>
    <w:basedOn w:val="1"/>
    <w:next w:val="1"/>
    <w:link w:val="74"/>
    <w:qFormat/>
    <w:uiPriority w:val="0"/>
    <w:pPr>
      <w:keepNext/>
      <w:widowControl/>
      <w:spacing w:before="240" w:after="64" w:line="319" w:lineRule="auto"/>
      <w:ind w:left="1152" w:hanging="1152"/>
      <w:jc w:val="left"/>
      <w:outlineLvl w:val="5"/>
    </w:pPr>
    <w:rPr>
      <w:rFonts w:ascii="Arial" w:hAnsi="Arial" w:cs="Arial"/>
      <w:b/>
      <w:bCs/>
      <w:kern w:val="0"/>
      <w:sz w:val="24"/>
    </w:rPr>
  </w:style>
  <w:style w:type="paragraph" w:styleId="11">
    <w:name w:val="heading 7"/>
    <w:basedOn w:val="1"/>
    <w:next w:val="1"/>
    <w:link w:val="75"/>
    <w:qFormat/>
    <w:uiPriority w:val="0"/>
    <w:pPr>
      <w:keepNext/>
      <w:widowControl/>
      <w:spacing w:before="240" w:after="64" w:line="319" w:lineRule="auto"/>
      <w:ind w:left="1296" w:hanging="1296"/>
      <w:jc w:val="left"/>
      <w:outlineLvl w:val="6"/>
    </w:pPr>
    <w:rPr>
      <w:rFonts w:ascii="Calibri" w:hAnsi="Calibri"/>
      <w:b/>
      <w:bCs/>
      <w:kern w:val="0"/>
      <w:sz w:val="24"/>
    </w:rPr>
  </w:style>
  <w:style w:type="paragraph" w:styleId="12">
    <w:name w:val="heading 8"/>
    <w:basedOn w:val="1"/>
    <w:next w:val="1"/>
    <w:link w:val="76"/>
    <w:qFormat/>
    <w:uiPriority w:val="0"/>
    <w:pPr>
      <w:keepNext/>
      <w:widowControl/>
      <w:spacing w:before="240" w:after="64" w:line="319" w:lineRule="auto"/>
      <w:ind w:left="1440" w:hanging="1440"/>
      <w:jc w:val="left"/>
      <w:outlineLvl w:val="7"/>
    </w:pPr>
    <w:rPr>
      <w:rFonts w:ascii="Arial" w:hAnsi="Arial" w:cs="Arial"/>
      <w:kern w:val="0"/>
      <w:sz w:val="24"/>
    </w:rPr>
  </w:style>
  <w:style w:type="paragraph" w:styleId="13">
    <w:name w:val="heading 9"/>
    <w:basedOn w:val="1"/>
    <w:next w:val="1"/>
    <w:link w:val="77"/>
    <w:qFormat/>
    <w:uiPriority w:val="0"/>
    <w:pPr>
      <w:keepNext/>
      <w:widowControl/>
      <w:spacing w:before="240" w:after="64" w:line="319" w:lineRule="auto"/>
      <w:ind w:left="1584" w:hanging="1584"/>
      <w:jc w:val="left"/>
      <w:outlineLvl w:val="8"/>
    </w:pPr>
    <w:rPr>
      <w:rFonts w:ascii="Arial" w:hAnsi="Arial" w:cs="Arial"/>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1"/>
    <w:qFormat/>
    <w:uiPriority w:val="0"/>
    <w:pPr>
      <w:widowControl/>
      <w:spacing w:after="120"/>
    </w:pPr>
    <w:rPr>
      <w:rFonts w:ascii="宋体" w:hAnsi="宋体"/>
      <w:kern w:val="0"/>
      <w:sz w:val="20"/>
      <w:szCs w:val="20"/>
    </w:rPr>
  </w:style>
  <w:style w:type="paragraph" w:styleId="8">
    <w:name w:val="Normal Indent"/>
    <w:basedOn w:val="1"/>
    <w:next w:val="9"/>
    <w:qFormat/>
    <w:uiPriority w:val="0"/>
    <w:pPr>
      <w:ind w:firstLine="420" w:firstLineChars="200"/>
    </w:pPr>
  </w:style>
  <w:style w:type="paragraph" w:styleId="9">
    <w:name w:val="toc 4"/>
    <w:basedOn w:val="1"/>
    <w:next w:val="1"/>
    <w:qFormat/>
    <w:uiPriority w:val="0"/>
    <w:pPr>
      <w:ind w:left="1260" w:leftChars="600"/>
    </w:pPr>
    <w:rPr>
      <w:rFonts w:ascii="Calibri" w:hAnsi="Calibri"/>
    </w:rPr>
  </w:style>
  <w:style w:type="paragraph" w:styleId="14">
    <w:name w:val="toc 7"/>
    <w:basedOn w:val="1"/>
    <w:next w:val="1"/>
    <w:qFormat/>
    <w:uiPriority w:val="0"/>
    <w:pPr>
      <w:ind w:left="2520" w:leftChars="1200"/>
    </w:pPr>
    <w:rPr>
      <w:rFonts w:ascii="Calibri" w:hAnsi="Calibri"/>
    </w:rPr>
  </w:style>
  <w:style w:type="paragraph" w:styleId="15">
    <w:name w:val="Document Map"/>
    <w:basedOn w:val="1"/>
    <w:link w:val="241"/>
    <w:qFormat/>
    <w:uiPriority w:val="0"/>
    <w:pPr>
      <w:widowControl/>
    </w:pPr>
    <w:rPr>
      <w:rFonts w:ascii="宋体" w:hAnsi="宋体"/>
      <w:kern w:val="0"/>
      <w:sz w:val="20"/>
      <w:szCs w:val="20"/>
    </w:rPr>
  </w:style>
  <w:style w:type="paragraph" w:styleId="16">
    <w:name w:val="toa heading"/>
    <w:basedOn w:val="1"/>
    <w:next w:val="1"/>
    <w:qFormat/>
    <w:uiPriority w:val="0"/>
    <w:pPr>
      <w:spacing w:before="120"/>
    </w:pPr>
    <w:rPr>
      <w:rFonts w:ascii="Arial" w:hAnsi="Arial"/>
      <w:b/>
      <w:bCs/>
    </w:rPr>
  </w:style>
  <w:style w:type="paragraph" w:styleId="17">
    <w:name w:val="annotation text"/>
    <w:basedOn w:val="1"/>
    <w:link w:val="235"/>
    <w:qFormat/>
    <w:uiPriority w:val="0"/>
    <w:pPr>
      <w:jc w:val="left"/>
    </w:pPr>
  </w:style>
  <w:style w:type="paragraph" w:styleId="18">
    <w:name w:val="Body Text 3"/>
    <w:basedOn w:val="1"/>
    <w:link w:val="81"/>
    <w:qFormat/>
    <w:uiPriority w:val="0"/>
    <w:rPr>
      <w:rFonts w:ascii="宋体"/>
      <w:sz w:val="24"/>
      <w:szCs w:val="20"/>
    </w:rPr>
  </w:style>
  <w:style w:type="paragraph" w:styleId="19">
    <w:name w:val="Body Text Indent"/>
    <w:basedOn w:val="1"/>
    <w:next w:val="20"/>
    <w:link w:val="148"/>
    <w:qFormat/>
    <w:uiPriority w:val="0"/>
    <w:pPr>
      <w:spacing w:after="120"/>
      <w:ind w:left="420" w:leftChars="200"/>
    </w:pPr>
  </w:style>
  <w:style w:type="paragraph" w:styleId="20">
    <w:name w:val="envelope return"/>
    <w:qFormat/>
    <w:uiPriority w:val="99"/>
    <w:pPr>
      <w:snapToGrid w:val="0"/>
    </w:pPr>
    <w:rPr>
      <w:rFonts w:ascii="Arial" w:hAnsi="Arial" w:cs="Arial" w:eastAsiaTheme="minorEastAsia"/>
      <w:sz w:val="24"/>
      <w:szCs w:val="24"/>
      <w:lang w:val="en-US" w:eastAsia="zh-CN" w:bidi="ar-SA"/>
    </w:rPr>
  </w:style>
  <w:style w:type="paragraph" w:styleId="21">
    <w:name w:val="List 2"/>
    <w:basedOn w:val="1"/>
    <w:qFormat/>
    <w:uiPriority w:val="0"/>
    <w:pPr>
      <w:ind w:left="100" w:hanging="200"/>
    </w:pPr>
    <w:rPr>
      <w:rFonts w:ascii="Calibri" w:hAnsi="Calibri"/>
    </w:rPr>
  </w:style>
  <w:style w:type="paragraph" w:styleId="22">
    <w:name w:val="Block Text"/>
    <w:basedOn w:val="1"/>
    <w:qFormat/>
    <w:uiPriority w:val="0"/>
    <w:pPr>
      <w:adjustRightInd w:val="0"/>
      <w:ind w:left="420" w:right="33"/>
      <w:jc w:val="left"/>
      <w:textAlignment w:val="baseline"/>
    </w:pPr>
    <w:rPr>
      <w:rFonts w:ascii="Calibri" w:hAnsi="Calibri"/>
      <w:kern w:val="0"/>
      <w:sz w:val="24"/>
      <w:szCs w:val="20"/>
    </w:rPr>
  </w:style>
  <w:style w:type="paragraph" w:styleId="23">
    <w:name w:val="toc 5"/>
    <w:basedOn w:val="1"/>
    <w:next w:val="1"/>
    <w:qFormat/>
    <w:uiPriority w:val="0"/>
    <w:pPr>
      <w:ind w:left="1680" w:leftChars="800"/>
    </w:pPr>
    <w:rPr>
      <w:rFonts w:ascii="Calibri" w:hAnsi="Calibri"/>
    </w:rPr>
  </w:style>
  <w:style w:type="paragraph" w:styleId="24">
    <w:name w:val="toc 3"/>
    <w:basedOn w:val="1"/>
    <w:next w:val="1"/>
    <w:qFormat/>
    <w:uiPriority w:val="0"/>
    <w:pPr>
      <w:ind w:left="840" w:leftChars="400"/>
    </w:pPr>
    <w:rPr>
      <w:rFonts w:ascii="Calibri" w:hAnsi="Calibri"/>
    </w:rPr>
  </w:style>
  <w:style w:type="paragraph" w:styleId="25">
    <w:name w:val="Plain Text"/>
    <w:basedOn w:val="1"/>
    <w:link w:val="125"/>
    <w:qFormat/>
    <w:uiPriority w:val="0"/>
    <w:rPr>
      <w:rFonts w:ascii="宋体"/>
      <w:szCs w:val="21"/>
    </w:rPr>
  </w:style>
  <w:style w:type="paragraph" w:styleId="26">
    <w:name w:val="toc 8"/>
    <w:basedOn w:val="1"/>
    <w:next w:val="1"/>
    <w:qFormat/>
    <w:uiPriority w:val="0"/>
    <w:pPr>
      <w:ind w:left="2940" w:leftChars="1400"/>
    </w:pPr>
    <w:rPr>
      <w:rFonts w:ascii="Calibri" w:hAnsi="Calibri"/>
    </w:rPr>
  </w:style>
  <w:style w:type="paragraph" w:styleId="27">
    <w:name w:val="Date"/>
    <w:basedOn w:val="1"/>
    <w:next w:val="1"/>
    <w:link w:val="214"/>
    <w:qFormat/>
    <w:uiPriority w:val="0"/>
    <w:pPr>
      <w:widowControl/>
    </w:pPr>
    <w:rPr>
      <w:rFonts w:ascii="宋体" w:hAnsi="宋体"/>
      <w:kern w:val="0"/>
      <w:sz w:val="20"/>
      <w:szCs w:val="20"/>
    </w:rPr>
  </w:style>
  <w:style w:type="paragraph" w:styleId="28">
    <w:name w:val="Body Text Indent 2"/>
    <w:basedOn w:val="1"/>
    <w:link w:val="223"/>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29">
    <w:name w:val="endnote text"/>
    <w:basedOn w:val="1"/>
    <w:link w:val="169"/>
    <w:qFormat/>
    <w:uiPriority w:val="0"/>
    <w:pPr>
      <w:widowControl/>
      <w:snapToGrid w:val="0"/>
      <w:jc w:val="left"/>
    </w:pPr>
    <w:rPr>
      <w:rFonts w:ascii="Calibri" w:hAnsi="Calibri"/>
    </w:rPr>
  </w:style>
  <w:style w:type="paragraph" w:styleId="30">
    <w:name w:val="Balloon Text"/>
    <w:basedOn w:val="1"/>
    <w:link w:val="71"/>
    <w:qFormat/>
    <w:uiPriority w:val="0"/>
    <w:rPr>
      <w:sz w:val="18"/>
      <w:szCs w:val="18"/>
    </w:rPr>
  </w:style>
  <w:style w:type="paragraph" w:styleId="31">
    <w:name w:val="footer"/>
    <w:basedOn w:val="1"/>
    <w:link w:val="95"/>
    <w:qFormat/>
    <w:uiPriority w:val="99"/>
    <w:pPr>
      <w:tabs>
        <w:tab w:val="center" w:pos="4153"/>
        <w:tab w:val="right" w:pos="8306"/>
      </w:tabs>
      <w:snapToGrid w:val="0"/>
      <w:jc w:val="left"/>
    </w:pPr>
    <w:rPr>
      <w:sz w:val="18"/>
      <w:szCs w:val="18"/>
    </w:rPr>
  </w:style>
  <w:style w:type="paragraph" w:styleId="32">
    <w:name w:val="header"/>
    <w:basedOn w:val="1"/>
    <w:link w:val="140"/>
    <w:qFormat/>
    <w:uiPriority w:val="0"/>
    <w:pPr>
      <w:widowControl/>
      <w:snapToGrid w:val="0"/>
      <w:jc w:val="center"/>
    </w:pPr>
    <w:rPr>
      <w:kern w:val="0"/>
      <w:sz w:val="18"/>
      <w:szCs w:val="18"/>
    </w:rPr>
  </w:style>
  <w:style w:type="paragraph" w:styleId="33">
    <w:name w:val="toc 1"/>
    <w:basedOn w:val="1"/>
    <w:next w:val="1"/>
    <w:qFormat/>
    <w:uiPriority w:val="0"/>
    <w:pPr>
      <w:widowControl/>
      <w:spacing w:after="100" w:line="276" w:lineRule="auto"/>
      <w:jc w:val="left"/>
    </w:pPr>
    <w:rPr>
      <w:rFonts w:ascii="Calibri" w:hAnsi="Calibri" w:cs="宋体"/>
      <w:kern w:val="0"/>
      <w:sz w:val="22"/>
      <w:szCs w:val="22"/>
    </w:rPr>
  </w:style>
  <w:style w:type="paragraph" w:styleId="34">
    <w:name w:val="Subtitle"/>
    <w:basedOn w:val="1"/>
    <w:link w:val="183"/>
    <w:qFormat/>
    <w:uiPriority w:val="0"/>
    <w:pPr>
      <w:widowControl/>
      <w:spacing w:before="240" w:after="60" w:line="312" w:lineRule="auto"/>
      <w:jc w:val="center"/>
    </w:pPr>
    <w:rPr>
      <w:rFonts w:ascii="Cambria" w:hAnsi="Cambria"/>
      <w:b/>
      <w:bCs/>
      <w:kern w:val="0"/>
      <w:sz w:val="20"/>
      <w:szCs w:val="20"/>
    </w:rPr>
  </w:style>
  <w:style w:type="paragraph" w:styleId="35">
    <w:name w:val="footnote text"/>
    <w:basedOn w:val="1"/>
    <w:link w:val="226"/>
    <w:qFormat/>
    <w:uiPriority w:val="0"/>
    <w:rPr>
      <w:rFonts w:ascii="Calibri" w:hAnsi="Calibri"/>
      <w:sz w:val="20"/>
      <w:szCs w:val="20"/>
    </w:rPr>
  </w:style>
  <w:style w:type="paragraph" w:styleId="36">
    <w:name w:val="toc 6"/>
    <w:basedOn w:val="1"/>
    <w:next w:val="1"/>
    <w:qFormat/>
    <w:uiPriority w:val="0"/>
    <w:pPr>
      <w:ind w:left="2100" w:leftChars="1000"/>
    </w:pPr>
    <w:rPr>
      <w:rFonts w:ascii="Calibri" w:hAnsi="Calibri"/>
    </w:rPr>
  </w:style>
  <w:style w:type="paragraph" w:styleId="37">
    <w:name w:val="Body Text Indent 3"/>
    <w:basedOn w:val="1"/>
    <w:link w:val="209"/>
    <w:qFormat/>
    <w:uiPriority w:val="0"/>
    <w:pPr>
      <w:widowControl/>
      <w:spacing w:after="120"/>
      <w:ind w:left="420"/>
    </w:pPr>
    <w:rPr>
      <w:rFonts w:ascii="宋体" w:hAnsi="宋体"/>
      <w:kern w:val="0"/>
      <w:sz w:val="20"/>
      <w:szCs w:val="20"/>
    </w:rPr>
  </w:style>
  <w:style w:type="paragraph" w:styleId="38">
    <w:name w:val="table of figures"/>
    <w:basedOn w:val="1"/>
    <w:next w:val="1"/>
    <w:qFormat/>
    <w:uiPriority w:val="0"/>
    <w:pPr>
      <w:ind w:left="200" w:leftChars="200" w:hanging="200" w:hangingChars="200"/>
    </w:pPr>
    <w:rPr>
      <w:rFonts w:ascii="Calibri" w:hAnsi="Calibri"/>
    </w:rPr>
  </w:style>
  <w:style w:type="paragraph" w:styleId="39">
    <w:name w:val="toc 2"/>
    <w:basedOn w:val="1"/>
    <w:next w:val="1"/>
    <w:qFormat/>
    <w:uiPriority w:val="0"/>
    <w:pPr>
      <w:ind w:left="420" w:leftChars="200"/>
    </w:pPr>
    <w:rPr>
      <w:rFonts w:ascii="Calibri" w:hAnsi="Calibri"/>
    </w:rPr>
  </w:style>
  <w:style w:type="paragraph" w:styleId="40">
    <w:name w:val="toc 9"/>
    <w:basedOn w:val="1"/>
    <w:next w:val="1"/>
    <w:qFormat/>
    <w:uiPriority w:val="0"/>
    <w:pPr>
      <w:ind w:left="3360" w:leftChars="1600"/>
    </w:pPr>
    <w:rPr>
      <w:rFonts w:ascii="Calibri" w:hAnsi="Calibri"/>
    </w:rPr>
  </w:style>
  <w:style w:type="paragraph" w:styleId="41">
    <w:name w:val="Body Text 2"/>
    <w:basedOn w:val="1"/>
    <w:link w:val="180"/>
    <w:qFormat/>
    <w:uiPriority w:val="0"/>
    <w:pPr>
      <w:widowControl/>
    </w:pPr>
    <w:rPr>
      <w:rFonts w:ascii="宋体" w:hAnsi="宋体"/>
      <w:kern w:val="0"/>
      <w:sz w:val="20"/>
      <w:szCs w:val="20"/>
    </w:rPr>
  </w:style>
  <w:style w:type="paragraph" w:styleId="42">
    <w:name w:val="HTML Preformatted"/>
    <w:basedOn w:val="1"/>
    <w:link w:val="1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jc w:val="left"/>
    </w:pPr>
    <w:rPr>
      <w:rFonts w:ascii="宋体" w:hAnsi="宋体" w:cs="宋体"/>
      <w:kern w:val="0"/>
      <w:sz w:val="20"/>
      <w:szCs w:val="20"/>
    </w:rPr>
  </w:style>
  <w:style w:type="paragraph" w:styleId="43">
    <w:name w:val="Normal (Web)"/>
    <w:basedOn w:val="1"/>
    <w:qFormat/>
    <w:uiPriority w:val="0"/>
    <w:pPr>
      <w:widowControl/>
      <w:spacing w:beforeAutospacing="1" w:afterAutospacing="1"/>
      <w:jc w:val="left"/>
    </w:pPr>
    <w:rPr>
      <w:rFonts w:ascii="宋体" w:hAnsi="宋体" w:cs="宋体"/>
      <w:kern w:val="0"/>
      <w:sz w:val="24"/>
    </w:rPr>
  </w:style>
  <w:style w:type="paragraph" w:styleId="44">
    <w:name w:val="index 1"/>
    <w:basedOn w:val="1"/>
    <w:next w:val="1"/>
    <w:qFormat/>
    <w:uiPriority w:val="0"/>
    <w:rPr>
      <w:rFonts w:ascii="Calibri" w:hAnsi="Calibri"/>
      <w:szCs w:val="20"/>
    </w:rPr>
  </w:style>
  <w:style w:type="paragraph" w:styleId="45">
    <w:name w:val="Title"/>
    <w:basedOn w:val="1"/>
    <w:link w:val="193"/>
    <w:qFormat/>
    <w:uiPriority w:val="0"/>
    <w:pPr>
      <w:widowControl/>
      <w:spacing w:before="240" w:after="60"/>
      <w:jc w:val="center"/>
    </w:pPr>
    <w:rPr>
      <w:rFonts w:ascii="Cambria" w:hAnsi="Cambria"/>
      <w:b/>
      <w:bCs/>
      <w:kern w:val="0"/>
      <w:sz w:val="20"/>
      <w:szCs w:val="20"/>
    </w:rPr>
  </w:style>
  <w:style w:type="paragraph" w:styleId="46">
    <w:name w:val="annotation subject"/>
    <w:basedOn w:val="17"/>
    <w:next w:val="17"/>
    <w:link w:val="236"/>
    <w:qFormat/>
    <w:uiPriority w:val="0"/>
    <w:pPr>
      <w:widowControl/>
    </w:pPr>
    <w:rPr>
      <w:b/>
      <w:bCs/>
      <w:kern w:val="0"/>
      <w:sz w:val="20"/>
      <w:szCs w:val="20"/>
    </w:rPr>
  </w:style>
  <w:style w:type="paragraph" w:styleId="47">
    <w:name w:val="Body Text First Indent"/>
    <w:basedOn w:val="2"/>
    <w:next w:val="48"/>
    <w:link w:val="255"/>
    <w:qFormat/>
    <w:uiPriority w:val="0"/>
    <w:pPr>
      <w:widowControl w:val="0"/>
      <w:ind w:firstLine="420" w:firstLineChars="100"/>
    </w:pPr>
    <w:rPr>
      <w:rFonts w:eastAsia="仿宋_GB2312"/>
      <w:spacing w:val="-20"/>
      <w:kern w:val="2"/>
      <w:sz w:val="21"/>
      <w:szCs w:val="24"/>
    </w:rPr>
  </w:style>
  <w:style w:type="paragraph" w:styleId="48">
    <w:name w:val="Body Text First Indent 2"/>
    <w:basedOn w:val="19"/>
    <w:next w:val="47"/>
    <w:qFormat/>
    <w:uiPriority w:val="99"/>
    <w:pPr>
      <w:ind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0"/>
    <w:rPr>
      <w:b/>
      <w:bCs/>
    </w:rPr>
  </w:style>
  <w:style w:type="character" w:styleId="53">
    <w:name w:val="page number"/>
    <w:basedOn w:val="51"/>
    <w:qFormat/>
    <w:uiPriority w:val="0"/>
  </w:style>
  <w:style w:type="character" w:styleId="54">
    <w:name w:val="FollowedHyperlink"/>
    <w:qFormat/>
    <w:uiPriority w:val="0"/>
    <w:rPr>
      <w:rFonts w:cs="Times New Roman"/>
      <w:color w:val="800080"/>
      <w:u w:val="single"/>
    </w:rPr>
  </w:style>
  <w:style w:type="character" w:styleId="55">
    <w:name w:val="Emphasis"/>
    <w:qFormat/>
    <w:uiPriority w:val="0"/>
  </w:style>
  <w:style w:type="character" w:styleId="56">
    <w:name w:val="HTML Definition"/>
    <w:unhideWhenUsed/>
    <w:qFormat/>
    <w:uiPriority w:val="99"/>
  </w:style>
  <w:style w:type="character" w:styleId="57">
    <w:name w:val="HTML Variable"/>
    <w:unhideWhenUsed/>
    <w:qFormat/>
    <w:uiPriority w:val="99"/>
  </w:style>
  <w:style w:type="character" w:styleId="58">
    <w:name w:val="Hyperlink"/>
    <w:basedOn w:val="51"/>
    <w:qFormat/>
    <w:uiPriority w:val="0"/>
    <w:rPr>
      <w:color w:val="0000FF"/>
      <w:u w:val="none"/>
    </w:rPr>
  </w:style>
  <w:style w:type="character" w:styleId="59">
    <w:name w:val="HTML Code"/>
    <w:unhideWhenUsed/>
    <w:qFormat/>
    <w:uiPriority w:val="99"/>
    <w:rPr>
      <w:rFonts w:hint="default" w:ascii="Courier New" w:hAnsi="Courier New" w:eastAsia="Courier New" w:cs="Courier New"/>
      <w:sz w:val="20"/>
    </w:rPr>
  </w:style>
  <w:style w:type="character" w:styleId="60">
    <w:name w:val="annotation reference"/>
    <w:qFormat/>
    <w:uiPriority w:val="0"/>
    <w:rPr>
      <w:sz w:val="21"/>
      <w:szCs w:val="21"/>
    </w:rPr>
  </w:style>
  <w:style w:type="character" w:styleId="61">
    <w:name w:val="HTML Cite"/>
    <w:unhideWhenUsed/>
    <w:qFormat/>
    <w:uiPriority w:val="99"/>
  </w:style>
  <w:style w:type="character" w:styleId="62">
    <w:name w:val="footnote reference"/>
    <w:qFormat/>
    <w:uiPriority w:val="0"/>
    <w:rPr>
      <w:vertAlign w:val="superscript"/>
    </w:rPr>
  </w:style>
  <w:style w:type="character" w:styleId="63">
    <w:name w:val="HTML Keyboard"/>
    <w:unhideWhenUsed/>
    <w:qFormat/>
    <w:uiPriority w:val="99"/>
    <w:rPr>
      <w:rFonts w:ascii="Courier New" w:hAnsi="Courier New" w:eastAsia="Courier New" w:cs="Courier New"/>
      <w:sz w:val="20"/>
    </w:rPr>
  </w:style>
  <w:style w:type="character" w:styleId="64">
    <w:name w:val="HTML Sample"/>
    <w:unhideWhenUsed/>
    <w:qFormat/>
    <w:uiPriority w:val="99"/>
    <w:rPr>
      <w:rFonts w:hint="default" w:ascii="Courier New" w:hAnsi="Courier New" w:eastAsia="Courier New" w:cs="Courier New"/>
    </w:rPr>
  </w:style>
  <w:style w:type="paragraph" w:customStyle="1" w:styleId="65">
    <w:name w:val="BodyText"/>
    <w:basedOn w:val="1"/>
    <w:next w:val="1"/>
    <w:qFormat/>
    <w:uiPriority w:val="0"/>
    <w:rPr>
      <w:color w:val="993300"/>
      <w:sz w:val="24"/>
    </w:rPr>
  </w:style>
  <w:style w:type="paragraph" w:customStyle="1" w:styleId="66">
    <w:name w:val="BodyText1I"/>
    <w:basedOn w:val="65"/>
    <w:qFormat/>
    <w:uiPriority w:val="0"/>
    <w:pPr>
      <w:ind w:firstLine="420" w:firstLineChars="100"/>
    </w:pPr>
  </w:style>
  <w:style w:type="paragraph" w:customStyle="1" w:styleId="67">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68">
    <w:name w:val="列出段落2"/>
    <w:basedOn w:val="1"/>
    <w:qFormat/>
    <w:uiPriority w:val="34"/>
    <w:pPr>
      <w:ind w:firstLine="420" w:firstLineChars="200"/>
    </w:pPr>
    <w:rPr>
      <w:sz w:val="24"/>
    </w:rPr>
  </w:style>
  <w:style w:type="paragraph" w:customStyle="1" w:styleId="69">
    <w:name w:val="目录"/>
    <w:basedOn w:val="1"/>
    <w:qFormat/>
    <w:uiPriority w:val="0"/>
    <w:pPr>
      <w:widowControl/>
      <w:jc w:val="center"/>
    </w:pPr>
    <w:rPr>
      <w:rFonts w:ascii="宋体"/>
      <w:b/>
      <w:kern w:val="0"/>
      <w:sz w:val="36"/>
      <w:szCs w:val="20"/>
    </w:rPr>
  </w:style>
  <w:style w:type="paragraph" w:customStyle="1" w:styleId="70">
    <w:name w:val="WPSOffice手动目录 1"/>
    <w:qFormat/>
    <w:uiPriority w:val="0"/>
    <w:rPr>
      <w:rFonts w:ascii="Times New Roman" w:hAnsi="Times New Roman" w:eastAsia="宋体" w:cs="Times New Roman"/>
      <w:lang w:val="en-US" w:eastAsia="zh-CN" w:bidi="ar-SA"/>
    </w:rPr>
  </w:style>
  <w:style w:type="character" w:customStyle="1" w:styleId="71">
    <w:name w:val="批注框文本 Char"/>
    <w:basedOn w:val="51"/>
    <w:link w:val="30"/>
    <w:qFormat/>
    <w:uiPriority w:val="0"/>
    <w:rPr>
      <w:kern w:val="2"/>
      <w:sz w:val="18"/>
      <w:szCs w:val="18"/>
    </w:rPr>
  </w:style>
  <w:style w:type="character" w:customStyle="1" w:styleId="72">
    <w:name w:val="标题 4 Char"/>
    <w:basedOn w:val="51"/>
    <w:link w:val="6"/>
    <w:qFormat/>
    <w:uiPriority w:val="0"/>
    <w:rPr>
      <w:rFonts w:ascii="Arial" w:hAnsi="Arial" w:eastAsia="黑体"/>
      <w:b/>
      <w:bCs/>
      <w:kern w:val="2"/>
      <w:sz w:val="28"/>
      <w:szCs w:val="28"/>
    </w:rPr>
  </w:style>
  <w:style w:type="character" w:customStyle="1" w:styleId="73">
    <w:name w:val="标题 5 Char"/>
    <w:basedOn w:val="51"/>
    <w:link w:val="7"/>
    <w:qFormat/>
    <w:uiPriority w:val="0"/>
    <w:rPr>
      <w:rFonts w:ascii="Calibri" w:hAnsi="Calibri"/>
      <w:b/>
      <w:bCs/>
      <w:sz w:val="28"/>
      <w:szCs w:val="28"/>
    </w:rPr>
  </w:style>
  <w:style w:type="character" w:customStyle="1" w:styleId="74">
    <w:name w:val="标题 6 Char"/>
    <w:basedOn w:val="51"/>
    <w:link w:val="10"/>
    <w:qFormat/>
    <w:uiPriority w:val="0"/>
    <w:rPr>
      <w:rFonts w:ascii="Arial" w:hAnsi="Arial" w:cs="Arial"/>
      <w:b/>
      <w:bCs/>
      <w:sz w:val="24"/>
      <w:szCs w:val="24"/>
    </w:rPr>
  </w:style>
  <w:style w:type="character" w:customStyle="1" w:styleId="75">
    <w:name w:val="标题 7 Char"/>
    <w:basedOn w:val="51"/>
    <w:link w:val="11"/>
    <w:qFormat/>
    <w:uiPriority w:val="0"/>
    <w:rPr>
      <w:rFonts w:ascii="Calibri" w:hAnsi="Calibri"/>
      <w:b/>
      <w:bCs/>
      <w:sz w:val="24"/>
      <w:szCs w:val="24"/>
    </w:rPr>
  </w:style>
  <w:style w:type="character" w:customStyle="1" w:styleId="76">
    <w:name w:val="标题 8 Char"/>
    <w:basedOn w:val="51"/>
    <w:link w:val="12"/>
    <w:qFormat/>
    <w:uiPriority w:val="0"/>
    <w:rPr>
      <w:rFonts w:ascii="Arial" w:hAnsi="Arial" w:cs="Arial"/>
      <w:sz w:val="24"/>
      <w:szCs w:val="24"/>
    </w:rPr>
  </w:style>
  <w:style w:type="character" w:customStyle="1" w:styleId="77">
    <w:name w:val="标题 9 Char"/>
    <w:basedOn w:val="51"/>
    <w:link w:val="13"/>
    <w:qFormat/>
    <w:uiPriority w:val="0"/>
    <w:rPr>
      <w:rFonts w:ascii="Arial" w:hAnsi="Arial" w:cs="Arial"/>
      <w:sz w:val="21"/>
      <w:szCs w:val="21"/>
    </w:rPr>
  </w:style>
  <w:style w:type="character" w:customStyle="1" w:styleId="78">
    <w:name w:val="普通文字 Char1"/>
    <w:qFormat/>
    <w:uiPriority w:val="0"/>
    <w:rPr>
      <w:rFonts w:ascii="宋体" w:hAnsi="Courier New" w:cs="Courier New"/>
      <w:kern w:val="2"/>
      <w:sz w:val="21"/>
      <w:szCs w:val="21"/>
    </w:rPr>
  </w:style>
  <w:style w:type="character" w:customStyle="1" w:styleId="79">
    <w:name w:val="ꌢ 2 Char"/>
    <w:link w:val="80"/>
    <w:qFormat/>
    <w:uiPriority w:val="0"/>
    <w:rPr>
      <w:rFonts w:ascii="Arial" w:hAnsi="Arial"/>
      <w:b/>
      <w:bCs/>
    </w:rPr>
  </w:style>
  <w:style w:type="paragraph" w:customStyle="1" w:styleId="80">
    <w:name w:val="ꌢ 2"/>
    <w:basedOn w:val="1"/>
    <w:link w:val="79"/>
    <w:qFormat/>
    <w:uiPriority w:val="0"/>
    <w:pPr>
      <w:widowControl/>
    </w:pPr>
    <w:rPr>
      <w:rFonts w:ascii="Arial" w:hAnsi="Arial"/>
      <w:b/>
      <w:bCs/>
      <w:kern w:val="0"/>
      <w:sz w:val="20"/>
      <w:szCs w:val="20"/>
    </w:rPr>
  </w:style>
  <w:style w:type="character" w:customStyle="1" w:styleId="81">
    <w:name w:val="正文文本 3 Char"/>
    <w:link w:val="18"/>
    <w:qFormat/>
    <w:uiPriority w:val="0"/>
    <w:rPr>
      <w:rFonts w:ascii="宋体"/>
      <w:kern w:val="2"/>
      <w:sz w:val="24"/>
    </w:rPr>
  </w:style>
  <w:style w:type="character" w:customStyle="1" w:styleId="82">
    <w:name w:val="标题 3 Char"/>
    <w:link w:val="5"/>
    <w:qFormat/>
    <w:uiPriority w:val="0"/>
    <w:rPr>
      <w:b/>
      <w:bCs/>
      <w:kern w:val="2"/>
      <w:sz w:val="32"/>
      <w:szCs w:val="32"/>
    </w:rPr>
  </w:style>
  <w:style w:type="character" w:customStyle="1" w:styleId="83">
    <w:name w:val="引用 Char"/>
    <w:qFormat/>
    <w:uiPriority w:val="0"/>
    <w:rPr>
      <w:i/>
      <w:iCs/>
      <w:color w:val="000000"/>
      <w:kern w:val="2"/>
      <w:sz w:val="21"/>
      <w:szCs w:val="24"/>
    </w:rPr>
  </w:style>
  <w:style w:type="character" w:customStyle="1" w:styleId="84">
    <w:name w:val="Char Char5"/>
    <w:qFormat/>
    <w:uiPriority w:val="0"/>
    <w:rPr>
      <w:rFonts w:ascii="Times New Roman" w:hAnsi="Times New Roman" w:cs="Times New Roman"/>
      <w:sz w:val="24"/>
    </w:rPr>
  </w:style>
  <w:style w:type="character" w:customStyle="1" w:styleId="85">
    <w:name w:val="副标题 Char"/>
    <w:qFormat/>
    <w:uiPriority w:val="0"/>
    <w:rPr>
      <w:rFonts w:ascii="Cambria" w:hAnsi="Cambria"/>
      <w:b/>
      <w:bCs/>
    </w:rPr>
  </w:style>
  <w:style w:type="character" w:customStyle="1" w:styleId="86">
    <w:name w:val="Char Char2"/>
    <w:qFormat/>
    <w:uiPriority w:val="0"/>
    <w:rPr>
      <w:rFonts w:eastAsia="宋体"/>
      <w:kern w:val="2"/>
      <w:sz w:val="21"/>
      <w:szCs w:val="24"/>
      <w:lang w:val="en-US" w:eastAsia="zh-CN" w:bidi="ar-SA"/>
    </w:rPr>
  </w:style>
  <w:style w:type="character" w:customStyle="1" w:styleId="87">
    <w:name w:val="font161"/>
    <w:qFormat/>
    <w:uiPriority w:val="0"/>
    <w:rPr>
      <w:b/>
      <w:bCs/>
      <w:sz w:val="32"/>
      <w:szCs w:val="32"/>
    </w:rPr>
  </w:style>
  <w:style w:type="character" w:customStyle="1" w:styleId="88">
    <w:name w:val="Body Text Indent Char1"/>
    <w:qFormat/>
    <w:uiPriority w:val="0"/>
    <w:rPr>
      <w:rFonts w:ascii="Times New Roman" w:hAnsi="Times New Roman"/>
      <w:szCs w:val="21"/>
    </w:rPr>
  </w:style>
  <w:style w:type="character" w:customStyle="1" w:styleId="89">
    <w:name w:val="Char Char"/>
    <w:qFormat/>
    <w:uiPriority w:val="0"/>
    <w:rPr>
      <w:rFonts w:ascii="Arial" w:hAnsi="Arial" w:eastAsia="黑体"/>
      <w:b/>
      <w:bCs/>
      <w:kern w:val="2"/>
      <w:sz w:val="32"/>
      <w:szCs w:val="32"/>
      <w:lang w:val="en-US" w:eastAsia="zh-CN" w:bidi="ar-SA"/>
    </w:rPr>
  </w:style>
  <w:style w:type="character" w:customStyle="1" w:styleId="90">
    <w:name w:val="正文文字4 Char Char"/>
    <w:qFormat/>
    <w:uiPriority w:val="0"/>
    <w:rPr>
      <w:kern w:val="2"/>
      <w:sz w:val="21"/>
      <w:szCs w:val="24"/>
    </w:rPr>
  </w:style>
  <w:style w:type="character" w:customStyle="1" w:styleId="91">
    <w:name w:val="标题 3 Char Char"/>
    <w:qFormat/>
    <w:uiPriority w:val="0"/>
    <w:rPr>
      <w:rFonts w:eastAsia="黑体"/>
      <w:b/>
      <w:kern w:val="2"/>
      <w:sz w:val="28"/>
      <w:lang w:val="en-US" w:eastAsia="zh-CN" w:bidi="ar-SA"/>
    </w:rPr>
  </w:style>
  <w:style w:type="character" w:customStyle="1" w:styleId="92">
    <w:name w:val="Body Text Indent 3 Char1"/>
    <w:qFormat/>
    <w:uiPriority w:val="0"/>
    <w:rPr>
      <w:rFonts w:ascii="Times New Roman" w:hAnsi="Times New Roman"/>
      <w:sz w:val="16"/>
      <w:szCs w:val="16"/>
    </w:rPr>
  </w:style>
  <w:style w:type="character" w:customStyle="1" w:styleId="93">
    <w:name w:val="普通(网站) Char Char"/>
    <w:link w:val="94"/>
    <w:qFormat/>
    <w:uiPriority w:val="0"/>
    <w:rPr>
      <w:rFonts w:ascii="宋体" w:hAnsi="宋体"/>
      <w:sz w:val="24"/>
    </w:rPr>
  </w:style>
  <w:style w:type="paragraph" w:customStyle="1" w:styleId="94">
    <w:name w:val="普通(网站)1"/>
    <w:basedOn w:val="1"/>
    <w:link w:val="93"/>
    <w:qFormat/>
    <w:uiPriority w:val="0"/>
    <w:pPr>
      <w:widowControl/>
      <w:spacing w:before="100" w:beforeAutospacing="1" w:after="100" w:afterAutospacing="1" w:line="360" w:lineRule="auto"/>
      <w:ind w:firstLine="420" w:firstLineChars="200"/>
      <w:jc w:val="left"/>
    </w:pPr>
    <w:rPr>
      <w:rFonts w:ascii="宋体" w:hAnsi="宋体"/>
      <w:kern w:val="0"/>
      <w:sz w:val="24"/>
      <w:szCs w:val="20"/>
    </w:rPr>
  </w:style>
  <w:style w:type="character" w:customStyle="1" w:styleId="95">
    <w:name w:val="页脚 Char"/>
    <w:link w:val="31"/>
    <w:qFormat/>
    <w:uiPriority w:val="99"/>
    <w:rPr>
      <w:kern w:val="2"/>
      <w:sz w:val="18"/>
      <w:szCs w:val="18"/>
    </w:rPr>
  </w:style>
  <w:style w:type="character" w:customStyle="1" w:styleId="96">
    <w:name w:val="普通(网站) Char"/>
    <w:qFormat/>
    <w:uiPriority w:val="0"/>
    <w:rPr>
      <w:rFonts w:ascii="宋体" w:eastAsia="宋体"/>
      <w:sz w:val="24"/>
      <w:szCs w:val="24"/>
      <w:lang w:bidi="ar-SA"/>
    </w:rPr>
  </w:style>
  <w:style w:type="character" w:customStyle="1" w:styleId="97">
    <w:name w:val="style11"/>
    <w:qFormat/>
    <w:uiPriority w:val="0"/>
  </w:style>
  <w:style w:type="character" w:customStyle="1" w:styleId="98">
    <w:name w:val="标题 2 Char"/>
    <w:link w:val="4"/>
    <w:qFormat/>
    <w:uiPriority w:val="0"/>
    <w:rPr>
      <w:rFonts w:ascii="Arial" w:hAnsi="Arial" w:eastAsia="黑体"/>
      <w:b/>
      <w:bCs/>
      <w:sz w:val="32"/>
      <w:szCs w:val="32"/>
    </w:rPr>
  </w:style>
  <w:style w:type="character" w:customStyle="1" w:styleId="99">
    <w:name w:val="标题 1 Char1"/>
    <w:qFormat/>
    <w:uiPriority w:val="0"/>
    <w:rPr>
      <w:rFonts w:eastAsia="宋体"/>
      <w:b/>
      <w:bCs/>
      <w:kern w:val="44"/>
      <w:sz w:val="32"/>
      <w:szCs w:val="44"/>
      <w:lang w:val="en-US" w:eastAsia="zh-CN" w:bidi="ar-SA"/>
    </w:rPr>
  </w:style>
  <w:style w:type="character" w:customStyle="1" w:styleId="100">
    <w:name w:val="z-窗体底端 Char"/>
    <w:qFormat/>
    <w:uiPriority w:val="0"/>
    <w:rPr>
      <w:rFonts w:ascii="Arial" w:hAnsi="Arial"/>
      <w:vanish/>
      <w:sz w:val="16"/>
      <w:szCs w:val="16"/>
    </w:rPr>
  </w:style>
  <w:style w:type="paragraph" w:customStyle="1" w:styleId="101">
    <w:name w:val="z-窗体底端1"/>
    <w:basedOn w:val="1"/>
    <w:next w:val="1"/>
    <w:link w:val="210"/>
    <w:qFormat/>
    <w:uiPriority w:val="0"/>
    <w:pPr>
      <w:pBdr>
        <w:top w:val="single" w:color="auto" w:sz="6" w:space="1"/>
      </w:pBdr>
      <w:jc w:val="center"/>
    </w:pPr>
    <w:rPr>
      <w:rFonts w:ascii="Arial" w:hAnsi="Arial"/>
      <w:vanish/>
      <w:kern w:val="0"/>
      <w:sz w:val="16"/>
      <w:szCs w:val="16"/>
    </w:rPr>
  </w:style>
  <w:style w:type="character" w:customStyle="1" w:styleId="102">
    <w:name w:val="尾注文本 Char"/>
    <w:qFormat/>
    <w:uiPriority w:val="0"/>
    <w:rPr>
      <w:rFonts w:ascii="Calibri" w:hAnsi="Calibri"/>
      <w:kern w:val="2"/>
      <w:sz w:val="21"/>
      <w:szCs w:val="24"/>
    </w:rPr>
  </w:style>
  <w:style w:type="character" w:customStyle="1" w:styleId="103">
    <w:name w:val="on"/>
    <w:basedOn w:val="51"/>
    <w:qFormat/>
    <w:uiPriority w:val="0"/>
  </w:style>
  <w:style w:type="character" w:customStyle="1" w:styleId="104">
    <w:name w:val="Document Map Char1"/>
    <w:qFormat/>
    <w:uiPriority w:val="0"/>
    <w:rPr>
      <w:rFonts w:ascii="Times New Roman" w:hAnsi="Times New Roman"/>
      <w:sz w:val="16"/>
      <w:szCs w:val="0"/>
    </w:rPr>
  </w:style>
  <w:style w:type="character" w:customStyle="1" w:styleId="105">
    <w:name w:val="正文文本 Char"/>
    <w:qFormat/>
    <w:uiPriority w:val="0"/>
    <w:rPr>
      <w:rFonts w:ascii="宋体" w:hAnsi="宋体"/>
    </w:rPr>
  </w:style>
  <w:style w:type="character" w:customStyle="1" w:styleId="106">
    <w:name w:val="Char Char4"/>
    <w:qFormat/>
    <w:uiPriority w:val="0"/>
    <w:rPr>
      <w:rFonts w:ascii="仿宋_GB2312" w:hAnsi="Times New Roman" w:eastAsia="仿宋_GB2312"/>
      <w:spacing w:val="-20"/>
      <w:kern w:val="2"/>
      <w:sz w:val="28"/>
    </w:rPr>
  </w:style>
  <w:style w:type="character" w:customStyle="1" w:styleId="107">
    <w:name w:val="Char Char7"/>
    <w:qFormat/>
    <w:uiPriority w:val="0"/>
    <w:rPr>
      <w:rFonts w:ascii="Arial" w:hAnsi="Arial" w:eastAsia="黑体"/>
      <w:b/>
      <w:bCs/>
      <w:kern w:val="2"/>
      <w:sz w:val="32"/>
      <w:szCs w:val="32"/>
      <w:lang w:val="en-US" w:eastAsia="zh-CN" w:bidi="ar-SA"/>
    </w:rPr>
  </w:style>
  <w:style w:type="character" w:customStyle="1" w:styleId="108">
    <w:name w:val="Date Char1"/>
    <w:qFormat/>
    <w:uiPriority w:val="0"/>
    <w:rPr>
      <w:rFonts w:ascii="Times New Roman" w:hAnsi="Times New Roman"/>
      <w:szCs w:val="21"/>
    </w:rPr>
  </w:style>
  <w:style w:type="character" w:customStyle="1" w:styleId="109">
    <w:name w:val="Blockquote Char"/>
    <w:link w:val="110"/>
    <w:qFormat/>
    <w:uiPriority w:val="0"/>
    <w:rPr>
      <w:sz w:val="24"/>
    </w:rPr>
  </w:style>
  <w:style w:type="paragraph" w:customStyle="1" w:styleId="110">
    <w:name w:val="Blockquote"/>
    <w:basedOn w:val="1"/>
    <w:link w:val="109"/>
    <w:qFormat/>
    <w:uiPriority w:val="0"/>
    <w:pPr>
      <w:autoSpaceDE w:val="0"/>
      <w:autoSpaceDN w:val="0"/>
      <w:adjustRightInd w:val="0"/>
      <w:spacing w:before="100" w:after="100"/>
      <w:ind w:left="360" w:right="360"/>
      <w:jc w:val="left"/>
    </w:pPr>
    <w:rPr>
      <w:kern w:val="0"/>
      <w:sz w:val="24"/>
      <w:szCs w:val="20"/>
    </w:rPr>
  </w:style>
  <w:style w:type="character" w:customStyle="1" w:styleId="111">
    <w:name w:val="Body Text 3 Char1"/>
    <w:qFormat/>
    <w:uiPriority w:val="0"/>
    <w:rPr>
      <w:rFonts w:ascii="Times New Roman" w:hAnsi="Times New Roman"/>
      <w:sz w:val="16"/>
      <w:szCs w:val="16"/>
    </w:rPr>
  </w:style>
  <w:style w:type="character" w:customStyle="1" w:styleId="112">
    <w:name w:val="Body Text Indent 2 Char1"/>
    <w:qFormat/>
    <w:uiPriority w:val="0"/>
    <w:rPr>
      <w:rFonts w:ascii="Times New Roman" w:hAnsi="Times New Roman"/>
      <w:szCs w:val="21"/>
    </w:rPr>
  </w:style>
  <w:style w:type="character" w:customStyle="1" w:styleId="113">
    <w:name w:val="z-窗体顶端 Char"/>
    <w:qFormat/>
    <w:uiPriority w:val="0"/>
    <w:rPr>
      <w:rFonts w:ascii="Arial" w:hAnsi="Arial"/>
      <w:vanish/>
      <w:sz w:val="16"/>
      <w:szCs w:val="16"/>
    </w:rPr>
  </w:style>
  <w:style w:type="paragraph" w:customStyle="1" w:styleId="114">
    <w:name w:val="z-窗体顶端1"/>
    <w:basedOn w:val="1"/>
    <w:next w:val="1"/>
    <w:link w:val="220"/>
    <w:qFormat/>
    <w:uiPriority w:val="0"/>
    <w:pPr>
      <w:pBdr>
        <w:bottom w:val="single" w:color="auto" w:sz="6" w:space="1"/>
      </w:pBdr>
      <w:jc w:val="center"/>
    </w:pPr>
    <w:rPr>
      <w:rFonts w:ascii="Arial" w:hAnsi="Arial"/>
      <w:vanish/>
      <w:kern w:val="0"/>
      <w:sz w:val="16"/>
      <w:szCs w:val="16"/>
    </w:rPr>
  </w:style>
  <w:style w:type="character" w:customStyle="1" w:styleId="115">
    <w:name w:val="Char Char25"/>
    <w:qFormat/>
    <w:uiPriority w:val="0"/>
    <w:rPr>
      <w:b/>
      <w:bCs/>
      <w:kern w:val="44"/>
      <w:sz w:val="44"/>
      <w:szCs w:val="44"/>
    </w:rPr>
  </w:style>
  <w:style w:type="character" w:customStyle="1" w:styleId="116">
    <w:name w:val="z-Bottom of Form Char1"/>
    <w:qFormat/>
    <w:uiPriority w:val="0"/>
    <w:rPr>
      <w:rFonts w:ascii="Arial" w:hAnsi="Arial" w:cs="Arial"/>
      <w:vanish/>
      <w:sz w:val="16"/>
      <w:szCs w:val="16"/>
    </w:rPr>
  </w:style>
  <w:style w:type="character" w:customStyle="1" w:styleId="117">
    <w:name w:val="尾注文本 Char1"/>
    <w:semiHidden/>
    <w:qFormat/>
    <w:uiPriority w:val="99"/>
    <w:rPr>
      <w:kern w:val="2"/>
      <w:sz w:val="21"/>
      <w:szCs w:val="24"/>
    </w:rPr>
  </w:style>
  <w:style w:type="character" w:customStyle="1" w:styleId="118">
    <w:name w:val="z-Top of Form Char1"/>
    <w:qFormat/>
    <w:uiPriority w:val="0"/>
    <w:rPr>
      <w:rFonts w:ascii="Arial" w:hAnsi="Arial" w:cs="Arial"/>
      <w:vanish/>
      <w:sz w:val="16"/>
      <w:szCs w:val="16"/>
    </w:rPr>
  </w:style>
  <w:style w:type="character" w:customStyle="1" w:styleId="119">
    <w:name w:val="Char Char6"/>
    <w:qFormat/>
    <w:uiPriority w:val="0"/>
    <w:rPr>
      <w:rFonts w:ascii="Times New Roman" w:hAnsi="Times New Roman" w:cs="Times New Roman"/>
      <w:b/>
      <w:bCs/>
      <w:kern w:val="2"/>
      <w:sz w:val="21"/>
      <w:szCs w:val="24"/>
    </w:rPr>
  </w:style>
  <w:style w:type="character" w:customStyle="1" w:styleId="120">
    <w:name w:val="日期 Char"/>
    <w:qFormat/>
    <w:uiPriority w:val="0"/>
    <w:rPr>
      <w:rFonts w:ascii="宋体" w:hAnsi="宋体"/>
    </w:rPr>
  </w:style>
  <w:style w:type="character" w:customStyle="1" w:styleId="121">
    <w:name w:val="Char Char8"/>
    <w:qFormat/>
    <w:uiPriority w:val="0"/>
    <w:rPr>
      <w:rFonts w:ascii="Arial" w:hAnsi="Arial" w:eastAsia="黑体"/>
      <w:b/>
      <w:bCs/>
      <w:kern w:val="2"/>
      <w:sz w:val="32"/>
      <w:szCs w:val="32"/>
      <w:lang w:val="en-US" w:eastAsia="zh-CN" w:bidi="ar-SA"/>
    </w:rPr>
  </w:style>
  <w:style w:type="character" w:customStyle="1" w:styleId="122">
    <w:name w:val="批注文字 Char"/>
    <w:qFormat/>
    <w:uiPriority w:val="0"/>
    <w:rPr>
      <w:rFonts w:eastAsia="宋体"/>
      <w:sz w:val="21"/>
      <w:szCs w:val="21"/>
      <w:lang w:val="en-US" w:eastAsia="zh-CN" w:bidi="ar-SA"/>
    </w:rPr>
  </w:style>
  <w:style w:type="character" w:customStyle="1" w:styleId="123">
    <w:name w:val="ꌢ 3 Char"/>
    <w:link w:val="124"/>
    <w:qFormat/>
    <w:uiPriority w:val="0"/>
    <w:rPr>
      <w:rFonts w:ascii="Ђˎ̥" w:hAnsi="Ђˎ̥"/>
      <w:b/>
      <w:bCs/>
    </w:rPr>
  </w:style>
  <w:style w:type="paragraph" w:customStyle="1" w:styleId="124">
    <w:name w:val="ꌢ 3"/>
    <w:basedOn w:val="1"/>
    <w:link w:val="123"/>
    <w:qFormat/>
    <w:uiPriority w:val="0"/>
    <w:pPr>
      <w:widowControl/>
    </w:pPr>
    <w:rPr>
      <w:rFonts w:ascii="Ђˎ̥" w:hAnsi="Ђˎ̥"/>
      <w:b/>
      <w:bCs/>
      <w:kern w:val="0"/>
      <w:sz w:val="20"/>
      <w:szCs w:val="20"/>
    </w:rPr>
  </w:style>
  <w:style w:type="character" w:customStyle="1" w:styleId="125">
    <w:name w:val="纯文本 Char"/>
    <w:link w:val="25"/>
    <w:qFormat/>
    <w:uiPriority w:val="0"/>
    <w:rPr>
      <w:rFonts w:ascii="宋体"/>
      <w:kern w:val="2"/>
      <w:sz w:val="21"/>
      <w:szCs w:val="21"/>
    </w:rPr>
  </w:style>
  <w:style w:type="character" w:customStyle="1" w:styleId="126">
    <w:name w:val="批注主题 Char"/>
    <w:qFormat/>
    <w:uiPriority w:val="0"/>
    <w:rPr>
      <w:b/>
      <w:bCs/>
    </w:rPr>
  </w:style>
  <w:style w:type="character" w:customStyle="1" w:styleId="127">
    <w:name w:val="标题 3 Char1"/>
    <w:qFormat/>
    <w:uiPriority w:val="0"/>
    <w:rPr>
      <w:rFonts w:ascii="宋体" w:hAnsi="宋体" w:eastAsia="宋体"/>
      <w:bCs/>
      <w:color w:val="000000"/>
      <w:sz w:val="28"/>
      <w:szCs w:val="21"/>
      <w:lang w:val="en-US" w:eastAsia="zh-CN" w:bidi="ar-SA"/>
    </w:rPr>
  </w:style>
  <w:style w:type="character" w:customStyle="1" w:styleId="128">
    <w:name w:val="标题 1 Char"/>
    <w:link w:val="3"/>
    <w:qFormat/>
    <w:uiPriority w:val="0"/>
    <w:rPr>
      <w:rFonts w:ascii="宋体" w:hAnsi="宋体" w:eastAsia="宋体" w:cs="宋体"/>
      <w:b/>
      <w:bCs/>
      <w:color w:val="000000"/>
      <w:kern w:val="0"/>
      <w:sz w:val="28"/>
      <w:szCs w:val="10"/>
      <w:highlight w:val="none"/>
      <w:lang w:val="en-US" w:eastAsia="zh-CN" w:bidi="ar-SA"/>
    </w:rPr>
  </w:style>
  <w:style w:type="character" w:customStyle="1" w:styleId="129">
    <w:name w:val="Body Text Char1"/>
    <w:qFormat/>
    <w:uiPriority w:val="0"/>
    <w:rPr>
      <w:rFonts w:ascii="Times New Roman" w:hAnsi="Times New Roman"/>
      <w:szCs w:val="21"/>
    </w:rPr>
  </w:style>
  <w:style w:type="character" w:customStyle="1" w:styleId="130">
    <w:name w:val="文档结构图 Char"/>
    <w:qFormat/>
    <w:uiPriority w:val="0"/>
    <w:rPr>
      <w:rFonts w:ascii="宋体" w:hAnsi="宋体"/>
    </w:rPr>
  </w:style>
  <w:style w:type="character" w:customStyle="1" w:styleId="131">
    <w:name w:val="正文文本缩进 2 Char"/>
    <w:qFormat/>
    <w:uiPriority w:val="0"/>
    <w:rPr>
      <w:rFonts w:ascii="宋体" w:hAnsi="MS Sans Serif"/>
      <w:spacing w:val="12"/>
      <w:sz w:val="24"/>
    </w:rPr>
  </w:style>
  <w:style w:type="character" w:customStyle="1" w:styleId="132">
    <w:name w:val="Quote Char Char"/>
    <w:link w:val="133"/>
    <w:qFormat/>
    <w:uiPriority w:val="0"/>
    <w:rPr>
      <w:i/>
      <w:iCs/>
      <w:color w:val="000000"/>
      <w:sz w:val="24"/>
      <w:szCs w:val="24"/>
    </w:rPr>
  </w:style>
  <w:style w:type="paragraph" w:customStyle="1" w:styleId="133">
    <w:name w:val="Quote1"/>
    <w:basedOn w:val="1"/>
    <w:next w:val="1"/>
    <w:link w:val="132"/>
    <w:qFormat/>
    <w:uiPriority w:val="0"/>
    <w:rPr>
      <w:i/>
      <w:iCs/>
      <w:color w:val="000000"/>
      <w:kern w:val="0"/>
      <w:sz w:val="24"/>
    </w:rPr>
  </w:style>
  <w:style w:type="character" w:customStyle="1" w:styleId="134">
    <w:name w:val="标题 Char"/>
    <w:qFormat/>
    <w:uiPriority w:val="0"/>
    <w:rPr>
      <w:rFonts w:ascii="Cambria" w:hAnsi="Cambria"/>
      <w:b/>
      <w:bCs/>
    </w:rPr>
  </w:style>
  <w:style w:type="character" w:customStyle="1" w:styleId="135">
    <w:name w:val="Para head"/>
    <w:qFormat/>
    <w:uiPriority w:val="0"/>
    <w:rPr>
      <w:rFonts w:ascii="Arial" w:hAnsi="Arial" w:cs="Times New Roman"/>
      <w:sz w:val="20"/>
    </w:rPr>
  </w:style>
  <w:style w:type="character" w:customStyle="1" w:styleId="136">
    <w:name w:val="不明显强调1"/>
    <w:qFormat/>
    <w:uiPriority w:val="0"/>
    <w:rPr>
      <w:i/>
      <w:iCs/>
      <w:color w:val="808080"/>
    </w:rPr>
  </w:style>
  <w:style w:type="character" w:customStyle="1" w:styleId="137">
    <w:name w:val="Quote Char"/>
    <w:qFormat/>
    <w:uiPriority w:val="0"/>
    <w:rPr>
      <w:rFonts w:eastAsia="宋体"/>
      <w:i/>
      <w:iCs/>
      <w:color w:val="000000"/>
      <w:sz w:val="24"/>
      <w:szCs w:val="24"/>
      <w:lang w:bidi="ar-SA"/>
    </w:rPr>
  </w:style>
  <w:style w:type="character" w:customStyle="1" w:styleId="138">
    <w:name w:val="Char Char1"/>
    <w:qFormat/>
    <w:uiPriority w:val="0"/>
    <w:rPr>
      <w:rFonts w:ascii="Times New Roman" w:hAnsi="Times New Roman" w:eastAsia="仿宋_GB2312"/>
      <w:spacing w:val="-20"/>
      <w:kern w:val="2"/>
      <w:sz w:val="21"/>
      <w:szCs w:val="24"/>
    </w:rPr>
  </w:style>
  <w:style w:type="character" w:customStyle="1" w:styleId="139">
    <w:name w:val="Char Char3"/>
    <w:qFormat/>
    <w:uiPriority w:val="0"/>
    <w:rPr>
      <w:rFonts w:ascii="Cambria" w:hAnsi="Cambria" w:cs="Times New Roman"/>
      <w:b/>
      <w:bCs/>
      <w:kern w:val="2"/>
      <w:sz w:val="32"/>
      <w:szCs w:val="32"/>
    </w:rPr>
  </w:style>
  <w:style w:type="character" w:customStyle="1" w:styleId="140">
    <w:name w:val="页眉 Char"/>
    <w:link w:val="32"/>
    <w:qFormat/>
    <w:uiPriority w:val="0"/>
    <w:rPr>
      <w:sz w:val="18"/>
      <w:szCs w:val="18"/>
    </w:rPr>
  </w:style>
  <w:style w:type="character" w:customStyle="1" w:styleId="141">
    <w:name w:val="Title Char"/>
    <w:qFormat/>
    <w:locked/>
    <w:uiPriority w:val="0"/>
    <w:rPr>
      <w:rFonts w:ascii="Cambria" w:hAnsi="Cambria" w:cs="Times New Roman"/>
      <w:b/>
      <w:bCs/>
      <w:sz w:val="32"/>
      <w:szCs w:val="32"/>
    </w:rPr>
  </w:style>
  <w:style w:type="character" w:customStyle="1" w:styleId="142">
    <w:name w:val="Char Char71"/>
    <w:qFormat/>
    <w:uiPriority w:val="0"/>
    <w:rPr>
      <w:rFonts w:ascii="宋体"/>
      <w:kern w:val="2"/>
      <w:sz w:val="24"/>
    </w:rPr>
  </w:style>
  <w:style w:type="character" w:customStyle="1" w:styleId="143">
    <w:name w:val="正文文本缩进 3 Char"/>
    <w:qFormat/>
    <w:uiPriority w:val="0"/>
    <w:rPr>
      <w:rFonts w:ascii="宋体" w:hAnsi="宋体"/>
    </w:rPr>
  </w:style>
  <w:style w:type="character" w:customStyle="1" w:styleId="144">
    <w:name w:val="Char Char21"/>
    <w:qFormat/>
    <w:uiPriority w:val="0"/>
    <w:rPr>
      <w:kern w:val="2"/>
      <w:sz w:val="18"/>
      <w:szCs w:val="18"/>
    </w:rPr>
  </w:style>
  <w:style w:type="character" w:customStyle="1" w:styleId="145">
    <w:name w:val="手改 Char Char"/>
    <w:qFormat/>
    <w:uiPriority w:val="0"/>
    <w:rPr>
      <w:kern w:val="2"/>
      <w:sz w:val="21"/>
      <w:szCs w:val="24"/>
    </w:rPr>
  </w:style>
  <w:style w:type="character" w:customStyle="1" w:styleId="146">
    <w:name w:val="style61"/>
    <w:qFormat/>
    <w:uiPriority w:val="0"/>
    <w:rPr>
      <w:color w:val="FF0000"/>
    </w:rPr>
  </w:style>
  <w:style w:type="character" w:customStyle="1" w:styleId="147">
    <w:name w:val="h Char"/>
    <w:qFormat/>
    <w:uiPriority w:val="0"/>
    <w:rPr>
      <w:rFonts w:ascii="Bodoni MT" w:hAnsi="Bodoni MT" w:eastAsia="宋体"/>
      <w:kern w:val="2"/>
      <w:sz w:val="18"/>
      <w:szCs w:val="18"/>
      <w:lang w:val="en-US" w:eastAsia="zh-CN" w:bidi="ar-SA"/>
    </w:rPr>
  </w:style>
  <w:style w:type="character" w:customStyle="1" w:styleId="148">
    <w:name w:val="正文文本缩进 Char"/>
    <w:link w:val="19"/>
    <w:qFormat/>
    <w:uiPriority w:val="0"/>
    <w:rPr>
      <w:kern w:val="2"/>
      <w:sz w:val="21"/>
      <w:szCs w:val="24"/>
    </w:rPr>
  </w:style>
  <w:style w:type="character" w:customStyle="1" w:styleId="149">
    <w:name w:val="正文首行缩进 Char"/>
    <w:qFormat/>
    <w:uiPriority w:val="0"/>
    <w:rPr>
      <w:rFonts w:ascii="宋体" w:hAnsi="宋体" w:eastAsia="仿宋_GB2312"/>
      <w:spacing w:val="-20"/>
      <w:kern w:val="2"/>
      <w:sz w:val="21"/>
      <w:szCs w:val="24"/>
    </w:rPr>
  </w:style>
  <w:style w:type="character" w:customStyle="1" w:styleId="150">
    <w:name w:val="引用 Char1"/>
    <w:qFormat/>
    <w:uiPriority w:val="0"/>
    <w:rPr>
      <w:i/>
      <w:iCs/>
      <w:color w:val="000000"/>
      <w:kern w:val="2"/>
      <w:sz w:val="21"/>
      <w:szCs w:val="24"/>
    </w:rPr>
  </w:style>
  <w:style w:type="paragraph" w:styleId="151">
    <w:name w:val="Quote"/>
    <w:basedOn w:val="1"/>
    <w:next w:val="1"/>
    <w:link w:val="239"/>
    <w:qFormat/>
    <w:uiPriority w:val="0"/>
    <w:rPr>
      <w:i/>
      <w:iCs/>
      <w:color w:val="000000"/>
    </w:rPr>
  </w:style>
  <w:style w:type="character" w:customStyle="1" w:styleId="152">
    <w:name w:val="ҳŻ"/>
    <w:link w:val="153"/>
    <w:qFormat/>
    <w:uiPriority w:val="0"/>
    <w:rPr>
      <w:rFonts w:ascii="Arial" w:hAnsi="Arial" w:cs="Arial"/>
      <w:sz w:val="32"/>
      <w:szCs w:val="32"/>
    </w:rPr>
  </w:style>
  <w:style w:type="paragraph" w:customStyle="1" w:styleId="153">
    <w:name w:val="ҳŠChar1"/>
    <w:basedOn w:val="1"/>
    <w:link w:val="152"/>
    <w:qFormat/>
    <w:uiPriority w:val="0"/>
    <w:pPr>
      <w:keepNext/>
      <w:widowControl/>
      <w:spacing w:after="120" w:line="400" w:lineRule="atLeast"/>
      <w:jc w:val="center"/>
    </w:pPr>
    <w:rPr>
      <w:rFonts w:ascii="Arial" w:hAnsi="Arial" w:cs="Arial"/>
      <w:kern w:val="0"/>
      <w:sz w:val="32"/>
      <w:szCs w:val="32"/>
    </w:rPr>
  </w:style>
  <w:style w:type="character" w:customStyle="1" w:styleId="154">
    <w:name w:val="标题 1 Char Char"/>
    <w:qFormat/>
    <w:uiPriority w:val="0"/>
    <w:rPr>
      <w:rFonts w:eastAsia="黑体"/>
      <w:b/>
      <w:kern w:val="2"/>
      <w:sz w:val="28"/>
      <w:lang w:val="en-US" w:eastAsia="zh-CN" w:bidi="ar-SA"/>
    </w:rPr>
  </w:style>
  <w:style w:type="character" w:customStyle="1" w:styleId="155">
    <w:name w:val="hidden1"/>
    <w:qFormat/>
    <w:uiPriority w:val="0"/>
    <w:rPr>
      <w:vanish/>
    </w:rPr>
  </w:style>
  <w:style w:type="character" w:customStyle="1" w:styleId="156">
    <w:name w:val="Balloon Text Char1"/>
    <w:qFormat/>
    <w:uiPriority w:val="0"/>
    <w:rPr>
      <w:rFonts w:ascii="Times New Roman" w:hAnsi="Times New Roman"/>
      <w:sz w:val="16"/>
      <w:szCs w:val="0"/>
    </w:rPr>
  </w:style>
  <w:style w:type="character" w:customStyle="1" w:styleId="157">
    <w:name w:val="正文文本 2 Char"/>
    <w:qFormat/>
    <w:uiPriority w:val="0"/>
    <w:rPr>
      <w:rFonts w:ascii="宋体" w:hAnsi="宋体"/>
    </w:rPr>
  </w:style>
  <w:style w:type="character" w:customStyle="1" w:styleId="158">
    <w:name w:val="msonormal"/>
    <w:basedOn w:val="51"/>
    <w:qFormat/>
    <w:uiPriority w:val="0"/>
  </w:style>
  <w:style w:type="character" w:customStyle="1" w:styleId="159">
    <w:name w:val="明显强调1"/>
    <w:qFormat/>
    <w:uiPriority w:val="0"/>
    <w:rPr>
      <w:rFonts w:eastAsia="仿宋_GB2312"/>
      <w:bCs/>
      <w:iCs/>
      <w:color w:val="auto"/>
      <w:sz w:val="32"/>
    </w:rPr>
  </w:style>
  <w:style w:type="paragraph" w:customStyle="1" w:styleId="160">
    <w:name w:val="font11"/>
    <w:basedOn w:val="1"/>
    <w:qFormat/>
    <w:uiPriority w:val="0"/>
    <w:pPr>
      <w:widowControl/>
      <w:spacing w:before="100" w:beforeAutospacing="1" w:after="100" w:afterAutospacing="1"/>
      <w:jc w:val="left"/>
    </w:pPr>
    <w:rPr>
      <w:rFonts w:ascii="Calibri" w:hAnsi="Calibri" w:eastAsia="Arial Unicode MS"/>
      <w:color w:val="FF0000"/>
      <w:kern w:val="0"/>
      <w:sz w:val="24"/>
    </w:rPr>
  </w:style>
  <w:style w:type="paragraph" w:customStyle="1" w:styleId="1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62">
    <w:name w:val="xl33"/>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163">
    <w:name w:val="xl82"/>
    <w:basedOn w:val="1"/>
    <w:qFormat/>
    <w:uiPriority w:val="0"/>
    <w:pPr>
      <w:widowControl/>
      <w:pBdr>
        <w:top w:val="single" w:color="000000" w:sz="4" w:space="0"/>
        <w:lef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8"/>
      <w:szCs w:val="28"/>
    </w:rPr>
  </w:style>
  <w:style w:type="paragraph" w:customStyle="1" w:styleId="164">
    <w:name w:val="Char1 Char Char Char"/>
    <w:basedOn w:val="1"/>
    <w:qFormat/>
    <w:uiPriority w:val="0"/>
    <w:rPr>
      <w:rFonts w:ascii="Tahoma" w:hAnsi="Tahoma"/>
      <w:sz w:val="24"/>
      <w:szCs w:val="20"/>
    </w:rPr>
  </w:style>
  <w:style w:type="paragraph" w:customStyle="1" w:styleId="165">
    <w:name w:val="Char1 Char Char Char1"/>
    <w:basedOn w:val="1"/>
    <w:qFormat/>
    <w:uiPriority w:val="0"/>
    <w:pPr>
      <w:widowControl/>
      <w:spacing w:after="160" w:line="240" w:lineRule="exact"/>
      <w:jc w:val="left"/>
    </w:pPr>
    <w:rPr>
      <w:rFonts w:ascii="Bodoni MT" w:hAnsi="Bodoni MT"/>
    </w:rPr>
  </w:style>
  <w:style w:type="paragraph" w:customStyle="1" w:styleId="166">
    <w:name w:val="样式 标题 3 + (中文) 黑体 小四 非加粗 段前: 7.8 磅 段后: 0 磅 行距: 固定值 20 磅"/>
    <w:basedOn w:val="5"/>
    <w:qFormat/>
    <w:uiPriority w:val="0"/>
    <w:pPr>
      <w:spacing w:line="400" w:lineRule="exact"/>
      <w:jc w:val="center"/>
    </w:pPr>
    <w:rPr>
      <w:rFonts w:ascii="Calibri" w:hAnsi="Calibri" w:eastAsia="黑体" w:cs="宋体"/>
      <w:b w:val="0"/>
      <w:bCs w:val="0"/>
      <w:sz w:val="24"/>
      <w:szCs w:val="20"/>
    </w:rPr>
  </w:style>
  <w:style w:type="paragraph" w:customStyle="1" w:styleId="167">
    <w:name w:val="样式4"/>
    <w:basedOn w:val="168"/>
    <w:qFormat/>
    <w:uiPriority w:val="0"/>
    <w:pPr>
      <w:ind w:firstLine="562"/>
    </w:pPr>
    <w:rPr>
      <w:bCs/>
    </w:rPr>
  </w:style>
  <w:style w:type="paragraph" w:customStyle="1" w:styleId="168">
    <w:name w:val="样式3"/>
    <w:basedOn w:val="1"/>
    <w:qFormat/>
    <w:uiPriority w:val="0"/>
    <w:pPr>
      <w:ind w:firstLine="560" w:firstLineChars="200"/>
    </w:pPr>
    <w:rPr>
      <w:rFonts w:ascii="黑体" w:hAnsi="Calibri" w:eastAsia="黑体"/>
      <w:b/>
      <w:sz w:val="28"/>
    </w:rPr>
  </w:style>
  <w:style w:type="character" w:customStyle="1" w:styleId="169">
    <w:name w:val="尾注文本 Char2"/>
    <w:basedOn w:val="51"/>
    <w:link w:val="29"/>
    <w:qFormat/>
    <w:uiPriority w:val="0"/>
    <w:rPr>
      <w:kern w:val="2"/>
      <w:sz w:val="21"/>
      <w:szCs w:val="24"/>
    </w:rPr>
  </w:style>
  <w:style w:type="paragraph" w:customStyle="1" w:styleId="170">
    <w:name w:val="Char"/>
    <w:basedOn w:val="1"/>
    <w:qFormat/>
    <w:uiPriority w:val="0"/>
    <w:rPr>
      <w:rFonts w:ascii="仿宋_GB2312" w:hAnsi="Calibri" w:eastAsia="仿宋_GB2312"/>
      <w:b/>
      <w:sz w:val="32"/>
      <w:szCs w:val="32"/>
    </w:rPr>
  </w:style>
  <w:style w:type="paragraph" w:customStyle="1" w:styleId="171">
    <w:name w:val="xl8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172">
    <w:name w:val="框图文字"/>
    <w:basedOn w:val="1"/>
    <w:qFormat/>
    <w:uiPriority w:val="0"/>
    <w:pPr>
      <w:jc w:val="center"/>
    </w:pPr>
    <w:rPr>
      <w:rFonts w:ascii="Calibri" w:hAnsi="Calibri"/>
      <w:spacing w:val="-4"/>
      <w:szCs w:val="21"/>
    </w:rPr>
  </w:style>
  <w:style w:type="paragraph" w:customStyle="1" w:styleId="17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174">
    <w:name w:val="xl29"/>
    <w:basedOn w:val="1"/>
    <w:qFormat/>
    <w:uiPriority w:val="0"/>
    <w:pPr>
      <w:widowControl/>
      <w:spacing w:before="100" w:beforeAutospacing="1" w:after="100" w:afterAutospacing="1"/>
      <w:jc w:val="center"/>
    </w:pPr>
    <w:rPr>
      <w:rFonts w:ascii="Arial Unicode MS" w:hAnsi="Arial Unicode MS" w:eastAsia="Arial Unicode MS" w:cs="Arial Unicode MS"/>
      <w:kern w:val="0"/>
      <w:szCs w:val="21"/>
    </w:rPr>
  </w:style>
  <w:style w:type="paragraph" w:customStyle="1" w:styleId="175">
    <w:name w:val="修订1"/>
    <w:qFormat/>
    <w:uiPriority w:val="0"/>
    <w:rPr>
      <w:rFonts w:ascii="Calibri" w:hAnsi="Calibri" w:eastAsia="宋体" w:cs="Times New Roman"/>
      <w:kern w:val="2"/>
      <w:sz w:val="21"/>
      <w:szCs w:val="21"/>
      <w:lang w:val="en-US" w:eastAsia="zh-CN" w:bidi="ar-SA"/>
    </w:rPr>
  </w:style>
  <w:style w:type="paragraph" w:customStyle="1" w:styleId="176">
    <w:name w:val="xl87"/>
    <w:basedOn w:val="1"/>
    <w:qFormat/>
    <w:uiPriority w:val="0"/>
    <w:pPr>
      <w:widowControl/>
      <w:pBdr>
        <w:top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177">
    <w:name w:val="表格"/>
    <w:basedOn w:val="1"/>
    <w:qFormat/>
    <w:uiPriority w:val="0"/>
    <w:pPr>
      <w:jc w:val="center"/>
      <w:textAlignment w:val="center"/>
    </w:pPr>
    <w:rPr>
      <w:rFonts w:ascii="华文细黑" w:hAnsi="华文细黑"/>
      <w:kern w:val="0"/>
      <w:szCs w:val="20"/>
    </w:rPr>
  </w:style>
  <w:style w:type="character" w:customStyle="1" w:styleId="178">
    <w:name w:val="HTML 预设格式 Char"/>
    <w:basedOn w:val="51"/>
    <w:link w:val="42"/>
    <w:qFormat/>
    <w:uiPriority w:val="0"/>
    <w:rPr>
      <w:rFonts w:ascii="宋体" w:hAnsi="宋体" w:cs="宋体"/>
    </w:rPr>
  </w:style>
  <w:style w:type="paragraph" w:customStyle="1" w:styleId="179">
    <w:name w:val="标题3"/>
    <w:basedOn w:val="1"/>
    <w:qFormat/>
    <w:uiPriority w:val="0"/>
    <w:pPr>
      <w:widowControl/>
      <w:spacing w:line="360" w:lineRule="auto"/>
      <w:ind w:firstLine="482" w:firstLineChars="200"/>
    </w:pPr>
    <w:rPr>
      <w:rFonts w:ascii="宋体" w:hAnsi="宋体"/>
      <w:b/>
      <w:kern w:val="0"/>
      <w:sz w:val="24"/>
    </w:rPr>
  </w:style>
  <w:style w:type="character" w:customStyle="1" w:styleId="180">
    <w:name w:val="正文文本 2 Char1"/>
    <w:basedOn w:val="51"/>
    <w:link w:val="41"/>
    <w:qFormat/>
    <w:uiPriority w:val="0"/>
    <w:rPr>
      <w:kern w:val="2"/>
      <w:sz w:val="21"/>
      <w:szCs w:val="24"/>
    </w:rPr>
  </w:style>
  <w:style w:type="character" w:customStyle="1" w:styleId="181">
    <w:name w:val="正文文本 Char1"/>
    <w:basedOn w:val="51"/>
    <w:link w:val="2"/>
    <w:qFormat/>
    <w:uiPriority w:val="0"/>
    <w:rPr>
      <w:kern w:val="2"/>
      <w:sz w:val="21"/>
      <w:szCs w:val="24"/>
    </w:rPr>
  </w:style>
  <w:style w:type="paragraph" w:customStyle="1" w:styleId="18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character" w:customStyle="1" w:styleId="183">
    <w:name w:val="副标题 Char1"/>
    <w:basedOn w:val="51"/>
    <w:link w:val="34"/>
    <w:qFormat/>
    <w:uiPriority w:val="0"/>
    <w:rPr>
      <w:rFonts w:asciiTheme="majorHAnsi" w:hAnsiTheme="majorHAnsi" w:cstheme="majorBidi"/>
      <w:b/>
      <w:bCs/>
      <w:kern w:val="28"/>
      <w:sz w:val="32"/>
      <w:szCs w:val="32"/>
    </w:rPr>
  </w:style>
  <w:style w:type="paragraph" w:customStyle="1" w:styleId="184">
    <w:name w:val="系统正文"/>
    <w:basedOn w:val="1"/>
    <w:qFormat/>
    <w:uiPriority w:val="0"/>
    <w:pPr>
      <w:spacing w:line="420" w:lineRule="exact"/>
      <w:ind w:firstLine="420" w:firstLineChars="200"/>
    </w:pPr>
    <w:rPr>
      <w:rFonts w:ascii="宋体" w:hAnsi="宋体"/>
    </w:rPr>
  </w:style>
  <w:style w:type="paragraph" w:customStyle="1" w:styleId="185">
    <w:name w:val="Char Char Char Char Char Char"/>
    <w:basedOn w:val="1"/>
    <w:qFormat/>
    <w:uiPriority w:val="0"/>
    <w:pPr>
      <w:widowControl/>
      <w:spacing w:after="160" w:line="240" w:lineRule="exact"/>
      <w:jc w:val="left"/>
    </w:pPr>
    <w:rPr>
      <w:rFonts w:ascii="Arial" w:hAnsi="Arial"/>
      <w:kern w:val="0"/>
      <w:sz w:val="22"/>
      <w:szCs w:val="22"/>
      <w:lang w:eastAsia="en-US"/>
    </w:rPr>
  </w:style>
  <w:style w:type="paragraph" w:customStyle="1" w:styleId="186">
    <w:name w:val="条款节部分"/>
    <w:basedOn w:val="1"/>
    <w:qFormat/>
    <w:uiPriority w:val="0"/>
    <w:pPr>
      <w:tabs>
        <w:tab w:val="left" w:pos="432"/>
        <w:tab w:val="left" w:pos="2850"/>
      </w:tabs>
      <w:ind w:left="432" w:hanging="432"/>
    </w:pPr>
    <w:rPr>
      <w:rFonts w:ascii="Calibri" w:hAnsi="Calibri" w:eastAsia="仿宋_GB2312"/>
      <w:sz w:val="32"/>
      <w:szCs w:val="32"/>
    </w:rPr>
  </w:style>
  <w:style w:type="paragraph" w:customStyle="1" w:styleId="1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88">
    <w:name w:val="xl4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8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191">
    <w:name w:val="xl8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8"/>
      <w:szCs w:val="28"/>
    </w:rPr>
  </w:style>
  <w:style w:type="paragraph" w:customStyle="1" w:styleId="19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character" w:customStyle="1" w:styleId="193">
    <w:name w:val="标题 Char1"/>
    <w:basedOn w:val="51"/>
    <w:link w:val="45"/>
    <w:qFormat/>
    <w:uiPriority w:val="0"/>
    <w:rPr>
      <w:rFonts w:asciiTheme="majorHAnsi" w:hAnsiTheme="majorHAnsi" w:cstheme="majorBidi"/>
      <w:b/>
      <w:bCs/>
      <w:kern w:val="2"/>
      <w:sz w:val="32"/>
      <w:szCs w:val="32"/>
    </w:rPr>
  </w:style>
  <w:style w:type="paragraph" w:customStyle="1" w:styleId="194">
    <w:name w:val="Char1 Char Char Char2"/>
    <w:basedOn w:val="1"/>
    <w:qFormat/>
    <w:uiPriority w:val="0"/>
    <w:rPr>
      <w:rFonts w:ascii="Tahoma" w:hAnsi="Tahoma"/>
      <w:sz w:val="24"/>
      <w:szCs w:val="20"/>
    </w:rPr>
  </w:style>
  <w:style w:type="paragraph" w:customStyle="1" w:styleId="195">
    <w:name w:val="Default Paragraph Font Para Char"/>
    <w:basedOn w:val="1"/>
    <w:qFormat/>
    <w:uiPriority w:val="0"/>
    <w:pPr>
      <w:widowControl/>
      <w:spacing w:after="160" w:line="240" w:lineRule="exact"/>
      <w:jc w:val="left"/>
    </w:pPr>
    <w:rPr>
      <w:rFonts w:ascii="Calibri" w:hAnsi="Calibri"/>
    </w:rPr>
  </w:style>
  <w:style w:type="paragraph" w:customStyle="1" w:styleId="19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97">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198">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99">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00">
    <w:name w:val="font7"/>
    <w:basedOn w:val="1"/>
    <w:qFormat/>
    <w:uiPriority w:val="0"/>
    <w:pPr>
      <w:widowControl/>
      <w:spacing w:before="100" w:beforeAutospacing="1" w:after="100" w:afterAutospacing="1"/>
      <w:jc w:val="left"/>
    </w:pPr>
    <w:rPr>
      <w:rFonts w:ascii="Calibri" w:hAnsi="Calibri" w:eastAsia="Arial Unicode MS"/>
      <w:kern w:val="0"/>
      <w:sz w:val="22"/>
      <w:szCs w:val="22"/>
    </w:rPr>
  </w:style>
  <w:style w:type="paragraph" w:customStyle="1" w:styleId="201">
    <w:name w:val="style1"/>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202">
    <w:name w:val="p0"/>
    <w:basedOn w:val="1"/>
    <w:qFormat/>
    <w:uiPriority w:val="0"/>
    <w:pPr>
      <w:widowControl/>
    </w:pPr>
    <w:rPr>
      <w:rFonts w:ascii="Calibri" w:hAnsi="Calibri"/>
      <w:kern w:val="0"/>
      <w:szCs w:val="20"/>
    </w:rPr>
  </w:style>
  <w:style w:type="paragraph" w:customStyle="1" w:styleId="203">
    <w:name w:val="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20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205">
    <w:name w:val="Char Char Char Char"/>
    <w:basedOn w:val="1"/>
    <w:qFormat/>
    <w:uiPriority w:val="0"/>
    <w:rPr>
      <w:rFonts w:ascii="Tahoma" w:hAnsi="Tahoma" w:cs="Tahoma"/>
      <w:sz w:val="24"/>
    </w:rPr>
  </w:style>
  <w:style w:type="paragraph" w:customStyle="1" w:styleId="206">
    <w:name w:val="xl36"/>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207">
    <w:name w:val="样式 标题 2 + Times New Roman 四号 非加粗 段前: 5 磅 段后: 0 磅 行距: 固定值 20..."/>
    <w:basedOn w:val="4"/>
    <w:qFormat/>
    <w:uiPriority w:val="0"/>
    <w:pPr>
      <w:spacing w:before="100" w:after="0" w:line="400" w:lineRule="exact"/>
      <w:jc w:val="center"/>
    </w:pPr>
    <w:rPr>
      <w:rFonts w:ascii="Times New Roman" w:hAnsi="Times New Roman" w:eastAsia="宋体" w:cs="宋体"/>
      <w:b w:val="0"/>
      <w:bCs w:val="0"/>
      <w:kern w:val="2"/>
      <w:sz w:val="28"/>
      <w:szCs w:val="20"/>
    </w:rPr>
  </w:style>
  <w:style w:type="paragraph" w:customStyle="1" w:styleId="208">
    <w:name w:val="xl34"/>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2"/>
      <w:szCs w:val="22"/>
    </w:rPr>
  </w:style>
  <w:style w:type="character" w:customStyle="1" w:styleId="209">
    <w:name w:val="正文文本缩进 3 Char1"/>
    <w:basedOn w:val="51"/>
    <w:link w:val="37"/>
    <w:qFormat/>
    <w:uiPriority w:val="0"/>
    <w:rPr>
      <w:kern w:val="2"/>
      <w:sz w:val="16"/>
      <w:szCs w:val="16"/>
    </w:rPr>
  </w:style>
  <w:style w:type="character" w:customStyle="1" w:styleId="210">
    <w:name w:val="z-窗体底端 Char1"/>
    <w:basedOn w:val="51"/>
    <w:link w:val="101"/>
    <w:semiHidden/>
    <w:qFormat/>
    <w:uiPriority w:val="99"/>
    <w:rPr>
      <w:rFonts w:ascii="Arial" w:hAnsi="Arial" w:cs="Arial"/>
      <w:vanish/>
      <w:kern w:val="2"/>
      <w:sz w:val="16"/>
      <w:szCs w:val="16"/>
    </w:rPr>
  </w:style>
  <w:style w:type="paragraph" w:customStyle="1" w:styleId="211">
    <w:name w:val="font10"/>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212">
    <w:name w:val="表头"/>
    <w:basedOn w:val="1"/>
    <w:qFormat/>
    <w:uiPriority w:val="0"/>
    <w:pPr>
      <w:spacing w:line="360" w:lineRule="auto"/>
      <w:jc w:val="center"/>
    </w:pPr>
    <w:rPr>
      <w:rFonts w:ascii="黑体" w:hAnsi="Calibri" w:eastAsia="黑体"/>
      <w:kern w:val="0"/>
      <w:sz w:val="24"/>
      <w:szCs w:val="20"/>
    </w:rPr>
  </w:style>
  <w:style w:type="paragraph" w:customStyle="1" w:styleId="213">
    <w:name w:val="List Paragraph1"/>
    <w:basedOn w:val="1"/>
    <w:qFormat/>
    <w:uiPriority w:val="0"/>
    <w:pPr>
      <w:ind w:firstLine="200" w:firstLineChars="200"/>
    </w:pPr>
    <w:rPr>
      <w:rFonts w:ascii="Calibri" w:hAnsi="Calibri" w:cs="Calibri"/>
      <w:szCs w:val="21"/>
    </w:rPr>
  </w:style>
  <w:style w:type="character" w:customStyle="1" w:styleId="214">
    <w:name w:val="日期 Char1"/>
    <w:basedOn w:val="51"/>
    <w:link w:val="27"/>
    <w:qFormat/>
    <w:uiPriority w:val="0"/>
    <w:rPr>
      <w:kern w:val="2"/>
      <w:sz w:val="21"/>
      <w:szCs w:val="24"/>
    </w:rPr>
  </w:style>
  <w:style w:type="paragraph" w:customStyle="1" w:styleId="215">
    <w:name w:val="样式 (西文) 黑体 (中文) 黑体 四号 加粗 首行缩进:  2 字符"/>
    <w:basedOn w:val="1"/>
    <w:next w:val="41"/>
    <w:qFormat/>
    <w:uiPriority w:val="0"/>
    <w:pPr>
      <w:ind w:firstLine="562" w:firstLineChars="200"/>
    </w:pPr>
    <w:rPr>
      <w:rFonts w:ascii="黑体" w:hAnsi="Calibri" w:eastAsia="黑体"/>
      <w:b/>
      <w:bCs/>
      <w:sz w:val="28"/>
      <w:szCs w:val="20"/>
    </w:rPr>
  </w:style>
  <w:style w:type="paragraph" w:customStyle="1" w:styleId="21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217">
    <w:name w:val="xl27"/>
    <w:basedOn w:val="1"/>
    <w:qFormat/>
    <w:uiPriority w:val="0"/>
    <w:pPr>
      <w:widowControl/>
      <w:spacing w:before="100" w:beforeAutospacing="1" w:after="100" w:afterAutospacing="1"/>
      <w:jc w:val="center"/>
    </w:pPr>
    <w:rPr>
      <w:rFonts w:ascii="Arial Unicode MS" w:hAnsi="Arial Unicode MS" w:eastAsia="Arial Unicode MS" w:cs="Arial Unicode MS"/>
      <w:kern w:val="0"/>
      <w:sz w:val="22"/>
      <w:szCs w:val="22"/>
    </w:rPr>
  </w:style>
  <w:style w:type="paragraph" w:customStyle="1" w:styleId="218">
    <w:name w:val="Char Char Char Char Char Char Char Char Char Char Char1 Char Char Char Char Char Char Char Char Char Char Char Char"/>
    <w:basedOn w:val="1"/>
    <w:qFormat/>
    <w:uiPriority w:val="0"/>
    <w:rPr>
      <w:rFonts w:ascii="Calibri" w:hAnsi="Calibri"/>
    </w:rPr>
  </w:style>
  <w:style w:type="paragraph" w:customStyle="1" w:styleId="219">
    <w:name w:val="xl25"/>
    <w:basedOn w:val="1"/>
    <w:qFormat/>
    <w:uiPriority w:val="0"/>
    <w:pPr>
      <w:widowControl/>
      <w:spacing w:before="100" w:beforeAutospacing="1" w:after="100" w:afterAutospacing="1"/>
      <w:jc w:val="left"/>
    </w:pPr>
    <w:rPr>
      <w:rFonts w:ascii="Arial Unicode MS" w:hAnsi="Arial Unicode MS" w:eastAsia="Arial Unicode MS" w:cs="Arial Unicode MS"/>
      <w:kern w:val="0"/>
      <w:sz w:val="22"/>
      <w:szCs w:val="22"/>
    </w:rPr>
  </w:style>
  <w:style w:type="character" w:customStyle="1" w:styleId="220">
    <w:name w:val="z-窗体顶端 Char1"/>
    <w:basedOn w:val="51"/>
    <w:link w:val="114"/>
    <w:semiHidden/>
    <w:qFormat/>
    <w:uiPriority w:val="99"/>
    <w:rPr>
      <w:rFonts w:ascii="Arial" w:hAnsi="Arial" w:cs="Arial"/>
      <w:vanish/>
      <w:kern w:val="2"/>
      <w:sz w:val="16"/>
      <w:szCs w:val="16"/>
    </w:rPr>
  </w:style>
  <w:style w:type="paragraph" w:customStyle="1" w:styleId="221">
    <w:name w:val="附件 2"/>
    <w:basedOn w:val="43"/>
    <w:qFormat/>
    <w:uiPriority w:val="0"/>
    <w:pPr>
      <w:spacing w:beforeAutospacing="0" w:afterAutospacing="0" w:line="300" w:lineRule="auto"/>
      <w:jc w:val="both"/>
    </w:pPr>
    <w:rPr>
      <w:rFonts w:cs="Times New Roman"/>
      <w:color w:val="000000"/>
      <w:sz w:val="21"/>
      <w:szCs w:val="18"/>
    </w:rPr>
  </w:style>
  <w:style w:type="paragraph" w:customStyle="1" w:styleId="222">
    <w:name w:val="样式2"/>
    <w:basedOn w:val="33"/>
    <w:qFormat/>
    <w:uiPriority w:val="0"/>
    <w:pPr>
      <w:tabs>
        <w:tab w:val="left" w:pos="1050"/>
        <w:tab w:val="left" w:pos="1260"/>
        <w:tab w:val="right" w:pos="9061"/>
      </w:tabs>
      <w:spacing w:before="120" w:after="120" w:line="240" w:lineRule="auto"/>
      <w:jc w:val="both"/>
    </w:pPr>
    <w:rPr>
      <w:rFonts w:ascii="黑体" w:hAnsi="宋体" w:cs="Times New Roman"/>
      <w:b/>
      <w:bCs/>
      <w:caps/>
      <w:sz w:val="24"/>
      <w:szCs w:val="28"/>
    </w:rPr>
  </w:style>
  <w:style w:type="character" w:customStyle="1" w:styleId="223">
    <w:name w:val="正文文本缩进 2 Char1"/>
    <w:basedOn w:val="51"/>
    <w:link w:val="28"/>
    <w:qFormat/>
    <w:uiPriority w:val="0"/>
    <w:rPr>
      <w:kern w:val="2"/>
      <w:sz w:val="21"/>
      <w:szCs w:val="24"/>
    </w:rPr>
  </w:style>
  <w:style w:type="paragraph" w:customStyle="1" w:styleId="224">
    <w:name w:val="表格标题"/>
    <w:basedOn w:val="1"/>
    <w:qFormat/>
    <w:uiPriority w:val="0"/>
    <w:pPr>
      <w:jc w:val="center"/>
    </w:pPr>
    <w:rPr>
      <w:rFonts w:ascii="Arial Narrow" w:hAnsi="Arial Narrow" w:eastAsia="楷体_GB2312"/>
      <w:snapToGrid w:val="0"/>
      <w:kern w:val="0"/>
      <w:szCs w:val="20"/>
    </w:rPr>
  </w:style>
  <w:style w:type="paragraph" w:customStyle="1" w:styleId="225">
    <w:name w:val="样式 标题 2 + 左侧:  2 字符"/>
    <w:basedOn w:val="4"/>
    <w:qFormat/>
    <w:uiPriority w:val="0"/>
    <w:pPr>
      <w:spacing w:before="380" w:after="380" w:line="415" w:lineRule="auto"/>
      <w:ind w:left="420" w:leftChars="200"/>
    </w:pPr>
    <w:rPr>
      <w:rFonts w:eastAsia="宋体"/>
      <w:kern w:val="2"/>
      <w:sz w:val="30"/>
      <w:szCs w:val="20"/>
    </w:rPr>
  </w:style>
  <w:style w:type="character" w:customStyle="1" w:styleId="226">
    <w:name w:val="脚注文本 Char"/>
    <w:basedOn w:val="51"/>
    <w:link w:val="35"/>
    <w:qFormat/>
    <w:uiPriority w:val="0"/>
    <w:rPr>
      <w:rFonts w:ascii="Calibri" w:hAnsi="Calibri"/>
      <w:kern w:val="2"/>
    </w:rPr>
  </w:style>
  <w:style w:type="paragraph" w:customStyle="1" w:styleId="227">
    <w:name w:val="样式1"/>
    <w:basedOn w:val="1"/>
    <w:next w:val="6"/>
    <w:qFormat/>
    <w:uiPriority w:val="0"/>
    <w:pPr>
      <w:spacing w:line="360" w:lineRule="auto"/>
      <w:ind w:firstLine="420" w:firstLineChars="200"/>
    </w:pPr>
    <w:rPr>
      <w:rFonts w:ascii="宋体" w:hAnsi="宋体"/>
      <w:szCs w:val="21"/>
    </w:rPr>
  </w:style>
  <w:style w:type="paragraph" w:customStyle="1" w:styleId="228">
    <w:name w:val="Revision1"/>
    <w:qFormat/>
    <w:uiPriority w:val="0"/>
    <w:rPr>
      <w:rFonts w:ascii="Bodoni MT" w:hAnsi="Bodoni MT" w:eastAsia="宋体" w:cs="Times New Roman"/>
      <w:kern w:val="2"/>
      <w:sz w:val="21"/>
      <w:szCs w:val="24"/>
      <w:lang w:val="en-US" w:eastAsia="zh-CN" w:bidi="ar-SA"/>
    </w:rPr>
  </w:style>
  <w:style w:type="paragraph" w:customStyle="1" w:styleId="229">
    <w:name w:val="样式 样式 标题 2 + Times New Roman 四号 非加粗 段前: 5 磅 段后: 0 磅 行距: 固定值 20....."/>
    <w:basedOn w:val="207"/>
    <w:qFormat/>
    <w:uiPriority w:val="0"/>
    <w:pPr>
      <w:spacing w:before="0" w:after="234"/>
      <w:jc w:val="both"/>
    </w:pPr>
    <w:rPr>
      <w:rFonts w:eastAsia="黑体"/>
      <w:b/>
      <w:bCs/>
    </w:rPr>
  </w:style>
  <w:style w:type="paragraph" w:customStyle="1" w:styleId="230">
    <w:name w:val="xl26"/>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231">
    <w:name w:val="正文1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32">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23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34">
    <w:name w:val="Char Char Char Char Char Char Char"/>
    <w:basedOn w:val="1"/>
    <w:qFormat/>
    <w:uiPriority w:val="0"/>
    <w:rPr>
      <w:rFonts w:ascii="Tahoma" w:hAnsi="Tahoma"/>
      <w:sz w:val="24"/>
      <w:szCs w:val="20"/>
    </w:rPr>
  </w:style>
  <w:style w:type="character" w:customStyle="1" w:styleId="235">
    <w:name w:val="批注文字 Char1"/>
    <w:basedOn w:val="51"/>
    <w:link w:val="17"/>
    <w:qFormat/>
    <w:uiPriority w:val="0"/>
    <w:rPr>
      <w:kern w:val="2"/>
      <w:sz w:val="21"/>
      <w:szCs w:val="24"/>
    </w:rPr>
  </w:style>
  <w:style w:type="character" w:customStyle="1" w:styleId="236">
    <w:name w:val="批注主题 Char1"/>
    <w:basedOn w:val="235"/>
    <w:link w:val="46"/>
    <w:qFormat/>
    <w:uiPriority w:val="0"/>
    <w:rPr>
      <w:kern w:val="2"/>
      <w:sz w:val="21"/>
      <w:szCs w:val="24"/>
    </w:rPr>
  </w:style>
  <w:style w:type="paragraph" w:customStyle="1" w:styleId="237">
    <w:name w:val="TOC 标题1"/>
    <w:basedOn w:val="3"/>
    <w:next w:val="1"/>
    <w:qFormat/>
    <w:uiPriority w:val="0"/>
    <w:pPr>
      <w:keepLines/>
      <w:numPr>
        <w:ilvl w:val="0"/>
        <w:numId w:val="0"/>
      </w:numPr>
      <w:tabs>
        <w:tab w:val="clear" w:pos="432"/>
      </w:tabs>
      <w:spacing w:before="480" w:line="276" w:lineRule="auto"/>
      <w:jc w:val="left"/>
      <w:outlineLvl w:val="9"/>
    </w:pPr>
    <w:rPr>
      <w:rFonts w:ascii="Cambria" w:hAnsi="Cambria" w:eastAsia="宋体" w:cs="Cambria"/>
      <w:color w:val="365F91"/>
      <w:sz w:val="28"/>
      <w:szCs w:val="28"/>
    </w:rPr>
  </w:style>
  <w:style w:type="paragraph" w:customStyle="1" w:styleId="238">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character" w:customStyle="1" w:styleId="239">
    <w:name w:val="引用 Char2"/>
    <w:basedOn w:val="51"/>
    <w:link w:val="151"/>
    <w:semiHidden/>
    <w:qFormat/>
    <w:uiPriority w:val="99"/>
    <w:rPr>
      <w:i/>
      <w:iCs/>
      <w:color w:val="000000" w:themeColor="text1"/>
      <w:kern w:val="2"/>
      <w:sz w:val="21"/>
      <w:szCs w:val="24"/>
      <w14:textFill>
        <w14:solidFill>
          <w14:schemeClr w14:val="tx1"/>
        </w14:solidFill>
      </w14:textFill>
    </w:rPr>
  </w:style>
  <w:style w:type="paragraph" w:customStyle="1" w:styleId="240">
    <w:name w:val="菲页1"/>
    <w:basedOn w:val="4"/>
    <w:qFormat/>
    <w:uiPriority w:val="0"/>
    <w:pPr>
      <w:widowControl/>
      <w:spacing w:line="416" w:lineRule="auto"/>
      <w:jc w:val="center"/>
    </w:pPr>
    <w:rPr>
      <w:rFonts w:ascii="黑体" w:hAnsi="宋体"/>
      <w:b w:val="0"/>
      <w:bCs w:val="0"/>
      <w:sz w:val="52"/>
      <w:szCs w:val="20"/>
    </w:rPr>
  </w:style>
  <w:style w:type="character" w:customStyle="1" w:styleId="241">
    <w:name w:val="文档结构图 Char1"/>
    <w:basedOn w:val="51"/>
    <w:link w:val="15"/>
    <w:qFormat/>
    <w:uiPriority w:val="0"/>
    <w:rPr>
      <w:rFonts w:ascii="宋体"/>
      <w:kern w:val="2"/>
      <w:sz w:val="18"/>
      <w:szCs w:val="18"/>
    </w:rPr>
  </w:style>
  <w:style w:type="paragraph" w:customStyle="1" w:styleId="242">
    <w:name w:val="xl31"/>
    <w:basedOn w:val="1"/>
    <w:qFormat/>
    <w:uiPriority w:val="0"/>
    <w:pPr>
      <w:widowControl/>
      <w:shd w:val="clear" w:color="auto" w:fill="FFFF00"/>
      <w:spacing w:before="100" w:beforeAutospacing="1" w:after="100" w:afterAutospacing="1"/>
      <w:jc w:val="left"/>
    </w:pPr>
    <w:rPr>
      <w:rFonts w:ascii="Arial Unicode MS" w:hAnsi="Arial Unicode MS" w:eastAsia="Arial Unicode MS" w:cs="Arial Unicode MS"/>
      <w:kern w:val="0"/>
      <w:sz w:val="24"/>
    </w:rPr>
  </w:style>
  <w:style w:type="paragraph" w:customStyle="1" w:styleId="243">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244">
    <w:name w:val="font1"/>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45">
    <w:name w:val="WPS Plain"/>
    <w:qFormat/>
    <w:uiPriority w:val="0"/>
    <w:rPr>
      <w:rFonts w:ascii="Calibri" w:hAnsi="Calibri" w:eastAsia="宋体" w:cs="Times New Roman"/>
      <w:lang w:val="en-US" w:eastAsia="zh-CN" w:bidi="ar-SA"/>
    </w:rPr>
  </w:style>
  <w:style w:type="paragraph" w:customStyle="1" w:styleId="246">
    <w:name w:val="普通(网站)11"/>
    <w:basedOn w:val="1"/>
    <w:qFormat/>
    <w:uiPriority w:val="0"/>
    <w:pPr>
      <w:widowControl/>
      <w:spacing w:before="100" w:beforeAutospacing="1" w:after="100" w:afterAutospacing="1" w:line="360" w:lineRule="auto"/>
      <w:ind w:firstLine="200" w:firstLineChars="200"/>
      <w:jc w:val="left"/>
    </w:pPr>
    <w:rPr>
      <w:rFonts w:ascii="宋体" w:hAnsi="Calibri"/>
      <w:kern w:val="0"/>
      <w:sz w:val="24"/>
    </w:rPr>
  </w:style>
  <w:style w:type="paragraph" w:customStyle="1" w:styleId="247">
    <w:name w:val="TOC Heading1"/>
    <w:basedOn w:val="3"/>
    <w:next w:val="1"/>
    <w:qFormat/>
    <w:uiPriority w:val="0"/>
    <w:pPr>
      <w:keepLines/>
      <w:numPr>
        <w:ilvl w:val="0"/>
        <w:numId w:val="0"/>
      </w:numPr>
      <w:tabs>
        <w:tab w:val="clear" w:pos="432"/>
      </w:tabs>
      <w:spacing w:before="480" w:line="276" w:lineRule="auto"/>
      <w:jc w:val="left"/>
      <w:outlineLvl w:val="9"/>
    </w:pPr>
    <w:rPr>
      <w:rFonts w:ascii="Cambria" w:hAnsi="Cambria" w:eastAsia="宋体"/>
      <w:color w:val="365F91"/>
      <w:sz w:val="28"/>
      <w:szCs w:val="28"/>
    </w:rPr>
  </w:style>
  <w:style w:type="paragraph" w:customStyle="1" w:styleId="248">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49">
    <w:name w:val="样式 标题 1 + 黑体 三号 非加粗 居中 段前: 6 磅 段后: 6 磅 行距: 固定值 20 磅"/>
    <w:basedOn w:val="3"/>
    <w:qFormat/>
    <w:uiPriority w:val="0"/>
    <w:pPr>
      <w:keepLines/>
      <w:widowControl w:val="0"/>
      <w:numPr>
        <w:ilvl w:val="0"/>
        <w:numId w:val="0"/>
      </w:numPr>
      <w:tabs>
        <w:tab w:val="clear" w:pos="432"/>
      </w:tabs>
      <w:spacing w:before="120" w:after="120" w:line="400" w:lineRule="exact"/>
    </w:pPr>
    <w:rPr>
      <w:rFonts w:hAnsi="黑体" w:cs="宋体"/>
      <w:kern w:val="44"/>
      <w:sz w:val="32"/>
    </w:rPr>
  </w:style>
  <w:style w:type="paragraph" w:customStyle="1" w:styleId="250">
    <w:name w:val="xl30"/>
    <w:basedOn w:val="1"/>
    <w:qFormat/>
    <w:uiPriority w:val="0"/>
    <w:pPr>
      <w:widowControl/>
      <w:spacing w:before="100" w:beforeAutospacing="1" w:after="100" w:afterAutospacing="1"/>
      <w:jc w:val="left"/>
    </w:pPr>
    <w:rPr>
      <w:rFonts w:ascii="Calibri" w:hAnsi="Calibri" w:eastAsia="Arial Unicode MS"/>
      <w:kern w:val="0"/>
      <w:sz w:val="24"/>
    </w:rPr>
  </w:style>
  <w:style w:type="paragraph" w:styleId="251">
    <w:name w:val="List Paragraph"/>
    <w:basedOn w:val="1"/>
    <w:qFormat/>
    <w:uiPriority w:val="0"/>
    <w:pPr>
      <w:ind w:firstLine="420" w:firstLineChars="200"/>
    </w:pPr>
    <w:rPr>
      <w:rFonts w:ascii="Calibri" w:hAnsi="Calibri"/>
    </w:rPr>
  </w:style>
  <w:style w:type="paragraph" w:customStyle="1" w:styleId="252">
    <w:name w:val="Char Char Char Char1"/>
    <w:basedOn w:val="1"/>
    <w:qFormat/>
    <w:uiPriority w:val="0"/>
    <w:rPr>
      <w:rFonts w:ascii="Tahoma" w:hAnsi="Tahoma"/>
      <w:sz w:val="24"/>
      <w:szCs w:val="20"/>
    </w:rPr>
  </w:style>
  <w:style w:type="paragraph" w:customStyle="1" w:styleId="253">
    <w:name w:val="Char2"/>
    <w:basedOn w:val="1"/>
    <w:qFormat/>
    <w:uiPriority w:val="0"/>
    <w:rPr>
      <w:rFonts w:ascii="Tahoma" w:hAnsi="Tahoma"/>
      <w:sz w:val="24"/>
      <w:szCs w:val="20"/>
    </w:rPr>
  </w:style>
  <w:style w:type="paragraph" w:customStyle="1" w:styleId="254">
    <w:name w:val="菲页(卷)"/>
    <w:basedOn w:val="3"/>
    <w:next w:val="231"/>
    <w:qFormat/>
    <w:uiPriority w:val="0"/>
    <w:pPr>
      <w:numPr>
        <w:ilvl w:val="0"/>
        <w:numId w:val="0"/>
      </w:numPr>
      <w:ind w:left="432" w:hanging="432"/>
      <w:outlineLvl w:val="1"/>
    </w:pPr>
    <w:rPr>
      <w:rFonts w:hAnsi="Calibri"/>
    </w:rPr>
  </w:style>
  <w:style w:type="character" w:customStyle="1" w:styleId="255">
    <w:name w:val="正文首行缩进 Char1"/>
    <w:basedOn w:val="181"/>
    <w:link w:val="47"/>
    <w:qFormat/>
    <w:uiPriority w:val="0"/>
    <w:rPr>
      <w:kern w:val="2"/>
      <w:sz w:val="21"/>
      <w:szCs w:val="24"/>
    </w:rPr>
  </w:style>
  <w:style w:type="paragraph" w:customStyle="1" w:styleId="256">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257">
    <w:name w:val="xl28"/>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58">
    <w:name w:val="xl67"/>
    <w:basedOn w:val="1"/>
    <w:qFormat/>
    <w:uiPriority w:val="0"/>
    <w:pPr>
      <w:widowControl/>
      <w:pBdr>
        <w:top w:val="single" w:color="auto" w:sz="4" w:space="0"/>
        <w:left w:val="single" w:color="auto" w:sz="4" w:space="0"/>
        <w:bottom w:val="single" w:color="auto" w:sz="4" w:space="0"/>
      </w:pBdr>
      <w:shd w:val="clear" w:color="FFFFFF" w:fill="FFFFFF"/>
      <w:spacing w:before="100" w:beforeAutospacing="1" w:after="100" w:afterAutospacing="1"/>
      <w:jc w:val="center"/>
      <w:textAlignment w:val="center"/>
    </w:pPr>
    <w:rPr>
      <w:rFonts w:ascii="宋体" w:hAnsi="宋体" w:cs="宋体"/>
      <w:color w:val="000000"/>
      <w:kern w:val="0"/>
      <w:sz w:val="28"/>
      <w:szCs w:val="28"/>
    </w:rPr>
  </w:style>
  <w:style w:type="paragraph" w:customStyle="1" w:styleId="259">
    <w:name w:val="font12"/>
    <w:basedOn w:val="1"/>
    <w:qFormat/>
    <w:uiPriority w:val="0"/>
    <w:pPr>
      <w:widowControl/>
      <w:spacing w:before="100" w:beforeAutospacing="1" w:after="100" w:afterAutospacing="1"/>
      <w:jc w:val="left"/>
    </w:pPr>
    <w:rPr>
      <w:rFonts w:ascii="Calibri" w:hAnsi="Calibri" w:eastAsia="Arial Unicode MS"/>
      <w:color w:val="000000"/>
      <w:kern w:val="0"/>
      <w:sz w:val="24"/>
    </w:rPr>
  </w:style>
  <w:style w:type="paragraph" w:customStyle="1" w:styleId="26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61">
    <w:name w:val="纯文本1"/>
    <w:basedOn w:val="1"/>
    <w:qFormat/>
    <w:uiPriority w:val="0"/>
    <w:pPr>
      <w:adjustRightInd w:val="0"/>
      <w:textAlignment w:val="baseline"/>
    </w:pPr>
    <w:rPr>
      <w:rFonts w:ascii="宋体" w:hAnsi="Courier New"/>
      <w:szCs w:val="20"/>
    </w:rPr>
  </w:style>
  <w:style w:type="paragraph" w:customStyle="1" w:styleId="262">
    <w:name w:val="简单回函地址"/>
    <w:basedOn w:val="1"/>
    <w:qFormat/>
    <w:uiPriority w:val="0"/>
    <w:rPr>
      <w:rFonts w:ascii="Calibri" w:hAnsi="Calibri"/>
    </w:rPr>
  </w:style>
  <w:style w:type="paragraph" w:customStyle="1" w:styleId="263">
    <w:name w:val="节标题"/>
    <w:basedOn w:val="1"/>
    <w:next w:val="1"/>
    <w:qFormat/>
    <w:uiPriority w:val="0"/>
    <w:pPr>
      <w:widowControl/>
      <w:spacing w:line="289" w:lineRule="atLeast"/>
      <w:jc w:val="center"/>
      <w:textAlignment w:val="baseline"/>
    </w:pPr>
    <w:rPr>
      <w:rFonts w:ascii="Calibri" w:hAnsi="Calibri"/>
      <w:color w:val="000000"/>
      <w:kern w:val="0"/>
      <w:sz w:val="28"/>
      <w:szCs w:val="20"/>
      <w:u w:color="000000"/>
    </w:rPr>
  </w:style>
  <w:style w:type="paragraph" w:customStyle="1" w:styleId="26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5">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8"/>
      <w:szCs w:val="28"/>
    </w:rPr>
  </w:style>
  <w:style w:type="paragraph" w:customStyle="1" w:styleId="266">
    <w:name w:val="目录文字"/>
    <w:basedOn w:val="1"/>
    <w:qFormat/>
    <w:uiPriority w:val="0"/>
    <w:pPr>
      <w:widowControl/>
      <w:spacing w:line="480" w:lineRule="auto"/>
      <w:jc w:val="left"/>
    </w:pPr>
    <w:rPr>
      <w:rFonts w:ascii="宋体" w:hAnsi="宋体"/>
      <w:kern w:val="0"/>
      <w:sz w:val="24"/>
      <w:szCs w:val="20"/>
    </w:rPr>
  </w:style>
  <w:style w:type="paragraph" w:customStyle="1" w:styleId="267">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68">
    <w:name w:val="xl37"/>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Cs w:val="21"/>
    </w:rPr>
  </w:style>
  <w:style w:type="paragraph" w:customStyle="1" w:styleId="26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270">
    <w:name w:val="Char Char1 Char"/>
    <w:basedOn w:val="1"/>
    <w:qFormat/>
    <w:uiPriority w:val="0"/>
    <w:rPr>
      <w:rFonts w:ascii="Calibri" w:hAnsi="Calibri"/>
    </w:rPr>
  </w:style>
  <w:style w:type="paragraph" w:customStyle="1" w:styleId="271">
    <w:name w:val="normalweb"/>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272">
    <w:name w:val="font8"/>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273">
    <w:name w:val="Char Char Char Char Char Char Char1"/>
    <w:basedOn w:val="1"/>
    <w:qFormat/>
    <w:uiPriority w:val="0"/>
    <w:rPr>
      <w:rFonts w:ascii="仿宋_GB2312" w:hAnsi="Calibri" w:eastAsia="仿宋_GB2312"/>
      <w:b/>
      <w:sz w:val="32"/>
      <w:szCs w:val="32"/>
    </w:rPr>
  </w:style>
  <w:style w:type="paragraph" w:customStyle="1" w:styleId="274">
    <w:name w:val="表格文字"/>
    <w:basedOn w:val="1"/>
    <w:qFormat/>
    <w:uiPriority w:val="0"/>
    <w:pPr>
      <w:adjustRightInd w:val="0"/>
      <w:snapToGrid w:val="0"/>
      <w:spacing w:beforeLines="20" w:line="360" w:lineRule="auto"/>
      <w:ind w:left="-51" w:leftChars="-51" w:hanging="107" w:hangingChars="51"/>
      <w:jc w:val="center"/>
    </w:pPr>
    <w:rPr>
      <w:rFonts w:ascii="Calibri" w:hAnsi="Calibri"/>
      <w:color w:val="000000"/>
    </w:rPr>
  </w:style>
  <w:style w:type="paragraph" w:customStyle="1" w:styleId="275">
    <w:name w:val="图表文字"/>
    <w:basedOn w:val="1"/>
    <w:qFormat/>
    <w:uiPriority w:val="0"/>
    <w:pPr>
      <w:widowControl/>
      <w:adjustRightInd w:val="0"/>
      <w:spacing w:before="120" w:after="120"/>
      <w:jc w:val="center"/>
    </w:pPr>
    <w:rPr>
      <w:rFonts w:ascii="黑体" w:hAnsi="Calibri" w:eastAsia="黑体"/>
      <w:kern w:val="0"/>
      <w:sz w:val="28"/>
      <w:szCs w:val="20"/>
    </w:rPr>
  </w:style>
  <w:style w:type="paragraph" w:customStyle="1" w:styleId="276">
    <w:name w:val="xl32"/>
    <w:basedOn w:val="1"/>
    <w:qFormat/>
    <w:uiPriority w:val="0"/>
    <w:pPr>
      <w:widowControl/>
      <w:spacing w:before="100" w:beforeAutospacing="1" w:after="100" w:afterAutospacing="1"/>
      <w:jc w:val="left"/>
    </w:pPr>
    <w:rPr>
      <w:rFonts w:ascii="Calibri" w:hAnsi="Calibri" w:eastAsia="Arial Unicode MS"/>
      <w:b/>
      <w:bCs/>
      <w:kern w:val="0"/>
      <w:sz w:val="24"/>
    </w:rPr>
  </w:style>
  <w:style w:type="paragraph" w:customStyle="1" w:styleId="277">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78">
    <w:name w:val="xl8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27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styleId="280">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281">
    <w:name w:val="标题1"/>
    <w:basedOn w:val="4"/>
    <w:qFormat/>
    <w:uiPriority w:val="0"/>
    <w:pPr>
      <w:spacing w:line="416" w:lineRule="auto"/>
      <w:ind w:firstLine="112" w:firstLineChars="40"/>
    </w:pPr>
    <w:rPr>
      <w:rFonts w:ascii="宋体" w:hAnsi="宋体" w:eastAsia="宋体"/>
      <w:color w:val="000000"/>
      <w:kern w:val="2"/>
      <w:sz w:val="28"/>
      <w:szCs w:val="28"/>
    </w:rPr>
  </w:style>
  <w:style w:type="paragraph" w:customStyle="1" w:styleId="282">
    <w:name w:val="xl88"/>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283">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Cs w:val="21"/>
    </w:rPr>
  </w:style>
  <w:style w:type="paragraph" w:customStyle="1" w:styleId="28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285">
    <w:name w:val="xl80"/>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8"/>
      <w:szCs w:val="28"/>
    </w:rPr>
  </w:style>
  <w:style w:type="paragraph" w:customStyle="1" w:styleId="286">
    <w:name w:val="_Style 2"/>
    <w:basedOn w:val="1"/>
    <w:qFormat/>
    <w:uiPriority w:val="0"/>
    <w:rPr>
      <w:rFonts w:ascii="Calibri" w:hAnsi="Calibri"/>
    </w:rPr>
  </w:style>
  <w:style w:type="paragraph" w:customStyle="1" w:styleId="287">
    <w:name w:val="xl52"/>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288">
    <w:name w:val="font9"/>
    <w:basedOn w:val="1"/>
    <w:qFormat/>
    <w:uiPriority w:val="0"/>
    <w:pPr>
      <w:widowControl/>
      <w:spacing w:before="100" w:beforeAutospacing="1" w:after="100" w:afterAutospacing="1"/>
      <w:jc w:val="left"/>
    </w:pPr>
    <w:rPr>
      <w:rFonts w:ascii="Calibri" w:hAnsi="Calibri" w:eastAsia="Arial Unicode MS"/>
      <w:kern w:val="0"/>
      <w:sz w:val="24"/>
    </w:rPr>
  </w:style>
  <w:style w:type="paragraph" w:customStyle="1" w:styleId="289">
    <w:name w:val="Char Char Char Char Char Char Char Char Char Char"/>
    <w:basedOn w:val="1"/>
    <w:qFormat/>
    <w:uiPriority w:val="0"/>
    <w:rPr>
      <w:rFonts w:ascii="仿宋_GB2312" w:hAnsi="Calibri" w:eastAsia="仿宋_GB2312"/>
      <w:b/>
      <w:sz w:val="32"/>
      <w:szCs w:val="32"/>
    </w:rPr>
  </w:style>
  <w:style w:type="paragraph" w:customStyle="1" w:styleId="290">
    <w:name w:val="正文文本1"/>
    <w:basedOn w:val="1"/>
    <w:qFormat/>
    <w:uiPriority w:val="0"/>
    <w:rPr>
      <w:rFonts w:ascii="宋体" w:hAnsi="宋体"/>
      <w:sz w:val="30"/>
      <w:szCs w:val="20"/>
    </w:rPr>
  </w:style>
  <w:style w:type="paragraph" w:customStyle="1" w:styleId="291">
    <w:name w:val="正文文本11"/>
    <w:basedOn w:val="1"/>
    <w:qFormat/>
    <w:uiPriority w:val="0"/>
    <w:rPr>
      <w:rFonts w:ascii="宋体" w:hAnsi="Calibri" w:cs="宋体"/>
      <w:sz w:val="30"/>
      <w:szCs w:val="30"/>
    </w:rPr>
  </w:style>
  <w:style w:type="paragraph" w:customStyle="1" w:styleId="292">
    <w:name w:val="_Style 13"/>
    <w:basedOn w:val="15"/>
    <w:qFormat/>
    <w:uiPriority w:val="0"/>
    <w:pPr>
      <w:widowControl w:val="0"/>
      <w:shd w:val="clear" w:color="auto" w:fill="000080"/>
    </w:pPr>
    <w:rPr>
      <w:rFonts w:ascii="Times New Roman" w:hAnsi="Times New Roman"/>
    </w:rPr>
  </w:style>
  <w:style w:type="paragraph" w:customStyle="1" w:styleId="293">
    <w:name w:val="1"/>
    <w:basedOn w:val="1"/>
    <w:next w:val="1"/>
    <w:qFormat/>
    <w:uiPriority w:val="0"/>
    <w:rPr>
      <w:rFonts w:ascii="Calibri" w:hAnsi="Calibri"/>
    </w:rPr>
  </w:style>
  <w:style w:type="paragraph" w:customStyle="1" w:styleId="294">
    <w:name w:val="xl9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95">
    <w:name w:val="xl35"/>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22"/>
      <w:szCs w:val="22"/>
    </w:rPr>
  </w:style>
  <w:style w:type="paragraph" w:customStyle="1" w:styleId="296">
    <w:name w:val="菲页2"/>
    <w:basedOn w:val="5"/>
    <w:qFormat/>
    <w:uiPriority w:val="0"/>
    <w:pPr>
      <w:widowControl/>
      <w:tabs>
        <w:tab w:val="left" w:pos="720"/>
      </w:tabs>
      <w:spacing w:before="120" w:after="120" w:line="360" w:lineRule="auto"/>
      <w:ind w:left="720" w:hanging="720"/>
      <w:jc w:val="center"/>
    </w:pPr>
    <w:rPr>
      <w:rFonts w:ascii="黑体" w:hAnsi="宋体" w:eastAsia="黑体"/>
      <w:b w:val="0"/>
      <w:bCs w:val="0"/>
      <w:kern w:val="0"/>
      <w:sz w:val="44"/>
      <w:szCs w:val="20"/>
    </w:rPr>
  </w:style>
  <w:style w:type="character" w:customStyle="1" w:styleId="297">
    <w:name w:val="button"/>
    <w:basedOn w:val="51"/>
    <w:qFormat/>
    <w:uiPriority w:val="0"/>
  </w:style>
  <w:style w:type="character" w:customStyle="1" w:styleId="298">
    <w:name w:val="hover3"/>
    <w:basedOn w:val="51"/>
    <w:qFormat/>
    <w:uiPriority w:val="0"/>
    <w:rPr>
      <w:shd w:val="clear" w:color="auto" w:fill="EEEEEE"/>
    </w:rPr>
  </w:style>
  <w:style w:type="character" w:customStyle="1" w:styleId="299">
    <w:name w:val="old"/>
    <w:basedOn w:val="51"/>
    <w:qFormat/>
    <w:uiPriority w:val="0"/>
    <w:rPr>
      <w:color w:val="999999"/>
    </w:rPr>
  </w:style>
  <w:style w:type="character" w:customStyle="1" w:styleId="300">
    <w:name w:val="glyphicon4"/>
    <w:basedOn w:val="51"/>
    <w:qFormat/>
    <w:uiPriority w:val="0"/>
  </w:style>
  <w:style w:type="character" w:customStyle="1" w:styleId="301">
    <w:name w:val="hour_am"/>
    <w:basedOn w:val="51"/>
    <w:qFormat/>
    <w:uiPriority w:val="0"/>
  </w:style>
  <w:style w:type="character" w:customStyle="1" w:styleId="302">
    <w:name w:val="hour_pm"/>
    <w:basedOn w:val="51"/>
    <w:qFormat/>
    <w:uiPriority w:val="0"/>
  </w:style>
  <w:style w:type="character" w:customStyle="1" w:styleId="303">
    <w:name w:val="tmpztreemove_arrow"/>
    <w:basedOn w:val="51"/>
    <w:qFormat/>
    <w:uiPriority w:val="0"/>
    <w:rPr>
      <w:shd w:val="clear" w:color="auto" w:fill="FFFFFF"/>
    </w:rPr>
  </w:style>
  <w:style w:type="character" w:customStyle="1" w:styleId="304">
    <w:name w:val="indent"/>
    <w:basedOn w:val="51"/>
    <w:qFormat/>
    <w:uiPriority w:val="0"/>
  </w:style>
  <w:style w:type="paragraph" w:customStyle="1" w:styleId="305">
    <w:name w:val="title1"/>
    <w:basedOn w:val="1"/>
    <w:qFormat/>
    <w:uiPriority w:val="0"/>
    <w:pPr>
      <w:spacing w:before="150" w:line="450" w:lineRule="atLeast"/>
      <w:jc w:val="left"/>
    </w:pPr>
    <w:rPr>
      <w:b/>
      <w:kern w:val="0"/>
      <w:sz w:val="24"/>
    </w:rPr>
  </w:style>
  <w:style w:type="character" w:customStyle="1" w:styleId="306">
    <w:name w:val="hover2"/>
    <w:basedOn w:val="51"/>
    <w:qFormat/>
    <w:uiPriority w:val="0"/>
    <w:rPr>
      <w:shd w:val="clear" w:color="auto" w:fill="EEEEEE"/>
    </w:rPr>
  </w:style>
  <w:style w:type="paragraph" w:customStyle="1" w:styleId="3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8">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309">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10">
    <w:name w:val="UserStyle_102"/>
    <w:basedOn w:val="1"/>
    <w:qFormat/>
    <w:uiPriority w:val="0"/>
    <w:pPr>
      <w:widowControl/>
      <w:spacing w:line="360" w:lineRule="auto"/>
      <w:jc w:val="left"/>
      <w:textAlignment w:val="baseline"/>
    </w:pPr>
    <w:rPr>
      <w:kern w:val="0"/>
      <w:sz w:val="24"/>
      <w:szCs w:val="24"/>
      <w:lang w:val="en-US" w:eastAsia="zh-CN" w:bidi="ar-SA"/>
    </w:rPr>
  </w:style>
  <w:style w:type="paragraph" w:customStyle="1" w:styleId="311">
    <w:name w:val="p15"/>
    <w:basedOn w:val="1"/>
    <w:qFormat/>
    <w:uiPriority w:val="99"/>
    <w:pPr>
      <w:widowControl/>
    </w:pPr>
    <w:rPr>
      <w:kern w:val="0"/>
      <w:sz w:val="21"/>
      <w:szCs w:val="21"/>
    </w:rPr>
  </w:style>
  <w:style w:type="character" w:customStyle="1" w:styleId="312">
    <w:name w:val="font31"/>
    <w:basedOn w:val="51"/>
    <w:qFormat/>
    <w:uiPriority w:val="0"/>
    <w:rPr>
      <w:rFonts w:hint="eastAsia" w:ascii="宋体" w:hAnsi="宋体" w:eastAsia="宋体" w:cs="宋体"/>
      <w:color w:val="000000"/>
      <w:sz w:val="20"/>
      <w:szCs w:val="20"/>
      <w:u w:val="none"/>
    </w:rPr>
  </w:style>
  <w:style w:type="character" w:customStyle="1" w:styleId="313">
    <w:name w:val="font51"/>
    <w:basedOn w:val="51"/>
    <w:qFormat/>
    <w:uiPriority w:val="0"/>
    <w:rPr>
      <w:rFonts w:ascii="Calibri" w:hAnsi="Calibri" w:cs="Calibri"/>
      <w:color w:val="000000"/>
      <w:sz w:val="20"/>
      <w:szCs w:val="20"/>
      <w:u w:val="none"/>
    </w:rPr>
  </w:style>
  <w:style w:type="paragraph" w:customStyle="1" w:styleId="314">
    <w:name w:val="BodyTextIndent2"/>
    <w:basedOn w:val="1"/>
    <w:qFormat/>
    <w:uiPriority w:val="0"/>
    <w:pPr>
      <w:spacing w:line="240" w:lineRule="auto"/>
      <w:ind w:left="118" w:firstLine="420"/>
      <w:jc w:val="both"/>
    </w:pPr>
    <w:rPr>
      <w:kern w:val="2"/>
      <w:sz w:val="28"/>
      <w:szCs w:val="24"/>
      <w:lang w:val="en-US" w:eastAsia="zh-CN" w:bidi="ar-SA"/>
    </w:rPr>
  </w:style>
  <w:style w:type="paragraph" w:customStyle="1" w:styleId="315">
    <w:name w:val="cucd-TB"/>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316">
    <w:name w:val="Other|1"/>
    <w:basedOn w:val="1"/>
    <w:qFormat/>
    <w:uiPriority w:val="0"/>
    <w:pPr>
      <w:spacing w:line="434" w:lineRule="auto"/>
      <w:ind w:firstLine="400"/>
      <w:jc w:val="left"/>
    </w:pPr>
    <w:rPr>
      <w:rFonts w:ascii="宋体" w:hAnsi="宋体" w:eastAsia="宋体" w:cs="宋体"/>
      <w:sz w:val="28"/>
      <w:szCs w:val="28"/>
      <w:lang w:val="zh-TW" w:eastAsia="zh-TW" w:bidi="zh-TW"/>
    </w:rPr>
  </w:style>
  <w:style w:type="paragraph" w:customStyle="1" w:styleId="317">
    <w:name w:val="null3"/>
    <w:hidden/>
    <w:qFormat/>
    <w:uiPriority w:val="0"/>
    <w:rPr>
      <w:rFonts w:hint="eastAsia" w:asciiTheme="minorHAnsi" w:hAnsiTheme="minorHAnsi" w:eastAsiaTheme="minorEastAsia" w:cstheme="minorBidi"/>
      <w:lang w:val="en-US" w:eastAsia="zh-Hans"/>
    </w:rPr>
  </w:style>
  <w:style w:type="paragraph" w:customStyle="1" w:styleId="318">
    <w:name w:val="※正文"/>
    <w:next w:val="1"/>
    <w:qFormat/>
    <w:uiPriority w:val="0"/>
    <w:pPr>
      <w:wordWrap w:val="0"/>
      <w:spacing w:line="400" w:lineRule="exact"/>
    </w:pPr>
    <w:rPr>
      <w:rFonts w:ascii="Calibri Light" w:hAnsi="Calibri Light" w:eastAsia="华文仿宋" w:cs="Times New Roman"/>
      <w:sz w:val="28"/>
      <w:szCs w:val="28"/>
      <w:lang w:val="en-US" w:eastAsia="zh-CN" w:bidi="ar-SA"/>
    </w:rPr>
  </w:style>
  <w:style w:type="paragraph" w:customStyle="1" w:styleId="319">
    <w:name w:val="@正文"/>
    <w:qFormat/>
    <w:uiPriority w:val="0"/>
    <w:pPr>
      <w:wordWrap/>
      <w:spacing w:line="240" w:lineRule="auto"/>
      <w:ind w:firstLine="200" w:firstLineChars="200"/>
      <w:jc w:val="both"/>
    </w:pPr>
    <w:rPr>
      <w:rFonts w:ascii="Calibri" w:hAnsi="Calibri" w:eastAsia="宋体" w:cstheme="minorHAnsi"/>
      <w:color w:val="000000"/>
      <w:kern w:val="24"/>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16427</Words>
  <Characters>17610</Characters>
  <Lines>402</Lines>
  <Paragraphs>113</Paragraphs>
  <TotalTime>0</TotalTime>
  <ScaleCrop>false</ScaleCrop>
  <LinksUpToDate>false</LinksUpToDate>
  <CharactersWithSpaces>17817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2021-10-20T03:06:00Z</dcterms:created>
  <dc:creator>東山花燈路丶</dc:creator>
  <cp:lastModifiedBy>熊掌孙</cp:lastModifiedBy>
  <dcterms:modified xsi:type="dcterms:W3CDTF">2025-12-11T08:44:34Z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A068D15723F54F878C9DDE36827F809D_13</vt:lpwstr>
  </property>
  <property fmtid="{D5CDD505-2E9C-101B-9397-08002B2CF9AE}" pid="4" name="commondata">
    <vt:lpwstr>eyJoZGlkIjoiODU1ZjY5YzliM2E0YWMzYTYxNzEzNWJiN2Q1NGM1MjIifQ==</vt:lpwstr>
  </property>
  <property fmtid="{D5CDD505-2E9C-101B-9397-08002B2CF9AE}" pid="5" name="KSOTemplateDocerSaveRecord">
    <vt:lpwstr>eyJoZGlkIjoiZGI0ZGIzYmI2OWViZTMxZTU3NzUxZjAzNDk3YTI1NDQiLCJ1c2VySWQiOiIzMTA4NTYyNDIifQ==</vt:lpwstr>
  </property>
</Properties>
</file>