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067"/>
        <w:gridCol w:w="8844"/>
      </w:tblGrid>
      <w:tr w14:paraId="60120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 w:hRule="atLeast"/>
        </w:trPr>
        <w:tc>
          <w:tcPr>
            <w:tcW w:w="709" w:type="dxa"/>
          </w:tcPr>
          <w:p w14:paraId="5AC98889">
            <w:pPr>
              <w:pStyle w:val="4"/>
              <w:rPr>
                <w:sz w:val="24"/>
                <w:szCs w:val="24"/>
              </w:rPr>
            </w:pPr>
            <w:r>
              <w:rPr>
                <w:rFonts w:ascii="仿宋_GB2312" w:hAnsi="仿宋_GB2312" w:eastAsia="仿宋_GB2312" w:cs="仿宋_GB2312"/>
                <w:sz w:val="24"/>
                <w:szCs w:val="24"/>
              </w:rPr>
              <w:t>序号</w:t>
            </w:r>
          </w:p>
        </w:tc>
        <w:tc>
          <w:tcPr>
            <w:tcW w:w="1067" w:type="dxa"/>
          </w:tcPr>
          <w:p w14:paraId="627922DE">
            <w:pPr>
              <w:pStyle w:val="4"/>
              <w:rPr>
                <w:sz w:val="24"/>
                <w:szCs w:val="24"/>
              </w:rPr>
            </w:pPr>
            <w:r>
              <w:rPr>
                <w:rFonts w:ascii="仿宋_GB2312" w:hAnsi="仿宋_GB2312" w:eastAsia="仿宋_GB2312" w:cs="仿宋_GB2312"/>
                <w:sz w:val="24"/>
                <w:szCs w:val="24"/>
              </w:rPr>
              <w:t>参数性质</w:t>
            </w:r>
          </w:p>
        </w:tc>
        <w:tc>
          <w:tcPr>
            <w:tcW w:w="8844" w:type="dxa"/>
          </w:tcPr>
          <w:p w14:paraId="3A560F94">
            <w:pPr>
              <w:pStyle w:val="4"/>
              <w:rPr>
                <w:sz w:val="24"/>
                <w:szCs w:val="24"/>
              </w:rPr>
            </w:pPr>
            <w:r>
              <w:rPr>
                <w:rFonts w:ascii="仿宋_GB2312" w:hAnsi="仿宋_GB2312" w:eastAsia="仿宋_GB2312" w:cs="仿宋_GB2312"/>
                <w:sz w:val="24"/>
                <w:szCs w:val="24"/>
              </w:rPr>
              <w:t>技术参数与性能指标</w:t>
            </w:r>
          </w:p>
        </w:tc>
      </w:tr>
      <w:tr w14:paraId="097A4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8" w:hRule="atLeast"/>
        </w:trPr>
        <w:tc>
          <w:tcPr>
            <w:tcW w:w="709" w:type="dxa"/>
          </w:tcPr>
          <w:p w14:paraId="2FB21104">
            <w:pPr>
              <w:pStyle w:val="4"/>
              <w:rPr>
                <w:sz w:val="24"/>
                <w:szCs w:val="24"/>
              </w:rPr>
            </w:pPr>
            <w:r>
              <w:rPr>
                <w:rFonts w:ascii="仿宋_GB2312" w:hAnsi="仿宋_GB2312" w:eastAsia="仿宋_GB2312" w:cs="仿宋_GB2312"/>
                <w:sz w:val="24"/>
                <w:szCs w:val="24"/>
              </w:rPr>
              <w:t>1</w:t>
            </w:r>
          </w:p>
        </w:tc>
        <w:tc>
          <w:tcPr>
            <w:tcW w:w="1067" w:type="dxa"/>
          </w:tcPr>
          <w:p w14:paraId="2B89C756">
            <w:pPr>
              <w:rPr>
                <w:sz w:val="24"/>
                <w:szCs w:val="24"/>
              </w:rPr>
            </w:pPr>
          </w:p>
        </w:tc>
        <w:tc>
          <w:tcPr>
            <w:tcW w:w="8844" w:type="dxa"/>
          </w:tcPr>
          <w:p w14:paraId="201F1994">
            <w:pPr>
              <w:pStyle w:val="4"/>
              <w:jc w:val="left"/>
              <w:rPr>
                <w:sz w:val="24"/>
                <w:szCs w:val="24"/>
              </w:rPr>
            </w:pPr>
            <w:r>
              <w:rPr>
                <w:rFonts w:ascii="仿宋_GB2312" w:hAnsi="仿宋_GB2312" w:eastAsia="仿宋_GB2312" w:cs="仿宋_GB2312"/>
                <w:b/>
                <w:sz w:val="24"/>
                <w:szCs w:val="24"/>
              </w:rPr>
              <w:t>一、服务要求：</w:t>
            </w:r>
          </w:p>
          <w:p w14:paraId="7FBBD17E">
            <w:pPr>
              <w:pStyle w:val="4"/>
              <w:jc w:val="both"/>
              <w:rPr>
                <w:sz w:val="24"/>
                <w:szCs w:val="24"/>
              </w:rPr>
            </w:pPr>
            <w:r>
              <w:rPr>
                <w:rFonts w:ascii="仿宋_GB2312" w:hAnsi="仿宋_GB2312" w:eastAsia="仿宋_GB2312" w:cs="仿宋_GB2312"/>
                <w:sz w:val="24"/>
                <w:szCs w:val="24"/>
              </w:rPr>
              <w:t>1.1平台技术服务需求：</w:t>
            </w:r>
          </w:p>
          <w:p w14:paraId="7CA11560">
            <w:pPr>
              <w:pStyle w:val="4"/>
              <w:jc w:val="both"/>
              <w:rPr>
                <w:sz w:val="24"/>
                <w:szCs w:val="24"/>
              </w:rPr>
            </w:pPr>
            <w:r>
              <w:rPr>
                <w:rFonts w:ascii="仿宋_GB2312" w:hAnsi="仿宋_GB2312" w:eastAsia="仿宋_GB2312" w:cs="仿宋_GB2312"/>
                <w:sz w:val="24"/>
                <w:szCs w:val="24"/>
              </w:rPr>
              <w:t>（1）课时支持理论课、实验课两种形式；理论课包含讲义、视频、附件、课后练习；实验课包含实验指导、视频、实验场景、附件、课后练习；</w:t>
            </w:r>
          </w:p>
          <w:p w14:paraId="59E9D806">
            <w:pPr>
              <w:pStyle w:val="4"/>
              <w:jc w:val="both"/>
              <w:rPr>
                <w:sz w:val="24"/>
                <w:szCs w:val="24"/>
              </w:rPr>
            </w:pPr>
            <w:r>
              <w:rPr>
                <w:rFonts w:ascii="仿宋_GB2312" w:hAnsi="仿宋_GB2312" w:eastAsia="仿宋_GB2312" w:cs="仿宋_GB2312"/>
                <w:sz w:val="24"/>
                <w:szCs w:val="24"/>
              </w:rPr>
              <w:t>（2）支持课时单/双屏切换功能，双屏模式下能够同时展示两个课件，课件包含实验指导、视频、场景；</w:t>
            </w:r>
          </w:p>
          <w:p w14:paraId="7D21AD00">
            <w:pPr>
              <w:pStyle w:val="4"/>
              <w:jc w:val="both"/>
              <w:rPr>
                <w:sz w:val="24"/>
                <w:szCs w:val="24"/>
              </w:rPr>
            </w:pPr>
            <w:r>
              <w:rPr>
                <w:rFonts w:ascii="仿宋_GB2312" w:hAnsi="仿宋_GB2312" w:eastAsia="仿宋_GB2312" w:cs="仿宋_GB2312"/>
                <w:sz w:val="24"/>
                <w:szCs w:val="24"/>
              </w:rPr>
              <w:t>（3）在接入实验课虚拟机的远程桌面页面中，支持留言、笔记、实验指导、实验报告、网络拓扑以悬浮窗的形式展示，悬浮窗能够自由拖动；</w:t>
            </w:r>
          </w:p>
          <w:p w14:paraId="5547E86D">
            <w:pPr>
              <w:pStyle w:val="4"/>
              <w:jc w:val="both"/>
              <w:rPr>
                <w:sz w:val="24"/>
                <w:szCs w:val="24"/>
              </w:rPr>
            </w:pPr>
            <w:r>
              <w:rPr>
                <w:rFonts w:ascii="仿宋_GB2312" w:hAnsi="仿宋_GB2312" w:eastAsia="仿宋_GB2312" w:cs="仿宋_GB2312"/>
                <w:sz w:val="24"/>
                <w:szCs w:val="24"/>
              </w:rPr>
              <w:t>（4）支持实验课虚拟机远程接入，接入方式包括但不限于当前页面接入、新页面接入、本地安装客户端接入(xshell、mstsc等)；</w:t>
            </w:r>
          </w:p>
          <w:p w14:paraId="130FC30D">
            <w:pPr>
              <w:pStyle w:val="4"/>
              <w:jc w:val="both"/>
              <w:rPr>
                <w:sz w:val="24"/>
                <w:szCs w:val="24"/>
              </w:rPr>
            </w:pPr>
            <w:r>
              <w:rPr>
                <w:rFonts w:ascii="仿宋_GB2312" w:hAnsi="仿宋_GB2312" w:eastAsia="仿宋_GB2312" w:cs="仿宋_GB2312"/>
                <w:sz w:val="24"/>
                <w:szCs w:val="24"/>
              </w:rPr>
              <w:t>（5）支持场景倒计时功能，可自定义倒计时长参数，已启动的场景能展示倒计时，倒计时结束后场景将被自动删除；支持场景倒计时剩余时长不足15分钟时增加剩余时间；</w:t>
            </w:r>
          </w:p>
          <w:p w14:paraId="42DF9BF2">
            <w:pPr>
              <w:pStyle w:val="4"/>
              <w:jc w:val="both"/>
              <w:rPr>
                <w:sz w:val="24"/>
                <w:szCs w:val="24"/>
              </w:rPr>
            </w:pPr>
            <w:r>
              <w:rPr>
                <w:rFonts w:ascii="仿宋_GB2312" w:hAnsi="仿宋_GB2312" w:eastAsia="仿宋_GB2312" w:cs="仿宋_GB2312"/>
                <w:sz w:val="24"/>
                <w:szCs w:val="24"/>
              </w:rPr>
              <w:t>（6）攻防实训子系统提供理论题和实操题两种练习模式，理论题类型包括：单选、多选、判断、填空、简答；实操题类型包括pwn、web、reverse、mobile、misc、crypto；</w:t>
            </w:r>
          </w:p>
          <w:p w14:paraId="5CD24369">
            <w:pPr>
              <w:pStyle w:val="4"/>
              <w:jc w:val="both"/>
              <w:rPr>
                <w:sz w:val="24"/>
                <w:szCs w:val="24"/>
              </w:rPr>
            </w:pPr>
            <w:r>
              <w:rPr>
                <w:rFonts w:ascii="仿宋_GB2312" w:hAnsi="仿宋_GB2312" w:eastAsia="仿宋_GB2312" w:cs="仿宋_GB2312"/>
                <w:sz w:val="24"/>
                <w:szCs w:val="24"/>
              </w:rPr>
              <w:t>（7）理论题支持自由练习和自由组卷功能，自由组卷模式支持设置自定义题目数量、题目方向、题目类型、题目难度和题目状态；题目状态包括未开始、尝试过和已解出；</w:t>
            </w:r>
          </w:p>
          <w:p w14:paraId="6F1202DA">
            <w:pPr>
              <w:pStyle w:val="4"/>
              <w:jc w:val="both"/>
              <w:rPr>
                <w:sz w:val="24"/>
                <w:szCs w:val="24"/>
              </w:rPr>
            </w:pPr>
            <w:r>
              <w:rPr>
                <w:rFonts w:ascii="仿宋_GB2312" w:hAnsi="仿宋_GB2312" w:eastAsia="仿宋_GB2312" w:cs="仿宋_GB2312"/>
                <w:sz w:val="24"/>
                <w:szCs w:val="24"/>
              </w:rPr>
              <w:t>（8）支持查看我的错题，支持按照答对次数、答错次数对错题进行排序，支持批量移除错题；</w:t>
            </w:r>
          </w:p>
          <w:p w14:paraId="3B49BFBD">
            <w:pPr>
              <w:pStyle w:val="4"/>
              <w:jc w:val="both"/>
              <w:rPr>
                <w:sz w:val="24"/>
                <w:szCs w:val="24"/>
              </w:rPr>
            </w:pPr>
            <w:r>
              <w:rPr>
                <w:rFonts w:ascii="仿宋_GB2312" w:hAnsi="仿宋_GB2312" w:eastAsia="仿宋_GB2312" w:cs="仿宋_GB2312"/>
                <w:sz w:val="24"/>
                <w:szCs w:val="24"/>
              </w:rPr>
              <w:t>（9）实操题支持静态Flag、动态Flag及随机Flag三种Flag类型；</w:t>
            </w:r>
          </w:p>
          <w:p w14:paraId="4D050305">
            <w:pPr>
              <w:pStyle w:val="4"/>
              <w:jc w:val="both"/>
              <w:rPr>
                <w:sz w:val="24"/>
                <w:szCs w:val="24"/>
              </w:rPr>
            </w:pPr>
            <w:r>
              <w:rPr>
                <w:rFonts w:ascii="仿宋_GB2312" w:hAnsi="仿宋_GB2312" w:eastAsia="仿宋_GB2312" w:cs="仿宋_GB2312"/>
                <w:sz w:val="24"/>
                <w:szCs w:val="24"/>
              </w:rPr>
              <w:t>（10）实操题支持以习题集的方式展示，支持知识技能top6六维图展示，六维图方向和题目方向一致；支持方向、难度、题目状态、题目名称过滤实操题列表。</w:t>
            </w:r>
          </w:p>
          <w:p w14:paraId="50764DCE">
            <w:pPr>
              <w:pStyle w:val="4"/>
              <w:jc w:val="both"/>
              <w:rPr>
                <w:sz w:val="24"/>
                <w:szCs w:val="24"/>
              </w:rPr>
            </w:pPr>
            <w:r>
              <w:rPr>
                <w:rFonts w:ascii="仿宋_GB2312" w:hAnsi="仿宋_GB2312" w:eastAsia="仿宋_GB2312" w:cs="仿宋_GB2312"/>
                <w:sz w:val="24"/>
                <w:szCs w:val="24"/>
              </w:rPr>
              <w:t>1.2实训课程服务需求：</w:t>
            </w:r>
          </w:p>
          <w:p w14:paraId="24E10293">
            <w:pPr>
              <w:pStyle w:val="4"/>
              <w:jc w:val="both"/>
              <w:rPr>
                <w:sz w:val="24"/>
                <w:szCs w:val="24"/>
              </w:rPr>
            </w:pPr>
            <w:r>
              <w:rPr>
                <w:rFonts w:ascii="仿宋_GB2312" w:hAnsi="仿宋_GB2312" w:eastAsia="仿宋_GB2312" w:cs="仿宋_GB2312"/>
                <w:sz w:val="24"/>
                <w:szCs w:val="24"/>
              </w:rPr>
              <w:t>（1）为满足学校网络安全教学任务安排，须提供不少于1200课时的实训课程资源，基于教育部高等学校教学指导委员会课程大纲的课程体系，包括信息科学技术基础领域、信息安全基础领域、密码学知识领域、网络安全知识领域、系统安全知识领域、内容安全知识领域、信息安全竞赛信息安全竞赛七大领域。</w:t>
            </w:r>
          </w:p>
          <w:p w14:paraId="6581C887">
            <w:pPr>
              <w:pStyle w:val="4"/>
              <w:jc w:val="both"/>
              <w:rPr>
                <w:sz w:val="24"/>
                <w:szCs w:val="24"/>
              </w:rPr>
            </w:pPr>
            <w:r>
              <w:rPr>
                <w:rFonts w:ascii="仿宋_GB2312" w:hAnsi="仿宋_GB2312" w:eastAsia="仿宋_GB2312" w:cs="仿宋_GB2312"/>
                <w:sz w:val="24"/>
                <w:szCs w:val="24"/>
              </w:rPr>
              <w:t>（2）提供实训课程教学服务，支撑教师团队课程教学需求。</w:t>
            </w:r>
          </w:p>
          <w:p w14:paraId="67FC750C">
            <w:pPr>
              <w:pStyle w:val="4"/>
              <w:jc w:val="both"/>
              <w:rPr>
                <w:sz w:val="24"/>
                <w:szCs w:val="24"/>
              </w:rPr>
            </w:pPr>
            <w:r>
              <w:rPr>
                <w:rFonts w:ascii="仿宋_GB2312" w:hAnsi="仿宋_GB2312" w:eastAsia="仿宋_GB2312" w:cs="仿宋_GB2312"/>
                <w:sz w:val="24"/>
                <w:szCs w:val="24"/>
              </w:rPr>
              <w:t>1.3比赛平台支撑服务需求：</w:t>
            </w:r>
          </w:p>
          <w:p w14:paraId="317B47F6">
            <w:pPr>
              <w:pStyle w:val="4"/>
              <w:jc w:val="both"/>
              <w:rPr>
                <w:sz w:val="24"/>
                <w:szCs w:val="24"/>
              </w:rPr>
            </w:pPr>
            <w:r>
              <w:rPr>
                <w:rFonts w:ascii="仿宋_GB2312" w:hAnsi="仿宋_GB2312" w:eastAsia="仿宋_GB2312" w:cs="仿宋_GB2312"/>
                <w:sz w:val="24"/>
                <w:szCs w:val="24"/>
              </w:rPr>
              <w:t>（1）支持赛场功能，支持在同一赛场中关联多种不同类型的比赛进行统一查看与进入比赛；</w:t>
            </w:r>
          </w:p>
          <w:p w14:paraId="10A1D8C8">
            <w:pPr>
              <w:pStyle w:val="4"/>
              <w:rPr>
                <w:sz w:val="24"/>
                <w:szCs w:val="24"/>
              </w:rPr>
            </w:pPr>
            <w:r>
              <w:rPr>
                <w:rFonts w:ascii="仿宋_GB2312" w:hAnsi="仿宋_GB2312" w:eastAsia="仿宋_GB2312" w:cs="仿宋_GB2312"/>
                <w:sz w:val="24"/>
                <w:szCs w:val="24"/>
              </w:rPr>
              <w:t>（2）竞赛支持至少6种赛制模式，包括理论赛、CTF夺旗赛、攻防赛、运维赛、渗透赛、沙盒攻防赛等。</w:t>
            </w:r>
          </w:p>
        </w:tc>
      </w:tr>
      <w:tr w14:paraId="290F2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2" w:hRule="atLeast"/>
        </w:trPr>
        <w:tc>
          <w:tcPr>
            <w:tcW w:w="709" w:type="dxa"/>
          </w:tcPr>
          <w:p w14:paraId="52D7B3D3">
            <w:pPr>
              <w:pStyle w:val="4"/>
              <w:rPr>
                <w:sz w:val="24"/>
                <w:szCs w:val="24"/>
              </w:rPr>
            </w:pPr>
            <w:r>
              <w:rPr>
                <w:rFonts w:ascii="仿宋_GB2312" w:hAnsi="仿宋_GB2312" w:eastAsia="仿宋_GB2312" w:cs="仿宋_GB2312"/>
                <w:sz w:val="24"/>
                <w:szCs w:val="24"/>
              </w:rPr>
              <w:t>2</w:t>
            </w:r>
          </w:p>
        </w:tc>
        <w:tc>
          <w:tcPr>
            <w:tcW w:w="1067" w:type="dxa"/>
          </w:tcPr>
          <w:p w14:paraId="19C443C3">
            <w:pPr>
              <w:pStyle w:val="4"/>
              <w:rPr>
                <w:sz w:val="24"/>
                <w:szCs w:val="24"/>
              </w:rPr>
            </w:pPr>
            <w:r>
              <w:rPr>
                <w:rFonts w:ascii="仿宋_GB2312" w:hAnsi="仿宋_GB2312" w:eastAsia="仿宋_GB2312" w:cs="仿宋_GB2312"/>
                <w:sz w:val="24"/>
                <w:szCs w:val="24"/>
              </w:rPr>
              <w:t>★</w:t>
            </w:r>
          </w:p>
        </w:tc>
        <w:tc>
          <w:tcPr>
            <w:tcW w:w="8844" w:type="dxa"/>
          </w:tcPr>
          <w:p w14:paraId="21F14BCF">
            <w:pPr>
              <w:pStyle w:val="4"/>
              <w:jc w:val="left"/>
              <w:rPr>
                <w:sz w:val="24"/>
                <w:szCs w:val="24"/>
              </w:rPr>
            </w:pPr>
            <w:r>
              <w:rPr>
                <w:rFonts w:ascii="仿宋_GB2312" w:hAnsi="仿宋_GB2312" w:eastAsia="仿宋_GB2312" w:cs="仿宋_GB2312"/>
                <w:b/>
                <w:sz w:val="24"/>
                <w:szCs w:val="24"/>
              </w:rPr>
              <w:t>二、服务期限：</w:t>
            </w:r>
          </w:p>
          <w:p w14:paraId="38336F34">
            <w:pPr>
              <w:pStyle w:val="4"/>
              <w:jc w:val="both"/>
              <w:rPr>
                <w:sz w:val="24"/>
                <w:szCs w:val="24"/>
              </w:rPr>
            </w:pPr>
            <w:r>
              <w:rPr>
                <w:rFonts w:ascii="仿宋_GB2312" w:hAnsi="仿宋_GB2312" w:eastAsia="仿宋_GB2312" w:cs="仿宋_GB2312"/>
                <w:sz w:val="24"/>
                <w:szCs w:val="24"/>
              </w:rPr>
              <w:t>2.1 培训平台服务：服务期内提供线下精品课程和实训习题，主要面向本科生和研</w:t>
            </w:r>
          </w:p>
          <w:p w14:paraId="5FABCD28">
            <w:pPr>
              <w:pStyle w:val="4"/>
              <w:jc w:val="both"/>
              <w:rPr>
                <w:sz w:val="24"/>
                <w:szCs w:val="24"/>
              </w:rPr>
            </w:pPr>
            <w:r>
              <w:rPr>
                <w:rFonts w:ascii="仿宋_GB2312" w:hAnsi="仿宋_GB2312" w:eastAsia="仿宋_GB2312" w:cs="仿宋_GB2312"/>
                <w:sz w:val="24"/>
                <w:szCs w:val="24"/>
              </w:rPr>
              <w:t>究生，平台支持并发授权数200节点并发，用户可自行练习；</w:t>
            </w:r>
          </w:p>
          <w:p w14:paraId="7BD8C9F8">
            <w:pPr>
              <w:pStyle w:val="4"/>
              <w:jc w:val="both"/>
              <w:rPr>
                <w:sz w:val="24"/>
                <w:szCs w:val="24"/>
              </w:rPr>
            </w:pPr>
            <w:r>
              <w:rPr>
                <w:rFonts w:ascii="仿宋_GB2312" w:hAnsi="仿宋_GB2312" w:eastAsia="仿宋_GB2312" w:cs="仿宋_GB2312"/>
                <w:sz w:val="24"/>
                <w:szCs w:val="24"/>
              </w:rPr>
              <w:t>2.2 比赛培训服务：服务期内提供6次大赛赛前培训服务，每次培训服务时长不少</w:t>
            </w:r>
          </w:p>
          <w:p w14:paraId="25D7ED76">
            <w:pPr>
              <w:pStyle w:val="4"/>
              <w:rPr>
                <w:sz w:val="24"/>
                <w:szCs w:val="24"/>
              </w:rPr>
            </w:pPr>
            <w:r>
              <w:rPr>
                <w:rFonts w:ascii="仿宋_GB2312" w:hAnsi="仿宋_GB2312" w:eastAsia="仿宋_GB2312" w:cs="仿宋_GB2312"/>
                <w:sz w:val="24"/>
                <w:szCs w:val="24"/>
              </w:rPr>
              <w:t>于3天。</w:t>
            </w:r>
          </w:p>
        </w:tc>
      </w:tr>
      <w:tr w14:paraId="38AE6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2" w:hRule="atLeast"/>
        </w:trPr>
        <w:tc>
          <w:tcPr>
            <w:tcW w:w="709" w:type="dxa"/>
          </w:tcPr>
          <w:p w14:paraId="28B97D68">
            <w:pPr>
              <w:pStyle w:val="4"/>
              <w:rPr>
                <w:sz w:val="24"/>
                <w:szCs w:val="24"/>
              </w:rPr>
            </w:pPr>
            <w:r>
              <w:rPr>
                <w:rFonts w:ascii="仿宋_GB2312" w:hAnsi="仿宋_GB2312" w:eastAsia="仿宋_GB2312" w:cs="仿宋_GB2312"/>
                <w:sz w:val="24"/>
                <w:szCs w:val="24"/>
              </w:rPr>
              <w:t>3</w:t>
            </w:r>
          </w:p>
        </w:tc>
        <w:tc>
          <w:tcPr>
            <w:tcW w:w="1067" w:type="dxa"/>
          </w:tcPr>
          <w:p w14:paraId="5A33B466">
            <w:pPr>
              <w:rPr>
                <w:sz w:val="24"/>
                <w:szCs w:val="24"/>
              </w:rPr>
            </w:pPr>
          </w:p>
        </w:tc>
        <w:tc>
          <w:tcPr>
            <w:tcW w:w="8844" w:type="dxa"/>
          </w:tcPr>
          <w:p w14:paraId="7C0A66D7">
            <w:pPr>
              <w:pStyle w:val="4"/>
              <w:jc w:val="left"/>
              <w:rPr>
                <w:sz w:val="24"/>
                <w:szCs w:val="24"/>
              </w:rPr>
            </w:pPr>
            <w:r>
              <w:rPr>
                <w:rFonts w:ascii="仿宋_GB2312" w:hAnsi="仿宋_GB2312" w:eastAsia="仿宋_GB2312" w:cs="仿宋_GB2312"/>
                <w:b/>
                <w:sz w:val="24"/>
                <w:szCs w:val="24"/>
              </w:rPr>
              <w:t>三、服务人员要求：</w:t>
            </w:r>
          </w:p>
          <w:p w14:paraId="2DB100E7">
            <w:pPr>
              <w:pStyle w:val="4"/>
              <w:jc w:val="both"/>
              <w:rPr>
                <w:sz w:val="24"/>
                <w:szCs w:val="24"/>
              </w:rPr>
            </w:pPr>
            <w:r>
              <w:rPr>
                <w:rFonts w:ascii="仿宋_GB2312" w:hAnsi="仿宋_GB2312" w:eastAsia="仿宋_GB2312" w:cs="仿宋_GB2312"/>
                <w:sz w:val="24"/>
                <w:szCs w:val="24"/>
              </w:rPr>
              <w:t>3.1 项目经理需具备项目统筹相关能力，获得过相关证书资质，证书包括但不限于PMP、CISP认证、CISP-PTE认证、CISAW、CCIE、网络工程师、信息系统项目管理师、信息安全工程师等，择优选取；</w:t>
            </w:r>
          </w:p>
          <w:p w14:paraId="5F723ED5">
            <w:pPr>
              <w:pStyle w:val="4"/>
              <w:rPr>
                <w:sz w:val="24"/>
                <w:szCs w:val="24"/>
              </w:rPr>
            </w:pPr>
            <w:r>
              <w:rPr>
                <w:rFonts w:ascii="仿宋_GB2312" w:hAnsi="仿宋_GB2312" w:eastAsia="仿宋_GB2312" w:cs="仿宋_GB2312"/>
                <w:sz w:val="24"/>
                <w:szCs w:val="24"/>
              </w:rPr>
              <w:t>3.2 培训讲师能力要求：培训讲师需参加过 2022 年以来强网杯、网鼎杯、XCTF联赛和XNUCA联赛等国家级网络安全赛事，获三等奖及以上名次，并提供包含个人姓名的比赛获奖证书。</w:t>
            </w:r>
          </w:p>
        </w:tc>
      </w:tr>
      <w:tr w14:paraId="59B73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35" w:hRule="atLeast"/>
        </w:trPr>
        <w:tc>
          <w:tcPr>
            <w:tcW w:w="709" w:type="dxa"/>
          </w:tcPr>
          <w:p w14:paraId="2EA6DED9">
            <w:pPr>
              <w:pStyle w:val="4"/>
              <w:rPr>
                <w:sz w:val="24"/>
                <w:szCs w:val="24"/>
              </w:rPr>
            </w:pPr>
            <w:r>
              <w:rPr>
                <w:rFonts w:ascii="仿宋_GB2312" w:hAnsi="仿宋_GB2312" w:eastAsia="仿宋_GB2312" w:cs="仿宋_GB2312"/>
                <w:sz w:val="24"/>
                <w:szCs w:val="24"/>
              </w:rPr>
              <w:t>4</w:t>
            </w:r>
          </w:p>
        </w:tc>
        <w:tc>
          <w:tcPr>
            <w:tcW w:w="1067" w:type="dxa"/>
          </w:tcPr>
          <w:p w14:paraId="7AB5DED9">
            <w:pPr>
              <w:rPr>
                <w:sz w:val="24"/>
                <w:szCs w:val="24"/>
              </w:rPr>
            </w:pPr>
          </w:p>
        </w:tc>
        <w:tc>
          <w:tcPr>
            <w:tcW w:w="8844" w:type="dxa"/>
          </w:tcPr>
          <w:p w14:paraId="0F994CFF">
            <w:pPr>
              <w:pStyle w:val="4"/>
              <w:jc w:val="left"/>
              <w:rPr>
                <w:sz w:val="24"/>
                <w:szCs w:val="24"/>
              </w:rPr>
            </w:pPr>
            <w:r>
              <w:rPr>
                <w:rFonts w:ascii="仿宋_GB2312" w:hAnsi="仿宋_GB2312" w:eastAsia="仿宋_GB2312" w:cs="仿宋_GB2312"/>
                <w:b/>
                <w:sz w:val="24"/>
                <w:szCs w:val="24"/>
              </w:rPr>
              <w:t>四、采购标的需实现的功能或者目标：</w:t>
            </w:r>
          </w:p>
          <w:p w14:paraId="66978412">
            <w:pPr>
              <w:pStyle w:val="4"/>
              <w:jc w:val="left"/>
              <w:rPr>
                <w:sz w:val="24"/>
                <w:szCs w:val="24"/>
              </w:rPr>
            </w:pPr>
            <w:r>
              <w:rPr>
                <w:rFonts w:ascii="仿宋_GB2312" w:hAnsi="仿宋_GB2312" w:eastAsia="仿宋_GB2312" w:cs="仿宋_GB2312"/>
                <w:sz w:val="24"/>
                <w:szCs w:val="24"/>
              </w:rPr>
              <w:t>平台技术服务需求：通过构建虚拟化、智能化的实训竞赛服务平台，为学生提供贴近真实场景的操作环境。例如，靶场平台的建设可以模拟真实的网络安全攻防场景，帮助学生掌握复杂问题的解决能力。</w:t>
            </w:r>
          </w:p>
          <w:p w14:paraId="5AA72FF6">
            <w:pPr>
              <w:pStyle w:val="4"/>
              <w:jc w:val="left"/>
              <w:rPr>
                <w:sz w:val="24"/>
                <w:szCs w:val="24"/>
              </w:rPr>
            </w:pPr>
            <w:r>
              <w:rPr>
                <w:rFonts w:ascii="仿宋_GB2312" w:hAnsi="仿宋_GB2312" w:eastAsia="仿宋_GB2312" w:cs="仿宋_GB2312"/>
                <w:sz w:val="24"/>
                <w:szCs w:val="24"/>
              </w:rPr>
              <w:t>实训课程服务需求：针对不同学科特点，设计系统化的实训课程体系，包括信息安全基础、网络安全、系统安全、安全竞赛等内容。通过课程教学和实验实操，提升学生的动手能力和解决问题的能力。</w:t>
            </w:r>
          </w:p>
          <w:p w14:paraId="0B560BBE">
            <w:pPr>
              <w:pStyle w:val="4"/>
              <w:rPr>
                <w:sz w:val="24"/>
                <w:szCs w:val="24"/>
              </w:rPr>
            </w:pPr>
            <w:r>
              <w:rPr>
                <w:rFonts w:ascii="仿宋_GB2312" w:hAnsi="仿宋_GB2312" w:eastAsia="仿宋_GB2312" w:cs="仿宋_GB2312"/>
                <w:sz w:val="24"/>
                <w:szCs w:val="24"/>
              </w:rPr>
              <w:t>比赛培训服务需求：在通过平台提供理论赛、CTF夺旗赛、攻防赛、渗透赛、运维赛、沙盒攻防赛等多样化竞赛形式，提供实时数据监控、评分系统等功能，帮助学生在比赛中锻炼实战能力，同时为教师提供科学的评估依据。并提供大赛赛前培训服务。</w:t>
            </w:r>
          </w:p>
        </w:tc>
      </w:tr>
    </w:tbl>
    <w:p w14:paraId="589BC49B">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73FA2"/>
    <w:rsid w:val="6F17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2025-12-11T07:02:00Z</dcterms:created>
  <dc:creator>好好的</dc:creator>
  <cp:lastModifiedBy>好好的</cp:lastModifiedBy>
  <dcterms:modified xsi:type="dcterms:W3CDTF">2025-12-11T07:03:17Z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B3BA8BC971FB4FAC907A7F16212E6C65_11</vt:lpwstr>
  </property>
  <property fmtid="{D5CDD505-2E9C-101B-9397-08002B2CF9AE}" pid="4" name="KSOTemplateDocerSaveRecord">
    <vt:lpwstr>eyJoZGlkIjoiMGQ4ZTdmZWNkZThhYzU1MTNmMWJlNWM0M2ExM2M5MDQiLCJ1c2VySWQiOiIzMzEzMzk0MDUifQ==</vt:lpwstr>
  </property>
</Properties>
</file>