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852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72912B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75" w:hRule="atLeast"/>
        </w:trPr>
        <w:tc>
          <w:tcPr>
            <w:tcW w:w="8520" w:type="dxa"/>
          </w:tcPr>
          <w:p w14:paraId="15E8CB2F">
            <w:pPr>
              <w:pStyle w:val="17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614E1D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520" w:type="dxa"/>
          </w:tcPr>
          <w:p w14:paraId="49603988">
            <w:pPr>
              <w:pStyle w:val="17"/>
            </w:pPr>
            <w:r>
              <w:rPr>
                <w:rFonts w:ascii="仿宋_GB2312" w:hAnsi="仿宋_GB2312" w:eastAsia="仿宋_GB2312" w:cs="仿宋_GB2312"/>
              </w:rPr>
              <w:t>一、采购清单：</w:t>
            </w:r>
          </w:p>
          <w:tbl>
            <w:tblPr>
              <w:tblStyle w:val="12"/>
              <w:tblW w:w="0" w:type="auto"/>
              <w:tblInd w:w="12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70"/>
              <w:gridCol w:w="5169"/>
              <w:gridCol w:w="970"/>
              <w:gridCol w:w="970"/>
            </w:tblGrid>
            <w:tr w14:paraId="7FB6DC1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4" w:hRule="atLeast"/>
              </w:trPr>
              <w:tc>
                <w:tcPr>
                  <w:tcW w:w="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B8667C2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序号</w:t>
                  </w:r>
                </w:p>
              </w:tc>
              <w:tc>
                <w:tcPr>
                  <w:tcW w:w="5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FBD7A37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产品名称</w:t>
                  </w:r>
                </w:p>
              </w:tc>
              <w:tc>
                <w:tcPr>
                  <w:tcW w:w="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1714417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数量</w:t>
                  </w:r>
                </w:p>
              </w:tc>
              <w:tc>
                <w:tcPr>
                  <w:tcW w:w="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FF14B53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单位</w:t>
                  </w:r>
                </w:p>
              </w:tc>
            </w:tr>
            <w:tr w14:paraId="58C9019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</w:trPr>
              <w:tc>
                <w:tcPr>
                  <w:tcW w:w="97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6F7E92B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</w:t>
                  </w:r>
                </w:p>
              </w:tc>
              <w:tc>
                <w:tcPr>
                  <w:tcW w:w="516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4ABF97B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高性能图形服务器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887C6E6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AA413C9">
                  <w:pPr>
                    <w:pStyle w:val="17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套</w:t>
                  </w:r>
                </w:p>
              </w:tc>
            </w:tr>
          </w:tbl>
          <w:p w14:paraId="004AEC15"/>
        </w:tc>
      </w:tr>
      <w:tr w14:paraId="75F4B9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8520" w:type="dxa"/>
          </w:tcPr>
          <w:p w14:paraId="3EEC54C9">
            <w:pPr>
              <w:pStyle w:val="17"/>
              <w:jc w:val="both"/>
            </w:pPr>
            <w:r>
              <w:rPr>
                <w:rFonts w:ascii="仿宋_GB2312" w:hAnsi="仿宋_GB2312" w:eastAsia="仿宋_GB2312" w:cs="仿宋_GB2312"/>
                <w:b/>
              </w:rPr>
              <w:t>二、技术标准/配置要求：</w:t>
            </w:r>
            <w:bookmarkStart w:id="0" w:name="_GoBack"/>
            <w:bookmarkEnd w:id="0"/>
          </w:p>
          <w:p w14:paraId="459789F8">
            <w:pPr>
              <w:pStyle w:val="17"/>
              <w:jc w:val="both"/>
            </w:pPr>
            <w:r>
              <w:rPr>
                <w:rFonts w:ascii="仿宋_GB2312" w:hAnsi="仿宋_GB2312" w:eastAsia="仿宋_GB2312" w:cs="仿宋_GB2312"/>
                <w:b/>
              </w:rPr>
              <w:t>1、高性能图形服务器</w:t>
            </w:r>
          </w:p>
          <w:p w14:paraId="07BF342C">
            <w:pPr>
              <w:pStyle w:val="17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1.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 ★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机架式服务器，并提供机架安装条件，高度≤4U</w:t>
            </w:r>
          </w:p>
          <w:p w14:paraId="7F9CC73C">
            <w:pPr>
              <w:pStyle w:val="17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2.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 ★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CPU:最大可扩展支持配置2颗CPU，每颗CPU核心数≥32核，每颗CPU主频≥2.1GHz；缓存≥36MB；搭载数量≥2个；最大睿频频率≥3.4GHZ</w:t>
            </w:r>
          </w:p>
          <w:p w14:paraId="42CEF56F">
            <w:pPr>
              <w:pStyle w:val="17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3.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 ★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内存：≥32条内存插槽，支持DDR5 ECC 4800/5600 MHz 内存，支持高级内存纠错、内存镜像、内存热备等功能，≥1024GB DDR5 RDIMM内存，单条内存≥64GB,内存条数量≥16根</w:t>
            </w:r>
          </w:p>
          <w:p w14:paraId="3CA88A66">
            <w:pPr>
              <w:pStyle w:val="17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4.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 ★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存储：热插拔硬盘位≥24个2.5寸/12个3.5寸，支持SAS/SATA/NVME接口类型，支持16个U.2 NVME硬盘位，≥12个3.5/2.5寸SAS/SATA硬盘位含硬盘支架，其中4盘位可升级NVME硬盘，≥2块2.5寸480GB NVME SSD硬盘，≥2块2.5寸1.92TB NVME SSD 硬盘</w:t>
            </w:r>
          </w:p>
          <w:p w14:paraId="6C5AB8F7">
            <w:pPr>
              <w:pStyle w:val="17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5.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 ★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RAID控制器：≥1块RAID卡，支持RAID 0,1,5,6,10,50,60等多种模式，缓存≥4GB，支持掉电保护功能，支持硬盘直通模式</w:t>
            </w:r>
          </w:p>
          <w:p w14:paraId="362E33DF">
            <w:pPr>
              <w:pStyle w:val="17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6.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 ★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PCle：支持≥11个标准PCle5.0插槽</w:t>
            </w:r>
          </w:p>
          <w:p w14:paraId="4D27B722">
            <w:pPr>
              <w:pStyle w:val="17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7.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 ★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GPU：支持≥10个双宽全高全长的GPU卡，≥8张GPU卡，单卡显存≥48G，显存位宽≥384位，核心数量≥14592，基础频率≥2.28GHz，加速频率≥2.52GHz</w:t>
            </w:r>
          </w:p>
          <w:p w14:paraId="540C2AAF">
            <w:pPr>
              <w:pStyle w:val="17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8.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 ★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电源：≥4个2700W钛金电源，支持2+2或3+1冗余模式，转化率≥95%</w:t>
            </w:r>
          </w:p>
          <w:p w14:paraId="03DA7394">
            <w:pPr>
              <w:pStyle w:val="17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9.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 ★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网口：≥2个万兆光口（满配光模块），≥4个千兆电口</w:t>
            </w:r>
          </w:p>
          <w:p w14:paraId="28379BCA">
            <w:pPr>
              <w:pStyle w:val="17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10.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 ★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提供本地管理功能，具有本地机器状态显示功能，实现独立于操作系统的远程操作，包括远程的开机、关机、重启、监控CPU，电源状态，温度等，支持IPMI、SOL、KVM Over IP、虚拟媒体等管理特性；（提供佐证材料。）</w:t>
            </w:r>
          </w:p>
          <w:p w14:paraId="7A2C0181">
            <w:pPr>
              <w:pStyle w:val="17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11.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 ★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提供超融合单节点软件授权（含计算虚拟化、存储虚拟化、网络虚拟化）软件含下述功能：</w:t>
            </w:r>
          </w:p>
          <w:p w14:paraId="2EF6521A">
            <w:pPr>
              <w:pStyle w:val="17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①统一图形界面管理:提供虚拟化(计算虚拟化、网络虚拟化、存储虚拟化)的统一的图形界面管理软件，可在一个管理平台下完成所有虚拟化的日常管理工作。（提供佐证材料。）</w:t>
            </w:r>
          </w:p>
          <w:p w14:paraId="31C5E711">
            <w:pPr>
              <w:pStyle w:val="17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②云主机管理:支持云主机全生命周期管理，创建、开机、关机、重置操作系统、调整配置、删除等操作。（提供佐证材料。）</w:t>
            </w:r>
          </w:p>
          <w:p w14:paraId="786A6A87">
            <w:pPr>
              <w:pStyle w:val="17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③多租户管理:支持设置租户可使用的区域、资源群集、项目数量，并支持针对租户设置配额，包含云主机、虚拟内核、内存、网络、子网、路由、外网IP、负载均衡、监听器、安全组、安全组规则、云硬盘、云硬盘快照、云硬盘备份数量、云硬盘备份容量等。（提供佐证材料。）</w:t>
            </w:r>
          </w:p>
          <w:p w14:paraId="6C9A8F27">
            <w:pPr>
              <w:pStyle w:val="17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④日志审计:支持记录用户在平台内的行为操作，以供审计需要，在操作日志中支持按时间段、对象ID、对象名称、任务、用户名称、用户ID、项目名称、项目ID等条件査询，并支持导出。（提供佐证材料。）</w:t>
            </w:r>
          </w:p>
          <w:p w14:paraId="00A36B6D">
            <w:pPr>
              <w:pStyle w:val="17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⑤审批管理:支持创建审批流程，灵活选择应用于子网、弹性伸缩、负载均衡、云主机、对象存储.路由器等服务，支持设置审批人和审批模式(会签及或签)，自定义流程，并支持设置审批节点上限。（提供佐证材料。）</w:t>
            </w:r>
          </w:p>
          <w:p w14:paraId="1372EF14">
            <w:pPr>
              <w:pStyle w:val="17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⑥重置状态：为了应对云主机突发问题，需要紧急修复，要求云主机支持重置状态功能，提供运行中/错误状态供选择。（提供佐证材料。）</w:t>
            </w:r>
          </w:p>
          <w:p w14:paraId="00A95EA9">
            <w:pPr>
              <w:pStyle w:val="17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⑦消息公告：支持创建消息公告，可设置消息类型（故障通知、活动通知、产品通知、资源通知、账户通知）、有效时间、标题内容、消息内容（图片、表格、字体颜色等），并支持基于时间段、标题内容、消息类型、创建时间、发布时间等信息查询。（提供佐证材料。）</w:t>
            </w:r>
          </w:p>
          <w:p w14:paraId="47E7E13A">
            <w:pPr>
              <w:pStyle w:val="17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⑧消息设置：支持配置资源到期提醒周期、账户余额不足提醒周期、账户欠费提醒周期。（提供佐证材料。）</w:t>
            </w:r>
          </w:p>
          <w:p w14:paraId="5718A723">
            <w:pPr>
              <w:pStyle w:val="17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⑨服务管理：为了简化运维，要求软件支持在可视化界面查看Nova、cinder、heat等服务状态。负载均衡：提供L4-L7负载均衡服务，支持 TCP/HTTP 协议负载均衡，支持轮询、最小连接数、源 IP 转发等算法。支持基于TCP、HTTP的监听服务，当客户端发起访问请求时，负载均衡器可通过轮训、最小连接数、源IP对的方式将访问压力分发到后端资源池内的多台服务器上，支持基于PING、TCP、HTTP等协议的负载均衡健康检查。（提供佐证材料。）</w:t>
            </w:r>
          </w:p>
          <w:p w14:paraId="49C96F96">
            <w:pPr>
              <w:pStyle w:val="17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⑩需具有系统集成、管理功能、WEB端功能、桌面客户端功能、移动客户端功能；支持后端与Ceph/S3对接；支持部署多个网盘节点组成集群，提供扩展性和高可用保证；直接使用AD中的用户登录，可以从AD中导入用户，AD中增删用户可同步到网盘数据库；支持登陆时采用短信或者二维码的方式进行双因素验证，提升账户安全性；支持用户添加、删除、禁用、启用；支持单个用户分别设定空间配额；把AD中已有的群组导入为网盘群组；管理员可以查看系统中的资料库，删除或者转移所有者；管理员可查看和管理连接到服务器的客户端；可定期扫描服务器上的文件，并生成报告；具有多目录同步；挂载盘客户端；具有移动客户端功能，Android客户端和IOS客户端；支持浏览功能，上传下载，IOS文档交互；文件操作支持外链分享；协作和分享功能，共享文件夹；共享权限；子目录权限设置；共享用户搜集；群组共享；退出共享；外链功能，外链密码；外链有效期；上传外链；外链管理；WEB端需举报大文件上传；批量上传；打包下载；版本回收；文件锁定；支持图片在线预览；支持文件名目录名搜索；锁定文件只允许自己编辑。（提供软件著作权证书）</w:t>
            </w:r>
          </w:p>
          <w:p w14:paraId="5671C8E0">
            <w:pPr>
              <w:pStyle w:val="17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12.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 ★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杀毒软件：</w:t>
            </w:r>
          </w:p>
          <w:p w14:paraId="0C578540">
            <w:pPr>
              <w:pStyle w:val="17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①扫描速度:快速扫描:≤60秒(系统关键路径)，全盘扫描:根据磁盘大小,100-500MB/s，文件扫描吞吐量:≥1000文件/秒；</w:t>
            </w:r>
          </w:p>
          <w:p w14:paraId="5A90E6EA">
            <w:pPr>
              <w:pStyle w:val="17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②病毒库规模:支持病毒签名数量≥10000个，病毒库缓存大小≥10000条记录，扫描算法:哈希算法SHA-256，签名匹配:完全哈希匹配；</w:t>
            </w:r>
          </w:p>
          <w:p w14:paraId="42C687EA">
            <w:pPr>
              <w:pStyle w:val="17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③扫描覆盖范围快速扫描路径数:Windows:7个关键路径，Linux:8个关键路径扫描深度:支持递归扫描,无限制层级文件类型支持:全文件类型(二进制匹配)；</w:t>
            </w:r>
          </w:p>
          <w:p w14:paraId="44F832B8">
            <w:pPr>
              <w:pStyle w:val="17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④威胁检测威胁类型识别:Trojan(木马)、Worm(蠕虫)、Spyware(间谍软件)、Adware(广告软件)、Ransomware(勒索软件)和Virus(传统病毒)等，检测准确率:已知病毒检测率:100%(基于病毒库)，误报率:≤0.1%；</w:t>
            </w:r>
          </w:p>
          <w:p w14:paraId="5B087A6C">
            <w:pPr>
              <w:pStyle w:val="17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⑤隔离管理：隔离文件保护，移动至受保护目录,不压缩不加密。恢复机制:支持原路径恢复、自定义路径恢复、路径重建。为保障后期维护要求，服务器品牌和杀毒软件为同一品牌，并提供佐证材料。</w:t>
            </w:r>
          </w:p>
          <w:p w14:paraId="6F88E736">
            <w:pPr>
              <w:pStyle w:val="17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13.IP地址管理平台：</w:t>
            </w:r>
          </w:p>
          <w:p w14:paraId="2422E9C8">
            <w:pPr>
              <w:pStyle w:val="17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①部署架构：支持HA部署模式，可虚拟IP提供服务；网管支持主备管理模式，提高冗余性，主网管出现故障时备网管自动接管管理功能，在web界面上能够看到多台设备的主备信息；针对DHCP功能，支持DHCP Failover部署；</w:t>
            </w:r>
          </w:p>
          <w:p w14:paraId="56688D1B">
            <w:pPr>
              <w:pStyle w:val="17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②管理功能：支持统一集中管理，通过统一的管理平台完成所有设备配置和管理；支持API接口，提供主要功能的基于RESTful的web服务的编程接口；支持详细日志管理功能，包含不限于：解析日志、登陆日志、系统日志、威胁日志、强制解析日志等日志分类；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★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支持多种告警通知方式，至少包括：SNMP、syslog、Kafka等；</w:t>
            </w:r>
          </w:p>
          <w:p w14:paraId="717D60E4">
            <w:pPr>
              <w:pStyle w:val="17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③DHCP功能：支持 IPv4、IPv6 地址动态分配、固定分配，提供灵活的租约管理。多层级父子网络展示，可自定义网络属性，父网络属性支持继承给子网络。支持DDNS功能，对DHCP分配的IP地址，系统将客户端携带的主机名动态更新到DNS授权配置，实时更新对应的域名解析IP为DHCP分配的IP地址，并提供解析服务；支持租约管理，可手动进行租赁清除和导出；支持基于Option、MAC、指纹的访问控制列表，用于地址分配控制；支持DHCP服务，设备支持在分配动态IP前进行Ping检查这一IP冲突检测机制；</w:t>
            </w:r>
          </w:p>
          <w:p w14:paraId="0D0B0246">
            <w:pPr>
              <w:pStyle w:val="17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④IPAM功能：支持网络管理，对网络进行网络块的拆分、合并、缩放功能，为网络的规划和使用提供灵活的管理入口；支持对网络进行批量的导入导出功能，支持网络地址、固定地址、保留地址、地址池进行一键导入；支持地址注册/变更/撤销流程，可通过管理系统一键申请可用的地址进行IP/MAC/域名的多维绑定；支持MAC管理，通过对接入网络的终端标识进行登记，完成客户对资产的管理要求；支持联动交换机进行封堵和绑定，支持对封堵地址进行状态计算和标识；支持资产发现，将未登记的的资产进行识别并提醒用户处理；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★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支持IP地址有效期控制，支持到期IP地址禁用、禁止、删除等测试，支持到期短信、邮箱通知；对于未录入的MAC资产，系统能够自动感知，并自动提供辅助信息（主机名、IP地址、指纹信息、上线时间、网络位置）帮助客户快速录入MAC资产。管理系统可统一查看活动租约，并可以指定网段/IP地址/MAC地址/主机名等条件筛选, 租约信息包含DHCP设备名称、网段、IP地址、MAC地址、分配方式、租约状态、地址状态、分配时间、失效时间、线路信息、主机名、浮动主机名、指纹等信息；</w:t>
            </w:r>
          </w:p>
          <w:p w14:paraId="3EEB5C18">
            <w:pPr>
              <w:pStyle w:val="17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⑤安全防护：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★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支持对IP异常包、UDP异常包、DNS异常包进行识别和拦截的功能开关，在web配置界面上可实现指定功能的开启和关闭；支持基于类型防护控制；针对转发功能设置IP黑名单，在黑名单内的IP地址不能使用转发功能；支持基于源IP、源IP段、域、域名等各种维度的DNS流量限速；支持web界面设置用户的登录策略如多处登录、登录失败次数限制、登录失败锁定时间、登录超时时间、登录IP段限制；支持对于源IP的流量限速，支持对于指定域名的流量限速，支持对于指定域的流量限速，支持对于递归流量的限速；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★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支持威胁情报功能，针对递归用户的自动分析合法/非法域名，根据防护策略，应对给客户端；</w:t>
            </w:r>
          </w:p>
          <w:p w14:paraId="58D79FAC">
            <w:pPr>
              <w:pStyle w:val="17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⑥分析报表：支持对设备针对硬件运行情况分析报表；支持DNS、DHCP和IPAM业务情况分析报告。</w:t>
            </w:r>
          </w:p>
          <w:p w14:paraId="11027BFF">
            <w:pPr>
              <w:pStyle w:val="17"/>
              <w:jc w:val="both"/>
            </w:pPr>
            <w:r>
              <w:rPr>
                <w:rFonts w:ascii="仿宋_GB2312" w:hAnsi="仿宋_GB2312" w:eastAsia="仿宋_GB2312" w:cs="仿宋_GB2312"/>
              </w:rPr>
              <w:t>14.预装国产化操作系统：</w:t>
            </w:r>
          </w:p>
          <w:p w14:paraId="253C48EC">
            <w:pPr>
              <w:pStyle w:val="17"/>
              <w:jc w:val="both"/>
            </w:pPr>
            <w:r>
              <w:rPr>
                <w:rFonts w:ascii="仿宋_GB2312" w:hAnsi="仿宋_GB2312" w:eastAsia="仿宋_GB2312" w:cs="仿宋_GB2312"/>
              </w:rPr>
              <w:t>①★系统内核：同一镜像，在系统安装时，提供4.19和5.10的内核版本。（提供系统截图（含品牌标识）、服务器操作系统（双内核）软著证书）</w:t>
            </w:r>
          </w:p>
          <w:p w14:paraId="378C1A84">
            <w:pPr>
              <w:pStyle w:val="17"/>
              <w:jc w:val="both"/>
            </w:pPr>
            <w:r>
              <w:rPr>
                <w:rFonts w:ascii="仿宋_GB2312" w:hAnsi="仿宋_GB2312" w:eastAsia="仿宋_GB2312" w:cs="仿宋_GB2312"/>
              </w:rPr>
              <w:t>②CPU支持：支持AMD64、ARM64、MIPS64、SW64、LoongArch等架构的CPU。</w:t>
            </w:r>
          </w:p>
          <w:p w14:paraId="4BF26017">
            <w:pPr>
              <w:pStyle w:val="17"/>
              <w:jc w:val="both"/>
            </w:pPr>
            <w:r>
              <w:rPr>
                <w:rFonts w:ascii="仿宋_GB2312" w:hAnsi="仿宋_GB2312" w:eastAsia="仿宋_GB2312" w:cs="仿宋_GB2312"/>
              </w:rPr>
              <w:t>③中文支持：采用i18n（国际化）技术和标准，支持最新国家标准字符集GB18030-2022。</w:t>
            </w:r>
          </w:p>
          <w:p w14:paraId="2D399EA1">
            <w:pPr>
              <w:pStyle w:val="17"/>
              <w:jc w:val="both"/>
            </w:pPr>
            <w:r>
              <w:rPr>
                <w:rFonts w:ascii="仿宋_GB2312" w:hAnsi="仿宋_GB2312" w:eastAsia="仿宋_GB2312" w:cs="仿宋_GB2312"/>
              </w:rPr>
              <w:t>④基本功能：提供文件管理、用户帐户管理、用户组管理、设备管理、日志管理、网络管理、输入法管理、软件更新管理等基本功能。</w:t>
            </w:r>
          </w:p>
          <w:p w14:paraId="63F05CAA">
            <w:pPr>
              <w:pStyle w:val="17"/>
              <w:jc w:val="both"/>
            </w:pPr>
            <w:r>
              <w:rPr>
                <w:rFonts w:ascii="仿宋_GB2312" w:hAnsi="仿宋_GB2312" w:eastAsia="仿宋_GB2312" w:cs="仿宋_GB2312"/>
              </w:rPr>
              <w:t>⑤★浏览器：系统预装自研浏览器，且浏览器产品满足GM/T 0087《浏览器密码应用接口规范》、GM/T 0028《密码模块安全技术要求》、GB/T 38636《信息安全技术传输层密码协议（TLCP）》等规范标准。（提供与操作系统同品牌的浏览器软著证书、浏览器商用密码产品认证证书）</w:t>
            </w:r>
          </w:p>
          <w:p w14:paraId="705C1241">
            <w:pPr>
              <w:pStyle w:val="17"/>
              <w:jc w:val="both"/>
            </w:pPr>
            <w:r>
              <w:rPr>
                <w:rFonts w:ascii="仿宋_GB2312" w:hAnsi="仿宋_GB2312" w:eastAsia="仿宋_GB2312" w:cs="仿宋_GB2312"/>
              </w:rPr>
              <w:t>⑥虚拟化管理：支持虚拟化解决方案，如OpenStack、KVM、Docker、Hyper-V等。</w:t>
            </w:r>
          </w:p>
          <w:p w14:paraId="71D95F4F">
            <w:pPr>
              <w:pStyle w:val="17"/>
              <w:jc w:val="both"/>
            </w:pPr>
            <w:r>
              <w:rPr>
                <w:rFonts w:ascii="仿宋_GB2312" w:hAnsi="仿宋_GB2312" w:eastAsia="仿宋_GB2312" w:cs="仿宋_GB2312"/>
              </w:rPr>
              <w:t>⑦★全栈国密支持：系统内置国密算法，支持基于国密算法的加解密应用，支持国密SM2/3/4；提供国密版内核模块签名机制，支持国密算法，以保证内核模块的可信性，禁止未签名模块加载至内核；软件包仓库及管理命令支持国密算法；提供OpenSSL、Libgcrypt、Gnulib、Nettle、Hashes、libkcapi、OpenSSH等常见算法库的国密版本，OpenSSL须支持X509、PKCS#7证书。（提供测试步骤及测试结果截图）</w:t>
            </w:r>
          </w:p>
          <w:p w14:paraId="40483C4D">
            <w:pPr>
              <w:pStyle w:val="17"/>
              <w:jc w:val="both"/>
            </w:pPr>
            <w:r>
              <w:rPr>
                <w:rFonts w:ascii="仿宋_GB2312" w:hAnsi="仿宋_GB2312" w:eastAsia="仿宋_GB2312" w:cs="仿宋_GB2312"/>
              </w:rPr>
              <w:t>⑧★安全加固：支持安全访问统一控制的安全框架，提供系统安全加固、完整性度量、应用管控、可信保护、三权分立等功能，支持选择高、中两种安全基线选择。（提供与操作系统同品牌安全软件软著证书、系统功能截图）</w:t>
            </w:r>
          </w:p>
          <w:p w14:paraId="3E323974">
            <w:pPr>
              <w:pStyle w:val="17"/>
              <w:jc w:val="both"/>
            </w:pPr>
            <w:r>
              <w:rPr>
                <w:rFonts w:ascii="仿宋_GB2312" w:hAnsi="仿宋_GB2312" w:eastAsia="仿宋_GB2312" w:cs="仿宋_GB2312"/>
              </w:rPr>
              <w:t>⑨★核心基础组件代码开源率：为保障操作系统供应链安全，系统核心基础组件代码开源率为0%，其中至少包括桌面环境、动态链接库。（提供第三方检测机构产品源代码溯源扫描评估报告）</w:t>
            </w:r>
          </w:p>
          <w:p w14:paraId="20DED633">
            <w:pPr>
              <w:pStyle w:val="17"/>
              <w:jc w:val="both"/>
            </w:pPr>
            <w:r>
              <w:rPr>
                <w:rFonts w:ascii="仿宋_GB2312" w:hAnsi="仿宋_GB2312" w:eastAsia="仿宋_GB2312" w:cs="仿宋_GB2312"/>
              </w:rPr>
              <w:t>⑩★运维监管：提供静态数据收集工具，可一键采集OS的关键静态数据，并生成数据分析报表，辅助定位运维问题；支持自研运维监管平台，可视化系统软硬件和日志等信息，支持异常数据自动打包分析、多版本仓库的批量管理与运维功能，并提供仓库更新与同步报表。（提供功能截图）</w:t>
            </w:r>
          </w:p>
          <w:p w14:paraId="0DB93E72">
            <w:pPr>
              <w:pStyle w:val="17"/>
              <w:jc w:val="both"/>
            </w:pPr>
            <w:r>
              <w:rPr>
                <w:rFonts w:ascii="仿宋_GB2312" w:hAnsi="仿宋_GB2312" w:eastAsia="仿宋_GB2312" w:cs="仿宋_GB2312"/>
              </w:rPr>
              <w:t>⑪★评估分析：支持同品牌国产Linux系统通用压力分析套件软件、通用性能评分套件软件。（提供软著证书）</w:t>
            </w:r>
          </w:p>
          <w:p w14:paraId="7A561817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⑫★技术服务能力：操作系统原厂商须满足GB/T 27922-2011《商品售后服务评价体系》国家标准和CTEAS1001售后服务体系完善程度认证。（提供认证证书）</w:t>
            </w:r>
          </w:p>
          <w:p w14:paraId="3AE44D7F">
            <w:pPr>
              <w:pStyle w:val="17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1"/>
              </w:rPr>
              <w:t>注:带“★”的参数需求为实质性要求，供应商必须响应并满足的参数需求，并提供佐证材料（不限于第三方检测报告或官网截图或使用说明书或产品彩页等）</w:t>
            </w:r>
          </w:p>
        </w:tc>
      </w:tr>
      <w:tr w14:paraId="7DF369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8520" w:type="dxa"/>
          </w:tcPr>
          <w:p w14:paraId="5452A12D">
            <w:pPr>
              <w:pStyle w:val="17"/>
              <w:jc w:val="both"/>
            </w:pPr>
            <w:r>
              <w:rPr>
                <w:rFonts w:ascii="仿宋_GB2312" w:hAnsi="仿宋_GB2312" w:eastAsia="仿宋_GB2312" w:cs="仿宋_GB2312"/>
                <w:b/>
              </w:rPr>
              <w:t>三、培训</w:t>
            </w:r>
          </w:p>
          <w:p w14:paraId="10E07230">
            <w:pPr>
              <w:pStyle w:val="17"/>
            </w:pPr>
            <w:r>
              <w:rPr>
                <w:rFonts w:ascii="仿宋_GB2312" w:hAnsi="仿宋_GB2312" w:eastAsia="仿宋_GB2312" w:cs="仿宋_GB2312"/>
              </w:rPr>
              <w:t>1、供应商有义务为用户提供不少于4次培训，其中硬件培训时间累计不少于8小时，软件培训时间累计不少于8小时。并对高性能图形工作站进行维护和安全检查，培训费用由供应商承担。</w:t>
            </w:r>
          </w:p>
          <w:p w14:paraId="79B85788">
            <w:pPr>
              <w:pStyle w:val="17"/>
            </w:pPr>
            <w:r>
              <w:rPr>
                <w:rFonts w:ascii="仿宋_GB2312" w:hAnsi="仿宋_GB2312" w:eastAsia="仿宋_GB2312" w:cs="仿宋_GB2312"/>
              </w:rPr>
              <w:t>2、仪器使用培训的内容包括：仪器的使用操作、日常的维护保养及简单的故障维修，使用户能够独立使用和获取正确的数据。培训完成后，供应商需提供仪器的使用手册和常规故障排除说明。（应用培训的内容需根据用户具体情况安排有针对性的应用培训。）</w:t>
            </w:r>
          </w:p>
          <w:p w14:paraId="7E351996">
            <w:pPr>
              <w:pStyle w:val="17"/>
            </w:pPr>
            <w:r>
              <w:rPr>
                <w:rFonts w:ascii="仿宋_GB2312" w:hAnsi="仿宋_GB2312" w:eastAsia="仿宋_GB2312" w:cs="仿宋_GB2312"/>
                <w:b/>
              </w:rPr>
              <w:t>3、其他要求：供应商为用户提供至少一次免费设备移机服务</w:t>
            </w:r>
          </w:p>
        </w:tc>
      </w:tr>
    </w:tbl>
    <w:p w14:paraId="73975B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D462AD"/>
    <w:multiLevelType w:val="multilevel"/>
    <w:tmpl w:val="55D462AD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eastAsia" w:eastAsia="宋体"/>
        <w:b/>
        <w:i w:val="0"/>
        <w:sz w:val="24"/>
        <w:szCs w:val="24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eastAsia" w:ascii="宋体" w:hAnsi="宋体" w:eastAsia="宋体"/>
        <w:b/>
        <w:i w:val="0"/>
        <w:color w:val="auto"/>
        <w:sz w:val="24"/>
        <w:szCs w:val="24"/>
        <w:u w:val="none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eastAsia" w:ascii="宋体" w:hAnsi="宋体" w:eastAsia="宋体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 w:ascii="宋体" w:hAnsi="宋体" w:eastAsia="宋体"/>
        <w:b/>
        <w:sz w:val="24"/>
        <w:szCs w:val="24"/>
      </w:rPr>
    </w:lvl>
    <w:lvl w:ilvl="4" w:tentative="0">
      <w:start w:val="1"/>
      <w:numFmt w:val="decimal"/>
      <w:pStyle w:val="6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  <w:b/>
        <w:i w:val="0"/>
        <w:sz w:val="24"/>
        <w:szCs w:val="24"/>
      </w:rPr>
    </w:lvl>
    <w:lvl w:ilvl="5" w:tentative="0">
      <w:start w:val="1"/>
      <w:numFmt w:val="decimal"/>
      <w:pStyle w:val="7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 w:ascii="宋体" w:hAnsi="宋体" w:eastAsia="宋体"/>
      </w:rPr>
    </w:lvl>
    <w:lvl w:ilvl="6" w:tentative="0">
      <w:start w:val="1"/>
      <w:numFmt w:val="decimal"/>
      <w:pStyle w:val="8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 w:ascii="宋体" w:hAnsi="宋体" w:eastAsia="宋体"/>
      </w:rPr>
    </w:lvl>
    <w:lvl w:ilvl="7" w:tentative="0">
      <w:start w:val="1"/>
      <w:numFmt w:val="decimal"/>
      <w:pStyle w:val="9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pStyle w:val="10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C53AB"/>
    <w:rsid w:val="350F723F"/>
    <w:rsid w:val="46C41160"/>
    <w:rsid w:val="47A00955"/>
    <w:rsid w:val="4C994F45"/>
    <w:rsid w:val="4FFA62C3"/>
    <w:rsid w:val="51193204"/>
    <w:rsid w:val="589E15DC"/>
    <w:rsid w:val="5B394BC5"/>
    <w:rsid w:val="60CF045C"/>
    <w:rsid w:val="67C14DF2"/>
    <w:rsid w:val="699971B7"/>
    <w:rsid w:val="6B3E7E6D"/>
    <w:rsid w:val="706B300A"/>
    <w:rsid w:val="75C51318"/>
    <w:rsid w:val="780A5382"/>
    <w:rsid w:val="78897695"/>
    <w:rsid w:val="7CDE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25" w:hanging="425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after="260" w:line="360" w:lineRule="auto"/>
      <w:outlineLvl w:val="1"/>
    </w:pPr>
    <w:rPr>
      <w:rFonts w:ascii="宋体" w:hAnsi="宋体" w:eastAsia="宋体"/>
      <w:b/>
      <w:bCs/>
      <w:sz w:val="24"/>
      <w:szCs w:val="18"/>
    </w:rPr>
  </w:style>
  <w:style w:type="paragraph" w:styleId="4">
    <w:name w:val="heading 3"/>
    <w:basedOn w:val="1"/>
    <w:next w:val="1"/>
    <w:link w:val="16"/>
    <w:semiHidden/>
    <w:unhideWhenUsed/>
    <w:qFormat/>
    <w:uiPriority w:val="0"/>
    <w:pPr>
      <w:keepNext/>
      <w:keepLines/>
      <w:spacing w:before="260" w:after="260" w:line="360" w:lineRule="auto"/>
      <w:ind w:left="0" w:firstLine="0"/>
      <w:outlineLvl w:val="2"/>
    </w:pPr>
    <w:rPr>
      <w:rFonts w:ascii="Times New Roman" w:hAnsi="Times New Roman" w:eastAsia="宋体"/>
      <w:b/>
      <w:bCs/>
      <w:sz w:val="24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tLeast"/>
      <w:outlineLvl w:val="3"/>
    </w:pPr>
    <w:rPr>
      <w:b/>
      <w:spacing w:val="20"/>
      <w:sz w:val="28"/>
      <w:szCs w:val="20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992" w:hanging="99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6" w:hanging="127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9" w:hanging="1559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标题 2 Char"/>
    <w:link w:val="3"/>
    <w:qFormat/>
    <w:uiPriority w:val="0"/>
    <w:rPr>
      <w:rFonts w:ascii="宋体" w:hAnsi="宋体" w:eastAsia="宋体"/>
      <w:b/>
      <w:bCs/>
      <w:kern w:val="2"/>
      <w:sz w:val="24"/>
      <w:szCs w:val="18"/>
    </w:rPr>
  </w:style>
  <w:style w:type="character" w:customStyle="1" w:styleId="16">
    <w:name w:val="标题 3 Char"/>
    <w:link w:val="4"/>
    <w:qFormat/>
    <w:uiPriority w:val="0"/>
    <w:rPr>
      <w:rFonts w:ascii="Times New Roman" w:hAnsi="Times New Roman" w:eastAsia="宋体"/>
      <w:b/>
      <w:bCs/>
      <w:kern w:val="2"/>
      <w:sz w:val="24"/>
      <w:szCs w:val="32"/>
    </w:rPr>
  </w:style>
  <w:style w:type="paragraph" w:customStyle="1" w:styleId="1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4684</Words>
  <Characters>5379</Characters>
  <Lines>0</Lines>
  <Paragraphs>0</Paragraphs>
  <TotalTime>0</TotalTime>
  <ScaleCrop>false</ScaleCrop>
  <LinksUpToDate>false</LinksUpToDate>
  <CharactersWithSpaces>5418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2022-09-07T05:52:00Z</dcterms:created>
  <dc:creator>Administrator</dc:creator>
  <cp:lastModifiedBy>起点</cp:lastModifiedBy>
  <dcterms:modified xsi:type="dcterms:W3CDTF">2025-12-12T01:58:06Z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466DA3339AB84D6DADD071CF891D7CBE</vt:lpwstr>
  </property>
  <property fmtid="{D5CDD505-2E9C-101B-9397-08002B2CF9AE}" pid="4" name="KSOTemplateDocerSaveRecord">
    <vt:lpwstr>eyJoZGlkIjoiNzQ2Y2ZmOTBkMTUyODBhYTJmYzM2MWM5NGIxYjkxMDYiLCJ1c2VySWQiOiI2Mjk5OTE3MzAifQ==</vt:lpwstr>
  </property>
</Properties>
</file>