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版本号：CGZC-2025-238-0120251201001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西安浐灞国际港2025年-2026年医保经办业务协办服务项目(二次)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CGZC-2025-238-01</w:t>
      </w:r>
      <w:r>
        <w:br/>
      </w:r>
      <w:r>
        <w:br/>
      </w:r>
      <w:r>
        <w:br/>
      </w:r>
    </w:p>
    <w:p>
      <w:pPr>
        <w:pStyle w:val="null3"/>
        <w:jc w:val="center"/>
        <w:outlineLvl w:val="2"/>
      </w:pPr>
      <w:r>
        <w:rPr>
          <w:rFonts w:ascii="仿宋_GB2312" w:hAnsi="仿宋_GB2312" w:cs="仿宋_GB2312" w:eastAsia="仿宋_GB2312"/>
          <w:sz w:val="28"/>
          <w:b/>
        </w:rPr>
        <w:t>西安浐灞国际港公共服务局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西安浐灞国际港公共服务局</w:t>
      </w:r>
      <w:r>
        <w:rPr>
          <w:rFonts w:ascii="仿宋_GB2312" w:hAnsi="仿宋_GB2312" w:cs="仿宋_GB2312" w:eastAsia="仿宋_GB2312"/>
        </w:rPr>
        <w:t>委托，拟对</w:t>
      </w:r>
      <w:r>
        <w:rPr>
          <w:rFonts w:ascii="仿宋_GB2312" w:hAnsi="仿宋_GB2312" w:cs="仿宋_GB2312" w:eastAsia="仿宋_GB2312"/>
        </w:rPr>
        <w:t>西安浐灞国际港2025年-2026年医保经办业务协办服务项目(二次)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CGZC-2025-238-01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西安浐灞国际港2025年-2026年医保经办业务协办服务项目(二次)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西安浐灞国际港2025年-2026年医保经办业务协办服务项目(二次），具体内容详见第三章。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2、基本资格条件：基本资格条件：符合《中华人民共和国政府采购法》第二十二条的规定；</w:t>
      </w:r>
    </w:p>
    <w:p>
      <w:pPr>
        <w:pStyle w:val="null3"/>
      </w:pPr>
      <w:r>
        <w:rPr>
          <w:rFonts w:ascii="仿宋_GB2312" w:hAnsi="仿宋_GB2312" w:cs="仿宋_GB2312" w:eastAsia="仿宋_GB2312"/>
        </w:rPr>
        <w:t>3、法定代表人（负责人）授权委托书\身份证明：供应商应授权合法的人员参加磋商全过程，其中法定代表人（负责人）直接参加磋商的，须出具法定代表人（负责人）身份证，并与营业执照上信息一致。法定代表人（负责人）授权代表参加磋商的，须出具法定代表人（负责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5、保险业务许可证：供应商须具有中国银行保险监督管理委员会颁发的经营保险业务许可证。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西安浐灞国际港公共服务局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西安浐灞国际港公共服务局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029-88076632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转账事由：CGZC-2025-238项目代理服务费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西安浐灞国际港公共服务局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西安浐灞国际港公共服务局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西安浐灞国际港公共服务局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西安浐灞国际港公共服务局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西安浐灞国际港2025年-2026年医保经办业务协办服务项目。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西安浐灞国际港2025年-2026年医保经办业务协办服务项目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标的名称：西安浐灞国际港2025年-2026年医保经办业务协办服务项目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left"/>
            </w:pPr>
            <w:r>
              <w:rPr>
                <w:rFonts w:ascii="仿宋_GB2312" w:hAnsi="仿宋_GB2312" w:cs="仿宋_GB2312" w:eastAsia="仿宋_GB2312"/>
                <w:sz w:val="21"/>
                <w:color w:val="000000"/>
              </w:rPr>
              <w:t>西安浐灞国际港北片区（新筑、新合街道范围）医保经办各项业务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主要包含城镇职工基本医疗保险业务、城乡居民基本医疗保险业务、定点医药机构业务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医疗救助经办服务</w:t>
            </w:r>
            <w:r>
              <w:rPr>
                <w:rFonts w:ascii="仿宋_GB2312" w:hAnsi="仿宋_GB2312" w:cs="仿宋_GB2312" w:eastAsia="仿宋_GB2312"/>
                <w:sz w:val="21"/>
                <w:color w:val="000000"/>
              </w:rPr>
              <w:t>、医保乡村振兴</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各</w:t>
            </w:r>
            <w:r>
              <w:rPr>
                <w:rFonts w:ascii="仿宋_GB2312" w:hAnsi="仿宋_GB2312" w:cs="仿宋_GB2312" w:eastAsia="仿宋_GB2312"/>
                <w:sz w:val="21"/>
                <w:color w:val="000000"/>
              </w:rPr>
              <w:t>项经办相关业务工作服务</w:t>
            </w:r>
            <w:r>
              <w:rPr>
                <w:rFonts w:ascii="仿宋_GB2312" w:hAnsi="仿宋_GB2312" w:cs="仿宋_GB2312" w:eastAsia="仿宋_GB2312"/>
                <w:sz w:val="21"/>
                <w:color w:val="000000"/>
              </w:rPr>
              <w:t>。</w:t>
            </w:r>
          </w:p>
          <w:p>
            <w:pPr>
              <w:pStyle w:val="null3"/>
              <w:ind w:firstLine="422"/>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2"/>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城镇职工基本医疗保险业务，主要包括</w:t>
            </w:r>
            <w:r>
              <w:rPr>
                <w:rFonts w:ascii="仿宋_GB2312" w:hAnsi="仿宋_GB2312" w:cs="仿宋_GB2312" w:eastAsia="仿宋_GB2312"/>
                <w:sz w:val="21"/>
                <w:b/>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对辖区内新增加的参保企业进行登记立户，完成单位缴费基数申报的受理、单位参保征集、单位核定、正常核定回退、单位征集回退等业务；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辖区内已参保企业职工人员日常增减变动、个人基本信息登记、个人参保信息登记、个人批量新参保、个人批量恢复缴费及暂停缴费、个人恢复缴费及暂停缴费、在职转退休等业务；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辖区内参保单位变更业务：单位缴费基数变更、自助查询机单位经办人绑定及变更、单位重要信息及非重要信息维护、单位账户信息维护、单位参保信息维护单位缴费基数补差；</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4）完成辖区内参保单位社保年度缴费基数申报业务的通知、受理工作；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协助办理</w:t>
            </w:r>
            <w:r>
              <w:rPr>
                <w:rFonts w:ascii="仿宋_GB2312" w:hAnsi="仿宋_GB2312" w:cs="仿宋_GB2312" w:eastAsia="仿宋_GB2312"/>
                <w:sz w:val="21"/>
              </w:rPr>
              <w:t>辖区内参保个人变更业务：个人信息维护、个人参保信息维护、个人缴费基数变更、个人缴费基数补差、在职人员补收、退休人员补收、个人退收、转入申请表、异地医疗人员转入、异地转入视同缴费认定、参保转移和接收的相关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对城镇职工急诊抢救、住院后，未在定点医疗机构实施统筹结算的费用报销申请资料进行受理登记、审核和结算；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协助办理</w:t>
            </w:r>
            <w:r>
              <w:rPr>
                <w:rFonts w:ascii="仿宋_GB2312" w:hAnsi="仿宋_GB2312" w:cs="仿宋_GB2312" w:eastAsia="仿宋_GB2312"/>
                <w:sz w:val="21"/>
              </w:rPr>
              <w:t>对城镇职工在门诊发生的特殊检查、特殊治疗、特殊病种审批备案和治疗的申请资料，进行受理登记、审核和结算；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协助办理</w:t>
            </w:r>
            <w:r>
              <w:rPr>
                <w:rFonts w:ascii="仿宋_GB2312" w:hAnsi="仿宋_GB2312" w:cs="仿宋_GB2312" w:eastAsia="仿宋_GB2312"/>
                <w:sz w:val="21"/>
              </w:rPr>
              <w:t>慢性病初审资料申报受理、审核、认定结果录入、复审资料申报受理审核、认定结果录入及慢性病申请补助金额费用的受理、审核和结算；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9）对城镇职工异地安置退体人员、异地长期居住人员、常驻异地等人员以及因疾病需异地转诊就医人员提出的异地就医申请进行登记备案；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协助办理</w:t>
            </w:r>
            <w:r>
              <w:rPr>
                <w:rFonts w:ascii="仿宋_GB2312" w:hAnsi="仿宋_GB2312" w:cs="仿宋_GB2312" w:eastAsia="仿宋_GB2312"/>
                <w:sz w:val="21"/>
              </w:rPr>
              <w:t>生育津贴医院端拨付数据的审核、结算及零星报销受理、审核和结算；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协助办理</w:t>
            </w:r>
            <w:r>
              <w:rPr>
                <w:rFonts w:ascii="仿宋_GB2312" w:hAnsi="仿宋_GB2312" w:cs="仿宋_GB2312" w:eastAsia="仿宋_GB2312"/>
                <w:sz w:val="21"/>
              </w:rPr>
              <w:t>对城镇职工在异地门诊发生的特殊药品审批备案和费用的申请资料进行受理登记、审核和结算；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协助办理</w:t>
            </w:r>
            <w:r>
              <w:rPr>
                <w:rFonts w:ascii="仿宋_GB2312" w:hAnsi="仿宋_GB2312" w:cs="仿宋_GB2312" w:eastAsia="仿宋_GB2312"/>
                <w:sz w:val="21"/>
              </w:rPr>
              <w:t>对城镇职工生育住院、产前检查、生育津贴未在定点医疗机构实施统筹结算的费用报销申请资料进行受理登记、审核和结算。</w:t>
            </w:r>
          </w:p>
          <w:p>
            <w:pPr>
              <w:pStyle w:val="null3"/>
              <w:ind w:firstLine="422"/>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城乡居民基本医疗保险业务，主要包括</w:t>
            </w:r>
            <w:r>
              <w:rPr>
                <w:rFonts w:ascii="仿宋_GB2312" w:hAnsi="仿宋_GB2312" w:cs="仿宋_GB2312" w:eastAsia="仿宋_GB2312"/>
                <w:sz w:val="21"/>
                <w:b/>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对城乡居民住院后，未在定点医疗机构实施统筹结算的费用报销申请资料进行受理登记、审核和结算；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对城乡居民在门诊发生的特殊病种审批备案和治疗费用的申请资料进行受理登记、审核和结算；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慢性病初审资料申报受理、审核和录入、复审资料申报受理、审核和录入及慢性病申请补助金额费用的受理、审核和结算；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4）对城乡居民异地长期居住、因疾病需异地转诊就医等情况提出的异地就医申请进行登记备案；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5）医保征缴业务相关的政策宣传、业务培训</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参保状态审核、医疗保障待遇审核及新参保群众的参保登记业务；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）对城乡居民在异地门诊发生的特殊药品审批备案和费用的申请资料进行受理登记、审核和结算。</w:t>
            </w:r>
          </w:p>
          <w:p>
            <w:pPr>
              <w:pStyle w:val="null3"/>
              <w:ind w:firstLine="422"/>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定点医药机构业务，主要包括：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对定点医疗机构城乡居民医保门诊统</w:t>
            </w:r>
            <w:r>
              <w:rPr>
                <w:rFonts w:ascii="仿宋_GB2312" w:hAnsi="仿宋_GB2312" w:cs="仿宋_GB2312" w:eastAsia="仿宋_GB2312"/>
                <w:sz w:val="21"/>
              </w:rPr>
              <w:t>筹</w:t>
            </w:r>
            <w:r>
              <w:rPr>
                <w:rFonts w:ascii="仿宋_GB2312" w:hAnsi="仿宋_GB2312" w:cs="仿宋_GB2312" w:eastAsia="仿宋_GB2312"/>
                <w:sz w:val="21"/>
              </w:rPr>
              <w:t>数</w:t>
            </w:r>
            <w:r>
              <w:rPr>
                <w:rFonts w:ascii="仿宋_GB2312" w:hAnsi="仿宋_GB2312" w:cs="仿宋_GB2312" w:eastAsia="仿宋_GB2312"/>
                <w:sz w:val="21"/>
              </w:rPr>
              <w:t>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定点医疗机构职工医保和居民医保统筹挂账费用数据的接收、审核和清算工作；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定点医药机构职工医保个人账户刷卡费用数据的接收、审核、清算工作；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协助办理</w:t>
            </w:r>
            <w:r>
              <w:rPr>
                <w:rFonts w:ascii="仿宋_GB2312" w:hAnsi="仿宋_GB2312" w:cs="仿宋_GB2312" w:eastAsia="仿宋_GB2312"/>
                <w:sz w:val="21"/>
              </w:rPr>
              <w:t>对定点医疗机构城乡居民医保</w:t>
            </w:r>
            <w:r>
              <w:rPr>
                <w:rFonts w:ascii="仿宋_GB2312" w:hAnsi="仿宋_GB2312" w:cs="仿宋_GB2312" w:eastAsia="仿宋_GB2312"/>
                <w:sz w:val="21"/>
              </w:rPr>
              <w:t>“两病”门诊的数据的接收、审核和清算工作；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协助办理</w:t>
            </w:r>
            <w:r>
              <w:rPr>
                <w:rFonts w:ascii="仿宋_GB2312" w:hAnsi="仿宋_GB2312" w:cs="仿宋_GB2312" w:eastAsia="仿宋_GB2312"/>
                <w:sz w:val="21"/>
              </w:rPr>
              <w:t>定点医疗机构职工医保和居民医保门诊慢性病数据的接收、审核和清算工作；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新增定点医药机构的</w:t>
            </w:r>
            <w:r>
              <w:rPr>
                <w:rFonts w:ascii="仿宋_GB2312" w:hAnsi="仿宋_GB2312" w:cs="仿宋_GB2312" w:eastAsia="仿宋_GB2312"/>
                <w:sz w:val="21"/>
              </w:rPr>
              <w:t>申请资料</w:t>
            </w:r>
            <w:r>
              <w:rPr>
                <w:rFonts w:ascii="仿宋_GB2312" w:hAnsi="仿宋_GB2312" w:cs="仿宋_GB2312" w:eastAsia="仿宋_GB2312"/>
                <w:sz w:val="21"/>
              </w:rPr>
              <w:t>初审、现场</w:t>
            </w:r>
            <w:r>
              <w:rPr>
                <w:rFonts w:ascii="仿宋_GB2312" w:hAnsi="仿宋_GB2312" w:cs="仿宋_GB2312" w:eastAsia="仿宋_GB2312"/>
                <w:sz w:val="21"/>
              </w:rPr>
              <w:t>评估</w:t>
            </w:r>
            <w:r>
              <w:rPr>
                <w:rFonts w:ascii="仿宋_GB2312" w:hAnsi="仿宋_GB2312" w:cs="仿宋_GB2312" w:eastAsia="仿宋_GB2312"/>
                <w:sz w:val="21"/>
              </w:rPr>
              <w:t>、政策培训、服务协议签订工作；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协助开展</w:t>
            </w:r>
            <w:r>
              <w:rPr>
                <w:rFonts w:ascii="仿宋_GB2312" w:hAnsi="仿宋_GB2312" w:cs="仿宋_GB2312" w:eastAsia="仿宋_GB2312"/>
                <w:sz w:val="21"/>
              </w:rPr>
              <w:t>定点医药机构的日常巡査</w:t>
            </w:r>
            <w:r>
              <w:rPr>
                <w:rFonts w:ascii="仿宋_GB2312" w:hAnsi="仿宋_GB2312" w:cs="仿宋_GB2312" w:eastAsia="仿宋_GB2312"/>
                <w:sz w:val="21"/>
              </w:rPr>
              <w:t>稽核</w:t>
            </w:r>
            <w:r>
              <w:rPr>
                <w:rFonts w:ascii="仿宋_GB2312" w:hAnsi="仿宋_GB2312" w:cs="仿宋_GB2312" w:eastAsia="仿宋_GB2312"/>
                <w:sz w:val="21"/>
              </w:rPr>
              <w:t>、专项巡查以及发生违规问题、投诉举报的核查处理工作；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8）定点医药机构基础信息、服务项目、清算分中心维护</w:t>
            </w:r>
            <w:r>
              <w:rPr>
                <w:rFonts w:ascii="仿宋_GB2312" w:hAnsi="仿宋_GB2312" w:cs="仿宋_GB2312" w:eastAsia="仿宋_GB2312"/>
                <w:sz w:val="21"/>
              </w:rPr>
              <w:t>等信息</w:t>
            </w:r>
            <w:r>
              <w:rPr>
                <w:rFonts w:ascii="仿宋_GB2312" w:hAnsi="仿宋_GB2312" w:cs="仿宋_GB2312" w:eastAsia="仿宋_GB2312"/>
                <w:sz w:val="21"/>
              </w:rPr>
              <w:t>变更业务；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协助办理</w:t>
            </w:r>
            <w:r>
              <w:rPr>
                <w:rFonts w:ascii="仿宋_GB2312" w:hAnsi="仿宋_GB2312" w:cs="仿宋_GB2312" w:eastAsia="仿宋_GB2312"/>
                <w:sz w:val="21"/>
              </w:rPr>
              <w:t>药品、耗材集中采购工作，包括两定机构采购合同落实</w:t>
            </w:r>
            <w:r>
              <w:rPr>
                <w:rFonts w:ascii="仿宋_GB2312" w:hAnsi="仿宋_GB2312" w:cs="仿宋_GB2312" w:eastAsia="仿宋_GB2312"/>
                <w:sz w:val="21"/>
              </w:rPr>
              <w:t>情况统计</w:t>
            </w:r>
            <w:r>
              <w:rPr>
                <w:rFonts w:ascii="仿宋_GB2312" w:hAnsi="仿宋_GB2312" w:cs="仿宋_GB2312" w:eastAsia="仿宋_GB2312"/>
                <w:sz w:val="21"/>
              </w:rPr>
              <w:t>、医保资金结余留用测算考核等工作。</w:t>
            </w:r>
          </w:p>
          <w:p>
            <w:pPr>
              <w:pStyle w:val="null3"/>
              <w:ind w:firstLine="422"/>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医疗救助经办服务</w:t>
            </w:r>
            <w:r>
              <w:rPr>
                <w:rFonts w:ascii="仿宋_GB2312" w:hAnsi="仿宋_GB2312" w:cs="仿宋_GB2312" w:eastAsia="仿宋_GB2312"/>
                <w:sz w:val="21"/>
                <w:b/>
              </w:rPr>
              <w:t>，主要包括：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对符合政策规定的服务对象申办医疗救助资料进行受理、审核、费用结算；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定点医疗机构</w:t>
            </w:r>
            <w:r>
              <w:rPr>
                <w:rFonts w:ascii="仿宋_GB2312" w:hAnsi="仿宋_GB2312" w:cs="仿宋_GB2312" w:eastAsia="仿宋_GB2312"/>
                <w:sz w:val="21"/>
              </w:rPr>
              <w:t>“一站式”救助费用的审核、结算；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w:t>
            </w:r>
            <w:r>
              <w:rPr>
                <w:rFonts w:ascii="仿宋_GB2312" w:hAnsi="仿宋_GB2312" w:cs="仿宋_GB2312" w:eastAsia="仿宋_GB2312"/>
                <w:sz w:val="21"/>
              </w:rPr>
              <w:t>对因病致贫对象进行入户调查。入户调查结束后，对符合医疗救助的对象，按照医疗救助标准进行费用的审核、报销、公示；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4）医疗救助项目宣传培训、数据统计、报表报送、档案管理工作</w:t>
            </w:r>
            <w:r>
              <w:rPr>
                <w:rFonts w:ascii="仿宋_GB2312" w:hAnsi="仿宋_GB2312" w:cs="仿宋_GB2312" w:eastAsia="仿宋_GB2312"/>
                <w:sz w:val="21"/>
              </w:rPr>
              <w:t>。</w:t>
            </w:r>
          </w:p>
          <w:p>
            <w:pPr>
              <w:pStyle w:val="null3"/>
              <w:ind w:firstLine="422"/>
            </w:pPr>
            <w:r>
              <w:rPr>
                <w:rFonts w:ascii="仿宋_GB2312" w:hAnsi="仿宋_GB2312" w:cs="仿宋_GB2312" w:eastAsia="仿宋_GB2312"/>
                <w:sz w:val="21"/>
                <w:b/>
              </w:rPr>
              <w:t>5.医保乡村振兴</w:t>
            </w:r>
            <w:r>
              <w:rPr>
                <w:rFonts w:ascii="仿宋_GB2312" w:hAnsi="仿宋_GB2312" w:cs="仿宋_GB2312" w:eastAsia="仿宋_GB2312"/>
                <w:sz w:val="21"/>
                <w:b/>
              </w:rPr>
              <w:t>，主要包括：</w:t>
            </w:r>
          </w:p>
          <w:p>
            <w:pPr>
              <w:pStyle w:val="null3"/>
              <w:ind w:firstLine="420"/>
            </w:pPr>
            <w:r>
              <w:rPr>
                <w:rFonts w:ascii="仿宋_GB2312" w:hAnsi="仿宋_GB2312" w:cs="仿宋_GB2312" w:eastAsia="仿宋_GB2312"/>
                <w:sz w:val="21"/>
              </w:rPr>
              <w:t>特殊人群防止因病返贫致贫动态监测预警信息核查、统计等相关工作。</w:t>
            </w:r>
          </w:p>
          <w:p>
            <w:pPr>
              <w:pStyle w:val="null3"/>
              <w:ind w:firstLine="422"/>
            </w:pPr>
            <w:r>
              <w:rPr>
                <w:rFonts w:ascii="仿宋_GB2312" w:hAnsi="仿宋_GB2312" w:cs="仿宋_GB2312" w:eastAsia="仿宋_GB2312"/>
                <w:sz w:val="21"/>
                <w:b/>
              </w:rPr>
              <w:t>6.</w:t>
            </w:r>
            <w:r>
              <w:rPr>
                <w:rFonts w:ascii="仿宋_GB2312" w:hAnsi="仿宋_GB2312" w:cs="仿宋_GB2312" w:eastAsia="仿宋_GB2312"/>
                <w:sz w:val="21"/>
                <w:b/>
              </w:rPr>
              <w:t>本次服务还包括：</w:t>
            </w:r>
          </w:p>
          <w:p>
            <w:pPr>
              <w:pStyle w:val="null3"/>
              <w:ind w:firstLine="420"/>
              <w:jc w:val="left"/>
            </w:pPr>
            <w:r>
              <w:rPr>
                <w:rFonts w:ascii="仿宋_GB2312" w:hAnsi="仿宋_GB2312" w:cs="仿宋_GB2312" w:eastAsia="仿宋_GB2312"/>
                <w:sz w:val="21"/>
                <w:color w:val="000000"/>
              </w:rPr>
              <w:t>完成省、市、区安排的</w:t>
            </w:r>
            <w:r>
              <w:rPr>
                <w:rFonts w:ascii="仿宋_GB2312" w:hAnsi="仿宋_GB2312" w:cs="仿宋_GB2312" w:eastAsia="仿宋_GB2312"/>
                <w:sz w:val="21"/>
                <w:color w:val="000000"/>
              </w:rPr>
              <w:t>热线工单核查回复、医保政策各类宣传、培训工作及</w:t>
            </w:r>
            <w:r>
              <w:rPr>
                <w:rFonts w:ascii="仿宋_GB2312" w:hAnsi="仿宋_GB2312" w:cs="仿宋_GB2312" w:eastAsia="仿宋_GB2312"/>
                <w:sz w:val="21"/>
                <w:color w:val="000000"/>
              </w:rPr>
              <w:t>其他临时性业务。</w:t>
            </w:r>
          </w:p>
          <w:p>
            <w:pPr>
              <w:pStyle w:val="null3"/>
              <w:ind w:firstLine="422"/>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工作人员应熟悉政策、熟练技术操作、工作积极主动，能及时、准确、高效完成各项工作。</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应加强对城镇职工和城乡居民基本医疗保险</w:t>
            </w:r>
            <w:r>
              <w:rPr>
                <w:rFonts w:ascii="仿宋_GB2312" w:hAnsi="仿宋_GB2312" w:cs="仿宋_GB2312" w:eastAsia="仿宋_GB2312"/>
                <w:sz w:val="21"/>
              </w:rPr>
              <w:t>业务内控，</w:t>
            </w:r>
            <w:r>
              <w:rPr>
                <w:rFonts w:ascii="仿宋_GB2312" w:hAnsi="仿宋_GB2312" w:cs="仿宋_GB2312" w:eastAsia="仿宋_GB2312"/>
                <w:sz w:val="21"/>
              </w:rPr>
              <w:t>明确医疗保险经办工作管理流程和各项规章制度并形成规范性制度文件；</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要充分发挥医疗保险机制的作用，</w:t>
            </w:r>
            <w:r>
              <w:rPr>
                <w:rFonts w:ascii="仿宋_GB2312" w:hAnsi="仿宋_GB2312" w:cs="仿宋_GB2312" w:eastAsia="仿宋_GB2312"/>
                <w:sz w:val="21"/>
              </w:rPr>
              <w:t>认真</w:t>
            </w:r>
            <w:r>
              <w:rPr>
                <w:rFonts w:ascii="仿宋_GB2312" w:hAnsi="仿宋_GB2312" w:cs="仿宋_GB2312" w:eastAsia="仿宋_GB2312"/>
                <w:sz w:val="21"/>
              </w:rPr>
              <w:t>开展</w:t>
            </w:r>
            <w:r>
              <w:rPr>
                <w:rFonts w:ascii="仿宋_GB2312" w:hAnsi="仿宋_GB2312" w:cs="仿宋_GB2312" w:eastAsia="仿宋_GB2312"/>
                <w:sz w:val="21"/>
              </w:rPr>
              <w:t>定点医药机构</w:t>
            </w:r>
            <w:r>
              <w:rPr>
                <w:rFonts w:ascii="仿宋_GB2312" w:hAnsi="仿宋_GB2312" w:cs="仿宋_GB2312" w:eastAsia="仿宋_GB2312"/>
                <w:sz w:val="21"/>
              </w:rPr>
              <w:t>巡查工作，规范医疗行为，控制医疗费用的不合理增长；</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能够利用其人才、专业、网络优势对异地就医、意外伤害以及发生大额医疗费用补偿的情况进行调查审核；</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应与省市级要求的医疗保险经办机构、医疗卫生机构、定点零售药店等工作相关机构实现信息平台相互连接，以便信息共享和实现</w:t>
            </w:r>
            <w:r>
              <w:rPr>
                <w:rFonts w:ascii="仿宋_GB2312" w:hAnsi="仿宋_GB2312" w:cs="仿宋_GB2312" w:eastAsia="仿宋_GB2312"/>
                <w:sz w:val="21"/>
              </w:rPr>
              <w:t>“一站式”结算；</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能够按规定向政府部门、保险监管等部门报送经办业务报表、分析材料；</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受理来电、来信、来访人员对医疗保险相关政策的咨询、投诉，并公示办理电话号码，明确咨询答复工作人员，及时回复、办理群众咨询、投诉；</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配备本项目所需的办公设备、耗材、档案储存场所，并严格落实档案管理制度；</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.定期做好</w:t>
            </w:r>
            <w:r>
              <w:rPr>
                <w:rFonts w:ascii="仿宋_GB2312" w:hAnsi="仿宋_GB2312" w:cs="仿宋_GB2312" w:eastAsia="仿宋_GB2312"/>
                <w:sz w:val="21"/>
              </w:rPr>
              <w:t>医保基金</w:t>
            </w:r>
            <w:r>
              <w:rPr>
                <w:rFonts w:ascii="仿宋_GB2312" w:hAnsi="仿宋_GB2312" w:cs="仿宋_GB2312" w:eastAsia="仿宋_GB2312"/>
                <w:sz w:val="21"/>
              </w:rPr>
              <w:t>数据的</w:t>
            </w:r>
            <w:r>
              <w:rPr>
                <w:rFonts w:ascii="仿宋_GB2312" w:hAnsi="仿宋_GB2312" w:cs="仿宋_GB2312" w:eastAsia="仿宋_GB2312"/>
                <w:sz w:val="21"/>
              </w:rPr>
              <w:t>统计、运行分析</w:t>
            </w:r>
            <w:r>
              <w:rPr>
                <w:rFonts w:ascii="仿宋_GB2312" w:hAnsi="仿宋_GB2312" w:cs="仿宋_GB2312" w:eastAsia="仿宋_GB2312"/>
                <w:sz w:val="21"/>
              </w:rPr>
              <w:t>，并向区级医保部门报送</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医疗保险经办工作涉及的数据统计、风险分析、报表报送、线索核查、日常咨询、政策宣传培训、档案管理、投诉回复等工作；</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与医疗保险经办工作相关的</w:t>
            </w:r>
            <w:r>
              <w:rPr>
                <w:rFonts w:ascii="仿宋_GB2312" w:hAnsi="仿宋_GB2312" w:cs="仿宋_GB2312" w:eastAsia="仿宋_GB2312"/>
                <w:sz w:val="21"/>
              </w:rPr>
              <w:t>乡村振兴</w:t>
            </w:r>
            <w:r>
              <w:rPr>
                <w:rFonts w:ascii="仿宋_GB2312" w:hAnsi="仿宋_GB2312" w:cs="仿宋_GB2312" w:eastAsia="仿宋_GB2312"/>
                <w:sz w:val="21"/>
              </w:rPr>
              <w:t>、国家药品集采、医保编码、支付方式改革、专项检查、专项宣传推广等工作；</w:t>
            </w:r>
          </w:p>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按照国家、省、市</w:t>
            </w:r>
            <w:r>
              <w:rPr>
                <w:rFonts w:ascii="仿宋_GB2312" w:hAnsi="仿宋_GB2312" w:cs="仿宋_GB2312" w:eastAsia="仿宋_GB2312"/>
                <w:sz w:val="21"/>
                <w:color w:val="000000"/>
              </w:rPr>
              <w:t>、</w:t>
            </w:r>
            <w:r>
              <w:rPr>
                <w:rFonts w:ascii="仿宋_GB2312" w:hAnsi="仿宋_GB2312" w:cs="仿宋_GB2312" w:eastAsia="仿宋_GB2312"/>
                <w:sz w:val="21"/>
                <w:color w:val="000000"/>
              </w:rPr>
              <w:t>区</w:t>
            </w:r>
            <w:r>
              <w:rPr>
                <w:rFonts w:ascii="仿宋_GB2312" w:hAnsi="仿宋_GB2312" w:cs="仿宋_GB2312" w:eastAsia="仿宋_GB2312"/>
                <w:sz w:val="21"/>
                <w:color w:val="000000"/>
              </w:rPr>
              <w:t>要求，合法合规开展医疗保险经办服务。</w:t>
            </w:r>
          </w:p>
          <w:p>
            <w:pPr>
              <w:pStyle w:val="null3"/>
              <w:ind w:firstLine="422"/>
            </w:pPr>
            <w:r>
              <w:rPr>
                <w:rFonts w:ascii="仿宋_GB2312" w:hAnsi="仿宋_GB2312" w:cs="仿宋_GB2312" w:eastAsia="仿宋_GB2312"/>
                <w:sz w:val="21"/>
                <w:b/>
              </w:rPr>
              <w:t>四、</w:t>
            </w:r>
            <w:r>
              <w:rPr>
                <w:rFonts w:ascii="仿宋_GB2312" w:hAnsi="仿宋_GB2312" w:cs="仿宋_GB2312" w:eastAsia="仿宋_GB2312"/>
                <w:sz w:val="21"/>
                <w:b/>
              </w:rPr>
              <w:t>服务标准</w:t>
            </w:r>
          </w:p>
          <w:p>
            <w:pPr>
              <w:pStyle w:val="null3"/>
              <w:ind w:firstLine="420"/>
              <w:jc w:val="left"/>
            </w:pPr>
            <w:r>
              <w:rPr>
                <w:rFonts w:ascii="仿宋_GB2312" w:hAnsi="仿宋_GB2312" w:cs="仿宋_GB2312" w:eastAsia="仿宋_GB2312"/>
                <w:sz w:val="21"/>
                <w:color w:val="000000"/>
              </w:rPr>
              <w:t>按照国家、省、市、区的各项政策、文件规定执行，严格按照有关业务办理流程和要求做好相关工作，符合采购人要求。</w:t>
            </w:r>
          </w:p>
          <w:p>
            <w:pPr>
              <w:pStyle w:val="null3"/>
              <w:ind w:firstLine="422"/>
            </w:pPr>
            <w:r>
              <w:rPr>
                <w:rFonts w:ascii="仿宋_GB2312" w:hAnsi="仿宋_GB2312" w:cs="仿宋_GB2312" w:eastAsia="仿宋_GB2312"/>
                <w:sz w:val="21"/>
                <w:b/>
              </w:rPr>
              <w:t>五</w:t>
            </w:r>
            <w:r>
              <w:rPr>
                <w:rFonts w:ascii="仿宋_GB2312" w:hAnsi="仿宋_GB2312" w:cs="仿宋_GB2312" w:eastAsia="仿宋_GB2312"/>
                <w:sz w:val="21"/>
                <w:b/>
              </w:rPr>
              <w:t>、其他</w:t>
            </w:r>
          </w:p>
          <w:p>
            <w:pPr>
              <w:pStyle w:val="null3"/>
              <w:ind w:firstLine="420"/>
              <w:jc w:val="left"/>
            </w:pPr>
            <w:r>
              <w:rPr>
                <w:rFonts w:ascii="仿宋_GB2312" w:hAnsi="仿宋_GB2312" w:cs="仿宋_GB2312" w:eastAsia="仿宋_GB2312"/>
                <w:sz w:val="21"/>
                <w:color w:val="000000"/>
              </w:rPr>
              <w:t>1.成果交付要求</w:t>
            </w:r>
          </w:p>
          <w:p>
            <w:pPr>
              <w:pStyle w:val="null3"/>
            </w:pPr>
            <w:r>
              <w:rPr>
                <w:rFonts w:ascii="仿宋_GB2312" w:hAnsi="仿宋_GB2312" w:cs="仿宋_GB2312" w:eastAsia="仿宋_GB2312"/>
                <w:sz w:val="21"/>
                <w:color w:val="000000"/>
              </w:rPr>
              <w:t>认真贯彻执行省市各项医保政策要求及其相关文件精神，严格按照上级和区级主管部门工作</w:t>
            </w:r>
            <w:r>
              <w:rPr>
                <w:rFonts w:ascii="仿宋_GB2312" w:hAnsi="仿宋_GB2312" w:cs="仿宋_GB2312" w:eastAsia="仿宋_GB2312"/>
                <w:sz w:val="21"/>
                <w:color w:val="000000"/>
              </w:rPr>
              <w:t>要求及各项业务办理流程、采购人要求做好相关</w:t>
            </w:r>
            <w:r>
              <w:rPr>
                <w:rFonts w:ascii="仿宋_GB2312" w:hAnsi="仿宋_GB2312" w:cs="仿宋_GB2312" w:eastAsia="仿宋_GB2312"/>
                <w:sz w:val="21"/>
                <w:color w:val="000000"/>
              </w:rPr>
              <w:t>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剩余总费用的10%，合同期满3个月后给予支付，乙方应向甲方出具书面付款通知（注明开户行及账户信息）以及符合国家财税规定的增值税发票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采购包1：（1）服务范围：西安浐灞国际港2025年-2026年医保经办业务协办服务； （2）服务要求：满足采购需求及磋商文件要求； （3）服务标准：按照国家、省、市、区的各项政策、文件规定执行，严格按照有关业务办理流程和要求做好相关工作，符合采购人要求。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基本资格条件：符合《中华人民共和国政府采购法》第二十二条的规定；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法定代表人（负责人）授权委托书\身份证明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磋商的，须出具法定代表人（负责人）身份证，并与营业执照上信息一致。法定代表人（负责人）授权代表参加磋商的，须出具法定代表人（负责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法定代表人（负责人）证明书及法定代表人（负责人）授权书.docx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保险业务许可证</w:t>
            </w:r>
          </w:p>
        </w:tc>
        <w:tc>
          <w:tcPr>
            <w:tcW w:type="dxa" w:w="3322"/>
          </w:tcPr>
          <w:p>
            <w:pPr>
              <w:pStyle w:val="null3"/>
            </w:pPr>
            <w:r>
              <w:rPr>
                <w:rFonts w:ascii="仿宋_GB2312" w:hAnsi="仿宋_GB2312" w:cs="仿宋_GB2312" w:eastAsia="仿宋_GB2312"/>
              </w:rPr>
              <w:t>供应商须具有中国银行保险监督管理委员会颁发的经营保险业务许可证。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法定代表人（负责人）证明书及法定代表人（负责人）授权书.docx 服务内容及服务要求应答表.docx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响应文件封面 法定代表人（负责人）证明书及法定代表人（负责人）授权书.docx 磋商响应单位承诺书.docx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法定代表人（负责人）证明书及法定代表人（负责人）授权书.docx 磋商响应单位承诺书.docx 中小企业声明函 分项报价明细表.docx 商务应答表.docx 报价表 服务内容及服务要求应答表.docx 响应函 资格证明文件.docx 磋商响应方案说明.docx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 xml:space="preserve"> 提供针对本项目的总体服务方案：①城镇职工基本医疗保险业务（6分）；②城乡居民基本医疗保险业务（6分）；③定点医药机构业务（6分）；④医疗救助经办服务（6分）⑤医保乡村振兴等（6分）。 以上各项方案内容详尽、科学、合理，可行性强得（4-6]分；方案科学、合理，可行性较强得（2-4]分；方案内容一般，可行性一般得（0-2]分；未提供不得分。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投标人提供的服务保障方案，包括但不限于服务流程标准化、规范化保障、数据质量与一致性保障、服务满意度提升计划等。 服务保障方案内容得当、措施全面、合理可行、项目针对性强得（8-10]分； 服务保障方案内容符合要求，内容全面、针对性较强得（6-8]分； 服务保障方案内容基本涵盖，基本保证项目质量得（4-6]分； 服务保障方案内容简要、措施不够全面、可行性一般得（2-4]分； 服务保障方案涵盖内容一般，有明显缺失得（0-2]分；未提供不得分。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配备合理，经验丰富，专业性强，满足采购要求得（8-10]分；人员配备分工较明确、配备较合理、经验较丰富的，基本满足采购要求得(6-8]分；分工基本合理、配备基本合理、经验基本丰富的得（4-6]分；分工一般、配备一般、经验一般的得（2-4]分；配备人员简单笼统，不足以支撑完成本项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提供针对本项目拟定的工作职能组织运行图等。 管理责任清晰，日常管理制度完善、程序规范得(4-6]分；管理责任较清晰，日常管理制度较完善、程序较规范得(2-4]分；管理责任一般，日常管理制度一般、程序一般得(0-2]分；未提供不得分。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项目过程中的所有资料的管理，工作专业、严密、合理、可行，全面确保数据及相关信息不泄密，方案全面可行性强得(4-6]分；所有资料的管理，工作较专业、严密、合理，基本全面，方案全面基本可行得(2-4]分；所有资料的管理，工作较专业、严密、合理性一般，可行性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实施过程中可能会遇到的突发应急事件，按突发应急预案完整性、全面性、认知深度和专业性进行评审。突发应急预案合理、完善、详尽，可行性强得（6-8］分；突发应急预案较合理、较完善、较详尽，可行性较强得（4-6］分；突发应急预案基本合理、可行性一般得（2-4］分；突发应急预案简单笼统（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供应商针对本项目有详细的服务承诺，在项目履行过程中为采购人提供的服务质量及对后期的技术资料指导、服务等方面作出书面承诺，不能完全履行承诺时接受处罚等情况做出实质性承诺。 根据服务承诺明确、合理程度强得(4-6]分；服务承诺较明确、基本合理得(2-4]分；服务承诺简单笼统得(0-2]分；未提供不得分。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保密措施，应承诺不得泄漏采购单位一切敏感信息，包括但不限于保密资料、商业秘密、商业信息、数据安全与隐私保护等，保密措施完整详尽，可行性强得（2-4]分；保密措施较完整详尽，可行性较强得（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近3年（2022年1月1日至今）类似业绩，一个得2分，最高得10分。 注：须提供合同扫描件（须体现合同服务内容、签订日期、双方签字盖章页）否则不视为有效业绩。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详见附件：法定代表人（负责人）证明书及法定代表人（负责人）授权书.docx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详见附件：磋商响应单位承诺书.docx</w:t>
      </w:r>
    </w:p>
    <w:p>
      <w:pPr>
        <w:pStyle w:val="null3"/>
        <w:ind w:firstLine="960"/>
      </w:pPr>
      <w:r>
        <w:rPr>
          <w:rFonts w:ascii="仿宋_GB2312" w:hAnsi="仿宋_GB2312" w:cs="仿宋_GB2312" w:eastAsia="仿宋_GB2312"/>
        </w:rPr>
        <w:t>详见附件：磋商响应方案说明.docx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