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00594">
      <w:pPr>
        <w:spacing w:line="360" w:lineRule="auto"/>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陕西省公共数据资源登记平台建设项目</w:t>
      </w:r>
    </w:p>
    <w:p w14:paraId="5EB406F4">
      <w:pPr>
        <w:spacing w:line="360" w:lineRule="auto"/>
        <w:jc w:val="center"/>
        <w:rPr>
          <w:rFonts w:hint="default" w:ascii="仿宋_GB2312" w:hAnsi="仿宋_GB2312" w:eastAsia="仿宋_GB2312" w:cs="仿宋_GB2312"/>
          <w:b/>
          <w:szCs w:val="28"/>
          <w:lang w:val="en-US" w:eastAsia="zh-CN"/>
        </w:rPr>
      </w:pPr>
      <w:r>
        <w:rPr>
          <w:rFonts w:hint="eastAsia" w:ascii="仿宋_GB2312" w:hAnsi="仿宋_GB2312" w:eastAsia="仿宋_GB2312" w:cs="仿宋_GB2312"/>
          <w:b/>
          <w:szCs w:val="28"/>
          <w:lang w:val="en-US" w:eastAsia="zh-CN"/>
        </w:rPr>
        <w:t>采购内容及要求</w:t>
      </w:r>
    </w:p>
    <w:p w14:paraId="42A358DD">
      <w:pPr>
        <w:spacing w:line="360" w:lineRule="auto"/>
        <w:rPr>
          <w:rFonts w:hint="eastAsia" w:ascii="仿宋_GB2312" w:hAnsi="仿宋_GB2312" w:eastAsia="仿宋_GB2312" w:cs="仿宋_GB2312"/>
          <w:b/>
          <w:szCs w:val="28"/>
        </w:rPr>
      </w:pPr>
      <w:r>
        <w:rPr>
          <w:rFonts w:ascii="仿宋_GB2312" w:hAnsi="仿宋_GB2312" w:eastAsia="仿宋_GB2312" w:cs="仿宋_GB2312"/>
          <w:b/>
          <w:szCs w:val="28"/>
        </w:rPr>
        <w:t>1</w:t>
      </w:r>
      <w:r>
        <w:rPr>
          <w:rFonts w:hint="eastAsia" w:ascii="仿宋_GB2312" w:hAnsi="仿宋_GB2312" w:eastAsia="仿宋_GB2312" w:cs="仿宋_GB2312"/>
          <w:b/>
          <w:szCs w:val="28"/>
        </w:rPr>
        <w:t>.技术要求</w:t>
      </w:r>
      <w:bookmarkStart w:id="3" w:name="_GoBack"/>
      <w:bookmarkEnd w:id="3"/>
    </w:p>
    <w:p w14:paraId="2E40EFB3">
      <w:pPr>
        <w:spacing w:line="360" w:lineRule="auto"/>
        <w:rPr>
          <w:rFonts w:hint="eastAsia" w:ascii="仿宋_GB2312" w:hAnsi="仿宋_GB2312" w:eastAsia="仿宋_GB2312" w:cs="仿宋_GB2312"/>
          <w:b/>
          <w:sz w:val="24"/>
          <w:szCs w:val="24"/>
        </w:rPr>
      </w:pPr>
      <w:r>
        <w:rPr>
          <w:rFonts w:ascii="仿宋_GB2312" w:hAnsi="仿宋_GB2312" w:eastAsia="仿宋_GB2312" w:cs="仿宋_GB2312"/>
          <w:b/>
          <w:sz w:val="24"/>
          <w:szCs w:val="24"/>
        </w:rPr>
        <w:t xml:space="preserve">  1</w:t>
      </w:r>
      <w:r>
        <w:rPr>
          <w:rFonts w:hint="eastAsia" w:ascii="仿宋_GB2312" w:hAnsi="仿宋_GB2312" w:eastAsia="仿宋_GB2312" w:cs="仿宋_GB2312"/>
          <w:b/>
          <w:sz w:val="24"/>
          <w:szCs w:val="24"/>
        </w:rPr>
        <w:t>.1建设内容</w:t>
      </w:r>
    </w:p>
    <w:p w14:paraId="1301D33B">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为促进公共数据资源合规高效开发利用，构建陕西省一体化公共数据资源登记体系，规范公共数据资源登记工作，本项目开展陕西省公共数据资源登记平台建设，主要包括门户模块、用户模块、管理模块、交互模块、接口对接、国产化适配等功能模块，并实现与国家公共数据资源登记平台的对接，满足各级用户公共数据资源登记需求。</w:t>
      </w:r>
    </w:p>
    <w:p w14:paraId="4C9FF0D0">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1.应用系统（成品软件、开发软件）</w:t>
      </w:r>
    </w:p>
    <w:p w14:paraId="186BB691">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成品软件：包含陕西省公共数据资源登记平台4个核心功能模块中的26个子功能。分别包括门户模块（账号注册认证、门户首页、登记指引、登记公示、登记查验、资源发现、登记政策）、用户模块（首页、登记申请、数据查询、凭证管理、异议申诉管理、登记主体管理、用户管理）、管理模块（登记业务管理、登记流程管理、登记主体管理、登记凭证管理、异议申诉管理、系统管理）、交互模块（赋码服务、版式文件服务、电子签章服务、登记安全服务、证书管理服务、数据交换前置服务）等子功能模块，为数据资源登记的合规化开展提供稳定可靠的系统化支撑，保障登记流程的标准化运转与跨平台数据交互的基础需求。</w:t>
      </w:r>
    </w:p>
    <w:p w14:paraId="72D3A463">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开发软件：在成品软件基础上，结合使用需求，针对7个子功能模块进行二次开发，主要包括门户模块（门户首页）、用户模块（首页、数据查询、异议申诉管理）、管理模块（登记业务管理、登记机构管理、统计分析管理）共7个子功能。通过精准匹配实际使用场景需求，提升系统的个性化适配度、用户交互体验以及业务管理效能。</w:t>
      </w:r>
    </w:p>
    <w:p w14:paraId="5826E560">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2.硬件设备</w:t>
      </w:r>
    </w:p>
    <w:p w14:paraId="145F69C9">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按照国家信息中心2025年2月8日发布《公共数据资源登记平台安全规范》中要求，为保障与国家公共数据资源登记平台的顺利对接，确保数据传输与存储过程中的安全性、完整性与保密性，</w:t>
      </w:r>
      <w:r>
        <w:rPr>
          <w:rFonts w:ascii="仿宋_GB2312" w:hAnsi="仿宋_GB2312" w:eastAsia="仿宋_GB2312" w:cs="仿宋_GB2312"/>
          <w:bCs/>
          <w:sz w:val="24"/>
          <w:szCs w:val="24"/>
        </w:rPr>
        <w:t>需要提供</w:t>
      </w:r>
      <w:r>
        <w:rPr>
          <w:rFonts w:hint="eastAsia" w:ascii="仿宋_GB2312" w:hAnsi="仿宋_GB2312" w:eastAsia="仿宋_GB2312" w:cs="仿宋_GB2312"/>
          <w:bCs/>
          <w:sz w:val="24"/>
          <w:szCs w:val="24"/>
        </w:rPr>
        <w:t>1套</w:t>
      </w:r>
      <w:r>
        <w:rPr>
          <w:rFonts w:ascii="仿宋_GB2312" w:hAnsi="仿宋_GB2312" w:eastAsia="仿宋_GB2312" w:cs="仿宋_GB2312"/>
          <w:bCs/>
          <w:sz w:val="24"/>
          <w:szCs w:val="24"/>
        </w:rPr>
        <w:t>主备部署的</w:t>
      </w:r>
      <w:r>
        <w:rPr>
          <w:rFonts w:hint="eastAsia" w:ascii="仿宋_GB2312" w:hAnsi="仿宋_GB2312" w:eastAsia="仿宋_GB2312" w:cs="仿宋_GB2312"/>
          <w:bCs/>
          <w:sz w:val="24"/>
          <w:szCs w:val="24"/>
        </w:rPr>
        <w:t>登记安全设备（要求见1</w:t>
      </w:r>
      <w:r>
        <w:rPr>
          <w:rFonts w:ascii="仿宋_GB2312" w:hAnsi="仿宋_GB2312" w:eastAsia="仿宋_GB2312" w:cs="仿宋_GB2312"/>
          <w:bCs/>
          <w:sz w:val="24"/>
          <w:szCs w:val="24"/>
        </w:rPr>
        <w:t>.1.3</w:t>
      </w:r>
      <w:r>
        <w:rPr>
          <w:rFonts w:hint="eastAsia" w:ascii="仿宋_GB2312" w:hAnsi="仿宋_GB2312" w:eastAsia="仿宋_GB2312" w:cs="仿宋_GB2312"/>
          <w:bCs/>
          <w:sz w:val="24"/>
          <w:szCs w:val="24"/>
        </w:rPr>
        <w:t>）。</w:t>
      </w:r>
    </w:p>
    <w:p w14:paraId="0B2C3A1E">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3.应用支撑</w:t>
      </w:r>
    </w:p>
    <w:p w14:paraId="77055D40">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充分利用陕西省政务云现有支撑能力，集成调用公共支撑统一身份认证平台、统一密码平台、统一通知消息平台支撑本平台的身份认证与密码应用，在用户注册、登录等操作过程中提供短信验证码及消息通知等服务。使用国家数据资源登记平台统一签发的电子印章，通过登记安全设备，对数据资源登记确认单文件进行电子签章，保护数据资源登记确认单文件的真实性、完整性和不可否认性。</w:t>
      </w:r>
    </w:p>
    <w:p w14:paraId="076F8318">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4.接口对接</w:t>
      </w:r>
    </w:p>
    <w:p w14:paraId="5ADD56CD">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本项目公共数据资源登记平台</w:t>
      </w:r>
      <w:r>
        <w:rPr>
          <w:rFonts w:ascii="仿宋_GB2312" w:hAnsi="仿宋_GB2312" w:eastAsia="仿宋_GB2312" w:cs="仿宋_GB2312"/>
          <w:bCs/>
          <w:sz w:val="24"/>
          <w:szCs w:val="24"/>
        </w:rPr>
        <w:t>需要</w:t>
      </w:r>
      <w:r>
        <w:rPr>
          <w:rFonts w:hint="eastAsia" w:ascii="仿宋_GB2312" w:hAnsi="仿宋_GB2312" w:eastAsia="仿宋_GB2312" w:cs="仿宋_GB2312"/>
          <w:bCs/>
          <w:sz w:val="24"/>
          <w:szCs w:val="24"/>
        </w:rPr>
        <w:t>与省级政务数据平台进行对接，实现政务数据目录信息支撑公共数据资源登记的便捷化填报，同时公示赋码后的公共数据资源记录关联显示政务数据编目信息；与</w:t>
      </w:r>
      <w:r>
        <w:rPr>
          <w:rFonts w:ascii="仿宋_GB2312" w:hAnsi="仿宋_GB2312" w:eastAsia="仿宋_GB2312" w:cs="仿宋_GB2312"/>
          <w:bCs/>
          <w:sz w:val="24"/>
          <w:szCs w:val="24"/>
        </w:rPr>
        <w:t>省级</w:t>
      </w:r>
      <w:r>
        <w:rPr>
          <w:rFonts w:hint="eastAsia" w:ascii="仿宋_GB2312" w:hAnsi="仿宋_GB2312" w:eastAsia="仿宋_GB2312" w:cs="仿宋_GB2312"/>
          <w:bCs/>
          <w:sz w:val="24"/>
          <w:szCs w:val="24"/>
        </w:rPr>
        <w:t>公共数据资源授权运营平台进行对接，</w:t>
      </w:r>
      <w:r>
        <w:rPr>
          <w:rFonts w:ascii="仿宋_GB2312" w:hAnsi="仿宋_GB2312" w:eastAsia="仿宋_GB2312" w:cs="仿宋_GB2312"/>
          <w:bCs/>
          <w:sz w:val="24"/>
          <w:szCs w:val="24"/>
        </w:rPr>
        <w:t>实现</w:t>
      </w:r>
      <w:r>
        <w:rPr>
          <w:rFonts w:hint="eastAsia" w:ascii="仿宋_GB2312" w:hAnsi="仿宋_GB2312" w:eastAsia="仿宋_GB2312" w:cs="仿宋_GB2312"/>
          <w:bCs/>
          <w:sz w:val="24"/>
          <w:szCs w:val="24"/>
        </w:rPr>
        <w:t>公共数据资源</w:t>
      </w:r>
      <w:r>
        <w:rPr>
          <w:rFonts w:ascii="仿宋_GB2312" w:hAnsi="仿宋_GB2312" w:eastAsia="仿宋_GB2312" w:cs="仿宋_GB2312"/>
          <w:bCs/>
          <w:sz w:val="24"/>
          <w:szCs w:val="24"/>
        </w:rPr>
        <w:t>目录同步</w:t>
      </w:r>
      <w:r>
        <w:rPr>
          <w:rFonts w:hint="eastAsia" w:ascii="仿宋_GB2312" w:hAnsi="仿宋_GB2312" w:eastAsia="仿宋_GB2312" w:cs="仿宋_GB2312"/>
          <w:bCs/>
          <w:sz w:val="24"/>
          <w:szCs w:val="24"/>
        </w:rPr>
        <w:t>及数据产品和服务信息</w:t>
      </w:r>
      <w:r>
        <w:rPr>
          <w:rFonts w:ascii="仿宋_GB2312" w:hAnsi="仿宋_GB2312" w:eastAsia="仿宋_GB2312" w:cs="仿宋_GB2312"/>
          <w:bCs/>
          <w:sz w:val="24"/>
          <w:szCs w:val="24"/>
        </w:rPr>
        <w:t>便捷化登记</w:t>
      </w:r>
      <w:r>
        <w:rPr>
          <w:rFonts w:hint="eastAsia" w:ascii="仿宋_GB2312" w:hAnsi="仿宋_GB2312" w:eastAsia="仿宋_GB2312" w:cs="仿宋_GB2312"/>
          <w:bCs/>
          <w:sz w:val="24"/>
          <w:szCs w:val="24"/>
        </w:rPr>
        <w:t>；与国家公共数据资源登记平台进行对接，实现数据产品资源目录和资源登记信息的同步更新，确保资源登记信息的实时同步。同时，这种对接也便于数据资源的共享和开放，为社会各界提供更加丰富、便捷的数据服务；与数据基础设施数据资源目录标准匹配，满足省</w:t>
      </w:r>
      <w:r>
        <w:rPr>
          <w:rFonts w:ascii="仿宋_GB2312" w:hAnsi="仿宋_GB2312" w:eastAsia="仿宋_GB2312" w:cs="仿宋_GB2312"/>
          <w:bCs/>
          <w:sz w:val="24"/>
          <w:szCs w:val="24"/>
        </w:rPr>
        <w:t>级</w:t>
      </w:r>
      <w:r>
        <w:rPr>
          <w:rFonts w:hint="eastAsia" w:ascii="仿宋_GB2312" w:hAnsi="仿宋_GB2312" w:eastAsia="仿宋_GB2312" w:cs="仿宋_GB2312"/>
          <w:bCs/>
          <w:sz w:val="24"/>
          <w:szCs w:val="24"/>
        </w:rPr>
        <w:t>公共数据资源授权运营平台数据登记需求。</w:t>
      </w:r>
    </w:p>
    <w:p w14:paraId="4166585E">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1</w:t>
      </w:r>
      <w:r>
        <w:rPr>
          <w:rFonts w:hint="eastAsia" w:ascii="仿宋_GB2312" w:hAnsi="仿宋_GB2312" w:eastAsia="仿宋_GB2312" w:cs="仿宋_GB2312"/>
          <w:bCs/>
          <w:sz w:val="24"/>
          <w:szCs w:val="24"/>
        </w:rPr>
        <w:t>.1.1公共数据资源登记平台系统软件</w:t>
      </w:r>
    </w:p>
    <w:p w14:paraId="13AB2B2A">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本项目公共数据资源登记平台系统面向省市县三级登记主体和省市两级登记机构提供公共数据资源登记业务支撑。围绕公共数据资源登记业务工作，覆盖登记前、中、后全流程，形成包括门户模块、用户模块、管理模块、交互模块等核心功能的陕西省公共数据资源登记平台。</w:t>
      </w:r>
    </w:p>
    <w:tbl>
      <w:tblPr>
        <w:tblStyle w:val="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55"/>
        <w:gridCol w:w="1287"/>
        <w:gridCol w:w="6480"/>
      </w:tblGrid>
      <w:tr w14:paraId="2DA91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443" w:type="pct"/>
            <w:noWrap w:val="0"/>
            <w:vAlign w:val="center"/>
          </w:tcPr>
          <w:p w14:paraId="6852AF76">
            <w:pPr>
              <w:spacing w:line="36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序号</w:t>
            </w:r>
          </w:p>
        </w:tc>
        <w:tc>
          <w:tcPr>
            <w:tcW w:w="755" w:type="pct"/>
            <w:noWrap w:val="0"/>
            <w:vAlign w:val="center"/>
          </w:tcPr>
          <w:p w14:paraId="067783BE">
            <w:pPr>
              <w:spacing w:line="36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规模指标</w:t>
            </w:r>
          </w:p>
        </w:tc>
        <w:tc>
          <w:tcPr>
            <w:tcW w:w="3801" w:type="pct"/>
            <w:noWrap w:val="0"/>
            <w:vAlign w:val="center"/>
          </w:tcPr>
          <w:p w14:paraId="4B7593EB">
            <w:pPr>
              <w:spacing w:line="36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要求</w:t>
            </w:r>
          </w:p>
        </w:tc>
      </w:tr>
      <w:tr w14:paraId="38579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43" w:type="pct"/>
            <w:noWrap w:val="0"/>
            <w:vAlign w:val="center"/>
          </w:tcPr>
          <w:p w14:paraId="6B734D00">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755" w:type="pct"/>
            <w:noWrap w:val="0"/>
            <w:vAlign w:val="center"/>
          </w:tcPr>
          <w:p w14:paraId="20D09818">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业务覆盖</w:t>
            </w:r>
          </w:p>
        </w:tc>
        <w:tc>
          <w:tcPr>
            <w:tcW w:w="3801" w:type="pct"/>
            <w:noWrap w:val="0"/>
            <w:vAlign w:val="center"/>
          </w:tcPr>
          <w:p w14:paraId="34106504">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覆盖公共数据资源登记业务涉及的申请、受理、形式审核、公示、赋码全流程。</w:t>
            </w:r>
          </w:p>
        </w:tc>
      </w:tr>
      <w:tr w14:paraId="5AA4C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43" w:type="pct"/>
            <w:noWrap w:val="0"/>
            <w:vAlign w:val="center"/>
          </w:tcPr>
          <w:p w14:paraId="048C7505">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755" w:type="pct"/>
            <w:noWrap w:val="0"/>
            <w:vAlign w:val="center"/>
          </w:tcPr>
          <w:p w14:paraId="751BE518">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层级覆盖</w:t>
            </w:r>
          </w:p>
        </w:tc>
        <w:tc>
          <w:tcPr>
            <w:tcW w:w="3801" w:type="pct"/>
            <w:noWrap w:val="0"/>
            <w:vAlign w:val="center"/>
          </w:tcPr>
          <w:p w14:paraId="1E426AD9">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省、市、县三级。</w:t>
            </w:r>
          </w:p>
        </w:tc>
      </w:tr>
      <w:tr w14:paraId="51A0B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43" w:type="pct"/>
            <w:noWrap w:val="0"/>
            <w:vAlign w:val="center"/>
          </w:tcPr>
          <w:p w14:paraId="1C4C1896">
            <w:pPr>
              <w:spacing w:line="360" w:lineRule="auto"/>
              <w:jc w:val="center"/>
              <w:rPr>
                <w:rFonts w:hint="eastAsia" w:ascii="仿宋_GB2312" w:hAnsi="仿宋_GB2312" w:eastAsia="仿宋_GB2312" w:cs="仿宋_GB2312"/>
                <w:kern w:val="0"/>
                <w:sz w:val="21"/>
                <w:szCs w:val="21"/>
              </w:rPr>
            </w:pPr>
            <w:bookmarkStart w:id="0" w:name="_Hlk206576541"/>
            <w:r>
              <w:rPr>
                <w:rFonts w:hint="eastAsia" w:ascii="仿宋_GB2312" w:hAnsi="仿宋_GB2312" w:eastAsia="仿宋_GB2312" w:cs="仿宋_GB2312"/>
                <w:kern w:val="0"/>
                <w:sz w:val="21"/>
                <w:szCs w:val="21"/>
              </w:rPr>
              <w:t>3</w:t>
            </w:r>
          </w:p>
        </w:tc>
        <w:tc>
          <w:tcPr>
            <w:tcW w:w="755" w:type="pct"/>
            <w:noWrap w:val="0"/>
            <w:vAlign w:val="center"/>
          </w:tcPr>
          <w:p w14:paraId="0BA0D2E3">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用户覆盖</w:t>
            </w:r>
          </w:p>
        </w:tc>
        <w:tc>
          <w:tcPr>
            <w:tcW w:w="3801" w:type="pct"/>
            <w:noWrap w:val="0"/>
            <w:vAlign w:val="center"/>
          </w:tcPr>
          <w:p w14:paraId="0002DEB0">
            <w:pPr>
              <w:spacing w:line="360" w:lineRule="auto"/>
              <w:rPr>
                <w:rFonts w:hint="eastAsia" w:ascii="仿宋_GB2312" w:hAnsi="仿宋_GB2312" w:eastAsia="仿宋_GB2312" w:cs="仿宋_GB2312"/>
                <w:kern w:val="0"/>
                <w:sz w:val="21"/>
                <w:szCs w:val="21"/>
              </w:rPr>
            </w:pPr>
            <w:bookmarkStart w:id="1" w:name="OLE_LINK85"/>
            <w:r>
              <w:rPr>
                <w:rFonts w:hint="eastAsia" w:ascii="仿宋_GB2312" w:hAnsi="仿宋_GB2312" w:eastAsia="仿宋_GB2312" w:cs="仿宋_GB2312"/>
                <w:b/>
                <w:bCs/>
                <w:kern w:val="0"/>
                <w:sz w:val="21"/>
                <w:szCs w:val="21"/>
              </w:rPr>
              <w:t>系统主要用户数不少于</w:t>
            </w:r>
            <w:bookmarkStart w:id="2" w:name="OLE_LINK86"/>
            <w:r>
              <w:rPr>
                <w:rFonts w:hint="eastAsia" w:ascii="仿宋_GB2312" w:hAnsi="仿宋_GB2312" w:eastAsia="仿宋_GB2312" w:cs="仿宋_GB2312"/>
                <w:b/>
                <w:bCs/>
                <w:kern w:val="0"/>
                <w:sz w:val="21"/>
                <w:szCs w:val="21"/>
              </w:rPr>
              <w:t>3632</w:t>
            </w:r>
            <w:bookmarkEnd w:id="2"/>
            <w:r>
              <w:rPr>
                <w:rFonts w:hint="eastAsia" w:ascii="仿宋_GB2312" w:hAnsi="仿宋_GB2312" w:eastAsia="仿宋_GB2312" w:cs="仿宋_GB2312"/>
                <w:b/>
                <w:bCs/>
                <w:kern w:val="0"/>
                <w:sz w:val="21"/>
                <w:szCs w:val="21"/>
              </w:rPr>
              <w:t>个</w:t>
            </w:r>
            <w:r>
              <w:rPr>
                <w:rFonts w:hint="eastAsia" w:ascii="仿宋_GB2312" w:hAnsi="仿宋_GB2312" w:eastAsia="仿宋_GB2312" w:cs="仿宋_GB2312"/>
                <w:kern w:val="0"/>
                <w:sz w:val="21"/>
                <w:szCs w:val="21"/>
              </w:rPr>
              <w:t>。</w:t>
            </w:r>
          </w:p>
          <w:p w14:paraId="4DE0EAD5">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b/>
                <w:bCs/>
                <w:kern w:val="0"/>
                <w:sz w:val="21"/>
                <w:szCs w:val="21"/>
              </w:rPr>
              <w:t>系统其他用户数不少于11800个</w:t>
            </w:r>
            <w:bookmarkEnd w:id="1"/>
            <w:r>
              <w:rPr>
                <w:rFonts w:hint="eastAsia" w:ascii="仿宋_GB2312" w:hAnsi="仿宋_GB2312" w:eastAsia="仿宋_GB2312" w:cs="仿宋_GB2312"/>
                <w:kern w:val="0"/>
                <w:sz w:val="21"/>
                <w:szCs w:val="21"/>
              </w:rPr>
              <w:t xml:space="preserve">。 </w:t>
            </w:r>
          </w:p>
        </w:tc>
      </w:tr>
      <w:bookmarkEnd w:id="0"/>
      <w:tr w14:paraId="6805B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43" w:type="pct"/>
            <w:noWrap w:val="0"/>
            <w:vAlign w:val="center"/>
          </w:tcPr>
          <w:p w14:paraId="21F06678">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755" w:type="pct"/>
            <w:noWrap w:val="0"/>
            <w:vAlign w:val="center"/>
          </w:tcPr>
          <w:p w14:paraId="1AADECE3">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软件系统</w:t>
            </w:r>
          </w:p>
        </w:tc>
        <w:tc>
          <w:tcPr>
            <w:tcW w:w="3801" w:type="pct"/>
            <w:noWrap w:val="0"/>
            <w:vAlign w:val="center"/>
          </w:tcPr>
          <w:p w14:paraId="6D19FA63">
            <w:pPr>
              <w:spacing w:line="360" w:lineRule="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成品软件</w:t>
            </w:r>
            <w:r>
              <w:rPr>
                <w:rFonts w:hint="eastAsia" w:ascii="仿宋_GB2312" w:hAnsi="仿宋_GB2312" w:eastAsia="仿宋_GB2312" w:cs="仿宋_GB2312"/>
                <w:kern w:val="0"/>
                <w:sz w:val="21"/>
                <w:szCs w:val="21"/>
              </w:rPr>
              <w:t>：</w:t>
            </w:r>
          </w:p>
          <w:p w14:paraId="1E12A00C">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包含陕西省公共数据资源登记平台4个核心功能模块中的26个子功能。分别如下：</w:t>
            </w:r>
          </w:p>
          <w:p w14:paraId="70B73C94">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门户模块（账号注册认证、门户首页、登记指引、登记公示、登记查验、资源发现、登记政策）；</w:t>
            </w:r>
          </w:p>
          <w:p w14:paraId="47644495">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用户模块（首页、登记申请、数据查询、凭证管理、异议申诉管理、登记主体管理、用户管理）；</w:t>
            </w:r>
          </w:p>
          <w:p w14:paraId="798E6E09">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管理模块（登记业务管理、登记流程管理、登记主体管理、登记凭证管理、异议申诉管理、系统管理）；</w:t>
            </w:r>
          </w:p>
          <w:p w14:paraId="2FADA428">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交互模块（赋码服务、版式文件服务、电子签章服务、登记安全服务、证书管理服务、数据交换前置服务）。</w:t>
            </w:r>
          </w:p>
          <w:p w14:paraId="56F39424">
            <w:pPr>
              <w:spacing w:line="360" w:lineRule="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开发软件：</w:t>
            </w:r>
          </w:p>
          <w:p w14:paraId="0D49F6BC">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包括7个功能模块的二次开发，分别如下：</w:t>
            </w:r>
          </w:p>
          <w:p w14:paraId="0C8207E8">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门户模块（门户首页）；</w:t>
            </w:r>
          </w:p>
          <w:p w14:paraId="0700AF0F">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用户模块（首页、数据查询、异议申诉管理）；</w:t>
            </w:r>
          </w:p>
          <w:p w14:paraId="35257B2C">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管理模块（登记业务管理、登记机构管理、统计分析管理）。</w:t>
            </w:r>
          </w:p>
        </w:tc>
      </w:tr>
      <w:tr w14:paraId="33A4C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43" w:type="pct"/>
            <w:noWrap w:val="0"/>
            <w:vAlign w:val="center"/>
          </w:tcPr>
          <w:p w14:paraId="23A4908B">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755" w:type="pct"/>
            <w:noWrap w:val="0"/>
            <w:vAlign w:val="center"/>
          </w:tcPr>
          <w:p w14:paraId="7FD14735">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运行要求</w:t>
            </w:r>
          </w:p>
        </w:tc>
        <w:tc>
          <w:tcPr>
            <w:tcW w:w="3801" w:type="pct"/>
            <w:noWrap w:val="0"/>
            <w:vAlign w:val="center"/>
          </w:tcPr>
          <w:p w14:paraId="014B1CD0">
            <w:pPr>
              <w:spacing w:line="360" w:lineRule="auto"/>
              <w:rPr>
                <w:rFonts w:hint="eastAsia" w:ascii="仿宋_GB2312" w:hAnsi="仿宋_GB2312" w:eastAsia="仿宋_GB2312" w:cs="仿宋_GB2312"/>
                <w:b/>
                <w:bCs/>
                <w:kern w:val="0"/>
                <w:sz w:val="21"/>
                <w:szCs w:val="21"/>
              </w:rPr>
            </w:pPr>
            <w:r>
              <w:rPr>
                <w:rFonts w:hint="eastAsia" w:ascii="仿宋_GB2312" w:hAnsi="仿宋_GB2312" w:eastAsia="仿宋_GB2312" w:cs="仿宋_GB2312"/>
                <w:sz w:val="21"/>
                <w:szCs w:val="21"/>
              </w:rPr>
              <w:t>系统全年正常运行率不小于99.9%；一般页面的载入时间小于等于3秒。</w:t>
            </w:r>
          </w:p>
        </w:tc>
      </w:tr>
      <w:tr w14:paraId="7F33F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43" w:type="pct"/>
            <w:noWrap w:val="0"/>
            <w:vAlign w:val="center"/>
          </w:tcPr>
          <w:p w14:paraId="7A8C76DC">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c>
          <w:tcPr>
            <w:tcW w:w="755" w:type="pct"/>
            <w:noWrap w:val="0"/>
            <w:vAlign w:val="center"/>
          </w:tcPr>
          <w:p w14:paraId="373B7C6E">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应用支撑</w:t>
            </w:r>
          </w:p>
        </w:tc>
        <w:tc>
          <w:tcPr>
            <w:tcW w:w="3801" w:type="pct"/>
            <w:noWrap w:val="0"/>
            <w:vAlign w:val="center"/>
          </w:tcPr>
          <w:p w14:paraId="45697C92">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充分利用陕西省政务云现有支撑能力，集成调用公共支撑统一身份认证平台、统一密码平台、统一通知消息平台支撑本平台的身份认证与密码应用，在用户注册、登录等操作过程中提供短信验证码及消息通知等服务。</w:t>
            </w:r>
          </w:p>
          <w:p w14:paraId="1C49F653">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使用国家数据资源登记平台统一签发的电子印章，通过登记安全设备，对数据资源登记确认单文件进行电子签章，保护数据资源登记确认单文件的真实性、完整性和不可否认性。</w:t>
            </w:r>
          </w:p>
        </w:tc>
      </w:tr>
      <w:tr w14:paraId="5E3CC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43" w:type="pct"/>
            <w:noWrap w:val="0"/>
            <w:vAlign w:val="center"/>
          </w:tcPr>
          <w:p w14:paraId="52319E16">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w:t>
            </w:r>
          </w:p>
        </w:tc>
        <w:tc>
          <w:tcPr>
            <w:tcW w:w="755" w:type="pct"/>
            <w:noWrap w:val="0"/>
            <w:vAlign w:val="center"/>
          </w:tcPr>
          <w:p w14:paraId="6C1ED61D">
            <w:pPr>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部署范围</w:t>
            </w:r>
          </w:p>
        </w:tc>
        <w:tc>
          <w:tcPr>
            <w:tcW w:w="3801" w:type="pct"/>
            <w:noWrap w:val="0"/>
            <w:vAlign w:val="center"/>
          </w:tcPr>
          <w:p w14:paraId="0B47F2C0">
            <w:pPr>
              <w:spacing w:line="360" w:lineRule="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根据应用服务场景，将系统部署于省级政务云，同步完成操作系统、数据库、中间件的国产化改造适配。</w:t>
            </w:r>
          </w:p>
        </w:tc>
      </w:tr>
    </w:tbl>
    <w:p w14:paraId="6F60C052">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1</w:t>
      </w:r>
      <w:r>
        <w:rPr>
          <w:rFonts w:hint="eastAsia" w:ascii="仿宋_GB2312" w:hAnsi="仿宋_GB2312" w:eastAsia="仿宋_GB2312" w:cs="仿宋_GB2312"/>
          <w:bCs/>
          <w:sz w:val="24"/>
          <w:szCs w:val="24"/>
        </w:rPr>
        <w:t>.1.2系统接口设计及集成</w:t>
      </w:r>
    </w:p>
    <w:p w14:paraId="3CC7B721">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为保证公共数据资源登记平台的功能完整实现，登记平台系统需要至少完成4方面的接口对接。</w:t>
      </w:r>
    </w:p>
    <w:p w14:paraId="5BDF829D">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1）与省级政务数据平台进行对接，实现政务数据目录信息支撑公共数据资源登记的便捷化填报，同时公示赋码后的公共数据资源记录关联显示政务数据编目信息。省级政务数据平台同步集成公共数据资源目录信息进行数据编目，方便公共数据授权运营活动的开展。具体目录编制要求参照《公共数据资源目录编制指南》和《数据基础设施 数据目录描述规范》。</w:t>
      </w:r>
    </w:p>
    <w:p w14:paraId="6877F073">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（2）与陕西省公共数据资源授权运营平台进行对接，</w:t>
      </w:r>
      <w:r>
        <w:rPr>
          <w:rFonts w:ascii="仿宋_GB2312" w:hAnsi="仿宋_GB2312" w:eastAsia="仿宋_GB2312" w:cs="仿宋_GB2312"/>
          <w:bCs/>
          <w:sz w:val="24"/>
          <w:szCs w:val="24"/>
        </w:rPr>
        <w:t>实现</w:t>
      </w:r>
      <w:r>
        <w:rPr>
          <w:rFonts w:hint="eastAsia" w:ascii="仿宋_GB2312" w:hAnsi="仿宋_GB2312" w:eastAsia="仿宋_GB2312" w:cs="仿宋_GB2312"/>
          <w:bCs/>
          <w:sz w:val="24"/>
          <w:szCs w:val="24"/>
        </w:rPr>
        <w:t>公共数据资源</w:t>
      </w:r>
      <w:r>
        <w:rPr>
          <w:rFonts w:ascii="仿宋_GB2312" w:hAnsi="仿宋_GB2312" w:eastAsia="仿宋_GB2312" w:cs="仿宋_GB2312"/>
          <w:bCs/>
          <w:sz w:val="24"/>
          <w:szCs w:val="24"/>
        </w:rPr>
        <w:t>目录同步</w:t>
      </w:r>
      <w:r>
        <w:rPr>
          <w:rFonts w:hint="eastAsia" w:ascii="仿宋_GB2312" w:hAnsi="仿宋_GB2312" w:eastAsia="仿宋_GB2312" w:cs="仿宋_GB2312"/>
          <w:bCs/>
          <w:sz w:val="24"/>
          <w:szCs w:val="24"/>
        </w:rPr>
        <w:t>及数据产品和服务信息</w:t>
      </w:r>
      <w:r>
        <w:rPr>
          <w:rFonts w:ascii="仿宋_GB2312" w:hAnsi="仿宋_GB2312" w:eastAsia="仿宋_GB2312" w:cs="仿宋_GB2312"/>
          <w:bCs/>
          <w:sz w:val="24"/>
          <w:szCs w:val="24"/>
        </w:rPr>
        <w:t>便捷化登记</w:t>
      </w:r>
      <w:r>
        <w:rPr>
          <w:rFonts w:hint="eastAsia" w:ascii="仿宋_GB2312" w:hAnsi="仿宋_GB2312" w:eastAsia="仿宋_GB2312" w:cs="仿宋_GB2312"/>
          <w:bCs/>
          <w:sz w:val="24"/>
          <w:szCs w:val="24"/>
        </w:rPr>
        <w:t>。</w:t>
      </w:r>
    </w:p>
    <w:p w14:paraId="039BC0A9">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（3）与国家公共数据资源登记平台进行对接，实现数据产品/资源目录和资源登记信息的同步更新，确保资源登记信息的实时同步。</w:t>
      </w:r>
    </w:p>
    <w:p w14:paraId="6A28C5A9">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4）通过数据资源目录分类设计、数据产品目录分类设计、数据资源目录编目设计、数据产品目录编目设计等能力建设，与数据基础设施数据目录匹配，实现公共数据资源登记信息与区域功能节点对接，实现数据资源目录的信息同步。</w:t>
      </w:r>
    </w:p>
    <w:p w14:paraId="5A2DF542">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1</w:t>
      </w:r>
      <w:r>
        <w:rPr>
          <w:rFonts w:hint="eastAsia" w:ascii="仿宋_GB2312" w:hAnsi="仿宋_GB2312" w:eastAsia="仿宋_GB2312" w:cs="仿宋_GB2312"/>
          <w:bCs/>
          <w:sz w:val="24"/>
          <w:szCs w:val="24"/>
        </w:rPr>
        <w:t>.1.3登记安全设备</w:t>
      </w:r>
    </w:p>
    <w:p w14:paraId="795C8352">
      <w:pPr>
        <w:pStyle w:val="5"/>
        <w:ind w:firstLine="480"/>
        <w:jc w:val="both"/>
        <w:rPr>
          <w:rFonts w:hint="default" w:ascii="仿宋_GB2312" w:hAnsi="仿宋_GB2312" w:eastAsia="仿宋_GB2312" w:cs="仿宋_GB2312"/>
          <w:sz w:val="24"/>
        </w:rPr>
      </w:pPr>
      <w:r>
        <w:rPr>
          <w:rFonts w:ascii="仿宋_GB2312" w:hAnsi="仿宋_GB2312" w:eastAsia="仿宋_GB2312" w:cs="仿宋_GB2312"/>
          <w:bCs/>
          <w:sz w:val="24"/>
          <w:szCs w:val="24"/>
          <w:lang w:eastAsia="zh-CN"/>
        </w:rPr>
        <w:t>为保障陕西省公共数据资源登记平台同国家公共数据资源登记平台的互信互联互通，需提供一套主备部署的登记安全设备。</w:t>
      </w:r>
      <w:r>
        <w:t>具体需求如下：</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725"/>
        <w:gridCol w:w="731"/>
        <w:gridCol w:w="3622"/>
        <w:gridCol w:w="1730"/>
      </w:tblGrid>
      <w:tr w14:paraId="56DC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noWrap w:val="0"/>
            <w:vAlign w:val="center"/>
          </w:tcPr>
          <w:p w14:paraId="3D4646B3">
            <w:pPr>
              <w:widowControl/>
              <w:jc w:val="center"/>
              <w:rPr>
                <w:b/>
                <w:kern w:val="0"/>
                <w:sz w:val="20"/>
                <w:lang w:eastAsia="zh-Hans"/>
              </w:rPr>
            </w:pPr>
            <w:r>
              <w:rPr>
                <w:rFonts w:hint="eastAsia"/>
                <w:b/>
                <w:kern w:val="0"/>
                <w:sz w:val="20"/>
                <w:lang w:eastAsia="zh-Hans"/>
              </w:rPr>
              <w:t>序号</w:t>
            </w:r>
          </w:p>
        </w:tc>
        <w:tc>
          <w:tcPr>
            <w:tcW w:w="1012" w:type="pct"/>
            <w:noWrap w:val="0"/>
            <w:vAlign w:val="center"/>
          </w:tcPr>
          <w:p w14:paraId="46FD3FCB">
            <w:pPr>
              <w:widowControl/>
              <w:jc w:val="center"/>
              <w:rPr>
                <w:b/>
                <w:kern w:val="0"/>
                <w:sz w:val="20"/>
                <w:lang w:eastAsia="zh-Hans"/>
              </w:rPr>
            </w:pPr>
            <w:r>
              <w:rPr>
                <w:rFonts w:hint="eastAsia"/>
                <w:b/>
                <w:kern w:val="0"/>
                <w:sz w:val="20"/>
                <w:lang w:eastAsia="zh-Hans"/>
              </w:rPr>
              <w:t>技术指标</w:t>
            </w:r>
          </w:p>
        </w:tc>
        <w:tc>
          <w:tcPr>
            <w:tcW w:w="3569" w:type="pct"/>
            <w:gridSpan w:val="3"/>
            <w:noWrap w:val="0"/>
            <w:vAlign w:val="center"/>
          </w:tcPr>
          <w:p w14:paraId="3D890E74">
            <w:pPr>
              <w:widowControl/>
              <w:jc w:val="center"/>
              <w:rPr>
                <w:b/>
                <w:kern w:val="0"/>
                <w:sz w:val="20"/>
                <w:lang w:eastAsia="zh-Hans"/>
              </w:rPr>
            </w:pPr>
            <w:r>
              <w:rPr>
                <w:rFonts w:hint="eastAsia"/>
                <w:b/>
                <w:kern w:val="0"/>
                <w:sz w:val="20"/>
                <w:lang w:eastAsia="zh-Hans"/>
              </w:rPr>
              <w:t>指标参数</w:t>
            </w:r>
          </w:p>
        </w:tc>
      </w:tr>
      <w:tr w14:paraId="72C1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noWrap w:val="0"/>
            <w:vAlign w:val="center"/>
          </w:tcPr>
          <w:p w14:paraId="7C8E5AF7">
            <w:pPr>
              <w:widowControl/>
              <w:jc w:val="center"/>
              <w:rPr>
                <w:kern w:val="0"/>
                <w:sz w:val="20"/>
                <w:lang w:eastAsia="zh-Hans"/>
              </w:rPr>
            </w:pPr>
            <w:r>
              <w:rPr>
                <w:rFonts w:hint="eastAsia"/>
                <w:kern w:val="0"/>
                <w:sz w:val="20"/>
                <w:lang w:eastAsia="zh-Hans"/>
              </w:rPr>
              <w:t>1</w:t>
            </w:r>
          </w:p>
        </w:tc>
        <w:tc>
          <w:tcPr>
            <w:tcW w:w="1012" w:type="pct"/>
            <w:noWrap w:val="0"/>
            <w:vAlign w:val="center"/>
          </w:tcPr>
          <w:p w14:paraId="08084A29">
            <w:pPr>
              <w:widowControl/>
              <w:jc w:val="center"/>
              <w:rPr>
                <w:kern w:val="0"/>
                <w:sz w:val="20"/>
                <w:lang w:eastAsia="zh-Hans"/>
              </w:rPr>
            </w:pPr>
            <w:r>
              <w:rPr>
                <w:rFonts w:hint="eastAsia"/>
                <w:kern w:val="0"/>
                <w:sz w:val="20"/>
                <w:lang w:eastAsia="zh-Hans"/>
              </w:rPr>
              <w:t>资质资料</w:t>
            </w:r>
          </w:p>
        </w:tc>
        <w:tc>
          <w:tcPr>
            <w:tcW w:w="3569" w:type="pct"/>
            <w:gridSpan w:val="3"/>
            <w:noWrap w:val="0"/>
            <w:vAlign w:val="center"/>
          </w:tcPr>
          <w:p w14:paraId="2918EE50">
            <w:pPr>
              <w:widowControl/>
              <w:rPr>
                <w:kern w:val="0"/>
                <w:sz w:val="20"/>
                <w:lang w:eastAsia="zh-Hans"/>
              </w:rPr>
            </w:pPr>
            <w:r>
              <w:rPr>
                <w:rFonts w:hint="eastAsia"/>
                <w:kern w:val="0"/>
                <w:sz w:val="20"/>
                <w:lang w:eastAsia="zh-Hans"/>
              </w:rPr>
              <w:t>具备国家密码管理局商用密码检测中心签发的商用密码产品认证证书，且证书在有效期内。</w:t>
            </w:r>
          </w:p>
        </w:tc>
      </w:tr>
      <w:tr w14:paraId="6A62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restart"/>
            <w:noWrap w:val="0"/>
            <w:vAlign w:val="center"/>
          </w:tcPr>
          <w:p w14:paraId="000C4C06">
            <w:pPr>
              <w:widowControl/>
              <w:jc w:val="center"/>
              <w:rPr>
                <w:kern w:val="0"/>
                <w:sz w:val="20"/>
                <w:lang w:eastAsia="zh-Hans"/>
              </w:rPr>
            </w:pPr>
            <w:r>
              <w:rPr>
                <w:rFonts w:hint="eastAsia"/>
                <w:kern w:val="0"/>
                <w:sz w:val="20"/>
                <w:lang w:eastAsia="zh-Hans"/>
              </w:rPr>
              <w:t>2</w:t>
            </w:r>
          </w:p>
        </w:tc>
        <w:tc>
          <w:tcPr>
            <w:tcW w:w="1012" w:type="pct"/>
            <w:vMerge w:val="restart"/>
            <w:noWrap w:val="0"/>
            <w:vAlign w:val="center"/>
          </w:tcPr>
          <w:p w14:paraId="74B804BD">
            <w:pPr>
              <w:widowControl/>
              <w:jc w:val="center"/>
              <w:rPr>
                <w:kern w:val="0"/>
                <w:sz w:val="20"/>
                <w:lang w:eastAsia="zh-Hans"/>
              </w:rPr>
            </w:pPr>
            <w:r>
              <w:rPr>
                <w:rFonts w:hint="eastAsia"/>
                <w:kern w:val="0"/>
                <w:sz w:val="20"/>
                <w:lang w:eastAsia="zh-Hans"/>
              </w:rPr>
              <w:t>安全技术标准</w:t>
            </w:r>
          </w:p>
        </w:tc>
        <w:tc>
          <w:tcPr>
            <w:tcW w:w="3569" w:type="pct"/>
            <w:gridSpan w:val="3"/>
            <w:noWrap w:val="0"/>
            <w:vAlign w:val="center"/>
          </w:tcPr>
          <w:p w14:paraId="69062149">
            <w:pPr>
              <w:widowControl/>
              <w:rPr>
                <w:kern w:val="0"/>
                <w:sz w:val="20"/>
                <w:lang w:eastAsia="zh-Hans"/>
              </w:rPr>
            </w:pPr>
            <w:r>
              <w:rPr>
                <w:rFonts w:hint="eastAsia"/>
                <w:kern w:val="0"/>
                <w:sz w:val="20"/>
                <w:lang w:eastAsia="zh-Hans"/>
              </w:rPr>
              <w:t>GM/T 0030《服务器密码机技术规范》</w:t>
            </w:r>
          </w:p>
        </w:tc>
      </w:tr>
      <w:tr w14:paraId="0DD8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149125E9">
            <w:pPr>
              <w:widowControl/>
              <w:jc w:val="left"/>
              <w:rPr>
                <w:kern w:val="0"/>
                <w:sz w:val="20"/>
                <w:lang w:eastAsia="zh-Hans"/>
              </w:rPr>
            </w:pPr>
          </w:p>
        </w:tc>
        <w:tc>
          <w:tcPr>
            <w:tcW w:w="1012" w:type="pct"/>
            <w:vMerge w:val="continue"/>
            <w:noWrap w:val="0"/>
            <w:vAlign w:val="center"/>
          </w:tcPr>
          <w:p w14:paraId="5CF29682">
            <w:pPr>
              <w:widowControl/>
              <w:jc w:val="left"/>
              <w:rPr>
                <w:kern w:val="0"/>
                <w:sz w:val="20"/>
                <w:lang w:eastAsia="zh-Hans"/>
              </w:rPr>
            </w:pPr>
          </w:p>
        </w:tc>
        <w:tc>
          <w:tcPr>
            <w:tcW w:w="3569" w:type="pct"/>
            <w:gridSpan w:val="3"/>
            <w:noWrap w:val="0"/>
            <w:vAlign w:val="center"/>
          </w:tcPr>
          <w:p w14:paraId="0C9D49FE">
            <w:pPr>
              <w:widowControl/>
              <w:rPr>
                <w:kern w:val="0"/>
                <w:sz w:val="20"/>
                <w:lang w:eastAsia="zh-Hans"/>
              </w:rPr>
            </w:pPr>
            <w:r>
              <w:rPr>
                <w:rFonts w:hint="eastAsia"/>
                <w:kern w:val="0"/>
                <w:sz w:val="20"/>
                <w:lang w:eastAsia="zh-Hans"/>
              </w:rPr>
              <w:t>GM/T 0028《密码模块安全技术要求》第二级要求</w:t>
            </w:r>
          </w:p>
        </w:tc>
      </w:tr>
      <w:tr w14:paraId="3BCA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noWrap w:val="0"/>
            <w:vAlign w:val="center"/>
          </w:tcPr>
          <w:p w14:paraId="29208A3E">
            <w:pPr>
              <w:widowControl/>
              <w:jc w:val="center"/>
              <w:rPr>
                <w:kern w:val="0"/>
                <w:sz w:val="20"/>
                <w:lang w:eastAsia="zh-Hans"/>
              </w:rPr>
            </w:pPr>
            <w:r>
              <w:rPr>
                <w:rFonts w:hint="eastAsia"/>
                <w:kern w:val="0"/>
                <w:sz w:val="20"/>
                <w:lang w:eastAsia="zh-Hans"/>
              </w:rPr>
              <w:t>3</w:t>
            </w:r>
          </w:p>
        </w:tc>
        <w:tc>
          <w:tcPr>
            <w:tcW w:w="1012" w:type="pct"/>
            <w:noWrap w:val="0"/>
            <w:vAlign w:val="center"/>
          </w:tcPr>
          <w:p w14:paraId="5E415EBE">
            <w:pPr>
              <w:widowControl/>
              <w:jc w:val="center"/>
              <w:rPr>
                <w:kern w:val="0"/>
                <w:sz w:val="20"/>
                <w:lang w:eastAsia="zh-Hans"/>
              </w:rPr>
            </w:pPr>
            <w:r>
              <w:rPr>
                <w:rFonts w:hint="eastAsia"/>
                <w:kern w:val="0"/>
                <w:sz w:val="20"/>
                <w:lang w:eastAsia="zh-Hans"/>
              </w:rPr>
              <w:t>部署方式</w:t>
            </w:r>
          </w:p>
        </w:tc>
        <w:tc>
          <w:tcPr>
            <w:tcW w:w="3569" w:type="pct"/>
            <w:gridSpan w:val="3"/>
            <w:noWrap w:val="0"/>
            <w:vAlign w:val="center"/>
          </w:tcPr>
          <w:p w14:paraId="7ECFA8F3">
            <w:pPr>
              <w:widowControl/>
              <w:rPr>
                <w:kern w:val="0"/>
                <w:sz w:val="20"/>
                <w:lang w:eastAsia="zh-Hans"/>
              </w:rPr>
            </w:pPr>
            <w:r>
              <w:rPr>
                <w:rFonts w:hint="eastAsia"/>
                <w:kern w:val="0"/>
                <w:sz w:val="20"/>
                <w:lang w:eastAsia="zh-Hans"/>
              </w:rPr>
              <w:t>应用一体机，机架式设备，双机主备方式部署。</w:t>
            </w:r>
          </w:p>
        </w:tc>
      </w:tr>
      <w:tr w14:paraId="6772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restart"/>
            <w:noWrap w:val="0"/>
            <w:vAlign w:val="center"/>
          </w:tcPr>
          <w:p w14:paraId="117E7C5F">
            <w:pPr>
              <w:widowControl/>
              <w:jc w:val="center"/>
              <w:rPr>
                <w:kern w:val="0"/>
                <w:sz w:val="20"/>
                <w:lang w:eastAsia="zh-Hans"/>
              </w:rPr>
            </w:pPr>
            <w:r>
              <w:rPr>
                <w:rFonts w:hint="eastAsia"/>
                <w:kern w:val="0"/>
                <w:sz w:val="20"/>
                <w:lang w:eastAsia="zh-Hans"/>
              </w:rPr>
              <w:t>4</w:t>
            </w:r>
          </w:p>
        </w:tc>
        <w:tc>
          <w:tcPr>
            <w:tcW w:w="1012" w:type="pct"/>
            <w:vMerge w:val="restart"/>
            <w:noWrap w:val="0"/>
            <w:vAlign w:val="center"/>
          </w:tcPr>
          <w:p w14:paraId="517164BB">
            <w:pPr>
              <w:widowControl/>
              <w:jc w:val="center"/>
              <w:rPr>
                <w:kern w:val="0"/>
                <w:sz w:val="20"/>
                <w:lang w:eastAsia="zh-Hans"/>
              </w:rPr>
            </w:pPr>
            <w:r>
              <w:rPr>
                <w:rFonts w:hint="eastAsia"/>
                <w:kern w:val="0"/>
                <w:sz w:val="20"/>
                <w:lang w:eastAsia="zh-Hans"/>
              </w:rPr>
              <w:t>算法支持</w:t>
            </w:r>
          </w:p>
        </w:tc>
        <w:tc>
          <w:tcPr>
            <w:tcW w:w="3569" w:type="pct"/>
            <w:gridSpan w:val="3"/>
            <w:noWrap w:val="0"/>
            <w:vAlign w:val="center"/>
          </w:tcPr>
          <w:p w14:paraId="3D0F94B1">
            <w:pPr>
              <w:widowControl/>
              <w:rPr>
                <w:kern w:val="0"/>
                <w:sz w:val="20"/>
                <w:lang w:eastAsia="zh-Hans"/>
              </w:rPr>
            </w:pPr>
            <w:r>
              <w:rPr>
                <w:rFonts w:hint="eastAsia"/>
                <w:kern w:val="0"/>
                <w:sz w:val="20"/>
                <w:lang w:eastAsia="zh-Hans"/>
              </w:rPr>
              <w:t>非对称密码算法：支持SM2算法。</w:t>
            </w:r>
          </w:p>
        </w:tc>
      </w:tr>
      <w:tr w14:paraId="56C2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4EA968F9">
            <w:pPr>
              <w:widowControl/>
              <w:jc w:val="left"/>
              <w:rPr>
                <w:kern w:val="0"/>
                <w:sz w:val="20"/>
                <w:lang w:eastAsia="zh-Hans"/>
              </w:rPr>
            </w:pPr>
          </w:p>
        </w:tc>
        <w:tc>
          <w:tcPr>
            <w:tcW w:w="1012" w:type="pct"/>
            <w:vMerge w:val="continue"/>
            <w:noWrap w:val="0"/>
            <w:vAlign w:val="center"/>
          </w:tcPr>
          <w:p w14:paraId="71240ED1">
            <w:pPr>
              <w:widowControl/>
              <w:jc w:val="left"/>
              <w:rPr>
                <w:kern w:val="0"/>
                <w:sz w:val="20"/>
                <w:lang w:eastAsia="zh-Hans"/>
              </w:rPr>
            </w:pPr>
          </w:p>
        </w:tc>
        <w:tc>
          <w:tcPr>
            <w:tcW w:w="3569" w:type="pct"/>
            <w:gridSpan w:val="3"/>
            <w:noWrap w:val="0"/>
            <w:vAlign w:val="center"/>
          </w:tcPr>
          <w:p w14:paraId="75561125">
            <w:pPr>
              <w:widowControl/>
              <w:rPr>
                <w:kern w:val="0"/>
                <w:sz w:val="20"/>
                <w:lang w:eastAsia="zh-Hans"/>
              </w:rPr>
            </w:pPr>
            <w:r>
              <w:rPr>
                <w:rFonts w:hint="eastAsia"/>
                <w:kern w:val="0"/>
                <w:sz w:val="20"/>
                <w:lang w:eastAsia="zh-Hans"/>
              </w:rPr>
              <w:t>对称密码算法：支持SM4算法。</w:t>
            </w:r>
          </w:p>
        </w:tc>
      </w:tr>
      <w:tr w14:paraId="2365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2DCA37CC">
            <w:pPr>
              <w:widowControl/>
              <w:jc w:val="left"/>
              <w:rPr>
                <w:kern w:val="0"/>
                <w:sz w:val="20"/>
                <w:lang w:eastAsia="zh-Hans"/>
              </w:rPr>
            </w:pPr>
          </w:p>
        </w:tc>
        <w:tc>
          <w:tcPr>
            <w:tcW w:w="1012" w:type="pct"/>
            <w:vMerge w:val="continue"/>
            <w:noWrap w:val="0"/>
            <w:vAlign w:val="center"/>
          </w:tcPr>
          <w:p w14:paraId="4BA7CDE5">
            <w:pPr>
              <w:widowControl/>
              <w:jc w:val="left"/>
              <w:rPr>
                <w:kern w:val="0"/>
                <w:sz w:val="20"/>
                <w:lang w:eastAsia="zh-Hans"/>
              </w:rPr>
            </w:pPr>
          </w:p>
        </w:tc>
        <w:tc>
          <w:tcPr>
            <w:tcW w:w="3569" w:type="pct"/>
            <w:gridSpan w:val="3"/>
            <w:noWrap w:val="0"/>
            <w:vAlign w:val="center"/>
          </w:tcPr>
          <w:p w14:paraId="6EE3CA95">
            <w:pPr>
              <w:widowControl/>
              <w:rPr>
                <w:kern w:val="0"/>
                <w:sz w:val="20"/>
                <w:lang w:eastAsia="zh-Hans"/>
              </w:rPr>
            </w:pPr>
            <w:r>
              <w:rPr>
                <w:rFonts w:hint="eastAsia"/>
                <w:kern w:val="0"/>
                <w:sz w:val="20"/>
                <w:lang w:eastAsia="zh-Hans"/>
              </w:rPr>
              <w:t>摘要算法：支持SM3算法。</w:t>
            </w:r>
          </w:p>
        </w:tc>
      </w:tr>
      <w:tr w14:paraId="26D2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restart"/>
            <w:noWrap w:val="0"/>
            <w:vAlign w:val="center"/>
          </w:tcPr>
          <w:p w14:paraId="24374795">
            <w:pPr>
              <w:widowControl/>
              <w:jc w:val="center"/>
              <w:rPr>
                <w:kern w:val="0"/>
                <w:sz w:val="20"/>
                <w:lang w:eastAsia="zh-Hans"/>
              </w:rPr>
            </w:pPr>
            <w:r>
              <w:rPr>
                <w:rFonts w:hint="eastAsia"/>
                <w:kern w:val="0"/>
                <w:sz w:val="20"/>
                <w:lang w:eastAsia="zh-Hans"/>
              </w:rPr>
              <w:t>5</w:t>
            </w:r>
          </w:p>
        </w:tc>
        <w:tc>
          <w:tcPr>
            <w:tcW w:w="1012" w:type="pct"/>
            <w:noWrap w:val="0"/>
            <w:vAlign w:val="center"/>
          </w:tcPr>
          <w:p w14:paraId="736DA9F4">
            <w:pPr>
              <w:widowControl/>
              <w:jc w:val="center"/>
              <w:rPr>
                <w:kern w:val="0"/>
                <w:sz w:val="20"/>
                <w:lang w:eastAsia="zh-Hans"/>
              </w:rPr>
            </w:pPr>
            <w:r>
              <w:rPr>
                <w:rFonts w:hint="eastAsia"/>
                <w:kern w:val="0"/>
                <w:sz w:val="20"/>
                <w:lang w:eastAsia="zh-Hans"/>
              </w:rPr>
              <w:t>密码运算</w:t>
            </w:r>
          </w:p>
        </w:tc>
        <w:tc>
          <w:tcPr>
            <w:tcW w:w="2554" w:type="pct"/>
            <w:gridSpan w:val="2"/>
            <w:noWrap w:val="0"/>
            <w:vAlign w:val="center"/>
          </w:tcPr>
          <w:p w14:paraId="58C75388">
            <w:pPr>
              <w:widowControl/>
              <w:rPr>
                <w:kern w:val="0"/>
                <w:sz w:val="20"/>
                <w:lang w:eastAsia="zh-Hans"/>
              </w:rPr>
            </w:pPr>
            <w:r>
              <w:rPr>
                <w:rFonts w:hint="eastAsia"/>
                <w:kern w:val="0"/>
                <w:sz w:val="20"/>
                <w:lang w:eastAsia="zh-Hans"/>
              </w:rPr>
              <w:t>性能项目</w:t>
            </w:r>
          </w:p>
        </w:tc>
        <w:tc>
          <w:tcPr>
            <w:tcW w:w="1015" w:type="pct"/>
            <w:noWrap w:val="0"/>
            <w:vAlign w:val="center"/>
          </w:tcPr>
          <w:p w14:paraId="005D7613">
            <w:pPr>
              <w:widowControl/>
              <w:rPr>
                <w:kern w:val="0"/>
                <w:sz w:val="20"/>
                <w:lang w:eastAsia="zh-Hans"/>
              </w:rPr>
            </w:pPr>
            <w:r>
              <w:rPr>
                <w:rFonts w:hint="eastAsia"/>
                <w:kern w:val="0"/>
                <w:sz w:val="20"/>
                <w:lang w:eastAsia="zh-Hans"/>
              </w:rPr>
              <w:t>指标</w:t>
            </w:r>
          </w:p>
        </w:tc>
      </w:tr>
      <w:tr w14:paraId="6A16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3EFECBFB">
            <w:pPr>
              <w:widowControl/>
              <w:jc w:val="left"/>
              <w:rPr>
                <w:kern w:val="0"/>
                <w:sz w:val="20"/>
                <w:lang w:eastAsia="zh-Hans"/>
              </w:rPr>
            </w:pPr>
          </w:p>
        </w:tc>
        <w:tc>
          <w:tcPr>
            <w:tcW w:w="1012" w:type="pct"/>
            <w:vMerge w:val="restart"/>
            <w:noWrap w:val="0"/>
            <w:vAlign w:val="center"/>
          </w:tcPr>
          <w:p w14:paraId="09103390">
            <w:pPr>
              <w:widowControl/>
              <w:jc w:val="center"/>
              <w:rPr>
                <w:kern w:val="0"/>
                <w:sz w:val="20"/>
                <w:lang w:eastAsia="zh-Hans"/>
              </w:rPr>
            </w:pPr>
            <w:r>
              <w:rPr>
                <w:rFonts w:hint="eastAsia"/>
                <w:kern w:val="0"/>
                <w:sz w:val="20"/>
                <w:lang w:eastAsia="zh-Hans"/>
              </w:rPr>
              <w:t>性能指标</w:t>
            </w:r>
          </w:p>
        </w:tc>
        <w:tc>
          <w:tcPr>
            <w:tcW w:w="429" w:type="pct"/>
            <w:vMerge w:val="restart"/>
            <w:noWrap w:val="0"/>
            <w:vAlign w:val="center"/>
          </w:tcPr>
          <w:p w14:paraId="052462BA">
            <w:pPr>
              <w:widowControl/>
              <w:rPr>
                <w:kern w:val="0"/>
                <w:sz w:val="20"/>
                <w:lang w:eastAsia="zh-Hans"/>
              </w:rPr>
            </w:pPr>
            <w:r>
              <w:rPr>
                <w:rFonts w:hint="eastAsia"/>
                <w:kern w:val="0"/>
                <w:sz w:val="20"/>
                <w:lang w:eastAsia="zh-Hans"/>
              </w:rPr>
              <w:t>SM2算法</w:t>
            </w:r>
          </w:p>
        </w:tc>
        <w:tc>
          <w:tcPr>
            <w:tcW w:w="2125" w:type="pct"/>
            <w:noWrap w:val="0"/>
            <w:vAlign w:val="center"/>
          </w:tcPr>
          <w:p w14:paraId="4AE848FD">
            <w:pPr>
              <w:widowControl/>
              <w:rPr>
                <w:kern w:val="0"/>
                <w:sz w:val="20"/>
                <w:lang w:eastAsia="zh-Hans"/>
              </w:rPr>
            </w:pPr>
            <w:r>
              <w:rPr>
                <w:rFonts w:hint="eastAsia"/>
                <w:kern w:val="0"/>
                <w:sz w:val="20"/>
                <w:lang w:eastAsia="zh-Hans"/>
              </w:rPr>
              <w:t>SM2密钥生产【对/秒】</w:t>
            </w:r>
          </w:p>
        </w:tc>
        <w:tc>
          <w:tcPr>
            <w:tcW w:w="1015" w:type="pct"/>
            <w:noWrap w:val="0"/>
            <w:vAlign w:val="center"/>
          </w:tcPr>
          <w:p w14:paraId="6F419D19">
            <w:pPr>
              <w:widowControl/>
              <w:rPr>
                <w:kern w:val="0"/>
                <w:sz w:val="20"/>
                <w:lang w:eastAsia="zh-Hans"/>
              </w:rPr>
            </w:pPr>
            <w:r>
              <w:rPr>
                <w:rFonts w:hint="eastAsia"/>
                <w:kern w:val="0"/>
                <w:sz w:val="20"/>
                <w:lang w:eastAsia="zh-Hans"/>
              </w:rPr>
              <w:t>≥100000</w:t>
            </w:r>
          </w:p>
        </w:tc>
      </w:tr>
      <w:tr w14:paraId="11A8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778A437D">
            <w:pPr>
              <w:widowControl/>
              <w:jc w:val="left"/>
              <w:rPr>
                <w:kern w:val="0"/>
                <w:sz w:val="20"/>
                <w:lang w:eastAsia="zh-Hans"/>
              </w:rPr>
            </w:pPr>
          </w:p>
        </w:tc>
        <w:tc>
          <w:tcPr>
            <w:tcW w:w="1012" w:type="pct"/>
            <w:vMerge w:val="continue"/>
            <w:noWrap w:val="0"/>
            <w:vAlign w:val="center"/>
          </w:tcPr>
          <w:p w14:paraId="11A43C6E">
            <w:pPr>
              <w:widowControl/>
              <w:jc w:val="left"/>
              <w:rPr>
                <w:kern w:val="0"/>
                <w:sz w:val="20"/>
                <w:lang w:eastAsia="zh-Hans"/>
              </w:rPr>
            </w:pPr>
          </w:p>
        </w:tc>
        <w:tc>
          <w:tcPr>
            <w:tcW w:w="429" w:type="pct"/>
            <w:vMerge w:val="continue"/>
            <w:noWrap w:val="0"/>
            <w:vAlign w:val="center"/>
          </w:tcPr>
          <w:p w14:paraId="6FA0F7C3">
            <w:pPr>
              <w:widowControl/>
              <w:jc w:val="left"/>
              <w:rPr>
                <w:kern w:val="0"/>
                <w:sz w:val="20"/>
                <w:lang w:eastAsia="zh-Hans"/>
              </w:rPr>
            </w:pPr>
          </w:p>
        </w:tc>
        <w:tc>
          <w:tcPr>
            <w:tcW w:w="2125" w:type="pct"/>
            <w:noWrap w:val="0"/>
            <w:vAlign w:val="center"/>
          </w:tcPr>
          <w:p w14:paraId="19B7281D">
            <w:pPr>
              <w:widowControl/>
              <w:rPr>
                <w:kern w:val="0"/>
                <w:sz w:val="20"/>
                <w:lang w:eastAsia="zh-Hans"/>
              </w:rPr>
            </w:pPr>
            <w:r>
              <w:rPr>
                <w:rFonts w:hint="eastAsia"/>
                <w:kern w:val="0"/>
                <w:sz w:val="20"/>
                <w:lang w:eastAsia="zh-Hans"/>
              </w:rPr>
              <w:t>SM2私钥签名【次/秒】</w:t>
            </w:r>
          </w:p>
        </w:tc>
        <w:tc>
          <w:tcPr>
            <w:tcW w:w="1015" w:type="pct"/>
            <w:noWrap w:val="0"/>
            <w:vAlign w:val="center"/>
          </w:tcPr>
          <w:p w14:paraId="5DD148E3">
            <w:pPr>
              <w:widowControl/>
              <w:rPr>
                <w:kern w:val="0"/>
                <w:sz w:val="20"/>
                <w:lang w:eastAsia="zh-Hans"/>
              </w:rPr>
            </w:pPr>
            <w:r>
              <w:rPr>
                <w:rFonts w:hint="eastAsia"/>
                <w:kern w:val="0"/>
                <w:sz w:val="20"/>
                <w:lang w:eastAsia="zh-Hans"/>
              </w:rPr>
              <w:t>≥100000</w:t>
            </w:r>
          </w:p>
        </w:tc>
      </w:tr>
      <w:tr w14:paraId="1173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3FA57B51">
            <w:pPr>
              <w:widowControl/>
              <w:jc w:val="left"/>
              <w:rPr>
                <w:kern w:val="0"/>
                <w:sz w:val="20"/>
                <w:lang w:eastAsia="zh-Hans"/>
              </w:rPr>
            </w:pPr>
          </w:p>
        </w:tc>
        <w:tc>
          <w:tcPr>
            <w:tcW w:w="1012" w:type="pct"/>
            <w:vMerge w:val="continue"/>
            <w:noWrap w:val="0"/>
            <w:vAlign w:val="center"/>
          </w:tcPr>
          <w:p w14:paraId="324FED98">
            <w:pPr>
              <w:widowControl/>
              <w:jc w:val="left"/>
              <w:rPr>
                <w:kern w:val="0"/>
                <w:sz w:val="20"/>
                <w:lang w:eastAsia="zh-Hans"/>
              </w:rPr>
            </w:pPr>
          </w:p>
        </w:tc>
        <w:tc>
          <w:tcPr>
            <w:tcW w:w="429" w:type="pct"/>
            <w:vMerge w:val="continue"/>
            <w:noWrap w:val="0"/>
            <w:vAlign w:val="center"/>
          </w:tcPr>
          <w:p w14:paraId="6510886D">
            <w:pPr>
              <w:widowControl/>
              <w:jc w:val="left"/>
              <w:rPr>
                <w:kern w:val="0"/>
                <w:sz w:val="20"/>
                <w:lang w:eastAsia="zh-Hans"/>
              </w:rPr>
            </w:pPr>
          </w:p>
        </w:tc>
        <w:tc>
          <w:tcPr>
            <w:tcW w:w="2125" w:type="pct"/>
            <w:noWrap w:val="0"/>
            <w:vAlign w:val="center"/>
          </w:tcPr>
          <w:p w14:paraId="23006247">
            <w:pPr>
              <w:widowControl/>
              <w:rPr>
                <w:kern w:val="0"/>
                <w:sz w:val="20"/>
                <w:lang w:eastAsia="zh-Hans"/>
              </w:rPr>
            </w:pPr>
            <w:r>
              <w:rPr>
                <w:rFonts w:hint="eastAsia"/>
                <w:kern w:val="0"/>
                <w:sz w:val="20"/>
                <w:lang w:eastAsia="zh-Hans"/>
              </w:rPr>
              <w:t>SM2公钥验证【次/秒】</w:t>
            </w:r>
          </w:p>
        </w:tc>
        <w:tc>
          <w:tcPr>
            <w:tcW w:w="1015" w:type="pct"/>
            <w:noWrap w:val="0"/>
            <w:vAlign w:val="center"/>
          </w:tcPr>
          <w:p w14:paraId="2D70A8DC">
            <w:pPr>
              <w:widowControl/>
              <w:rPr>
                <w:kern w:val="0"/>
                <w:sz w:val="20"/>
                <w:lang w:eastAsia="zh-Hans"/>
              </w:rPr>
            </w:pPr>
            <w:r>
              <w:rPr>
                <w:rFonts w:hint="eastAsia"/>
                <w:kern w:val="0"/>
                <w:sz w:val="20"/>
                <w:lang w:eastAsia="zh-Hans"/>
              </w:rPr>
              <w:t>≥40000</w:t>
            </w:r>
          </w:p>
        </w:tc>
      </w:tr>
      <w:tr w14:paraId="2F27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38B98FFA">
            <w:pPr>
              <w:widowControl/>
              <w:jc w:val="left"/>
              <w:rPr>
                <w:kern w:val="0"/>
                <w:sz w:val="20"/>
                <w:lang w:eastAsia="zh-Hans"/>
              </w:rPr>
            </w:pPr>
          </w:p>
        </w:tc>
        <w:tc>
          <w:tcPr>
            <w:tcW w:w="1012" w:type="pct"/>
            <w:vMerge w:val="continue"/>
            <w:noWrap w:val="0"/>
            <w:vAlign w:val="center"/>
          </w:tcPr>
          <w:p w14:paraId="44D90A5B">
            <w:pPr>
              <w:widowControl/>
              <w:jc w:val="left"/>
              <w:rPr>
                <w:kern w:val="0"/>
                <w:sz w:val="20"/>
                <w:lang w:eastAsia="zh-Hans"/>
              </w:rPr>
            </w:pPr>
          </w:p>
        </w:tc>
        <w:tc>
          <w:tcPr>
            <w:tcW w:w="429" w:type="pct"/>
            <w:vMerge w:val="continue"/>
            <w:noWrap w:val="0"/>
            <w:vAlign w:val="center"/>
          </w:tcPr>
          <w:p w14:paraId="0CF4C592">
            <w:pPr>
              <w:widowControl/>
              <w:jc w:val="left"/>
              <w:rPr>
                <w:kern w:val="0"/>
                <w:sz w:val="20"/>
                <w:lang w:eastAsia="zh-Hans"/>
              </w:rPr>
            </w:pPr>
          </w:p>
        </w:tc>
        <w:tc>
          <w:tcPr>
            <w:tcW w:w="2125" w:type="pct"/>
            <w:noWrap w:val="0"/>
            <w:vAlign w:val="center"/>
          </w:tcPr>
          <w:p w14:paraId="41EBE563">
            <w:pPr>
              <w:widowControl/>
              <w:rPr>
                <w:kern w:val="0"/>
                <w:sz w:val="20"/>
                <w:lang w:eastAsia="zh-Hans"/>
              </w:rPr>
            </w:pPr>
            <w:r>
              <w:rPr>
                <w:rFonts w:hint="eastAsia"/>
                <w:kern w:val="0"/>
                <w:sz w:val="20"/>
                <w:lang w:eastAsia="zh-Hans"/>
              </w:rPr>
              <w:t>SM2公钥加密【次/秒】</w:t>
            </w:r>
          </w:p>
        </w:tc>
        <w:tc>
          <w:tcPr>
            <w:tcW w:w="1015" w:type="pct"/>
            <w:noWrap w:val="0"/>
            <w:vAlign w:val="center"/>
          </w:tcPr>
          <w:p w14:paraId="1E9DDC35">
            <w:pPr>
              <w:widowControl/>
              <w:rPr>
                <w:kern w:val="0"/>
                <w:sz w:val="20"/>
                <w:lang w:eastAsia="zh-Hans"/>
              </w:rPr>
            </w:pPr>
            <w:r>
              <w:rPr>
                <w:rFonts w:hint="eastAsia"/>
                <w:kern w:val="0"/>
                <w:sz w:val="20"/>
                <w:lang w:eastAsia="zh-Hans"/>
              </w:rPr>
              <w:t>≥40000</w:t>
            </w:r>
          </w:p>
        </w:tc>
      </w:tr>
      <w:tr w14:paraId="4271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24BA1620">
            <w:pPr>
              <w:widowControl/>
              <w:jc w:val="left"/>
              <w:rPr>
                <w:kern w:val="0"/>
                <w:sz w:val="20"/>
                <w:lang w:eastAsia="zh-Hans"/>
              </w:rPr>
            </w:pPr>
          </w:p>
        </w:tc>
        <w:tc>
          <w:tcPr>
            <w:tcW w:w="1012" w:type="pct"/>
            <w:vMerge w:val="continue"/>
            <w:noWrap w:val="0"/>
            <w:vAlign w:val="center"/>
          </w:tcPr>
          <w:p w14:paraId="693BDCBF">
            <w:pPr>
              <w:widowControl/>
              <w:jc w:val="left"/>
              <w:rPr>
                <w:kern w:val="0"/>
                <w:sz w:val="20"/>
                <w:lang w:eastAsia="zh-Hans"/>
              </w:rPr>
            </w:pPr>
          </w:p>
        </w:tc>
        <w:tc>
          <w:tcPr>
            <w:tcW w:w="429" w:type="pct"/>
            <w:vMerge w:val="continue"/>
            <w:noWrap w:val="0"/>
            <w:vAlign w:val="center"/>
          </w:tcPr>
          <w:p w14:paraId="22FB20C4">
            <w:pPr>
              <w:widowControl/>
              <w:jc w:val="left"/>
              <w:rPr>
                <w:kern w:val="0"/>
                <w:sz w:val="20"/>
                <w:lang w:eastAsia="zh-Hans"/>
              </w:rPr>
            </w:pPr>
          </w:p>
        </w:tc>
        <w:tc>
          <w:tcPr>
            <w:tcW w:w="2125" w:type="pct"/>
            <w:noWrap w:val="0"/>
            <w:vAlign w:val="center"/>
          </w:tcPr>
          <w:p w14:paraId="2D14A905">
            <w:pPr>
              <w:widowControl/>
              <w:rPr>
                <w:kern w:val="0"/>
                <w:sz w:val="20"/>
                <w:lang w:eastAsia="zh-Hans"/>
              </w:rPr>
            </w:pPr>
            <w:r>
              <w:rPr>
                <w:rFonts w:hint="eastAsia"/>
                <w:kern w:val="0"/>
                <w:sz w:val="20"/>
                <w:lang w:eastAsia="zh-Hans"/>
              </w:rPr>
              <w:t>SM2私钥解密【次/秒】</w:t>
            </w:r>
          </w:p>
        </w:tc>
        <w:tc>
          <w:tcPr>
            <w:tcW w:w="1015" w:type="pct"/>
            <w:noWrap w:val="0"/>
            <w:vAlign w:val="center"/>
          </w:tcPr>
          <w:p w14:paraId="1E3005DC">
            <w:pPr>
              <w:widowControl/>
              <w:rPr>
                <w:kern w:val="0"/>
                <w:sz w:val="20"/>
                <w:lang w:eastAsia="zh-Hans"/>
              </w:rPr>
            </w:pPr>
            <w:r>
              <w:rPr>
                <w:rFonts w:hint="eastAsia"/>
                <w:kern w:val="0"/>
                <w:sz w:val="20"/>
                <w:lang w:eastAsia="zh-Hans"/>
              </w:rPr>
              <w:t>≥40000</w:t>
            </w:r>
          </w:p>
        </w:tc>
      </w:tr>
      <w:tr w14:paraId="7FCF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7ADD97BE">
            <w:pPr>
              <w:widowControl/>
              <w:jc w:val="left"/>
              <w:rPr>
                <w:kern w:val="0"/>
                <w:sz w:val="20"/>
                <w:lang w:eastAsia="zh-Hans"/>
              </w:rPr>
            </w:pPr>
          </w:p>
        </w:tc>
        <w:tc>
          <w:tcPr>
            <w:tcW w:w="1012" w:type="pct"/>
            <w:vMerge w:val="continue"/>
            <w:noWrap w:val="0"/>
            <w:vAlign w:val="center"/>
          </w:tcPr>
          <w:p w14:paraId="0FA5C3BB">
            <w:pPr>
              <w:widowControl/>
              <w:jc w:val="left"/>
              <w:rPr>
                <w:kern w:val="0"/>
                <w:sz w:val="20"/>
                <w:lang w:eastAsia="zh-Hans"/>
              </w:rPr>
            </w:pPr>
          </w:p>
        </w:tc>
        <w:tc>
          <w:tcPr>
            <w:tcW w:w="429" w:type="pct"/>
            <w:vMerge w:val="continue"/>
            <w:noWrap w:val="0"/>
            <w:vAlign w:val="center"/>
          </w:tcPr>
          <w:p w14:paraId="72F3A15A">
            <w:pPr>
              <w:widowControl/>
              <w:jc w:val="left"/>
              <w:rPr>
                <w:kern w:val="0"/>
                <w:sz w:val="20"/>
                <w:lang w:eastAsia="zh-Hans"/>
              </w:rPr>
            </w:pPr>
          </w:p>
        </w:tc>
        <w:tc>
          <w:tcPr>
            <w:tcW w:w="2125" w:type="pct"/>
            <w:noWrap w:val="0"/>
            <w:vAlign w:val="center"/>
          </w:tcPr>
          <w:p w14:paraId="00E3287A">
            <w:pPr>
              <w:widowControl/>
              <w:rPr>
                <w:kern w:val="0"/>
                <w:sz w:val="20"/>
                <w:lang w:eastAsia="zh-Hans"/>
              </w:rPr>
            </w:pPr>
            <w:r>
              <w:rPr>
                <w:rFonts w:hint="eastAsia"/>
                <w:kern w:val="0"/>
                <w:sz w:val="20"/>
                <w:lang w:eastAsia="zh-Hans"/>
              </w:rPr>
              <w:t>SM2密钥对存储数量</w:t>
            </w:r>
          </w:p>
        </w:tc>
        <w:tc>
          <w:tcPr>
            <w:tcW w:w="1015" w:type="pct"/>
            <w:noWrap w:val="0"/>
            <w:vAlign w:val="center"/>
          </w:tcPr>
          <w:p w14:paraId="012DEB3E">
            <w:pPr>
              <w:widowControl/>
              <w:rPr>
                <w:kern w:val="0"/>
                <w:sz w:val="20"/>
                <w:lang w:eastAsia="zh-Hans"/>
              </w:rPr>
            </w:pPr>
            <w:r>
              <w:rPr>
                <w:rFonts w:hint="eastAsia"/>
                <w:kern w:val="0"/>
                <w:sz w:val="20"/>
                <w:lang w:eastAsia="zh-Hans"/>
              </w:rPr>
              <w:t>≥10000</w:t>
            </w:r>
          </w:p>
        </w:tc>
      </w:tr>
      <w:tr w14:paraId="179D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503D173C">
            <w:pPr>
              <w:widowControl/>
              <w:jc w:val="left"/>
              <w:rPr>
                <w:kern w:val="0"/>
                <w:sz w:val="20"/>
                <w:lang w:eastAsia="zh-Hans"/>
              </w:rPr>
            </w:pPr>
          </w:p>
        </w:tc>
        <w:tc>
          <w:tcPr>
            <w:tcW w:w="1012" w:type="pct"/>
            <w:vMerge w:val="continue"/>
            <w:noWrap w:val="0"/>
            <w:vAlign w:val="center"/>
          </w:tcPr>
          <w:p w14:paraId="64C2661F">
            <w:pPr>
              <w:widowControl/>
              <w:jc w:val="left"/>
              <w:rPr>
                <w:kern w:val="0"/>
                <w:sz w:val="20"/>
                <w:lang w:eastAsia="zh-Hans"/>
              </w:rPr>
            </w:pPr>
          </w:p>
        </w:tc>
        <w:tc>
          <w:tcPr>
            <w:tcW w:w="429" w:type="pct"/>
            <w:vMerge w:val="restart"/>
            <w:noWrap w:val="0"/>
            <w:vAlign w:val="center"/>
          </w:tcPr>
          <w:p w14:paraId="5F17D491">
            <w:pPr>
              <w:widowControl/>
              <w:rPr>
                <w:kern w:val="0"/>
                <w:sz w:val="20"/>
                <w:lang w:eastAsia="zh-Hans"/>
              </w:rPr>
            </w:pPr>
            <w:r>
              <w:rPr>
                <w:rFonts w:hint="eastAsia"/>
                <w:kern w:val="0"/>
                <w:sz w:val="20"/>
                <w:lang w:eastAsia="zh-Hans"/>
              </w:rPr>
              <w:t>SM4算法</w:t>
            </w:r>
          </w:p>
        </w:tc>
        <w:tc>
          <w:tcPr>
            <w:tcW w:w="2125" w:type="pct"/>
            <w:noWrap w:val="0"/>
            <w:vAlign w:val="center"/>
          </w:tcPr>
          <w:p w14:paraId="755619F0">
            <w:pPr>
              <w:widowControl/>
              <w:rPr>
                <w:kern w:val="0"/>
                <w:sz w:val="20"/>
                <w:lang w:eastAsia="zh-Hans"/>
              </w:rPr>
            </w:pPr>
            <w:r>
              <w:rPr>
                <w:rFonts w:hint="eastAsia"/>
                <w:kern w:val="0"/>
                <w:sz w:val="20"/>
                <w:lang w:eastAsia="zh-Hans"/>
              </w:rPr>
              <w:t>加解密【Mbps】</w:t>
            </w:r>
          </w:p>
        </w:tc>
        <w:tc>
          <w:tcPr>
            <w:tcW w:w="1015" w:type="pct"/>
            <w:noWrap w:val="0"/>
            <w:vAlign w:val="center"/>
          </w:tcPr>
          <w:p w14:paraId="070E5292">
            <w:pPr>
              <w:widowControl/>
              <w:rPr>
                <w:kern w:val="0"/>
                <w:sz w:val="20"/>
                <w:lang w:eastAsia="zh-Hans"/>
              </w:rPr>
            </w:pPr>
            <w:r>
              <w:rPr>
                <w:rFonts w:hint="eastAsia"/>
                <w:kern w:val="0"/>
                <w:sz w:val="20"/>
                <w:lang w:eastAsia="zh-Hans"/>
              </w:rPr>
              <w:t>≥800</w:t>
            </w:r>
          </w:p>
        </w:tc>
      </w:tr>
      <w:tr w14:paraId="136C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419" w:type="pct"/>
            <w:vMerge w:val="continue"/>
            <w:noWrap w:val="0"/>
            <w:vAlign w:val="center"/>
          </w:tcPr>
          <w:p w14:paraId="45DB58AE">
            <w:pPr>
              <w:widowControl/>
              <w:jc w:val="left"/>
              <w:rPr>
                <w:kern w:val="0"/>
                <w:sz w:val="20"/>
                <w:lang w:eastAsia="zh-Hans"/>
              </w:rPr>
            </w:pPr>
          </w:p>
        </w:tc>
        <w:tc>
          <w:tcPr>
            <w:tcW w:w="1012" w:type="pct"/>
            <w:vMerge w:val="continue"/>
            <w:noWrap w:val="0"/>
            <w:vAlign w:val="center"/>
          </w:tcPr>
          <w:p w14:paraId="1AF1A9FB">
            <w:pPr>
              <w:widowControl/>
              <w:jc w:val="left"/>
              <w:rPr>
                <w:kern w:val="0"/>
                <w:sz w:val="20"/>
                <w:lang w:eastAsia="zh-Hans"/>
              </w:rPr>
            </w:pPr>
          </w:p>
        </w:tc>
        <w:tc>
          <w:tcPr>
            <w:tcW w:w="429" w:type="pct"/>
            <w:vMerge w:val="continue"/>
            <w:noWrap w:val="0"/>
            <w:vAlign w:val="center"/>
          </w:tcPr>
          <w:p w14:paraId="7EE1D671">
            <w:pPr>
              <w:widowControl/>
              <w:jc w:val="left"/>
              <w:rPr>
                <w:kern w:val="0"/>
                <w:sz w:val="20"/>
                <w:lang w:eastAsia="zh-Hans"/>
              </w:rPr>
            </w:pPr>
          </w:p>
        </w:tc>
        <w:tc>
          <w:tcPr>
            <w:tcW w:w="2125" w:type="pct"/>
            <w:noWrap w:val="0"/>
            <w:vAlign w:val="center"/>
          </w:tcPr>
          <w:p w14:paraId="7F2AF897">
            <w:pPr>
              <w:widowControl/>
              <w:rPr>
                <w:kern w:val="0"/>
                <w:sz w:val="20"/>
                <w:lang w:eastAsia="zh-Hans"/>
              </w:rPr>
            </w:pPr>
            <w:r>
              <w:rPr>
                <w:rFonts w:hint="eastAsia"/>
                <w:kern w:val="0"/>
                <w:sz w:val="20"/>
                <w:lang w:eastAsia="zh-Hans"/>
              </w:rPr>
              <w:t>SM4密钥存储数量</w:t>
            </w:r>
          </w:p>
        </w:tc>
        <w:tc>
          <w:tcPr>
            <w:tcW w:w="1015" w:type="pct"/>
            <w:noWrap w:val="0"/>
            <w:vAlign w:val="center"/>
          </w:tcPr>
          <w:p w14:paraId="1A942A68">
            <w:pPr>
              <w:widowControl/>
              <w:rPr>
                <w:kern w:val="0"/>
                <w:sz w:val="20"/>
                <w:lang w:eastAsia="zh-Hans"/>
              </w:rPr>
            </w:pPr>
            <w:r>
              <w:rPr>
                <w:rFonts w:hint="eastAsia"/>
                <w:kern w:val="0"/>
                <w:sz w:val="20"/>
                <w:lang w:eastAsia="zh-Hans"/>
              </w:rPr>
              <w:t>≥500</w:t>
            </w:r>
          </w:p>
        </w:tc>
      </w:tr>
      <w:tr w14:paraId="2C0E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353F7C0C">
            <w:pPr>
              <w:widowControl/>
              <w:jc w:val="left"/>
              <w:rPr>
                <w:kern w:val="0"/>
                <w:sz w:val="20"/>
                <w:lang w:eastAsia="zh-Hans"/>
              </w:rPr>
            </w:pPr>
          </w:p>
        </w:tc>
        <w:tc>
          <w:tcPr>
            <w:tcW w:w="1012" w:type="pct"/>
            <w:vMerge w:val="continue"/>
            <w:noWrap w:val="0"/>
            <w:vAlign w:val="center"/>
          </w:tcPr>
          <w:p w14:paraId="4F3613A4">
            <w:pPr>
              <w:widowControl/>
              <w:jc w:val="left"/>
              <w:rPr>
                <w:kern w:val="0"/>
                <w:sz w:val="20"/>
                <w:lang w:eastAsia="zh-Hans"/>
              </w:rPr>
            </w:pPr>
          </w:p>
        </w:tc>
        <w:tc>
          <w:tcPr>
            <w:tcW w:w="429" w:type="pct"/>
            <w:noWrap w:val="0"/>
            <w:vAlign w:val="center"/>
          </w:tcPr>
          <w:p w14:paraId="618E2A49">
            <w:pPr>
              <w:widowControl/>
              <w:rPr>
                <w:kern w:val="0"/>
                <w:sz w:val="20"/>
                <w:lang w:eastAsia="zh-Hans"/>
              </w:rPr>
            </w:pPr>
            <w:r>
              <w:rPr>
                <w:rFonts w:hint="eastAsia"/>
                <w:kern w:val="0"/>
                <w:sz w:val="20"/>
                <w:lang w:eastAsia="zh-Hans"/>
              </w:rPr>
              <w:t>SM3算法</w:t>
            </w:r>
          </w:p>
        </w:tc>
        <w:tc>
          <w:tcPr>
            <w:tcW w:w="2125" w:type="pct"/>
            <w:noWrap w:val="0"/>
            <w:vAlign w:val="center"/>
          </w:tcPr>
          <w:p w14:paraId="4453B119">
            <w:pPr>
              <w:widowControl/>
              <w:rPr>
                <w:kern w:val="0"/>
                <w:sz w:val="20"/>
                <w:lang w:eastAsia="zh-Hans"/>
              </w:rPr>
            </w:pPr>
            <w:r>
              <w:rPr>
                <w:rFonts w:hint="eastAsia"/>
                <w:kern w:val="0"/>
                <w:sz w:val="20"/>
                <w:lang w:eastAsia="zh-Hans"/>
              </w:rPr>
              <w:t>摘要计算【Mbps】</w:t>
            </w:r>
          </w:p>
        </w:tc>
        <w:tc>
          <w:tcPr>
            <w:tcW w:w="1015" w:type="pct"/>
            <w:noWrap w:val="0"/>
            <w:vAlign w:val="center"/>
          </w:tcPr>
          <w:p w14:paraId="66B62D94">
            <w:pPr>
              <w:widowControl/>
              <w:rPr>
                <w:kern w:val="0"/>
                <w:sz w:val="20"/>
                <w:lang w:eastAsia="zh-Hans"/>
              </w:rPr>
            </w:pPr>
            <w:r>
              <w:rPr>
                <w:rFonts w:hint="eastAsia"/>
                <w:kern w:val="0"/>
                <w:sz w:val="20"/>
                <w:lang w:eastAsia="zh-Hans"/>
              </w:rPr>
              <w:t>≥800</w:t>
            </w:r>
          </w:p>
        </w:tc>
      </w:tr>
      <w:tr w14:paraId="36BD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restart"/>
            <w:noWrap w:val="0"/>
            <w:vAlign w:val="center"/>
          </w:tcPr>
          <w:p w14:paraId="232FD652">
            <w:pPr>
              <w:widowControl/>
              <w:jc w:val="center"/>
              <w:rPr>
                <w:kern w:val="0"/>
                <w:sz w:val="20"/>
                <w:lang w:eastAsia="zh-Hans"/>
              </w:rPr>
            </w:pPr>
            <w:r>
              <w:rPr>
                <w:rFonts w:hint="eastAsia"/>
                <w:kern w:val="0"/>
                <w:sz w:val="20"/>
                <w:lang w:eastAsia="zh-Hans"/>
              </w:rPr>
              <w:t>6</w:t>
            </w:r>
          </w:p>
        </w:tc>
        <w:tc>
          <w:tcPr>
            <w:tcW w:w="1012" w:type="pct"/>
            <w:vMerge w:val="restart"/>
            <w:noWrap w:val="0"/>
            <w:vAlign w:val="center"/>
          </w:tcPr>
          <w:p w14:paraId="0788D106">
            <w:pPr>
              <w:widowControl/>
              <w:jc w:val="center"/>
              <w:rPr>
                <w:kern w:val="0"/>
                <w:sz w:val="20"/>
                <w:lang w:eastAsia="zh-Hans"/>
              </w:rPr>
            </w:pPr>
            <w:r>
              <w:rPr>
                <w:rFonts w:hint="eastAsia"/>
                <w:kern w:val="0"/>
                <w:sz w:val="20"/>
                <w:lang w:eastAsia="zh-Hans"/>
              </w:rPr>
              <w:t>密钥管理</w:t>
            </w:r>
          </w:p>
        </w:tc>
        <w:tc>
          <w:tcPr>
            <w:tcW w:w="3569" w:type="pct"/>
            <w:gridSpan w:val="3"/>
            <w:noWrap w:val="0"/>
            <w:vAlign w:val="center"/>
          </w:tcPr>
          <w:p w14:paraId="3761FA46">
            <w:pPr>
              <w:widowControl/>
              <w:rPr>
                <w:kern w:val="0"/>
                <w:sz w:val="20"/>
                <w:lang w:eastAsia="zh-Hans"/>
              </w:rPr>
            </w:pPr>
            <w:r>
              <w:rPr>
                <w:rFonts w:hint="eastAsia"/>
                <w:kern w:val="0"/>
                <w:sz w:val="20"/>
                <w:lang w:eastAsia="zh-Hans"/>
              </w:rPr>
              <w:t>支持对非对称密钥、对称密钥的生成、更新、销毁、导出、备份等密钥生命周 期管理功能。</w:t>
            </w:r>
          </w:p>
        </w:tc>
      </w:tr>
      <w:tr w14:paraId="653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7F4150CE">
            <w:pPr>
              <w:widowControl/>
              <w:jc w:val="left"/>
              <w:rPr>
                <w:kern w:val="0"/>
                <w:sz w:val="20"/>
                <w:lang w:eastAsia="zh-Hans"/>
              </w:rPr>
            </w:pPr>
          </w:p>
        </w:tc>
        <w:tc>
          <w:tcPr>
            <w:tcW w:w="1012" w:type="pct"/>
            <w:vMerge w:val="continue"/>
            <w:noWrap w:val="0"/>
            <w:vAlign w:val="center"/>
          </w:tcPr>
          <w:p w14:paraId="20914AEF">
            <w:pPr>
              <w:widowControl/>
              <w:jc w:val="left"/>
              <w:rPr>
                <w:kern w:val="0"/>
                <w:sz w:val="20"/>
                <w:lang w:eastAsia="zh-Hans"/>
              </w:rPr>
            </w:pPr>
          </w:p>
        </w:tc>
        <w:tc>
          <w:tcPr>
            <w:tcW w:w="3569" w:type="pct"/>
            <w:gridSpan w:val="3"/>
            <w:noWrap w:val="0"/>
            <w:vAlign w:val="center"/>
          </w:tcPr>
          <w:p w14:paraId="30770416">
            <w:pPr>
              <w:widowControl/>
              <w:rPr>
                <w:kern w:val="0"/>
                <w:sz w:val="20"/>
                <w:lang w:eastAsia="zh-Hans"/>
              </w:rPr>
            </w:pPr>
            <w:r>
              <w:rPr>
                <w:rFonts w:hint="eastAsia"/>
                <w:kern w:val="0"/>
                <w:sz w:val="20"/>
                <w:lang w:eastAsia="zh-Hans"/>
              </w:rPr>
              <w:t>支持集群部署方式下安全的进行主备机密钥自动同步功能。</w:t>
            </w:r>
          </w:p>
        </w:tc>
      </w:tr>
      <w:tr w14:paraId="5CEA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noWrap w:val="0"/>
            <w:vAlign w:val="center"/>
          </w:tcPr>
          <w:p w14:paraId="4E4DECB1">
            <w:pPr>
              <w:widowControl/>
              <w:jc w:val="center"/>
              <w:rPr>
                <w:kern w:val="0"/>
                <w:sz w:val="20"/>
                <w:lang w:eastAsia="zh-Hans"/>
              </w:rPr>
            </w:pPr>
            <w:r>
              <w:rPr>
                <w:rFonts w:hint="eastAsia"/>
                <w:kern w:val="0"/>
                <w:sz w:val="20"/>
                <w:lang w:eastAsia="zh-Hans"/>
              </w:rPr>
              <w:t>7</w:t>
            </w:r>
          </w:p>
        </w:tc>
        <w:tc>
          <w:tcPr>
            <w:tcW w:w="1012" w:type="pct"/>
            <w:noWrap w:val="0"/>
            <w:vAlign w:val="center"/>
          </w:tcPr>
          <w:p w14:paraId="1AB683FF">
            <w:pPr>
              <w:widowControl/>
              <w:jc w:val="center"/>
              <w:rPr>
                <w:kern w:val="0"/>
                <w:sz w:val="20"/>
                <w:lang w:eastAsia="zh-Hans"/>
              </w:rPr>
            </w:pPr>
            <w:r>
              <w:rPr>
                <w:rFonts w:hint="eastAsia"/>
                <w:kern w:val="0"/>
                <w:sz w:val="20"/>
                <w:lang w:eastAsia="zh-Hans"/>
              </w:rPr>
              <w:t>访问控制</w:t>
            </w:r>
          </w:p>
        </w:tc>
        <w:tc>
          <w:tcPr>
            <w:tcW w:w="3569" w:type="pct"/>
            <w:gridSpan w:val="3"/>
            <w:noWrap w:val="0"/>
            <w:vAlign w:val="center"/>
          </w:tcPr>
          <w:p w14:paraId="437EB542">
            <w:pPr>
              <w:widowControl/>
              <w:rPr>
                <w:kern w:val="0"/>
                <w:sz w:val="20"/>
                <w:lang w:eastAsia="zh-Hans"/>
              </w:rPr>
            </w:pPr>
            <w:r>
              <w:rPr>
                <w:rFonts w:hint="eastAsia"/>
                <w:kern w:val="0"/>
                <w:sz w:val="20"/>
                <w:lang w:eastAsia="zh-Hans"/>
              </w:rPr>
              <w:t>支持调用访问本设备的IP地址白名单管理功能。</w:t>
            </w:r>
          </w:p>
        </w:tc>
      </w:tr>
      <w:tr w14:paraId="6D06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restart"/>
            <w:noWrap w:val="0"/>
            <w:vAlign w:val="center"/>
          </w:tcPr>
          <w:p w14:paraId="66D90009">
            <w:pPr>
              <w:widowControl/>
              <w:jc w:val="center"/>
              <w:rPr>
                <w:kern w:val="0"/>
                <w:sz w:val="20"/>
                <w:lang w:eastAsia="zh-Hans"/>
              </w:rPr>
            </w:pPr>
            <w:r>
              <w:rPr>
                <w:rFonts w:hint="eastAsia"/>
                <w:kern w:val="0"/>
                <w:sz w:val="20"/>
                <w:lang w:eastAsia="zh-Hans"/>
              </w:rPr>
              <w:t>8</w:t>
            </w:r>
          </w:p>
        </w:tc>
        <w:tc>
          <w:tcPr>
            <w:tcW w:w="1012" w:type="pct"/>
            <w:vMerge w:val="restart"/>
            <w:noWrap w:val="0"/>
            <w:vAlign w:val="center"/>
          </w:tcPr>
          <w:p w14:paraId="566DCAD9">
            <w:pPr>
              <w:widowControl/>
              <w:jc w:val="center"/>
              <w:rPr>
                <w:kern w:val="0"/>
                <w:sz w:val="20"/>
                <w:lang w:eastAsia="zh-Hans"/>
              </w:rPr>
            </w:pPr>
            <w:r>
              <w:rPr>
                <w:rFonts w:hint="eastAsia"/>
                <w:kern w:val="0"/>
                <w:sz w:val="20"/>
                <w:lang w:eastAsia="zh-Hans"/>
              </w:rPr>
              <w:t>硬件要求</w:t>
            </w:r>
          </w:p>
        </w:tc>
        <w:tc>
          <w:tcPr>
            <w:tcW w:w="3569" w:type="pct"/>
            <w:gridSpan w:val="3"/>
            <w:noWrap/>
            <w:vAlign w:val="center"/>
          </w:tcPr>
          <w:p w14:paraId="5B8D3D83">
            <w:pPr>
              <w:widowControl/>
              <w:jc w:val="left"/>
              <w:rPr>
                <w:kern w:val="0"/>
                <w:sz w:val="20"/>
                <w:lang w:eastAsia="zh-Hans"/>
              </w:rPr>
            </w:pPr>
            <w:r>
              <w:rPr>
                <w:rFonts w:hint="eastAsia"/>
                <w:kern w:val="0"/>
                <w:sz w:val="20"/>
                <w:lang w:eastAsia="zh-Hans"/>
              </w:rPr>
              <w:t>规格：2U机架式服务器</w:t>
            </w:r>
          </w:p>
        </w:tc>
      </w:tr>
      <w:tr w14:paraId="275E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74C257D2">
            <w:pPr>
              <w:widowControl/>
              <w:jc w:val="left"/>
              <w:rPr>
                <w:kern w:val="0"/>
                <w:sz w:val="20"/>
                <w:lang w:eastAsia="zh-Hans"/>
              </w:rPr>
            </w:pPr>
          </w:p>
        </w:tc>
        <w:tc>
          <w:tcPr>
            <w:tcW w:w="1012" w:type="pct"/>
            <w:vMerge w:val="continue"/>
            <w:noWrap w:val="0"/>
            <w:vAlign w:val="center"/>
          </w:tcPr>
          <w:p w14:paraId="3081A237">
            <w:pPr>
              <w:widowControl/>
              <w:jc w:val="left"/>
              <w:rPr>
                <w:kern w:val="0"/>
                <w:sz w:val="20"/>
                <w:lang w:eastAsia="zh-Hans"/>
              </w:rPr>
            </w:pPr>
          </w:p>
        </w:tc>
        <w:tc>
          <w:tcPr>
            <w:tcW w:w="3569" w:type="pct"/>
            <w:gridSpan w:val="3"/>
            <w:noWrap/>
            <w:vAlign w:val="center"/>
          </w:tcPr>
          <w:p w14:paraId="3948574B">
            <w:pPr>
              <w:widowControl/>
              <w:jc w:val="left"/>
              <w:rPr>
                <w:kern w:val="0"/>
                <w:sz w:val="20"/>
                <w:lang w:eastAsia="zh-Hans"/>
              </w:rPr>
            </w:pPr>
            <w:r>
              <w:rPr>
                <w:rFonts w:hint="eastAsia"/>
                <w:kern w:val="0"/>
                <w:sz w:val="20"/>
                <w:lang w:eastAsia="zh-Hans"/>
              </w:rPr>
              <w:t>CPU：国产化CPU≥8核</w:t>
            </w:r>
          </w:p>
        </w:tc>
      </w:tr>
      <w:tr w14:paraId="33AC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48387AF5">
            <w:pPr>
              <w:widowControl/>
              <w:jc w:val="left"/>
              <w:rPr>
                <w:kern w:val="0"/>
                <w:sz w:val="20"/>
                <w:lang w:eastAsia="zh-Hans"/>
              </w:rPr>
            </w:pPr>
          </w:p>
        </w:tc>
        <w:tc>
          <w:tcPr>
            <w:tcW w:w="1012" w:type="pct"/>
            <w:vMerge w:val="continue"/>
            <w:noWrap w:val="0"/>
            <w:vAlign w:val="center"/>
          </w:tcPr>
          <w:p w14:paraId="0F32269D">
            <w:pPr>
              <w:widowControl/>
              <w:jc w:val="left"/>
              <w:rPr>
                <w:kern w:val="0"/>
                <w:sz w:val="20"/>
                <w:lang w:eastAsia="zh-Hans"/>
              </w:rPr>
            </w:pPr>
          </w:p>
        </w:tc>
        <w:tc>
          <w:tcPr>
            <w:tcW w:w="3569" w:type="pct"/>
            <w:gridSpan w:val="3"/>
            <w:noWrap/>
            <w:vAlign w:val="center"/>
          </w:tcPr>
          <w:p w14:paraId="3632DB2C">
            <w:pPr>
              <w:widowControl/>
              <w:jc w:val="left"/>
              <w:rPr>
                <w:kern w:val="0"/>
                <w:sz w:val="20"/>
                <w:lang w:eastAsia="zh-Hans"/>
              </w:rPr>
            </w:pPr>
            <w:r>
              <w:rPr>
                <w:rFonts w:hint="eastAsia"/>
                <w:kern w:val="0"/>
                <w:sz w:val="20"/>
                <w:lang w:eastAsia="zh-Hans"/>
              </w:rPr>
              <w:t>内存：≥64GB DDR4</w:t>
            </w:r>
          </w:p>
        </w:tc>
      </w:tr>
      <w:tr w14:paraId="1E13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7EAB13AD">
            <w:pPr>
              <w:widowControl/>
              <w:jc w:val="left"/>
              <w:rPr>
                <w:kern w:val="0"/>
                <w:sz w:val="20"/>
                <w:lang w:eastAsia="zh-Hans"/>
              </w:rPr>
            </w:pPr>
          </w:p>
        </w:tc>
        <w:tc>
          <w:tcPr>
            <w:tcW w:w="1012" w:type="pct"/>
            <w:vMerge w:val="continue"/>
            <w:noWrap w:val="0"/>
            <w:vAlign w:val="center"/>
          </w:tcPr>
          <w:p w14:paraId="4022372C">
            <w:pPr>
              <w:widowControl/>
              <w:jc w:val="left"/>
              <w:rPr>
                <w:kern w:val="0"/>
                <w:sz w:val="20"/>
                <w:lang w:eastAsia="zh-Hans"/>
              </w:rPr>
            </w:pPr>
          </w:p>
        </w:tc>
        <w:tc>
          <w:tcPr>
            <w:tcW w:w="3569" w:type="pct"/>
            <w:gridSpan w:val="3"/>
            <w:noWrap/>
            <w:vAlign w:val="center"/>
          </w:tcPr>
          <w:p w14:paraId="41330BAF">
            <w:pPr>
              <w:widowControl/>
              <w:jc w:val="left"/>
              <w:rPr>
                <w:kern w:val="0"/>
                <w:sz w:val="20"/>
                <w:lang w:eastAsia="zh-Hans"/>
              </w:rPr>
            </w:pPr>
            <w:r>
              <w:rPr>
                <w:rFonts w:hint="eastAsia"/>
                <w:kern w:val="0"/>
                <w:sz w:val="20"/>
                <w:lang w:eastAsia="zh-Hans"/>
              </w:rPr>
              <w:t>硬盘：≥480G SSD</w:t>
            </w:r>
          </w:p>
        </w:tc>
      </w:tr>
      <w:tr w14:paraId="5A35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073D134C">
            <w:pPr>
              <w:widowControl/>
              <w:jc w:val="left"/>
              <w:rPr>
                <w:kern w:val="0"/>
                <w:sz w:val="20"/>
                <w:lang w:eastAsia="zh-Hans"/>
              </w:rPr>
            </w:pPr>
          </w:p>
        </w:tc>
        <w:tc>
          <w:tcPr>
            <w:tcW w:w="1012" w:type="pct"/>
            <w:vMerge w:val="continue"/>
            <w:noWrap w:val="0"/>
            <w:vAlign w:val="center"/>
          </w:tcPr>
          <w:p w14:paraId="4C8AD979">
            <w:pPr>
              <w:widowControl/>
              <w:jc w:val="left"/>
              <w:rPr>
                <w:kern w:val="0"/>
                <w:sz w:val="20"/>
                <w:lang w:eastAsia="zh-Hans"/>
              </w:rPr>
            </w:pPr>
          </w:p>
        </w:tc>
        <w:tc>
          <w:tcPr>
            <w:tcW w:w="3569" w:type="pct"/>
            <w:gridSpan w:val="3"/>
            <w:noWrap/>
            <w:vAlign w:val="center"/>
          </w:tcPr>
          <w:p w14:paraId="0FE00543">
            <w:pPr>
              <w:widowControl/>
              <w:jc w:val="left"/>
              <w:rPr>
                <w:kern w:val="0"/>
                <w:sz w:val="20"/>
                <w:lang w:eastAsia="zh-Hans"/>
              </w:rPr>
            </w:pPr>
            <w:r>
              <w:rPr>
                <w:rFonts w:hint="eastAsia"/>
                <w:kern w:val="0"/>
                <w:sz w:val="20"/>
                <w:lang w:eastAsia="zh-Hans"/>
              </w:rPr>
              <w:t>工作电源：550W(1+1)冗余电源</w:t>
            </w:r>
          </w:p>
        </w:tc>
      </w:tr>
      <w:tr w14:paraId="0009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9" w:type="pct"/>
            <w:vMerge w:val="continue"/>
            <w:noWrap w:val="0"/>
            <w:vAlign w:val="center"/>
          </w:tcPr>
          <w:p w14:paraId="4168F3BC">
            <w:pPr>
              <w:widowControl/>
              <w:jc w:val="left"/>
              <w:rPr>
                <w:kern w:val="0"/>
                <w:sz w:val="20"/>
                <w:lang w:eastAsia="zh-Hans"/>
              </w:rPr>
            </w:pPr>
          </w:p>
        </w:tc>
        <w:tc>
          <w:tcPr>
            <w:tcW w:w="1012" w:type="pct"/>
            <w:vMerge w:val="continue"/>
            <w:noWrap w:val="0"/>
            <w:vAlign w:val="center"/>
          </w:tcPr>
          <w:p w14:paraId="4E88A5D3">
            <w:pPr>
              <w:widowControl/>
              <w:jc w:val="left"/>
              <w:rPr>
                <w:kern w:val="0"/>
                <w:sz w:val="20"/>
                <w:lang w:eastAsia="zh-Hans"/>
              </w:rPr>
            </w:pPr>
          </w:p>
        </w:tc>
        <w:tc>
          <w:tcPr>
            <w:tcW w:w="3569" w:type="pct"/>
            <w:gridSpan w:val="3"/>
            <w:noWrap/>
            <w:vAlign w:val="center"/>
          </w:tcPr>
          <w:p w14:paraId="045ACD5C">
            <w:pPr>
              <w:widowControl/>
              <w:jc w:val="left"/>
              <w:rPr>
                <w:kern w:val="0"/>
                <w:sz w:val="20"/>
                <w:lang w:eastAsia="zh-Hans"/>
              </w:rPr>
            </w:pPr>
            <w:r>
              <w:rPr>
                <w:rFonts w:hint="eastAsia"/>
                <w:kern w:val="0"/>
                <w:sz w:val="20"/>
                <w:lang w:eastAsia="zh-Hans"/>
              </w:rPr>
              <w:t>网卡：10M/100M/1000M自适应千兆网卡 x2</w:t>
            </w:r>
          </w:p>
        </w:tc>
      </w:tr>
    </w:tbl>
    <w:p w14:paraId="406BFAF0">
      <w:pPr>
        <w:pStyle w:val="5"/>
        <w:jc w:val="both"/>
        <w:rPr>
          <w:rFonts w:hint="default"/>
        </w:rPr>
      </w:pPr>
    </w:p>
    <w:p w14:paraId="0F96BA65">
      <w:pPr>
        <w:spacing w:line="360" w:lineRule="auto"/>
        <w:ind w:firstLine="240" w:firstLineChars="100"/>
        <w:rPr>
          <w:rFonts w:hint="eastAsia" w:ascii="仿宋_GB2312" w:hAnsi="仿宋_GB2312" w:eastAsia="仿宋_GB2312" w:cs="仿宋_GB2312"/>
          <w:bCs/>
          <w:sz w:val="24"/>
          <w:szCs w:val="24"/>
        </w:rPr>
      </w:pPr>
    </w:p>
    <w:p w14:paraId="6CED95F0">
      <w:pPr>
        <w:spacing w:line="360" w:lineRule="auto"/>
        <w:rPr>
          <w:rFonts w:hint="eastAsia" w:ascii="仿宋_GB2312" w:hAnsi="仿宋_GB2312" w:eastAsia="仿宋_GB2312" w:cs="仿宋_GB2312"/>
          <w:b/>
          <w:sz w:val="24"/>
          <w:szCs w:val="24"/>
        </w:rPr>
      </w:pPr>
      <w:r>
        <w:rPr>
          <w:rFonts w:ascii="仿宋_GB2312" w:hAnsi="仿宋_GB2312" w:eastAsia="仿宋_GB2312" w:cs="仿宋_GB2312"/>
          <w:b/>
          <w:sz w:val="24"/>
          <w:szCs w:val="24"/>
        </w:rPr>
        <w:t xml:space="preserve">  1</w:t>
      </w:r>
      <w:r>
        <w:rPr>
          <w:rFonts w:hint="eastAsia" w:ascii="仿宋_GB2312" w:hAnsi="仿宋_GB2312" w:eastAsia="仿宋_GB2312" w:cs="仿宋_GB2312"/>
          <w:b/>
          <w:sz w:val="24"/>
          <w:szCs w:val="24"/>
        </w:rPr>
        <w:t>.2.建设地点及周期</w:t>
      </w:r>
    </w:p>
    <w:p w14:paraId="68B5207E">
      <w:pPr>
        <w:spacing w:line="360" w:lineRule="auto"/>
        <w:ind w:firstLine="240" w:firstLineChars="100"/>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建设地点：建设单位指定地点；</w:t>
      </w:r>
    </w:p>
    <w:p w14:paraId="38401DF7">
      <w:pPr>
        <w:spacing w:line="360" w:lineRule="auto"/>
        <w:ind w:firstLine="240" w:firstLineChars="100"/>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建设周期：登记平台建设期90日历日，试运行</w:t>
      </w:r>
      <w:r>
        <w:rPr>
          <w:rFonts w:ascii="仿宋_GB2312" w:hAnsi="仿宋_GB2312" w:eastAsia="仿宋_GB2312" w:cs="仿宋_GB2312"/>
          <w:bCs/>
          <w:sz w:val="24"/>
          <w:szCs w:val="24"/>
        </w:rPr>
        <w:t>90</w:t>
      </w:r>
      <w:r>
        <w:rPr>
          <w:rFonts w:hint="eastAsia" w:ascii="仿宋_GB2312" w:hAnsi="仿宋_GB2312" w:eastAsia="仿宋_GB2312" w:cs="仿宋_GB2312"/>
          <w:bCs/>
          <w:sz w:val="24"/>
          <w:szCs w:val="24"/>
        </w:rPr>
        <w:t>日历日。</w:t>
      </w:r>
    </w:p>
    <w:p w14:paraId="415A6893">
      <w:pPr>
        <w:spacing w:line="360" w:lineRule="auto"/>
        <w:rPr>
          <w:rFonts w:hint="eastAsia" w:ascii="仿宋_GB2312" w:hAnsi="仿宋_GB2312" w:eastAsia="仿宋_GB2312" w:cs="仿宋_GB2312"/>
          <w:b/>
          <w:sz w:val="24"/>
          <w:szCs w:val="24"/>
        </w:rPr>
      </w:pPr>
      <w:r>
        <w:rPr>
          <w:rFonts w:ascii="仿宋_GB2312" w:hAnsi="仿宋_GB2312" w:eastAsia="仿宋_GB2312" w:cs="仿宋_GB2312"/>
          <w:b/>
          <w:sz w:val="24"/>
          <w:szCs w:val="24"/>
        </w:rPr>
        <w:t xml:space="preserve">  1</w:t>
      </w:r>
      <w:r>
        <w:rPr>
          <w:rFonts w:hint="eastAsia" w:ascii="仿宋_GB2312" w:hAnsi="仿宋_GB2312" w:eastAsia="仿宋_GB2312" w:cs="仿宋_GB2312"/>
          <w:b/>
          <w:sz w:val="24"/>
          <w:szCs w:val="24"/>
        </w:rPr>
        <w:t>.3.相关要求</w:t>
      </w:r>
    </w:p>
    <w:p w14:paraId="70731A5E">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1</w:t>
      </w:r>
      <w:r>
        <w:rPr>
          <w:rFonts w:hint="eastAsia" w:ascii="仿宋_GB2312" w:hAnsi="仿宋_GB2312" w:eastAsia="仿宋_GB2312" w:cs="仿宋_GB2312"/>
          <w:bCs/>
          <w:sz w:val="24"/>
          <w:szCs w:val="24"/>
        </w:rPr>
        <w:t>.3.1.系统软件要求</w:t>
      </w:r>
    </w:p>
    <w:p w14:paraId="0672F015">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（1）满足等级保护要求</w:t>
      </w:r>
    </w:p>
    <w:p w14:paraId="4E94E016">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系统软件需</w:t>
      </w:r>
      <w:r>
        <w:rPr>
          <w:rFonts w:ascii="仿宋_GB2312" w:hAnsi="仿宋_GB2312" w:eastAsia="仿宋_GB2312" w:cs="仿宋_GB2312"/>
          <w:bCs/>
          <w:sz w:val="24"/>
          <w:szCs w:val="24"/>
        </w:rPr>
        <w:t>通过采购人组织的</w:t>
      </w:r>
      <w:r>
        <w:rPr>
          <w:rFonts w:hint="eastAsia" w:ascii="仿宋_GB2312" w:hAnsi="仿宋_GB2312" w:eastAsia="仿宋_GB2312" w:cs="仿宋_GB2312"/>
          <w:bCs/>
          <w:sz w:val="24"/>
          <w:szCs w:val="24"/>
        </w:rPr>
        <w:t>网络安全等级保护三级和密码测评三级</w:t>
      </w:r>
      <w:r>
        <w:rPr>
          <w:rFonts w:ascii="仿宋_GB2312" w:hAnsi="仿宋_GB2312" w:eastAsia="仿宋_GB2312" w:cs="仿宋_GB2312"/>
          <w:bCs/>
          <w:sz w:val="24"/>
          <w:szCs w:val="24"/>
        </w:rPr>
        <w:t>测评</w:t>
      </w:r>
      <w:r>
        <w:rPr>
          <w:rFonts w:hint="eastAsia" w:ascii="仿宋_GB2312" w:hAnsi="仿宋_GB2312" w:eastAsia="仿宋_GB2312" w:cs="仿宋_GB2312"/>
          <w:bCs/>
          <w:sz w:val="24"/>
          <w:szCs w:val="24"/>
        </w:rPr>
        <w:t>。</w:t>
      </w:r>
    </w:p>
    <w:p w14:paraId="4B218DCF">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（2）系统可靠性</w:t>
      </w:r>
    </w:p>
    <w:p w14:paraId="763D52F9">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系统全年正常运行时间（小时）占比不低于99.9%。</w:t>
      </w:r>
    </w:p>
    <w:p w14:paraId="4B48F876">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（3）系统性能</w:t>
      </w:r>
    </w:p>
    <w:p w14:paraId="382EB416">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系统一般页面的载入时间：≤3秒</w:t>
      </w:r>
    </w:p>
    <w:p w14:paraId="4931BB14">
      <w:pPr>
        <w:spacing w:line="360" w:lineRule="auto"/>
        <w:ind w:firstLine="3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系统在网络访问畅通情况下，结果小于5</w:t>
      </w:r>
      <w:r>
        <w:rPr>
          <w:rFonts w:ascii="仿宋_GB2312" w:hAnsi="仿宋_GB2312" w:eastAsia="仿宋_GB2312" w:cs="仿宋_GB2312"/>
          <w:bCs/>
          <w:sz w:val="24"/>
          <w:szCs w:val="24"/>
        </w:rPr>
        <w:t>00</w:t>
      </w:r>
      <w:r>
        <w:rPr>
          <w:rFonts w:hint="eastAsia" w:ascii="仿宋_GB2312" w:hAnsi="仿宋_GB2312" w:eastAsia="仿宋_GB2312" w:cs="仿宋_GB2312"/>
          <w:bCs/>
          <w:sz w:val="24"/>
          <w:szCs w:val="24"/>
        </w:rPr>
        <w:t>条时，第一页显示响应时间：≤3秒</w:t>
      </w:r>
    </w:p>
    <w:p w14:paraId="2837A794">
      <w:pPr>
        <w:spacing w:line="360" w:lineRule="auto"/>
        <w:ind w:firstLine="3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系统最大在线用户数：</w:t>
      </w:r>
      <w:r>
        <w:rPr>
          <w:rFonts w:hint="eastAsia" w:ascii="微软雅黑" w:hAnsi="微软雅黑" w:eastAsia="微软雅黑" w:cs="仿宋_GB2312"/>
          <w:bCs/>
          <w:sz w:val="24"/>
          <w:szCs w:val="24"/>
        </w:rPr>
        <w:t>≥</w:t>
      </w:r>
      <w:r>
        <w:rPr>
          <w:rFonts w:ascii="仿宋_GB2312" w:hAnsi="仿宋_GB2312" w:eastAsia="仿宋_GB2312" w:cs="仿宋_GB2312"/>
          <w:bCs/>
          <w:sz w:val="24"/>
          <w:szCs w:val="24"/>
        </w:rPr>
        <w:t>1000</w:t>
      </w:r>
      <w:r>
        <w:rPr>
          <w:rFonts w:hint="eastAsia" w:ascii="仿宋_GB2312" w:hAnsi="仿宋_GB2312" w:eastAsia="仿宋_GB2312" w:cs="仿宋_GB2312"/>
          <w:bCs/>
          <w:sz w:val="24"/>
          <w:szCs w:val="24"/>
        </w:rPr>
        <w:t>个</w:t>
      </w:r>
    </w:p>
    <w:p w14:paraId="5D315128">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（4）安全性</w:t>
      </w:r>
    </w:p>
    <w:p w14:paraId="333004B5">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1）系统安全：避免发生因病毒、木马等外部因素造成系统大面积瘫痪的安全事故；</w:t>
      </w:r>
    </w:p>
    <w:p w14:paraId="308085A3">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2）信息安全：避免发生信息泄露并造成恶劣影响的事件发生；</w:t>
      </w:r>
    </w:p>
    <w:p w14:paraId="40CCFBBB">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（5）国产化要求</w:t>
      </w:r>
    </w:p>
    <w:p w14:paraId="151632DF">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软件系统须满足国产化要求；并提供软件著作权等证明材料。</w:t>
      </w:r>
    </w:p>
    <w:p w14:paraId="1612238C">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1</w:t>
      </w:r>
      <w:r>
        <w:rPr>
          <w:rFonts w:hint="eastAsia" w:ascii="仿宋_GB2312" w:hAnsi="仿宋_GB2312" w:eastAsia="仿宋_GB2312" w:cs="仿宋_GB2312"/>
          <w:bCs/>
          <w:sz w:val="24"/>
          <w:szCs w:val="24"/>
        </w:rPr>
        <w:t>.3.2.运维服务要求</w:t>
      </w:r>
    </w:p>
    <w:p w14:paraId="19036D09">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建设完成终验后运维一年，提供5×8小时运维服务，对运维过程中出现的各类系统问题、故障及时处理，对用户咨询提供及时的技术支持服务。</w:t>
      </w:r>
    </w:p>
    <w:p w14:paraId="657EEB92">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1</w:t>
      </w:r>
      <w:r>
        <w:rPr>
          <w:rFonts w:hint="eastAsia" w:ascii="仿宋_GB2312" w:hAnsi="仿宋_GB2312" w:eastAsia="仿宋_GB2312" w:cs="仿宋_GB2312"/>
          <w:bCs/>
          <w:sz w:val="24"/>
          <w:szCs w:val="24"/>
        </w:rPr>
        <w:t>.3.3.交付资料要求</w:t>
      </w:r>
    </w:p>
    <w:p w14:paraId="4D13D36D">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建设期内加强项目管理各环节，按《陕西省省级政务信息化项目建设管理办法（暂行）》《陕西省省级政务信息化项目竣工验收管理办法(试行)》等形成建设单位要求的各种项目材料及档案，并配合完成档案验收。</w:t>
      </w:r>
    </w:p>
    <w:p w14:paraId="50A52DAF">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1</w:t>
      </w:r>
      <w:r>
        <w:rPr>
          <w:rFonts w:hint="eastAsia" w:ascii="仿宋_GB2312" w:hAnsi="仿宋_GB2312" w:eastAsia="仿宋_GB2312" w:cs="仿宋_GB2312"/>
          <w:bCs/>
          <w:sz w:val="24"/>
          <w:szCs w:val="24"/>
        </w:rPr>
        <w:t>.3.4.人员配置要求</w:t>
      </w:r>
    </w:p>
    <w:p w14:paraId="32692B89">
      <w:pPr>
        <w:spacing w:line="360" w:lineRule="auto"/>
        <w:ind w:firstLine="39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项目团队人员：项目经理1名，产品经理1名，研发人员至少2名，要求项目经理、产品经理、研发人员在建设期驻场。</w:t>
      </w:r>
    </w:p>
    <w:p w14:paraId="7E77FFF6">
      <w:pPr>
        <w:spacing w:line="360" w:lineRule="auto"/>
        <w:ind w:firstLine="39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★技术支持及维护人员：2名，要求技术支持及维护人员在运维期驻场，并提供相应驻场运维承诺函。</w:t>
      </w:r>
    </w:p>
    <w:p w14:paraId="202F9F65">
      <w:pPr>
        <w:spacing w:line="360" w:lineRule="auto"/>
        <w:rPr>
          <w:rFonts w:hint="eastAsia" w:ascii="仿宋_GB2312" w:hAnsi="仿宋_GB2312" w:eastAsia="仿宋_GB2312" w:cs="仿宋_GB2312"/>
          <w:bCs/>
          <w:sz w:val="24"/>
          <w:szCs w:val="24"/>
        </w:rPr>
      </w:pPr>
      <w:r>
        <w:rPr>
          <w:rFonts w:ascii="仿宋_GB2312" w:hAnsi="仿宋_GB2312" w:eastAsia="仿宋_GB2312" w:cs="仿宋_GB2312"/>
          <w:bCs/>
          <w:sz w:val="24"/>
          <w:szCs w:val="24"/>
        </w:rPr>
        <w:t xml:space="preserve">    1</w:t>
      </w:r>
      <w:r>
        <w:rPr>
          <w:rFonts w:hint="eastAsia" w:ascii="仿宋_GB2312" w:hAnsi="仿宋_GB2312" w:eastAsia="仿宋_GB2312" w:cs="仿宋_GB2312"/>
          <w:bCs/>
          <w:sz w:val="24"/>
          <w:szCs w:val="24"/>
        </w:rPr>
        <w:t>.3.5.保密要求</w:t>
      </w:r>
    </w:p>
    <w:p w14:paraId="30C605CF">
      <w:pPr>
        <w:spacing w:line="360" w:lineRule="auto"/>
        <w:ind w:firstLine="240" w:firstLineChars="100"/>
        <w:rPr>
          <w:rFonts w:hint="eastAsia"/>
        </w:rPr>
      </w:pPr>
      <w:r>
        <w:rPr>
          <w:rFonts w:hint="eastAsia" w:ascii="仿宋_GB2312" w:hAnsi="仿宋_GB2312" w:eastAsia="仿宋_GB2312" w:cs="仿宋_GB2312"/>
          <w:bCs/>
          <w:sz w:val="24"/>
          <w:szCs w:val="24"/>
        </w:rPr>
        <w:t>本项目服务人员对接触到的各类账号、数据、文件、资料和信息等应严格保密，未经招标人书面授权，不得向任何公司和个人泄露；如出现相关信息泄露，将依法追究相关责任。</w:t>
      </w:r>
    </w:p>
    <w:p w14:paraId="14A54E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B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spacing w:val="4"/>
      <w:sz w:val="84"/>
    </w:rPr>
  </w:style>
  <w:style w:type="paragraph" w:customStyle="1" w:styleId="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2025-12-12T08:02:55Z</dcterms:created>
  <dc:creator>Administrator</dc:creator>
  <cp:lastModifiedBy>璐包子～</cp:lastModifiedBy>
  <dcterms:modified xsi:type="dcterms:W3CDTF">2025-12-12T08:04:24Z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eyJoZGlkIjoiNGQyNjlhMjg5MmRkNzVjOGJjOTY5YzFiZmJkYmQ3NDQiLCJ1c2VySWQiOiIyODcxMzg2MDcifQ==</vt:lpwstr>
  </property>
  <property fmtid="{D5CDD505-2E9C-101B-9397-08002B2CF9AE}" pid="4" name="ICV">
    <vt:lpwstr>1A5F9E516F654DA0820D643B6811629E_12</vt:lpwstr>
  </property>
</Properties>
</file>