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渭南网络安全监测分析预警通报服务项目</w:t>
      </w:r>
    </w:p>
    <w:p>
      <w:pPr>
        <w:spacing w:line="640" w:lineRule="exact"/>
        <w:jc w:val="center"/>
        <w:rPr>
          <w:rFonts w:hint="eastAsia" w:ascii="宋体" w:hAnsi="宋体" w:cs="宋体"/>
          <w:b/>
          <w:bCs/>
          <w:sz w:val="44"/>
          <w:szCs w:val="44"/>
        </w:rPr>
      </w:pPr>
      <w:r>
        <w:rPr>
          <w:rFonts w:hint="eastAsia" w:ascii="宋体" w:hAnsi="宋体" w:cs="宋体"/>
          <w:b/>
          <w:bCs/>
          <w:sz w:val="44"/>
          <w:szCs w:val="44"/>
        </w:rPr>
        <w:t>采购需求</w:t>
      </w:r>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一、基本要求</w:t>
      </w:r>
    </w:p>
    <w:p>
      <w:pPr>
        <w:spacing w:line="360" w:lineRule="auto"/>
        <w:ind w:firstLine="643" w:firstLineChars="200"/>
        <w:rPr>
          <w:rFonts w:hint="eastAsia" w:ascii="仿宋_GB2312" w:hAnsi="Times New Roman" w:eastAsia="仿宋_GB2312" w:cs="Times New Roman"/>
          <w:sz w:val="32"/>
          <w:szCs w:val="32"/>
          <w:lang w:eastAsia="zh-CN"/>
        </w:rPr>
      </w:pPr>
      <w:r>
        <w:rPr>
          <w:rFonts w:hint="eastAsia" w:ascii="仿宋" w:hAnsi="仿宋" w:eastAsia="仿宋" w:cs="宋体"/>
          <w:b/>
          <w:bCs/>
          <w:sz w:val="32"/>
          <w:szCs w:val="32"/>
        </w:rPr>
        <w:t>1、</w:t>
      </w:r>
      <w:r>
        <w:rPr>
          <w:rFonts w:hint="eastAsia" w:ascii="仿宋" w:hAnsi="仿宋" w:eastAsia="仿宋" w:cs="宋体"/>
          <w:b/>
          <w:bCs/>
          <w:kern w:val="2"/>
          <w:sz w:val="32"/>
          <w:szCs w:val="32"/>
          <w:lang w:val="en-US" w:eastAsia="zh-CN" w:bidi="ar-SA"/>
        </w:rPr>
        <w:t>服务要求</w:t>
      </w:r>
      <w:r>
        <w:rPr>
          <w:rFonts w:hint="eastAsia" w:ascii="仿宋" w:hAnsi="仿宋" w:eastAsia="仿宋" w:cs="宋体"/>
          <w:sz w:val="32"/>
          <w:szCs w:val="32"/>
        </w:rPr>
        <w:t>：</w:t>
      </w:r>
      <w:r>
        <w:rPr>
          <w:rFonts w:hint="eastAsia" w:ascii="仿宋_GB2312" w:hAnsi="Times New Roman" w:eastAsia="仿宋_GB2312" w:cs="Times New Roman"/>
          <w:sz w:val="32"/>
          <w:szCs w:val="32"/>
        </w:rPr>
        <w:t>2017年施行的《网络安全法》明确规定“国家坚持网络安全与信息化发展并重，遵循积极利用、科学发展、依法管理、确保安全的方针，推进网络基础设施建设和互联互通”</w:t>
      </w:r>
      <w:r>
        <w:rPr>
          <w:rFonts w:hint="eastAsia" w:ascii="仿宋_GB2312" w:hAnsi="Times New Roman" w:eastAsia="仿宋_GB2312" w:cs="Times New Roman"/>
          <w:sz w:val="32"/>
          <w:szCs w:val="32"/>
          <w:lang w:eastAsia="zh-CN"/>
        </w:rPr>
        <w:t>。</w:t>
      </w:r>
    </w:p>
    <w:p>
      <w:pPr>
        <w:spacing w:line="360" w:lineRule="auto"/>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当前，我国在网络安全领域取得了新的成就，但是随着数字化转型步入深水区，大数据、云计算、物联网等基础应用持续深化，数据泄露、高危漏洞、网络攻击以及相关的智能犯罪等网络安全问题也呈现出新变化，严重危害国家</w:t>
      </w:r>
      <w:r>
        <w:rPr>
          <w:rFonts w:hint="eastAsia" w:ascii="仿宋_GB2312" w:hAnsi="Times New Roman" w:eastAsia="仿宋_GB2312" w:cs="Times New Roman"/>
          <w:sz w:val="32"/>
          <w:szCs w:val="32"/>
          <w:lang w:eastAsia="zh-CN"/>
        </w:rPr>
        <w:t>关键</w:t>
      </w:r>
      <w:r>
        <w:rPr>
          <w:rFonts w:hint="eastAsia" w:ascii="仿宋_GB2312" w:hAnsi="Times New Roman" w:eastAsia="仿宋_GB2312" w:cs="Times New Roman"/>
          <w:sz w:val="32"/>
          <w:szCs w:val="32"/>
        </w:rPr>
        <w:t>基础设施安全、挑战公民隐私安全甚至危及社会稳定</w:t>
      </w:r>
      <w:r>
        <w:rPr>
          <w:rFonts w:hint="eastAsia" w:ascii="仿宋_GB2312" w:hAnsi="Times New Roman" w:eastAsia="仿宋_GB2312" w:cs="Times New Roman"/>
          <w:sz w:val="32"/>
          <w:szCs w:val="32"/>
          <w:lang w:eastAsia="zh-CN"/>
        </w:rPr>
        <w:t>。</w:t>
      </w:r>
    </w:p>
    <w:p>
      <w:pPr>
        <w:spacing w:line="360" w:lineRule="auto"/>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鉴于当前形势，网络安全监测分析预警通报能够进一步完善渭南市网络安全保障体系，提高网络安全监测能力，全面掌握全市网络安全态势。</w:t>
      </w:r>
    </w:p>
    <w:p>
      <w:pPr>
        <w:pStyle w:val="3"/>
        <w:adjustRightInd w:val="0"/>
        <w:snapToGrid w:val="0"/>
        <w:spacing w:line="360" w:lineRule="auto"/>
        <w:ind w:firstLine="643" w:firstLineChars="200"/>
        <w:jc w:val="left"/>
        <w:rPr>
          <w:rFonts w:hint="eastAsia" w:ascii="仿宋" w:hAnsi="仿宋" w:eastAsia="仿宋" w:cs="宋体"/>
          <w:sz w:val="32"/>
          <w:szCs w:val="32"/>
        </w:rPr>
      </w:pPr>
      <w:r>
        <w:rPr>
          <w:rFonts w:hint="eastAsia" w:ascii="仿宋" w:hAnsi="仿宋" w:eastAsia="仿宋" w:cs="宋体"/>
          <w:b/>
          <w:bCs/>
          <w:sz w:val="32"/>
          <w:szCs w:val="32"/>
        </w:rPr>
        <w:t>2、采购项目需要落实的政府采购政策</w:t>
      </w:r>
      <w:r>
        <w:rPr>
          <w:rFonts w:hint="eastAsia" w:ascii="仿宋" w:hAnsi="仿宋" w:eastAsia="仿宋" w:cs="宋体"/>
          <w:sz w:val="32"/>
          <w:szCs w:val="32"/>
        </w:rPr>
        <w:t>：</w:t>
      </w:r>
    </w:p>
    <w:p>
      <w:pPr>
        <w:spacing w:line="360" w:lineRule="auto"/>
        <w:ind w:firstLine="0" w:firstLineChars="0"/>
        <w:rPr>
          <w:rFonts w:hint="eastAsia" w:ascii="仿宋_GB2312" w:hAnsi="Times New Roman" w:eastAsia="仿宋_GB2312" w:cs="Times New Roman"/>
          <w:sz w:val="32"/>
          <w:szCs w:val="32"/>
          <w:lang w:val="en-US" w:eastAsia="en-US"/>
        </w:rPr>
      </w:pPr>
      <w:r>
        <w:rPr>
          <w:rFonts w:hint="eastAsia" w:ascii="仿宋_GB2312" w:hAnsi="Times New Roman" w:eastAsia="仿宋_GB2312" w:cs="Times New Roman"/>
          <w:sz w:val="32"/>
          <w:szCs w:val="32"/>
        </w:rPr>
        <w:t>（1）《政府采购促进中小企业发展管理办法》的通知--财库〔2020〕46号；（2）财政部司法部关于政府采购支持监狱企业发展有关问题的通知--财库</w:t>
      </w:r>
      <w:r>
        <w:rPr>
          <w:rFonts w:hint="eastAsia" w:ascii="仿宋_GB2312" w:hAnsi="Times New Roman" w:eastAsia="仿宋_GB2312" w:cs="Times New Roman"/>
          <w:color w:val="auto"/>
          <w:sz w:val="32"/>
          <w:szCs w:val="32"/>
        </w:rPr>
        <w:t>[2014]68号；（3）《财政部发展改革委生态环境部市场监管总局关于调整优化节能产品环境标志产品政府采购执行机制的通知》（财库〔2019〕9号）；（4）《节能产品政府采购实施意见》--（财库[2004]185号）；（5）《环境标志产品政府采购实施的意见》--财库[2006]90号；（6）《关于促进残疾人就业政府采购政策的通知》（财库[2017]141号）；（7）《陕西省财政厅关于加快推进我省中小企业政府采购信用融资工作的通知》（陕财办采〔2020〕15号）；（8）《陕西省中小企业政府采购信用融资办法》陕财办采〔2018〕23号；（9）《关于运用政府采购政策支持乡村产业振兴的通知》（财库〔2021〕19号）；（10）《关于进一步加大政府采购支持中小企业力度的通知》（财库〔2022〕19号）；</w:t>
      </w:r>
      <w:r>
        <w:rPr>
          <w:rFonts w:hint="eastAsia" w:ascii="仿宋_GB2312" w:hAnsi="Times New Roman" w:eastAsia="仿宋_GB2312" w:cs="Times New Roman"/>
          <w:sz w:val="32"/>
          <w:szCs w:val="32"/>
        </w:rPr>
        <w:t>（11）《陕西省财政厅关于进一步落实政府采购支持中小企业相关政策的通知》（陕财办采〔2023〕3号）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）《陕西省财政厅关于进一步优化政府采购营商环境有关事项的通知》（陕财办采〔2023〕4号）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13</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陕西省财政厅《关于进一步加强政府绿色采购有关问题的通知》（陕财办采〔2021〕29号）；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14</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其他需要落实的政府采购政策（如有最新颁布的政府采购政策，按最新颁布的政府采购政策执行）</w:t>
      </w:r>
      <w:r>
        <w:rPr>
          <w:rFonts w:hint="eastAsia" w:ascii="仿宋_GB2312" w:hAnsi="Times New Roman" w:eastAsia="仿宋_GB2312" w:cs="Times New Roman"/>
          <w:sz w:val="32"/>
          <w:szCs w:val="32"/>
          <w:lang w:eastAsia="zh-CN"/>
        </w:rPr>
        <w:t>。</w:t>
      </w:r>
    </w:p>
    <w:p>
      <w:pPr>
        <w:widowControl/>
        <w:wordWrap w:val="0"/>
        <w:spacing w:beforeAutospacing="0" w:afterAutospacing="0" w:line="360" w:lineRule="auto"/>
        <w:ind w:firstLine="643" w:firstLineChars="200"/>
        <w:jc w:val="both"/>
        <w:rPr>
          <w:rFonts w:hint="default" w:ascii="仿宋" w:hAnsi="仿宋" w:eastAsia="仿宋" w:cs="宋体"/>
          <w:color w:val="auto"/>
          <w:sz w:val="32"/>
          <w:szCs w:val="32"/>
          <w:lang w:val="en-US"/>
        </w:rPr>
      </w:pPr>
      <w:r>
        <w:rPr>
          <w:rFonts w:hint="eastAsia" w:ascii="仿宋" w:hAnsi="仿宋" w:eastAsia="仿宋" w:cs="宋体"/>
          <w:b/>
          <w:bCs/>
          <w:color w:val="auto"/>
          <w:sz w:val="32"/>
          <w:szCs w:val="32"/>
        </w:rPr>
        <w:t>3、服务期限：</w:t>
      </w:r>
      <w:r>
        <w:rPr>
          <w:rFonts w:hint="eastAsia" w:ascii="仿宋" w:hAnsi="仿宋" w:eastAsia="仿宋" w:cs="宋体"/>
          <w:sz w:val="32"/>
          <w:szCs w:val="32"/>
          <w:lang w:val="en-US" w:eastAsia="zh-CN"/>
        </w:rPr>
        <w:t>自合同签订之日起一年</w:t>
      </w:r>
    </w:p>
    <w:p>
      <w:pPr>
        <w:spacing w:line="360" w:lineRule="auto"/>
        <w:ind w:firstLine="643" w:firstLineChars="200"/>
        <w:rPr>
          <w:rFonts w:hint="eastAsia" w:ascii="仿宋" w:hAnsi="仿宋" w:eastAsia="仿宋" w:cs="宋体"/>
          <w:color w:val="auto"/>
          <w:sz w:val="32"/>
          <w:szCs w:val="32"/>
          <w:lang w:val="en-US" w:eastAsia="zh-CN"/>
        </w:rPr>
      </w:pPr>
      <w:r>
        <w:rPr>
          <w:rFonts w:hint="eastAsia" w:ascii="仿宋" w:hAnsi="仿宋" w:eastAsia="仿宋" w:cs="宋体"/>
          <w:b/>
          <w:bCs/>
          <w:color w:val="auto"/>
          <w:sz w:val="32"/>
          <w:szCs w:val="32"/>
        </w:rPr>
        <w:t>4、服务地点：</w:t>
      </w:r>
      <w:r>
        <w:rPr>
          <w:rFonts w:hint="eastAsia" w:ascii="仿宋" w:hAnsi="仿宋" w:eastAsia="仿宋" w:cs="宋体"/>
          <w:color w:val="auto"/>
          <w:sz w:val="32"/>
          <w:szCs w:val="32"/>
        </w:rPr>
        <w:t>渭南市</w:t>
      </w:r>
    </w:p>
    <w:p>
      <w:pPr>
        <w:spacing w:line="360" w:lineRule="auto"/>
        <w:ind w:firstLine="643" w:firstLineChars="200"/>
        <w:rPr>
          <w:rFonts w:hint="eastAsia" w:ascii="仿宋" w:hAnsi="仿宋" w:eastAsia="仿宋" w:cs="宋体"/>
          <w:b/>
          <w:bCs/>
          <w:color w:val="auto"/>
          <w:sz w:val="32"/>
          <w:szCs w:val="32"/>
          <w:lang w:eastAsia="zh-CN"/>
        </w:rPr>
      </w:pPr>
      <w:r>
        <w:rPr>
          <w:rFonts w:hint="eastAsia" w:ascii="仿宋" w:hAnsi="仿宋" w:eastAsia="仿宋" w:cs="宋体"/>
          <w:b/>
          <w:bCs/>
          <w:color w:val="auto"/>
          <w:sz w:val="32"/>
          <w:szCs w:val="32"/>
        </w:rPr>
        <w:t>5、是否面向中小企业采购：</w:t>
      </w:r>
      <w:r>
        <w:rPr>
          <w:rFonts w:hint="eastAsia" w:ascii="仿宋" w:hAnsi="仿宋" w:eastAsia="仿宋" w:cs="宋体"/>
          <w:b/>
          <w:bCs/>
          <w:color w:val="auto"/>
          <w:sz w:val="32"/>
          <w:szCs w:val="32"/>
          <w:lang w:val="en-US" w:eastAsia="zh-CN"/>
        </w:rPr>
        <w:t>是</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二、需执行的国家相关标准、行业标准、地方标准或者其他标准、规范标准</w:t>
      </w:r>
    </w:p>
    <w:p>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满足国家的相关标准、行业标准或者其他标准、规范，执行所有现行的国家、行业标准、规范、规程中的强制性条款。</w:t>
      </w:r>
    </w:p>
    <w:p>
      <w:pPr>
        <w:numPr>
          <w:ilvl w:val="0"/>
          <w:numId w:val="0"/>
        </w:numPr>
        <w:spacing w:line="360" w:lineRule="auto"/>
        <w:ind w:firstLine="210" w:firstLineChars="100"/>
        <w:rPr>
          <w:rFonts w:ascii="仿宋_GB2312" w:hAnsi="仿宋_GB2312" w:eastAsia="仿宋_GB2312" w:cs="仿宋_GB2312"/>
          <w:b/>
          <w:bCs/>
          <w:color w:val="000000"/>
          <w:szCs w:val="28"/>
          <w:lang w:eastAsia="zh-CN"/>
        </w:rPr>
      </w:pPr>
      <w:r>
        <w:rPr>
          <w:rFonts w:ascii="仿宋" w:hAnsi="仿宋" w:eastAsia="仿宋" w:cs="仿宋"/>
          <w:szCs w:val="28"/>
          <w:lang w:eastAsia="zh-CN"/>
        </w:rPr>
        <w:t xml:space="preserve">  </w:t>
      </w:r>
      <w:r>
        <w:rPr>
          <w:rFonts w:hint="eastAsia" w:ascii="仿宋_GB2312" w:hAnsi="仿宋_GB2312" w:eastAsia="仿宋_GB2312" w:cs="仿宋_GB2312"/>
          <w:b/>
          <w:bCs/>
          <w:kern w:val="2"/>
          <w:sz w:val="32"/>
          <w:szCs w:val="32"/>
          <w:lang w:eastAsia="zh-CN" w:bidi="ar-SA"/>
        </w:rPr>
        <w:t>三、</w:t>
      </w:r>
      <w:r>
        <w:rPr>
          <w:rFonts w:hint="eastAsia" w:ascii="仿宋_GB2312" w:hAnsi="黑体" w:eastAsia="仿宋_GB2312" w:cs="宋体"/>
          <w:b/>
          <w:color w:val="000000"/>
          <w:sz w:val="32"/>
          <w:szCs w:val="32"/>
        </w:rPr>
        <w:t>服务指标的具体要求</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服务内容</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1、利用网络安全监测系统，对渭南市党</w:t>
      </w:r>
      <w:r>
        <w:rPr>
          <w:rFonts w:hint="eastAsia" w:ascii="仿宋_GB2312" w:hAnsi="仿宋_GB2312" w:eastAsia="仿宋_GB2312" w:cs="仿宋_GB2312"/>
          <w:sz w:val="32"/>
          <w:szCs w:val="32"/>
          <w:lang w:eastAsia="zh-CN"/>
        </w:rPr>
        <w:t>政</w:t>
      </w:r>
      <w:r>
        <w:rPr>
          <w:rFonts w:hint="eastAsia" w:ascii="仿宋_GB2312" w:hAnsi="仿宋_GB2312" w:eastAsia="仿宋_GB2312" w:cs="仿宋_GB2312"/>
          <w:sz w:val="32"/>
          <w:szCs w:val="32"/>
        </w:rPr>
        <w:t>机关重点网站及系统开展24小时实时监测，及时发现网络安全威胁和事件，第一时间通报</w:t>
      </w:r>
      <w:r>
        <w:rPr>
          <w:rFonts w:hint="eastAsia" w:ascii="仿宋_GB2312" w:hAnsi="仿宋_GB2312" w:eastAsia="仿宋_GB2312" w:cs="仿宋_GB2312"/>
          <w:sz w:val="32"/>
          <w:szCs w:val="32"/>
          <w:lang w:eastAsia="zh-CN"/>
        </w:rPr>
        <w:t>渭</w:t>
      </w:r>
      <w:r>
        <w:rPr>
          <w:rFonts w:hint="eastAsia" w:ascii="仿宋_GB2312" w:hAnsi="仿宋_GB2312" w:eastAsia="仿宋_GB2312" w:cs="仿宋_GB2312"/>
          <w:sz w:val="32"/>
          <w:szCs w:val="32"/>
        </w:rPr>
        <w:t>南市网信办。</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2、利用网络安全监测系统，对渭南市所属交通、能源、电力、银行、医疗卫生、教育等关键信息基础设施开展24小时实时监测，及时发现网络安全威胁和事件，第一时间通报渭南市网信办。</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3、利用网络安全监测系统，在重要敏感时间节点、重大活动、重要事件等重要时期，对渭南地区网络安全开展24小时实时监测，及时发现网络安全威胁和事件，第一时间通报渭南市网信办。</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4、分析研判渭南市网络安全整体态势，及时跟进重大网络安全事件和预警，编制</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网络安全</w:t>
      </w:r>
      <w:r>
        <w:rPr>
          <w:rFonts w:hint="eastAsia" w:ascii="仿宋_GB2312" w:hAnsi="仿宋_GB2312" w:eastAsia="仿宋_GB2312" w:cs="仿宋_GB2312"/>
          <w:sz w:val="32"/>
          <w:szCs w:val="32"/>
          <w:lang w:val="en-US" w:eastAsia="zh-CN"/>
        </w:rPr>
        <w:t>等通报</w:t>
      </w:r>
      <w:r>
        <w:rPr>
          <w:rFonts w:hint="eastAsia" w:ascii="仿宋_GB2312" w:hAnsi="仿宋_GB2312" w:eastAsia="仿宋_GB2312" w:cs="仿宋_GB2312"/>
          <w:sz w:val="32"/>
          <w:szCs w:val="32"/>
        </w:rPr>
        <w:t>。</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服务目标</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提升</w:t>
      </w:r>
      <w:r>
        <w:rPr>
          <w:rFonts w:hint="eastAsia" w:ascii="仿宋_GB2312" w:hAnsi="仿宋_GB2312" w:eastAsia="仿宋_GB2312" w:cs="仿宋_GB2312"/>
          <w:sz w:val="32"/>
          <w:szCs w:val="32"/>
          <w:lang w:eastAsia="zh-CN"/>
        </w:rPr>
        <w:t>渭</w:t>
      </w:r>
      <w:r>
        <w:rPr>
          <w:rFonts w:hint="eastAsia" w:ascii="仿宋_GB2312" w:hAnsi="仿宋_GB2312" w:eastAsia="仿宋_GB2312" w:cs="仿宋_GB2312"/>
          <w:sz w:val="32"/>
          <w:szCs w:val="32"/>
        </w:rPr>
        <w:t>南市网络安</w:t>
      </w: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rPr>
        <w:t>威胁和事件的监测发现、预警通报能力。</w:t>
      </w:r>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四、拟投入本项目的预算</w:t>
      </w:r>
    </w:p>
    <w:p>
      <w:pPr>
        <w:spacing w:line="360" w:lineRule="auto"/>
        <w:ind w:firstLine="640" w:firstLineChars="200"/>
        <w:rPr>
          <w:rFonts w:hint="default"/>
          <w:lang w:val="en-US" w:eastAsia="zh-CN"/>
        </w:rPr>
      </w:pPr>
      <w:r>
        <w:rPr>
          <w:rFonts w:hint="eastAsia" w:ascii="仿宋_GB2312" w:hAnsi="仿宋_GB2312" w:eastAsia="仿宋_GB2312" w:cs="仿宋_GB2312"/>
          <w:color w:val="000000"/>
          <w:sz w:val="32"/>
          <w:szCs w:val="32"/>
        </w:rPr>
        <w:t>本次采购预算</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包含与本项目相关服务及履行合同义务有关的一切费用。</w:t>
      </w:r>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w:t>
      </w:r>
      <w:r>
        <w:rPr>
          <w:rFonts w:hint="eastAsia" w:ascii="仿宋_GB2312" w:hAnsi="仿宋_GB2312" w:eastAsia="仿宋_GB2312" w:cs="仿宋_GB2312"/>
          <w:b/>
          <w:bCs/>
          <w:color w:val="000000"/>
          <w:sz w:val="32"/>
          <w:szCs w:val="32"/>
        </w:rPr>
        <w:t>服务</w:t>
      </w:r>
      <w:r>
        <w:rPr>
          <w:rFonts w:hint="eastAsia" w:ascii="仿宋_GB2312" w:hAnsi="仿宋_GB2312" w:eastAsia="仿宋_GB2312" w:cs="仿宋_GB2312"/>
          <w:b/>
          <w:bCs/>
          <w:color w:val="000000"/>
          <w:sz w:val="32"/>
          <w:szCs w:val="32"/>
          <w:lang w:val="en-US" w:eastAsia="zh-CN"/>
        </w:rPr>
        <w:t>质量、</w:t>
      </w:r>
      <w:r>
        <w:rPr>
          <w:rFonts w:hint="eastAsia" w:ascii="仿宋_GB2312" w:hAnsi="仿宋_GB2312" w:eastAsia="仿宋_GB2312" w:cs="仿宋_GB2312"/>
          <w:b/>
          <w:bCs/>
          <w:color w:val="000000"/>
          <w:sz w:val="32"/>
          <w:szCs w:val="32"/>
        </w:rPr>
        <w:t>标准、期限、效率等要求</w:t>
      </w:r>
    </w:p>
    <w:p>
      <w:pPr>
        <w:spacing w:line="360" w:lineRule="auto"/>
        <w:ind w:firstLine="640" w:firstLineChars="200"/>
        <w:outlineLvl w:val="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1、</w:t>
      </w:r>
      <w:r>
        <w:rPr>
          <w:rFonts w:hint="eastAsia" w:ascii="仿宋_GB2312" w:eastAsia="仿宋_GB2312"/>
          <w:sz w:val="32"/>
          <w:szCs w:val="32"/>
          <w:lang w:bidi="ar"/>
        </w:rPr>
        <w:t>满足国家的相关标准、行业标准或者其他标准、规范，执行所有现行的国家、行业标准、规范、规程中的强制性条款。</w:t>
      </w:r>
    </w:p>
    <w:p>
      <w:pPr>
        <w:pStyle w:val="2"/>
        <w:spacing w:line="360" w:lineRule="auto"/>
        <w:ind w:firstLine="640" w:firstLineChars="200"/>
        <w:rPr>
          <w:rFonts w:hint="eastAsia" w:eastAsia="仿宋_GB2312"/>
        </w:rPr>
      </w:pPr>
      <w:r>
        <w:rPr>
          <w:rFonts w:ascii="仿宋_GB2312" w:hAnsi="仿宋_GB2312" w:eastAsia="仿宋_GB2312" w:cs="仿宋_GB2312"/>
          <w:sz w:val="32"/>
          <w:szCs w:val="32"/>
          <w:lang w:val="en-US"/>
        </w:rPr>
        <w:t>2</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成交单位不得以任何借口拖延相关服务。</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7A"/>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YWIzZTM4MThiZTk0MDAzOTQ0MzBjNmZlNmM2MTkifQ=="/>
  </w:docVars>
  <w:rsids>
    <w:rsidRoot w:val="00000000"/>
    <w:rsid w:val="5E2C4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uiPriority w:val="0"/>
    <w:rPr>
      <w:rFonts w:ascii="宋体" w:hAnsi="宋体" w:eastAsia="宋体" w:cs="宋体"/>
      <w:sz w:val="24"/>
      <w:szCs w:val="24"/>
      <w:lang w:val="zh-CN" w:eastAsia="zh-CN" w:bidi="zh-CN"/>
    </w:rPr>
  </w:style>
  <w:style w:type="paragraph" w:styleId="3">
    <w:name w:val="Plain Text"/>
    <w:basedOn w:val="1"/>
    <w:qFormat/>
    <w:uiPriority w:val="0"/>
    <w:rPr>
      <w:rFonts w:ascii="宋体" w:hAnsi="Courier New" w:eastAsia="宋体" w:cs="Times New Roman"/>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2025-12-12T10:22:10Z</dcterms:created>
  <dc:creator>46691</dc:creator>
  <cp:lastModifiedBy>七月</cp:lastModifiedBy>
  <dcterms:modified xsi:type="dcterms:W3CDTF">2025-12-12T10:26:19Z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FBF3714E39854C2AA62FE15CEB37F404_12</vt:lpwstr>
  </property>
</Properties>
</file>