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2025年度省级千万工程示范村茶园产业桥建设项目竞争性磋商公告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2025年度省级千万工程示范村茶园产业桥建设项目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2025年12月25日 14时00分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项目编号：ZCBN-西乡县-2025-00513</w:t>
      </w:r>
    </w:p>
    <w:p>
      <w:pPr>
        <w:pStyle w:val="null3"/>
      </w:pPr>
      <w:r>
        <w:rPr>
          <w:rFonts w:ascii="仿宋_GB2312" w:hAnsi="仿宋_GB2312" w:cs="仿宋_GB2312" w:eastAsia="仿宋_GB2312"/>
        </w:rPr>
        <w:t>项目名称：2025年度省级千万工程示范村茶园产业桥建设项目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预算金额：2,093,379.44元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采购包1：60日历天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合同包1(2025年度省级千万工程示范村茶园产业桥建设项目)落实政府采购政策需满足的资格要求如下: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合同包1(2025年度省级千万工程示范村茶园产业桥建设项目)特定资格要求如下:</w:t>
      </w:r>
    </w:p>
    <w:p>
      <w:pPr>
        <w:pStyle w:val="null3"/>
      </w:pPr>
      <w:r>
        <w:rPr>
          <w:rFonts w:ascii="仿宋_GB2312" w:hAnsi="仿宋_GB2312" w:cs="仿宋_GB2312" w:eastAsia="仿宋_GB2312"/>
        </w:rPr>
        <w:t>(1)供应商应具有独立承担民事责任的能力且具备向采购人提供相关服务的企业法人、其他组织或者自然人，企业法人应提供统一社会信用代码的营业执照；其他组织应提供合法证明文件；自然人应提供身份证明文件。</w:t>
      </w:r>
    </w:p>
    <w:p>
      <w:pPr>
        <w:pStyle w:val="null3"/>
      </w:pPr>
      <w:r>
        <w:rPr>
          <w:rFonts w:ascii="仿宋_GB2312" w:hAnsi="仿宋_GB2312" w:cs="仿宋_GB2312" w:eastAsia="仿宋_GB2312"/>
        </w:rPr>
        <w:t>(2)法定代表人直接参加投标的，须出具法人身份证(附法定代表人身份证复印件);法定代表人授权代表参加投标的，须出具法定代表人授权书及授权代表身份证(附法定代表人身份证复印件及被授权人身份证复印件)。</w:t>
      </w:r>
    </w:p>
    <w:p>
      <w:pPr>
        <w:pStyle w:val="null3"/>
      </w:pPr>
      <w:r>
        <w:rPr>
          <w:rFonts w:ascii="仿宋_GB2312" w:hAnsi="仿宋_GB2312" w:cs="仿宋_GB2312" w:eastAsia="仿宋_GB2312"/>
        </w:rPr>
        <w:t>(3)供应商须具备【市政公用工程施工总承包三级】及以上资质，且持有有效的安全生产许可证。拟派项目负责人须具有【市政公用工程二级注册建造师】及以上注册建造师执业资格，并取得安全生产考核合格证书（B证），且无在建工程。</w:t>
      </w:r>
    </w:p>
    <w:p>
      <w:pPr>
        <w:pStyle w:val="null3"/>
      </w:pPr>
      <w:r>
        <w:rPr>
          <w:rFonts w:ascii="仿宋_GB2312" w:hAnsi="仿宋_GB2312" w:cs="仿宋_GB2312" w:eastAsia="仿宋_GB2312"/>
        </w:rPr>
        <w:t>(4)应商须具有良好的商业信誉和健全的财务会计制度、具有履行合同所必需的设备和专业技术能力、具有依法缴纳税收和社会保障资金的良好记录，参加本项目采购活动前三年内无重大违法活动记录，未列入在信用中国网站“失信被执行人”、“重大税收违法案件当事人名单”中，也未列入中国政府采购网“政府采购严重违法失信行为记录名单”中；提供《汉中市政府采购供应商资格承诺函》。</w:t>
      </w:r>
    </w:p>
    <w:p>
      <w:pPr>
        <w:pStyle w:val="null3"/>
      </w:pPr>
      <w:r>
        <w:rPr>
          <w:rFonts w:ascii="仿宋_GB2312" w:hAnsi="仿宋_GB2312" w:cs="仿宋_GB2312" w:eastAsia="仿宋_GB2312"/>
        </w:rPr>
        <w:t>(5)本项目专门面向中小企业采购，供应商应为中小微企业，填写中小企业声明函并对真实性负责。</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2025年12月15日 </w:t>
      </w:r>
      <w:r>
        <w:rPr>
          <w:rFonts w:ascii="仿宋_GB2312" w:hAnsi="仿宋_GB2312" w:cs="仿宋_GB2312" w:eastAsia="仿宋_GB2312"/>
        </w:rPr>
        <w:t>至</w:t>
      </w:r>
      <w:r>
        <w:rPr>
          <w:rFonts w:ascii="仿宋_GB2312" w:hAnsi="仿宋_GB2312" w:cs="仿宋_GB2312" w:eastAsia="仿宋_GB2312"/>
        </w:rPr>
        <w:t xml:space="preserve"> 2025年12月19日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2025年12月25日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2025年12月25日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（六）落实的政府采购政策：（1）《国务院办公厅关于建立政府强制采购节能产品制度的通知》（国办发〔2007〕51号）；（2）《财政部 司法部关于政府采购支持监狱企业发展有关问题的通知》（财库〔2014〕68号）；（3）《财政部、民政部、中国残疾人联合会关于促进残疾人就业政府采购政策的通知》（财库〔2017〕141号）；（4）《财政部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lt;陕西省中小企业政府采购信用融资办法&gt;的通知》（陕财办采〔2018〕23 号；（8）陕西省财政厅《关于加快推进我省中小企业政府采购信用融资工作的通知》（陕财办采〔2020〕15号）；（9）陕西省财政厅《关于进一步加强政府绿色采购有关问题的通知》（陕财办采〔2021〕29号）；（10）《陕西省财政厅关于落实政府采购支持中小企业政策有关事项的通知》陕财办采函〔2022〕10号；（11）《关于进一步加大政府采购支持中小企业力度的通知》（财库〔2022〕19号；（12）《关于扩大政府采购支持绿色建材促进建筑品质提升政策实施范围的通知》财库〔2022〕35号；（13）《陕西省财政厅关于进一步落实政府采购支持中小企业相关政策的通知》陕财办采〔2023〕3号；（14）《陕西省财政厅关于进一步优化政府采购营商环境有关事项的通知》陕财办采〔2023〕4号；（15）其他需要落实的政府采购政策。</w:t>
      </w:r>
    </w:p>
    <w:p>
      <w:pPr>
        <w:pStyle w:val="null3"/>
      </w:pPr>
      <w:r>
        <w:rPr>
          <w:rFonts w:ascii="仿宋_GB2312" w:hAnsi="仿宋_GB2312" w:cs="仿宋_GB2312" w:eastAsia="仿宋_GB2312"/>
        </w:rPr>
        <w:t>（七）各供应商应根据“陕西省财政厅 陕财办采函[2023]14号文”陕西省财政厅关于省级预算单位全面推行政府采购项目电子化交易的通知”、《政府采购项目电子化交易规则》等文件的要求，做好人员配备、设施设备、系统操作的相应准备，熟悉并正确实施相关操作流程，承担由于操作或其他因素造成的不利后果。</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西乡县堰口镇人民政府</w:t>
      </w:r>
    </w:p>
    <w:p>
      <w:pPr>
        <w:pStyle w:val="null3"/>
      </w:pPr>
      <w:r>
        <w:rPr>
          <w:rFonts w:ascii="仿宋_GB2312" w:hAnsi="仿宋_GB2312" w:cs="仿宋_GB2312" w:eastAsia="仿宋_GB2312"/>
        </w:rPr>
        <w:t>地址：</w:t>
      </w:r>
      <w:r>
        <w:rPr>
          <w:rFonts w:ascii="仿宋_GB2312" w:hAnsi="仿宋_GB2312" w:cs="仿宋_GB2312" w:eastAsia="仿宋_GB2312"/>
        </w:rPr>
        <w:t>西乡县堰口社区</w:t>
      </w:r>
    </w:p>
    <w:p>
      <w:pPr>
        <w:pStyle w:val="null3"/>
      </w:pPr>
      <w:r>
        <w:rPr>
          <w:rFonts w:ascii="仿宋_GB2312" w:hAnsi="仿宋_GB2312" w:cs="仿宋_GB2312" w:eastAsia="仿宋_GB2312"/>
        </w:rPr>
        <w:t>联系方式：</w:t>
      </w:r>
      <w:r>
        <w:rPr>
          <w:rFonts w:ascii="仿宋_GB2312" w:hAnsi="仿宋_GB2312" w:cs="仿宋_GB2312" w:eastAsia="仿宋_GB2312"/>
        </w:rPr>
        <w:t>13992697557</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致君项目管理有限公司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汉中市汉台区北团结街与莲湖路十字华建新城1号电梯2楼左侧</w:t>
      </w:r>
    </w:p>
    <w:p>
      <w:pPr>
        <w:pStyle w:val="null3"/>
      </w:pPr>
      <w:r>
        <w:rPr>
          <w:rFonts w:ascii="仿宋_GB2312" w:hAnsi="仿宋_GB2312" w:cs="仿宋_GB2312" w:eastAsia="仿宋_GB2312"/>
        </w:rPr>
        <w:t>联系方式：</w:t>
      </w:r>
      <w:r>
        <w:rPr>
          <w:rFonts w:ascii="仿宋_GB2312" w:hAnsi="仿宋_GB2312" w:cs="仿宋_GB2312" w:eastAsia="仿宋_GB2312"/>
        </w:rPr>
        <w:t>0916-8822133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致君汉中分公司</w:t>
      </w:r>
    </w:p>
    <w:p>
      <w:pPr>
        <w:pStyle w:val="null3"/>
      </w:pPr>
      <w:r>
        <w:rPr>
          <w:rFonts w:ascii="仿宋_GB2312" w:hAnsi="仿宋_GB2312" w:cs="仿宋_GB2312" w:eastAsia="仿宋_GB2312"/>
        </w:rPr>
        <w:t>电话：</w:t>
      </w:r>
      <w:r>
        <w:rPr>
          <w:rFonts w:ascii="仿宋_GB2312" w:hAnsi="仿宋_GB2312" w:cs="仿宋_GB2312" w:eastAsia="仿宋_GB2312"/>
        </w:rPr>
        <w:t>0916-8822133</w:t>
      </w:r>
    </w:p>
    <w:p>
      <w:pPr>
        <w:pStyle w:val="null3"/>
        <w:jc w:val="right"/>
      </w:pPr>
      <w:r>
        <w:rPr>
          <w:rFonts w:ascii="仿宋_GB2312" w:hAnsi="仿宋_GB2312" w:cs="仿宋_GB2312" w:eastAsia="仿宋_GB2312"/>
        </w:rPr>
        <w:t>致君项目管理有限公司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