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2AA53">
      <w:pPr>
        <w:spacing w:line="360" w:lineRule="auto"/>
        <w:jc w:val="center"/>
        <w:outlineLvl w:val="0"/>
        <w:rPr>
          <w:rFonts w:hint="default" w:ascii="宋体" w:hAnsi="宋体" w:eastAsia="宋体" w:cs="宋体"/>
          <w:b/>
          <w:sz w:val="32"/>
          <w:szCs w:val="32"/>
          <w:lang w:val="en-US" w:eastAsia="zh-CN"/>
        </w:rPr>
      </w:pPr>
      <w:r>
        <w:rPr>
          <w:rFonts w:hint="eastAsia" w:ascii="宋体" w:hAnsi="宋体" w:cs="宋体"/>
          <w:b/>
          <w:sz w:val="32"/>
          <w:szCs w:val="32"/>
          <w:lang w:val="en-US" w:eastAsia="zh-CN"/>
        </w:rPr>
        <w:t>采购需求</w:t>
      </w:r>
      <w:bookmarkStart w:id="0" w:name="_GoBack"/>
      <w:bookmarkEnd w:id="0"/>
    </w:p>
    <w:p w14:paraId="47339E84">
      <w:pPr>
        <w:spacing w:line="360" w:lineRule="auto"/>
        <w:rPr>
          <w:rFonts w:ascii="宋体" w:hAnsi="宋体" w:cs="宋体"/>
          <w:b/>
          <w:sz w:val="24"/>
        </w:rPr>
      </w:pPr>
      <w:r>
        <w:rPr>
          <w:rFonts w:hint="eastAsia" w:ascii="宋体" w:hAnsi="宋体" w:cs="宋体"/>
          <w:b/>
          <w:sz w:val="24"/>
        </w:rPr>
        <w:t>一、谈判要求</w:t>
      </w:r>
    </w:p>
    <w:p w14:paraId="74DE7B1D">
      <w:pPr>
        <w:spacing w:line="360" w:lineRule="auto"/>
        <w:rPr>
          <w:rFonts w:ascii="宋体" w:hAnsi="宋体" w:cs="宋体"/>
          <w:sz w:val="24"/>
        </w:rPr>
      </w:pPr>
      <w:r>
        <w:rPr>
          <w:rFonts w:hint="eastAsia" w:ascii="宋体" w:hAnsi="宋体" w:cs="宋体"/>
          <w:sz w:val="24"/>
        </w:rPr>
        <w:t>1、项目名称：陕西艺术职业学院信息安全等级保护升级改造采购项目（二次）</w:t>
      </w:r>
    </w:p>
    <w:p w14:paraId="5EA93A0F">
      <w:pPr>
        <w:spacing w:line="360" w:lineRule="auto"/>
        <w:rPr>
          <w:rFonts w:ascii="宋体" w:hAnsi="宋体" w:cs="宋体"/>
          <w:sz w:val="24"/>
        </w:rPr>
      </w:pPr>
      <w:r>
        <w:rPr>
          <w:rFonts w:hint="eastAsia" w:ascii="宋体" w:hAnsi="宋体" w:cs="宋体"/>
          <w:sz w:val="24"/>
        </w:rPr>
        <w:t>2、交货期：合同签订后12天</w:t>
      </w:r>
    </w:p>
    <w:p w14:paraId="359A68EF">
      <w:pPr>
        <w:spacing w:line="360" w:lineRule="auto"/>
        <w:rPr>
          <w:rFonts w:ascii="宋体" w:hAnsi="宋体" w:cs="宋体"/>
          <w:sz w:val="24"/>
        </w:rPr>
      </w:pPr>
      <w:r>
        <w:rPr>
          <w:rFonts w:hint="eastAsia" w:ascii="宋体" w:hAnsi="宋体" w:cs="宋体"/>
          <w:sz w:val="24"/>
        </w:rPr>
        <w:t>3、质保期：3年</w:t>
      </w:r>
    </w:p>
    <w:p w14:paraId="593ED4E5">
      <w:pPr>
        <w:spacing w:line="360" w:lineRule="auto"/>
        <w:rPr>
          <w:rFonts w:ascii="宋体" w:hAnsi="宋体" w:cs="宋体"/>
          <w:bCs/>
          <w:sz w:val="24"/>
        </w:rPr>
      </w:pPr>
      <w:r>
        <w:rPr>
          <w:rFonts w:hint="eastAsia" w:ascii="宋体" w:hAnsi="宋体" w:cs="宋体"/>
          <w:sz w:val="24"/>
        </w:rPr>
        <w:t>4、交货地点：采购人指定地点</w:t>
      </w:r>
    </w:p>
    <w:p w14:paraId="32ACFFAC">
      <w:pPr>
        <w:spacing w:line="360" w:lineRule="auto"/>
        <w:rPr>
          <w:rFonts w:ascii="宋体" w:hAnsi="宋体" w:cs="宋体"/>
          <w:b/>
          <w:sz w:val="24"/>
        </w:rPr>
      </w:pPr>
      <w:r>
        <w:rPr>
          <w:rFonts w:hint="eastAsia" w:ascii="宋体" w:hAnsi="宋体" w:cs="宋体"/>
          <w:b/>
          <w:sz w:val="24"/>
        </w:rPr>
        <w:t>二、技术参数</w:t>
      </w:r>
    </w:p>
    <w:tbl>
      <w:tblPr>
        <w:tblStyle w:val="2"/>
        <w:tblW w:w="0" w:type="auto"/>
        <w:tblInd w:w="0" w:type="dxa"/>
        <w:tblLayout w:type="fixed"/>
        <w:tblCellMar>
          <w:top w:w="0" w:type="dxa"/>
          <w:left w:w="108" w:type="dxa"/>
          <w:bottom w:w="0" w:type="dxa"/>
          <w:right w:w="108" w:type="dxa"/>
        </w:tblCellMar>
      </w:tblPr>
      <w:tblGrid>
        <w:gridCol w:w="451"/>
        <w:gridCol w:w="779"/>
        <w:gridCol w:w="6467"/>
        <w:gridCol w:w="651"/>
        <w:gridCol w:w="651"/>
      </w:tblGrid>
      <w:tr w14:paraId="206148AD">
        <w:tblPrEx>
          <w:tblCellMar>
            <w:top w:w="0" w:type="dxa"/>
            <w:left w:w="108" w:type="dxa"/>
            <w:bottom w:w="0" w:type="dxa"/>
            <w:right w:w="108" w:type="dxa"/>
          </w:tblCellMar>
        </w:tblPrEx>
        <w:trPr>
          <w:trHeight w:val="1062" w:hRule="atLeast"/>
        </w:trPr>
        <w:tc>
          <w:tcPr>
            <w:tcW w:w="451"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352AA12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序号</w:t>
            </w:r>
          </w:p>
        </w:tc>
        <w:tc>
          <w:tcPr>
            <w:tcW w:w="779"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00957F7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产品名称</w:t>
            </w:r>
          </w:p>
        </w:tc>
        <w:tc>
          <w:tcPr>
            <w:tcW w:w="6467"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79F7F92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技术要求</w:t>
            </w:r>
          </w:p>
        </w:tc>
        <w:tc>
          <w:tcPr>
            <w:tcW w:w="651"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5445B3E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数量</w:t>
            </w:r>
          </w:p>
        </w:tc>
        <w:tc>
          <w:tcPr>
            <w:tcW w:w="651"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018C612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单位</w:t>
            </w:r>
          </w:p>
        </w:tc>
      </w:tr>
      <w:tr w14:paraId="7FE069E1">
        <w:tblPrEx>
          <w:tblCellMar>
            <w:top w:w="0" w:type="dxa"/>
            <w:left w:w="108" w:type="dxa"/>
            <w:bottom w:w="0" w:type="dxa"/>
            <w:right w:w="108" w:type="dxa"/>
          </w:tblCellMar>
        </w:tblPrEx>
        <w:trPr>
          <w:trHeight w:val="90" w:hRule="atLeast"/>
        </w:trPr>
        <w:tc>
          <w:tcPr>
            <w:tcW w:w="451" w:type="dxa"/>
            <w:tcBorders>
              <w:top w:val="single" w:color="000000" w:sz="4" w:space="0"/>
              <w:left w:val="single" w:color="000000" w:sz="4" w:space="0"/>
              <w:bottom w:val="single" w:color="000000" w:sz="4" w:space="0"/>
              <w:right w:val="single" w:color="000000" w:sz="4" w:space="0"/>
            </w:tcBorders>
            <w:vAlign w:val="center"/>
          </w:tcPr>
          <w:p w14:paraId="37B4A88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79" w:type="dxa"/>
            <w:tcBorders>
              <w:top w:val="single" w:color="000000" w:sz="4" w:space="0"/>
              <w:left w:val="single" w:color="000000" w:sz="4" w:space="0"/>
              <w:bottom w:val="single" w:color="000000" w:sz="4" w:space="0"/>
              <w:right w:val="single" w:color="000000" w:sz="4" w:space="0"/>
            </w:tcBorders>
            <w:vAlign w:val="center"/>
          </w:tcPr>
          <w:p w14:paraId="0446356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下一代防火墙</w:t>
            </w:r>
          </w:p>
        </w:tc>
        <w:tc>
          <w:tcPr>
            <w:tcW w:w="6467" w:type="dxa"/>
            <w:tcBorders>
              <w:top w:val="single" w:color="000000" w:sz="4" w:space="0"/>
              <w:left w:val="single" w:color="000000" w:sz="4" w:space="0"/>
              <w:bottom w:val="single" w:color="000000" w:sz="4" w:space="0"/>
              <w:right w:val="single" w:color="000000" w:sz="4" w:space="0"/>
            </w:tcBorders>
            <w:vAlign w:val="center"/>
          </w:tcPr>
          <w:p w14:paraId="07621C6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性能参数：网络层吞吐量≥80G，应用层吞吐量≥35G，防病毒吞吐量≥12G，IPS吞吐量≥16G，全威胁吞吐量≥10G，并发连接数≥1600万，HTTP新建连接数≥60万，IPSec VPN 最大接入数≥20000，IPSec VPN吞吐量≥7G。</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硬件参数：规格：2U，内存大小≥48G，系统盘≥128G SSD，数据盘≥960G SSD，冗余电源，接口≥4千兆电口，≥4千兆光口SFP+，≥4万兆光口SFP+。</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包含ACL控制、防病毒、入侵防御、应用识别、WAF、威胁情报等模块。</w:t>
            </w:r>
            <w:r>
              <w:rPr>
                <w:rFonts w:hint="eastAsia" w:ascii="宋体" w:hAnsi="宋体" w:cs="宋体"/>
                <w:color w:val="FF0000"/>
                <w:kern w:val="0"/>
                <w:sz w:val="21"/>
                <w:szCs w:val="21"/>
                <w:lang w:bidi="ar"/>
              </w:rPr>
              <w:br w:type="textWrapping"/>
            </w:r>
            <w:r>
              <w:rPr>
                <w:rFonts w:hint="eastAsia" w:ascii="宋体" w:hAnsi="宋体" w:cs="宋体"/>
                <w:color w:val="000000"/>
                <w:kern w:val="0"/>
                <w:sz w:val="21"/>
                <w:szCs w:val="21"/>
                <w:lang w:bidi="ar"/>
              </w:rPr>
              <w:t>包含一套资产授权不少于50个的日志审计软件模块，支持纯软部署，满足日志存储保留180天以上。</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提供应用识别和控制功能，可以对应用进行检测与控制。</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提供僵尸主机检测功能，可识别主机的异常外联行为。</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提供漏洞攻击的检测与识别功能，对蠕虫、木马、恶意代码、间谍软件等威胁能够防护。</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提供压缩文件进行解压病毒查杀功能。</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提供任意方式勒索病毒防护功能，可以对勒索病毒实现检测与防御，进行勒索风险自动化评估并自动生成防护策略。</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具备威胁情报拦截功能，通过云端威胁情报库，及时向防火墙下发威胁流量，实现失陷外联及时阻断。</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具备云端未知威胁主动探测技术，实现未知威胁情报全网设备及时下发。</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提供任意方式蜜罐功能，可以伪装业务诱捕内外网攻击行为，联动防火墙封锁高危IP。</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支持策略生命周期管理功能，对安全策略修改的时间、原因、变更类型进行统一管理。</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能够与现网态势感知系统联动管理，已免费开放标准对接接口，要求在防火墙产品完成端点安全策略设置和端点安全软件的统一管理，提供兼容性测试报告或者加盖投标人公章的承诺函。</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支持微信小程序、微信公众号、企业微信、钉钉、APP等任意方式移动端运维处置功能，便捷实现安全事件预警和处置，通过云端运营管理，辅助进行流量日志分析、事件聚合、云端专家研判。</w:t>
            </w:r>
          </w:p>
          <w:p w14:paraId="5B8CFDAF">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产品厂商具备网络安全应急服务支撑单位甲级资质。提供证明材料并加盖公章。</w:t>
            </w:r>
          </w:p>
        </w:tc>
        <w:tc>
          <w:tcPr>
            <w:tcW w:w="651" w:type="dxa"/>
            <w:tcBorders>
              <w:top w:val="single" w:color="000000" w:sz="4" w:space="0"/>
              <w:left w:val="single" w:color="000000" w:sz="4" w:space="0"/>
              <w:bottom w:val="single" w:color="000000" w:sz="4" w:space="0"/>
              <w:right w:val="single" w:color="000000" w:sz="4" w:space="0"/>
            </w:tcBorders>
            <w:vAlign w:val="center"/>
          </w:tcPr>
          <w:p w14:paraId="365D31E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651" w:type="dxa"/>
            <w:tcBorders>
              <w:top w:val="single" w:color="000000" w:sz="4" w:space="0"/>
              <w:left w:val="single" w:color="000000" w:sz="4" w:space="0"/>
              <w:bottom w:val="single" w:color="000000" w:sz="4" w:space="0"/>
              <w:right w:val="single" w:color="000000" w:sz="4" w:space="0"/>
            </w:tcBorders>
            <w:vAlign w:val="center"/>
          </w:tcPr>
          <w:p w14:paraId="678150F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台</w:t>
            </w:r>
          </w:p>
        </w:tc>
      </w:tr>
      <w:tr w14:paraId="30B2C9ED">
        <w:tblPrEx>
          <w:tblCellMar>
            <w:top w:w="0" w:type="dxa"/>
            <w:left w:w="108" w:type="dxa"/>
            <w:bottom w:w="0" w:type="dxa"/>
            <w:right w:w="108" w:type="dxa"/>
          </w:tblCellMar>
        </w:tblPrEx>
        <w:trPr>
          <w:trHeight w:val="439" w:hRule="atLeast"/>
        </w:trPr>
        <w:tc>
          <w:tcPr>
            <w:tcW w:w="451" w:type="dxa"/>
            <w:tcBorders>
              <w:top w:val="single" w:color="000000" w:sz="4" w:space="0"/>
              <w:left w:val="single" w:color="000000" w:sz="4" w:space="0"/>
              <w:bottom w:val="single" w:color="000000" w:sz="4" w:space="0"/>
              <w:right w:val="single" w:color="000000" w:sz="4" w:space="0"/>
            </w:tcBorders>
            <w:vAlign w:val="center"/>
          </w:tcPr>
          <w:p w14:paraId="5FEECC1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779" w:type="dxa"/>
            <w:tcBorders>
              <w:top w:val="single" w:color="000000" w:sz="4" w:space="0"/>
              <w:left w:val="single" w:color="000000" w:sz="4" w:space="0"/>
              <w:bottom w:val="single" w:color="000000" w:sz="4" w:space="0"/>
              <w:right w:val="single" w:color="000000" w:sz="4" w:space="0"/>
            </w:tcBorders>
            <w:vAlign w:val="center"/>
          </w:tcPr>
          <w:p w14:paraId="496416C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统一端点安全管理系统</w:t>
            </w:r>
          </w:p>
        </w:tc>
        <w:tc>
          <w:tcPr>
            <w:tcW w:w="6467" w:type="dxa"/>
            <w:tcBorders>
              <w:top w:val="single" w:color="000000" w:sz="4" w:space="0"/>
              <w:left w:val="single" w:color="000000" w:sz="4" w:space="0"/>
              <w:bottom w:val="single" w:color="000000" w:sz="4" w:space="0"/>
              <w:right w:val="single" w:color="000000" w:sz="4" w:space="0"/>
            </w:tcBorders>
            <w:vAlign w:val="center"/>
          </w:tcPr>
          <w:p w14:paraId="4B1E628B">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sz w:val="21"/>
                <w:szCs w:val="21"/>
              </w:rPr>
            </w:pPr>
            <w:r>
              <w:rPr>
                <w:rFonts w:hint="eastAsia" w:ascii="宋体" w:hAnsi="宋体" w:cs="宋体"/>
                <w:color w:val="000000"/>
                <w:kern w:val="0"/>
                <w:sz w:val="21"/>
                <w:szCs w:val="21"/>
                <w:lang w:bidi="ar"/>
              </w:rPr>
              <w:t>50套服务器版授权。</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支持与现网授权合并，并支持现网管理平台统一管理，实现统一威胁处置，统一漏洞修复，威胁响应处置，日志记录与查询等功能。</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支持全网终端资产清点，包括操作系统、应用软件、监听端口和主机账户等。</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具有设备控制功能，可管控U盘、便携设备、USB网卡、打印机、光驱、蓝牙设备等。</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具备勒索病毒攻击立体防护模块，对勒索病毒及变种实现有效防御，支持展示勒索病毒处置情况。</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支持对勒索入侵的主流方式RDP暴破做全方位保护，包括RDP登录校验、RDP文件加白二次校验等功能。</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支持基于威胁情报的病毒特征值和域名全网终端搜索，可定位出全网终端该病毒的感染情况。</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支持全网风险展示，包括但不限于未处理的勒索病毒数量、暴力破解数量、WebShell后门数量、高危漏洞及其各自影响的终端数量。</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支持流行Windows高危漏洞补丁修复。</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通过智能识别终端环境情况（低配硬件、老旧设备等）和当前终端资源占用，在闲时实时监控和病毒扫描场景，可智能调整客户端的资源占用（CPU、IO等），降低业务影响。</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支持与现网防火墙进行安全联动，在防火墙管理界面下发快速查杀任务，并查看任务状态、结果并进行处置，提供证明材料或者加盖投标人公章的承诺函。</w:t>
            </w:r>
          </w:p>
          <w:p w14:paraId="33D370F9">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产品厂商具备中国信息安全测评中心颁发的信息安全服务资质证书（安全开发类二级或二级以上）。提供证明材料并加盖公章。</w:t>
            </w:r>
          </w:p>
        </w:tc>
        <w:tc>
          <w:tcPr>
            <w:tcW w:w="651" w:type="dxa"/>
            <w:tcBorders>
              <w:top w:val="single" w:color="000000" w:sz="4" w:space="0"/>
              <w:left w:val="single" w:color="000000" w:sz="4" w:space="0"/>
              <w:bottom w:val="single" w:color="000000" w:sz="4" w:space="0"/>
              <w:right w:val="single" w:color="000000" w:sz="4" w:space="0"/>
            </w:tcBorders>
            <w:vAlign w:val="center"/>
          </w:tcPr>
          <w:p w14:paraId="0365DE0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651" w:type="dxa"/>
            <w:tcBorders>
              <w:top w:val="single" w:color="000000" w:sz="4" w:space="0"/>
              <w:left w:val="single" w:color="000000" w:sz="4" w:space="0"/>
              <w:bottom w:val="single" w:color="000000" w:sz="4" w:space="0"/>
              <w:right w:val="single" w:color="000000" w:sz="4" w:space="0"/>
            </w:tcBorders>
            <w:vAlign w:val="center"/>
          </w:tcPr>
          <w:p w14:paraId="5B47EFB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r>
      <w:tr w14:paraId="5079397E">
        <w:tblPrEx>
          <w:tblCellMar>
            <w:top w:w="0" w:type="dxa"/>
            <w:left w:w="108" w:type="dxa"/>
            <w:bottom w:w="0" w:type="dxa"/>
            <w:right w:w="108" w:type="dxa"/>
          </w:tblCellMar>
        </w:tblPrEx>
        <w:trPr>
          <w:trHeight w:val="487" w:hRule="atLeast"/>
        </w:trPr>
        <w:tc>
          <w:tcPr>
            <w:tcW w:w="451" w:type="dxa"/>
            <w:tcBorders>
              <w:top w:val="single" w:color="000000" w:sz="4" w:space="0"/>
              <w:left w:val="single" w:color="000000" w:sz="4" w:space="0"/>
              <w:bottom w:val="single" w:color="000000" w:sz="4" w:space="0"/>
              <w:right w:val="single" w:color="000000" w:sz="4" w:space="0"/>
            </w:tcBorders>
            <w:vAlign w:val="center"/>
          </w:tcPr>
          <w:p w14:paraId="3F2C03C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w:t>
            </w:r>
          </w:p>
        </w:tc>
        <w:tc>
          <w:tcPr>
            <w:tcW w:w="779" w:type="dxa"/>
            <w:tcBorders>
              <w:top w:val="single" w:color="000000" w:sz="4" w:space="0"/>
              <w:left w:val="single" w:color="000000" w:sz="4" w:space="0"/>
              <w:bottom w:val="single" w:color="000000" w:sz="4" w:space="0"/>
              <w:right w:val="single" w:color="000000" w:sz="4" w:space="0"/>
            </w:tcBorders>
            <w:vAlign w:val="center"/>
          </w:tcPr>
          <w:p w14:paraId="19F6C85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零信任</w:t>
            </w:r>
          </w:p>
        </w:tc>
        <w:tc>
          <w:tcPr>
            <w:tcW w:w="6467" w:type="dxa"/>
            <w:tcBorders>
              <w:top w:val="single" w:color="000000" w:sz="4" w:space="0"/>
              <w:left w:val="single" w:color="000000" w:sz="4" w:space="0"/>
              <w:bottom w:val="single" w:color="000000" w:sz="4" w:space="0"/>
              <w:right w:val="single" w:color="000000" w:sz="4" w:space="0"/>
            </w:tcBorders>
            <w:vAlign w:val="center"/>
          </w:tcPr>
          <w:p w14:paraId="1912D79F">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SSL性能参数：最大加密流量（Mbps）≥480，最大并发用户数≥800，最大https并发连接数（个）≥40000，https新建连接数（个/秒）≥120；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IPSEC性能参数：加密最大流量（Mbps）≥135，并发隧道数（Tunnel）≥480。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硬件参数：规格：1U，内存大小≥16G，硬盘容量≥128G SSD，接口≥8千兆电口，≥2万兆光口SFP+。提供</w:t>
            </w:r>
            <w:r>
              <w:rPr>
                <w:rFonts w:hint="eastAsia" w:ascii="宋体" w:hAnsi="宋体" w:cs="宋体"/>
                <w:color w:val="FF0000"/>
                <w:kern w:val="0"/>
                <w:sz w:val="21"/>
                <w:szCs w:val="21"/>
                <w:lang w:bidi="ar"/>
              </w:rPr>
              <w:t>≥</w:t>
            </w:r>
            <w:r>
              <w:rPr>
                <w:rFonts w:hint="eastAsia" w:ascii="宋体" w:hAnsi="宋体" w:cs="宋体"/>
                <w:color w:val="000000"/>
                <w:kern w:val="0"/>
                <w:sz w:val="21"/>
                <w:szCs w:val="21"/>
                <w:lang w:bidi="ar"/>
              </w:rPr>
              <w:t>200接入授权。</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支持IPV4/IPV6双栈网络IP配置，支持默认限制所有IP通过WAN口访问系统。</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支持通过隧道模式和WEB模式发布资源,，其中WEB模式支持透明代理、智能改写等模式，支持开启水印。</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零信任客户端支持多种终端操作系统兼容，包括但不限于：Windows7/10/11、MacOS10/11/12、Ubuntu、Android、iOS、麒麟V10系统、统信V20系统。</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支持原VPN客户端时直接升级成零信任客户端来登录访问业务，允许升级完成后选择是否卸载原VPN客户端。</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支持配置指定用户上下行带宽限制。</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配置一个帐号在PC端和移动端分别绑定N个终端数量，可设置的数量范围为1~100；支持配置一个终端仅允许一个用户绑定；支持多因素认证，其中异常环境下需完成增强认证才可登录；支持自动锁定闲置账号（时长可自定义配置）。</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支持通过组织架构、角色等方式进行本地用户管理；支持与外部用户管理服务器进行对接；支持批量导入/导出用户；配置不少于10万条弱密码规则。</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支持限定操作系统、接入IP、指定杀毒软件、用户登录时间等变量动控制态业务访问。</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支持Web应用商店功能，可配置需认证/不经过认证访问Web应用商店。</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支持UDP+TCP单包授权机制，UDP+TCP方式默认不开放端口；支持共享码和一人一码两种模式。</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支持PC终端登录零信任客户端后，在特定的网络域下只能主动访问网络域对应的IP、IP范围、IP段、域名，且只能被限定的IP、IP范围、IP段访问。</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支持终端环境诊断排查，提供终端诊断工具，支持对当前终端的基本环境进行扫描和一键修复。</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支持对设备自身的安全状态和策略配置进行巡检，并输出巡检报告，支持下载。</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支持通过OPEN API的方式将零信任系统的能力开放给第三方业务系统进行调用配置。</w:t>
            </w:r>
          </w:p>
        </w:tc>
        <w:tc>
          <w:tcPr>
            <w:tcW w:w="651" w:type="dxa"/>
            <w:tcBorders>
              <w:top w:val="single" w:color="000000" w:sz="4" w:space="0"/>
              <w:left w:val="single" w:color="000000" w:sz="4" w:space="0"/>
              <w:bottom w:val="single" w:color="000000" w:sz="4" w:space="0"/>
              <w:right w:val="single" w:color="000000" w:sz="4" w:space="0"/>
            </w:tcBorders>
            <w:vAlign w:val="center"/>
          </w:tcPr>
          <w:p w14:paraId="3A1F2C5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651" w:type="dxa"/>
            <w:tcBorders>
              <w:top w:val="single" w:color="000000" w:sz="4" w:space="0"/>
              <w:left w:val="single" w:color="000000" w:sz="4" w:space="0"/>
              <w:bottom w:val="single" w:color="000000" w:sz="4" w:space="0"/>
              <w:right w:val="single" w:color="000000" w:sz="4" w:space="0"/>
            </w:tcBorders>
            <w:vAlign w:val="center"/>
          </w:tcPr>
          <w:p w14:paraId="4D38C4C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台</w:t>
            </w:r>
          </w:p>
        </w:tc>
      </w:tr>
      <w:tr w14:paraId="6F9E7769">
        <w:tblPrEx>
          <w:tblCellMar>
            <w:top w:w="0" w:type="dxa"/>
            <w:left w:w="108" w:type="dxa"/>
            <w:bottom w:w="0" w:type="dxa"/>
            <w:right w:w="108" w:type="dxa"/>
          </w:tblCellMar>
        </w:tblPrEx>
        <w:trPr>
          <w:trHeight w:val="570" w:hRule="atLeast"/>
        </w:trPr>
        <w:tc>
          <w:tcPr>
            <w:tcW w:w="451" w:type="dxa"/>
            <w:tcBorders>
              <w:top w:val="single" w:color="000000" w:sz="4" w:space="0"/>
              <w:left w:val="single" w:color="000000" w:sz="4" w:space="0"/>
              <w:bottom w:val="single" w:color="000000" w:sz="4" w:space="0"/>
              <w:right w:val="single" w:color="000000" w:sz="4" w:space="0"/>
            </w:tcBorders>
            <w:vAlign w:val="center"/>
          </w:tcPr>
          <w:p w14:paraId="56F519B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4</w:t>
            </w:r>
          </w:p>
        </w:tc>
        <w:tc>
          <w:tcPr>
            <w:tcW w:w="779" w:type="dxa"/>
            <w:tcBorders>
              <w:top w:val="single" w:color="000000" w:sz="4" w:space="0"/>
              <w:left w:val="single" w:color="000000" w:sz="4" w:space="0"/>
              <w:bottom w:val="single" w:color="000000" w:sz="4" w:space="0"/>
              <w:right w:val="single" w:color="000000" w:sz="4" w:space="0"/>
            </w:tcBorders>
            <w:vAlign w:val="center"/>
          </w:tcPr>
          <w:p w14:paraId="21B98D4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其他说明</w:t>
            </w:r>
          </w:p>
        </w:tc>
        <w:tc>
          <w:tcPr>
            <w:tcW w:w="6467" w:type="dxa"/>
            <w:tcBorders>
              <w:top w:val="single" w:color="000000" w:sz="4" w:space="0"/>
              <w:left w:val="single" w:color="000000" w:sz="4" w:space="0"/>
              <w:bottom w:val="single" w:color="000000" w:sz="4" w:space="0"/>
              <w:right w:val="single" w:color="000000" w:sz="4" w:space="0"/>
            </w:tcBorders>
            <w:vAlign w:val="center"/>
          </w:tcPr>
          <w:p w14:paraId="0134FF1A">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备注：1、以上所有技术指标必须满足要求没有负偏离，否则按无效文件处理；</w:t>
            </w:r>
          </w:p>
          <w:p w14:paraId="6B80BB69">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 2、要求提供佐证材料的必须提供，否则视为负偏离，按无效文件处理。</w:t>
            </w:r>
          </w:p>
        </w:tc>
        <w:tc>
          <w:tcPr>
            <w:tcW w:w="651" w:type="dxa"/>
            <w:tcBorders>
              <w:top w:val="single" w:color="000000" w:sz="4" w:space="0"/>
              <w:left w:val="single" w:color="000000" w:sz="4" w:space="0"/>
              <w:bottom w:val="single" w:color="000000" w:sz="4" w:space="0"/>
              <w:right w:val="single" w:color="000000" w:sz="4" w:space="0"/>
            </w:tcBorders>
            <w:vAlign w:val="center"/>
          </w:tcPr>
          <w:p w14:paraId="42DE94D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kern w:val="0"/>
                <w:sz w:val="21"/>
                <w:szCs w:val="21"/>
                <w:lang w:bidi="ar"/>
              </w:rPr>
            </w:pPr>
          </w:p>
        </w:tc>
        <w:tc>
          <w:tcPr>
            <w:tcW w:w="651" w:type="dxa"/>
            <w:tcBorders>
              <w:top w:val="single" w:color="000000" w:sz="4" w:space="0"/>
              <w:left w:val="single" w:color="000000" w:sz="4" w:space="0"/>
              <w:bottom w:val="single" w:color="000000" w:sz="4" w:space="0"/>
              <w:right w:val="single" w:color="000000" w:sz="4" w:space="0"/>
            </w:tcBorders>
            <w:vAlign w:val="center"/>
          </w:tcPr>
          <w:p w14:paraId="6ED09E2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kern w:val="0"/>
                <w:sz w:val="21"/>
                <w:szCs w:val="21"/>
                <w:lang w:bidi="ar"/>
              </w:rPr>
            </w:pPr>
          </w:p>
        </w:tc>
      </w:tr>
    </w:tbl>
    <w:p w14:paraId="72C9FF3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C7F09"/>
    <w:rsid w:val="19DC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2025-12-16T01:28:00Z</dcterms:created>
  <dc:creator>安安</dc:creator>
  <cp:lastModifiedBy>安安</cp:lastModifiedBy>
  <dcterms:modified xsi:type="dcterms:W3CDTF">2025-12-16T01:28:51Z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621772351CFC4992A589ED276BDCEB4F_11</vt:lpwstr>
  </property>
  <property fmtid="{D5CDD505-2E9C-101B-9397-08002B2CF9AE}" pid="4" name="KSOTemplateDocerSaveRecord">
    <vt:lpwstr>eyJoZGlkIjoiY2JiM2Q2YTNkZTc1Mjk4ODRhOWVjZTc0YTFmYTE5NzciLCJ1c2VySWQiOiIxMTQ2NDU0OTA0In0=</vt:lpwstr>
  </property>
</Properties>
</file>