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69FF">
      <w:pPr>
        <w:rPr>
          <w:rFonts w:hint="eastAsia" w:ascii="宋体" w:hAnsi="宋体" w:eastAsia="宋体" w:cs="宋体"/>
          <w:b/>
          <w:color w:val="auto"/>
          <w:sz w:val="36"/>
          <w:highlight w:val="none"/>
          <w:lang w:val="en-US" w:eastAsia="zh-CN"/>
        </w:rPr>
      </w:pPr>
      <w:r>
        <w:rPr>
          <w:rFonts w:hint="eastAsia" w:ascii="宋体" w:hAnsi="宋体" w:eastAsia="宋体" w:cs="宋体"/>
          <w:b/>
          <w:bCs/>
          <w:color w:val="auto"/>
          <w:sz w:val="32"/>
          <w:szCs w:val="32"/>
          <w:highlight w:val="none"/>
        </w:rPr>
        <w:t>项目编号：SXZCZB2025-ZCCS-1211</w:t>
      </w:r>
    </w:p>
    <w:p w14:paraId="0FF9E1A4">
      <w:pPr>
        <w:rPr>
          <w:rFonts w:hint="eastAsia" w:ascii="宋体" w:hAnsi="宋体" w:eastAsia="宋体" w:cs="宋体"/>
          <w:b/>
          <w:color w:val="auto"/>
          <w:sz w:val="36"/>
          <w:highlight w:val="none"/>
        </w:rPr>
      </w:pPr>
    </w:p>
    <w:p w14:paraId="0823BD8B">
      <w:pPr>
        <w:rPr>
          <w:rFonts w:hint="eastAsia" w:ascii="宋体" w:hAnsi="宋体" w:eastAsia="宋体" w:cs="宋体"/>
          <w:b/>
          <w:color w:val="auto"/>
          <w:sz w:val="36"/>
          <w:highlight w:val="none"/>
        </w:rPr>
      </w:pPr>
    </w:p>
    <w:p w14:paraId="69E0F8A7">
      <w:pPr>
        <w:rPr>
          <w:rFonts w:hint="eastAsia" w:ascii="宋体" w:hAnsi="宋体" w:eastAsia="宋体" w:cs="宋体"/>
          <w:b/>
          <w:color w:val="auto"/>
          <w:sz w:val="40"/>
          <w:szCs w:val="21"/>
          <w:highlight w:val="none"/>
        </w:rPr>
      </w:pPr>
    </w:p>
    <w:p w14:paraId="49431B0E">
      <w:pPr>
        <w:jc w:val="center"/>
        <w:rPr>
          <w:rFonts w:hint="eastAsia" w:hAnsi="宋体" w:eastAsia="宋体" w:cs="宋体"/>
          <w:b/>
          <w:color w:val="auto"/>
          <w:sz w:val="56"/>
          <w:szCs w:val="56"/>
          <w:highlight w:val="none"/>
          <w:lang w:eastAsia="zh-CN"/>
        </w:rPr>
      </w:pPr>
    </w:p>
    <w:p w14:paraId="65341940">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60"/>
          <w:szCs w:val="60"/>
          <w:highlight w:val="none"/>
        </w:rPr>
        <w:t>核磁共振维保服务采购项目</w:t>
      </w:r>
    </w:p>
    <w:p w14:paraId="18CF0CCF">
      <w:pPr>
        <w:spacing w:line="780" w:lineRule="auto"/>
        <w:jc w:val="center"/>
        <w:rPr>
          <w:rFonts w:hint="eastAsia" w:ascii="宋体" w:hAnsi="宋体" w:eastAsia="宋体" w:cs="宋体"/>
          <w:b/>
          <w:color w:val="auto"/>
          <w:sz w:val="72"/>
          <w:szCs w:val="72"/>
          <w:highlight w:val="none"/>
        </w:rPr>
      </w:pPr>
    </w:p>
    <w:p w14:paraId="4FCA590B">
      <w:pPr>
        <w:spacing w:line="78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1BD4BE94">
      <w:pPr>
        <w:rPr>
          <w:rFonts w:hint="eastAsia" w:ascii="宋体" w:hAnsi="宋体" w:eastAsia="宋体" w:cs="宋体"/>
          <w:color w:val="auto"/>
          <w:highlight w:val="none"/>
        </w:rPr>
      </w:pPr>
      <w:bookmarkStart w:id="0" w:name="_Toc363463325"/>
    </w:p>
    <w:p w14:paraId="6F0C6E61">
      <w:pPr>
        <w:rPr>
          <w:rFonts w:hint="eastAsia" w:ascii="宋体" w:hAnsi="宋体" w:eastAsia="宋体" w:cs="宋体"/>
          <w:color w:val="auto"/>
          <w:highlight w:val="none"/>
        </w:rPr>
      </w:pPr>
    </w:p>
    <w:p w14:paraId="0BBDECD9">
      <w:pPr>
        <w:rPr>
          <w:rFonts w:hint="eastAsia" w:ascii="宋体" w:hAnsi="宋体" w:eastAsia="宋体" w:cs="宋体"/>
          <w:color w:val="auto"/>
          <w:highlight w:val="none"/>
        </w:rPr>
      </w:pPr>
    </w:p>
    <w:bookmarkEnd w:id="0"/>
    <w:p w14:paraId="3BD2D18F">
      <w:pPr>
        <w:rPr>
          <w:rFonts w:hint="eastAsia" w:ascii="宋体" w:hAnsi="宋体" w:eastAsia="宋体" w:cs="宋体"/>
          <w:color w:val="auto"/>
          <w:sz w:val="18"/>
          <w:szCs w:val="18"/>
          <w:highlight w:val="none"/>
        </w:rPr>
      </w:pPr>
    </w:p>
    <w:p w14:paraId="547AF726">
      <w:pPr>
        <w:jc w:val="center"/>
        <w:rPr>
          <w:rFonts w:hint="eastAsia" w:ascii="宋体" w:hAnsi="宋体" w:eastAsia="宋体" w:cs="宋体"/>
          <w:b/>
          <w:bCs/>
          <w:color w:val="auto"/>
          <w:sz w:val="32"/>
          <w:szCs w:val="32"/>
          <w:highlight w:val="none"/>
        </w:rPr>
      </w:pPr>
    </w:p>
    <w:p w14:paraId="69D714D1">
      <w:pPr>
        <w:jc w:val="center"/>
        <w:rPr>
          <w:rFonts w:hint="eastAsia" w:ascii="宋体" w:hAnsi="宋体" w:eastAsia="宋体" w:cs="宋体"/>
          <w:b/>
          <w:bCs/>
          <w:color w:val="auto"/>
          <w:sz w:val="32"/>
          <w:szCs w:val="32"/>
          <w:highlight w:val="none"/>
        </w:rPr>
      </w:pPr>
    </w:p>
    <w:p w14:paraId="40BFDCDC">
      <w:pPr>
        <w:jc w:val="center"/>
        <w:rPr>
          <w:rFonts w:hint="eastAsia" w:ascii="宋体" w:hAnsi="宋体" w:eastAsia="宋体" w:cs="宋体"/>
          <w:b/>
          <w:bCs/>
          <w:color w:val="auto"/>
          <w:sz w:val="32"/>
          <w:szCs w:val="32"/>
          <w:highlight w:val="none"/>
        </w:rPr>
      </w:pPr>
    </w:p>
    <w:p w14:paraId="2EF8E5A3">
      <w:pPr>
        <w:pStyle w:val="10"/>
        <w:rPr>
          <w:rFonts w:hint="eastAsia"/>
          <w:color w:val="auto"/>
          <w:highlight w:val="none"/>
        </w:rPr>
      </w:pPr>
    </w:p>
    <w:p w14:paraId="4563C2F9">
      <w:pPr>
        <w:jc w:val="center"/>
        <w:rPr>
          <w:rFonts w:hint="eastAsia" w:hAnsi="宋体" w:cs="宋体"/>
          <w:b/>
          <w:bCs/>
          <w:color w:val="auto"/>
          <w:sz w:val="32"/>
          <w:szCs w:val="32"/>
          <w:highlight w:val="none"/>
          <w:lang w:eastAsia="zh-CN"/>
        </w:rPr>
      </w:pPr>
    </w:p>
    <w:p w14:paraId="12454847">
      <w:pPr>
        <w:jc w:val="center"/>
        <w:rPr>
          <w:rFonts w:hint="eastAsia" w:ascii="宋体" w:hAnsi="宋体" w:eastAsia="宋体" w:cs="宋体"/>
          <w:b/>
          <w:bCs/>
          <w:color w:val="auto"/>
          <w:sz w:val="32"/>
          <w:szCs w:val="32"/>
          <w:highlight w:val="none"/>
          <w:lang w:eastAsia="zh-CN"/>
        </w:rPr>
      </w:pPr>
      <w:r>
        <w:rPr>
          <w:rFonts w:hint="eastAsia" w:hAnsi="宋体" w:cs="宋体"/>
          <w:b/>
          <w:bCs/>
          <w:color w:val="auto"/>
          <w:sz w:val="32"/>
          <w:szCs w:val="32"/>
          <w:highlight w:val="none"/>
          <w:lang w:eastAsia="zh-CN"/>
        </w:rPr>
        <w:t>陕西至诚项目管理集团有限公司</w:t>
      </w:r>
    </w:p>
    <w:p w14:paraId="57B4FDE8">
      <w:pPr>
        <w:pStyle w:val="11"/>
        <w:jc w:val="center"/>
        <w:rPr>
          <w:rFonts w:hint="eastAsia" w:ascii="宋体" w:hAnsi="宋体" w:eastAsia="宋体" w:cs="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color w:val="auto"/>
          <w:sz w:val="32"/>
          <w:szCs w:val="32"/>
          <w:highlight w:val="none"/>
        </w:rPr>
        <w:t>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十二</w:t>
      </w:r>
      <w:r>
        <w:rPr>
          <w:rFonts w:hint="eastAsia" w:ascii="宋体" w:hAnsi="宋体" w:eastAsia="宋体" w:cs="宋体"/>
          <w:b/>
          <w:bCs/>
          <w:color w:val="auto"/>
          <w:sz w:val="32"/>
          <w:szCs w:val="32"/>
          <w:highlight w:val="none"/>
        </w:rPr>
        <w:t>月</w:t>
      </w:r>
    </w:p>
    <w:p w14:paraId="67A33B03">
      <w:pPr>
        <w:rPr>
          <w:rFonts w:hint="eastAsia" w:ascii="宋体" w:hAnsi="宋体" w:eastAsia="宋体" w:cs="宋体"/>
          <w:color w:val="auto"/>
          <w:highlight w:val="none"/>
        </w:rPr>
      </w:pPr>
    </w:p>
    <w:p w14:paraId="02AC02D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sdt>
      <w:sdtPr>
        <w:rPr>
          <w:rFonts w:ascii="宋体" w:hAnsi="宋体" w:eastAsia="宋体" w:cs="Times New Roman"/>
          <w:color w:val="auto"/>
          <w:sz w:val="21"/>
          <w:highlight w:val="none"/>
          <w:lang w:val="en-US" w:eastAsia="zh-CN" w:bidi="ar-SA"/>
        </w:rPr>
        <w:id w:val="147450925"/>
        <w15:color w:val="DBDBDB"/>
        <w:docPartObj>
          <w:docPartGallery w:val="Table of Contents"/>
          <w:docPartUnique/>
        </w:docPartObj>
      </w:sdtPr>
      <w:sdtEndPr>
        <w:rPr>
          <w:rFonts w:hint="eastAsia" w:ascii="宋体" w:hAnsi="宋体" w:eastAsia="宋体" w:cs="宋体"/>
          <w:bCs/>
          <w:color w:val="auto"/>
          <w:sz w:val="24"/>
          <w:szCs w:val="36"/>
          <w:highlight w:val="none"/>
          <w:lang w:val="en-US" w:eastAsia="zh-CN" w:bidi="ar-SA"/>
        </w:rPr>
      </w:sdtEndPr>
      <w:sdtContent>
        <w:p w14:paraId="4152797D">
          <w:pPr>
            <w:spacing w:before="0" w:beforeLines="0" w:after="0" w:afterLines="0" w:line="240" w:lineRule="auto"/>
            <w:ind w:left="0" w:leftChars="0" w:right="0" w:rightChars="0" w:firstLine="0" w:firstLineChars="0"/>
            <w:jc w:val="center"/>
            <w:rPr>
              <w:color w:val="auto"/>
              <w:highlight w:val="none"/>
            </w:rPr>
          </w:pPr>
          <w:bookmarkStart w:id="1" w:name="_Toc389582033"/>
          <w:bookmarkStart w:id="2" w:name="_Toc20652"/>
          <w:bookmarkStart w:id="3" w:name="_Toc5293"/>
          <w:bookmarkStart w:id="4" w:name="_Toc16218"/>
          <w:bookmarkStart w:id="5" w:name="_Toc21518"/>
          <w:bookmarkStart w:id="6" w:name="_Toc20858"/>
          <w:bookmarkStart w:id="7" w:name="_Toc19886"/>
          <w:bookmarkStart w:id="8" w:name="_Toc27420"/>
          <w:bookmarkStart w:id="9" w:name="_Toc363474016"/>
          <w:bookmarkStart w:id="10" w:name="_Toc403077638"/>
          <w:bookmarkStart w:id="11" w:name="_Toc363473971"/>
        </w:p>
        <w:p w14:paraId="10C523AE">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40"/>
              <w:szCs w:val="40"/>
              <w:highlight w:val="none"/>
            </w:rPr>
            <w:fldChar w:fldCharType="begin"/>
          </w:r>
          <w:r>
            <w:rPr>
              <w:rFonts w:hint="eastAsia" w:ascii="宋体" w:hAnsi="宋体" w:eastAsia="宋体" w:cs="宋体"/>
              <w:bCs/>
              <w:color w:val="auto"/>
              <w:sz w:val="40"/>
              <w:szCs w:val="40"/>
              <w:highlight w:val="none"/>
            </w:rPr>
            <w:instrText xml:space="preserve">TOC \o "1-3" \h \u </w:instrText>
          </w:r>
          <w:r>
            <w:rPr>
              <w:rFonts w:hint="eastAsia" w:ascii="宋体" w:hAnsi="宋体" w:eastAsia="宋体" w:cs="宋体"/>
              <w:bCs/>
              <w:color w:val="auto"/>
              <w:sz w:val="40"/>
              <w:szCs w:val="40"/>
              <w:highlight w:val="none"/>
            </w:rPr>
            <w:fldChar w:fldCharType="separate"/>
          </w: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_Toc30717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sz w:val="28"/>
              <w:szCs w:val="40"/>
              <w:highlight w:val="none"/>
            </w:rPr>
            <w:t>第一章  竞争性磋商公告</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_Toc30717 \h </w:instrText>
          </w:r>
          <w:r>
            <w:rPr>
              <w:color w:val="auto"/>
              <w:sz w:val="28"/>
              <w:szCs w:val="21"/>
              <w:highlight w:val="none"/>
            </w:rPr>
            <w:fldChar w:fldCharType="separate"/>
          </w:r>
          <w:r>
            <w:rPr>
              <w:color w:val="auto"/>
              <w:sz w:val="28"/>
              <w:szCs w:val="21"/>
              <w:highlight w:val="none"/>
            </w:rPr>
            <w:t>2</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234A6C23">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_Toc4831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kern w:val="2"/>
              <w:sz w:val="28"/>
              <w:szCs w:val="40"/>
              <w:highlight w:val="none"/>
            </w:rPr>
            <w:t>第二章  供应商须知</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_Toc4831 \h </w:instrText>
          </w:r>
          <w:r>
            <w:rPr>
              <w:color w:val="auto"/>
              <w:sz w:val="28"/>
              <w:szCs w:val="21"/>
              <w:highlight w:val="none"/>
            </w:rPr>
            <w:fldChar w:fldCharType="separate"/>
          </w:r>
          <w:r>
            <w:rPr>
              <w:color w:val="auto"/>
              <w:sz w:val="28"/>
              <w:szCs w:val="21"/>
              <w:highlight w:val="none"/>
            </w:rPr>
            <w:t>6</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0463A7B4">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_Toc22398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color w:val="auto"/>
              <w:sz w:val="28"/>
              <w:szCs w:val="21"/>
              <w:highlight w:val="none"/>
            </w:rPr>
            <w:t xml:space="preserve">第三章 </w:t>
          </w:r>
          <w:r>
            <w:rPr>
              <w:rFonts w:hint="eastAsia" w:hAnsi="宋体" w:cs="宋体"/>
              <w:color w:val="auto"/>
              <w:sz w:val="28"/>
              <w:szCs w:val="21"/>
              <w:highlight w:val="none"/>
              <w:lang w:val="en-US" w:eastAsia="zh-CN"/>
            </w:rPr>
            <w:t xml:space="preserve"> </w:t>
          </w:r>
          <w:r>
            <w:rPr>
              <w:rFonts w:hint="eastAsia" w:ascii="宋体" w:hAnsi="宋体" w:eastAsia="宋体" w:cs="宋体"/>
              <w:bCs/>
              <w:color w:val="auto"/>
              <w:sz w:val="28"/>
              <w:szCs w:val="40"/>
              <w:highlight w:val="none"/>
            </w:rPr>
            <w:t>评审方法</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_Toc22398 \h </w:instrText>
          </w:r>
          <w:r>
            <w:rPr>
              <w:color w:val="auto"/>
              <w:sz w:val="28"/>
              <w:szCs w:val="21"/>
              <w:highlight w:val="none"/>
            </w:rPr>
            <w:fldChar w:fldCharType="separate"/>
          </w:r>
          <w:r>
            <w:rPr>
              <w:color w:val="auto"/>
              <w:sz w:val="28"/>
              <w:szCs w:val="21"/>
              <w:highlight w:val="none"/>
            </w:rPr>
            <w:t>25</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468805D2">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_Toc11680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sz w:val="28"/>
              <w:szCs w:val="40"/>
              <w:highlight w:val="none"/>
            </w:rPr>
            <w:t>第四章</w:t>
          </w:r>
          <w:r>
            <w:rPr>
              <w:rFonts w:hint="eastAsia" w:ascii="宋体" w:hAnsi="宋体" w:eastAsia="宋体" w:cs="宋体"/>
              <w:bCs/>
              <w:color w:val="auto"/>
              <w:sz w:val="28"/>
              <w:szCs w:val="40"/>
              <w:highlight w:val="none"/>
              <w:lang w:val="en-US" w:eastAsia="zh-CN"/>
            </w:rPr>
            <w:t xml:space="preserve">  </w:t>
          </w:r>
          <w:r>
            <w:rPr>
              <w:rFonts w:hint="eastAsia" w:ascii="宋体" w:hAnsi="宋体" w:eastAsia="宋体" w:cs="宋体"/>
              <w:bCs/>
              <w:color w:val="auto"/>
              <w:sz w:val="28"/>
              <w:szCs w:val="40"/>
              <w:highlight w:val="none"/>
            </w:rPr>
            <w:t>合同条款及格式</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_Toc11680 \h </w:instrText>
          </w:r>
          <w:r>
            <w:rPr>
              <w:color w:val="auto"/>
              <w:sz w:val="28"/>
              <w:szCs w:val="21"/>
              <w:highlight w:val="none"/>
            </w:rPr>
            <w:fldChar w:fldCharType="separate"/>
          </w:r>
          <w:r>
            <w:rPr>
              <w:color w:val="auto"/>
              <w:sz w:val="28"/>
              <w:szCs w:val="21"/>
              <w:highlight w:val="none"/>
            </w:rPr>
            <w:t>31</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672F86F8">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_Toc24914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sz w:val="28"/>
              <w:szCs w:val="40"/>
              <w:highlight w:val="none"/>
            </w:rPr>
            <w:t xml:space="preserve">第五章 </w:t>
          </w:r>
          <w:r>
            <w:rPr>
              <w:rFonts w:hint="eastAsia" w:ascii="宋体" w:hAnsi="宋体" w:eastAsia="宋体" w:cs="宋体"/>
              <w:bCs/>
              <w:color w:val="auto"/>
              <w:sz w:val="28"/>
              <w:szCs w:val="40"/>
              <w:highlight w:val="none"/>
              <w:lang w:val="en-US" w:eastAsia="zh-CN"/>
            </w:rPr>
            <w:t xml:space="preserve"> </w:t>
          </w:r>
          <w:r>
            <w:rPr>
              <w:rFonts w:hint="eastAsia" w:ascii="宋体" w:hAnsi="宋体" w:eastAsia="宋体" w:cs="宋体"/>
              <w:bCs/>
              <w:color w:val="auto"/>
              <w:sz w:val="28"/>
              <w:szCs w:val="40"/>
              <w:highlight w:val="none"/>
            </w:rPr>
            <w:t>磋商内容及技术要求</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_Toc24914 \h </w:instrText>
          </w:r>
          <w:r>
            <w:rPr>
              <w:color w:val="auto"/>
              <w:sz w:val="28"/>
              <w:szCs w:val="21"/>
              <w:highlight w:val="none"/>
            </w:rPr>
            <w:fldChar w:fldCharType="separate"/>
          </w:r>
          <w:r>
            <w:rPr>
              <w:color w:val="auto"/>
              <w:sz w:val="28"/>
              <w:szCs w:val="21"/>
              <w:highlight w:val="none"/>
            </w:rPr>
            <w:t>41</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08EA58EF">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_Toc2750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color w:val="auto"/>
              <w:sz w:val="28"/>
              <w:szCs w:val="22"/>
              <w:highlight w:val="none"/>
            </w:rPr>
            <w:t xml:space="preserve">第六章 </w:t>
          </w:r>
          <w:r>
            <w:rPr>
              <w:rFonts w:hint="eastAsia" w:asci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竞争性磋商响应文件格式</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_Toc2750 \h </w:instrText>
          </w:r>
          <w:r>
            <w:rPr>
              <w:color w:val="auto"/>
              <w:sz w:val="28"/>
              <w:szCs w:val="21"/>
              <w:highlight w:val="none"/>
            </w:rPr>
            <w:fldChar w:fldCharType="separate"/>
          </w:r>
          <w:r>
            <w:rPr>
              <w:color w:val="auto"/>
              <w:sz w:val="28"/>
              <w:szCs w:val="21"/>
              <w:highlight w:val="none"/>
            </w:rPr>
            <w:t>43</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37645FCD">
          <w:pPr>
            <w:pStyle w:val="1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40"/>
              <w:highlight w:val="none"/>
            </w:rPr>
            <w:fldChar w:fldCharType="end"/>
          </w:r>
        </w:p>
      </w:sdtContent>
    </w:sdt>
    <w:p w14:paraId="3EB86F3B">
      <w:pPr>
        <w:pStyle w:val="2"/>
        <w:spacing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rtlGutter w:val="0"/>
          <w:docGrid w:type="lines" w:linePitch="312" w:charSpace="0"/>
        </w:sectPr>
      </w:pPr>
    </w:p>
    <w:p w14:paraId="4BE793FD">
      <w:pPr>
        <w:pStyle w:val="2"/>
        <w:keepNext w:val="0"/>
        <w:keepLines/>
        <w:pageBreakBefore/>
        <w:spacing w:beforeLines="50" w:afterLines="50" w:line="360" w:lineRule="auto"/>
        <w:jc w:val="center"/>
        <w:outlineLvl w:val="0"/>
        <w:rPr>
          <w:rFonts w:hint="eastAsia" w:ascii="宋体" w:hAnsi="宋体" w:eastAsia="宋体" w:cs="宋体"/>
          <w:bCs/>
          <w:color w:val="auto"/>
          <w:sz w:val="36"/>
          <w:szCs w:val="36"/>
          <w:highlight w:val="none"/>
        </w:rPr>
      </w:pPr>
      <w:bookmarkStart w:id="12" w:name="_Toc2705"/>
      <w:bookmarkStart w:id="13" w:name="_Toc25782"/>
      <w:bookmarkStart w:id="14" w:name="_Toc423973071"/>
      <w:bookmarkStart w:id="15" w:name="_Toc30717"/>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bookmarkEnd w:id="14"/>
      <w:bookmarkEnd w:id="15"/>
    </w:p>
    <w:p w14:paraId="3A3FBF3A">
      <w:pPr>
        <w:spacing w:line="500" w:lineRule="exact"/>
        <w:rPr>
          <w:rFonts w:hint="eastAsia" w:ascii="宋体" w:hAnsi="宋体" w:eastAsia="宋体" w:cs="宋体"/>
          <w:b/>
          <w:bCs/>
          <w:color w:val="auto"/>
          <w:szCs w:val="24"/>
          <w:highlight w:val="none"/>
        </w:rPr>
      </w:pPr>
      <w:bookmarkStart w:id="16" w:name="_Toc2929"/>
      <w:bookmarkStart w:id="17" w:name="_Toc389582035"/>
      <w:bookmarkStart w:id="18" w:name="_Toc423973072"/>
      <w:bookmarkStart w:id="19" w:name="_Toc29249"/>
      <w:r>
        <w:rPr>
          <w:rFonts w:hint="eastAsia" w:ascii="宋体" w:hAnsi="宋体" w:eastAsia="宋体" w:cs="宋体"/>
          <w:b/>
          <w:bCs/>
          <w:color w:val="auto"/>
          <w:szCs w:val="24"/>
          <w:highlight w:val="none"/>
        </w:rPr>
        <w:t>项目概况</w:t>
      </w:r>
    </w:p>
    <w:p w14:paraId="730E685D">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核磁共振维保服务采购项目采购项目的潜在供应商应在陕西省商洛市镇安县西关桂花路11楼获取采购文件，并于2025年12月19日 14时00分（北京时间）前提交响应文件。</w:t>
      </w:r>
    </w:p>
    <w:p w14:paraId="20341B77">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一、项目基本情况</w:t>
      </w:r>
    </w:p>
    <w:p w14:paraId="7BAF8915">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项目编号：SXZCZB2025-ZCCS-1211</w:t>
      </w:r>
    </w:p>
    <w:p w14:paraId="69481147">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项目名称：核磁共振维保服务采购项目</w:t>
      </w:r>
    </w:p>
    <w:p w14:paraId="11989FC2">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采购方式：竞争性磋商</w:t>
      </w:r>
    </w:p>
    <w:p w14:paraId="5B049C6D">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预算金额：410,000.00元</w:t>
      </w:r>
    </w:p>
    <w:p w14:paraId="1CA893AE">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采购需求：</w:t>
      </w:r>
    </w:p>
    <w:p w14:paraId="1A27120D">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合同包1(核磁共振维保服务采购项目):</w:t>
      </w:r>
    </w:p>
    <w:p w14:paraId="6E3C8029">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合同包预算金额：410,000.00元</w:t>
      </w:r>
    </w:p>
    <w:p w14:paraId="5AC5CC06">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合同包最高限价：410,000.00元</w:t>
      </w:r>
    </w:p>
    <w:tbl>
      <w:tblPr>
        <w:tblStyle w:val="22"/>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4"/>
        <w:gridCol w:w="1584"/>
        <w:gridCol w:w="1585"/>
        <w:gridCol w:w="1585"/>
        <w:gridCol w:w="1585"/>
        <w:gridCol w:w="1585"/>
      </w:tblGrid>
      <w:tr w14:paraId="62582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Align w:val="center"/>
          </w:tcPr>
          <w:p w14:paraId="7080A891">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833" w:type="pct"/>
            <w:vAlign w:val="center"/>
          </w:tcPr>
          <w:p w14:paraId="39DF301F">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品目名称</w:t>
            </w:r>
          </w:p>
        </w:tc>
        <w:tc>
          <w:tcPr>
            <w:tcW w:w="833" w:type="pct"/>
            <w:vAlign w:val="center"/>
          </w:tcPr>
          <w:p w14:paraId="2FCD7C2E">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采购标的</w:t>
            </w:r>
          </w:p>
        </w:tc>
        <w:tc>
          <w:tcPr>
            <w:tcW w:w="833" w:type="pct"/>
            <w:vAlign w:val="center"/>
          </w:tcPr>
          <w:p w14:paraId="3D89FBAE">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数量（单位）</w:t>
            </w:r>
          </w:p>
        </w:tc>
        <w:tc>
          <w:tcPr>
            <w:tcW w:w="833" w:type="pct"/>
            <w:vAlign w:val="center"/>
          </w:tcPr>
          <w:p w14:paraId="52EDA734">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技术规格、参数及要求</w:t>
            </w:r>
          </w:p>
        </w:tc>
        <w:tc>
          <w:tcPr>
            <w:tcW w:w="833" w:type="pct"/>
            <w:vAlign w:val="center"/>
          </w:tcPr>
          <w:p w14:paraId="2FA52FAC">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品目预算(元)</w:t>
            </w:r>
          </w:p>
        </w:tc>
      </w:tr>
      <w:tr w14:paraId="2CF1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Align w:val="center"/>
          </w:tcPr>
          <w:p w14:paraId="23BFC45D">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833" w:type="pct"/>
            <w:vAlign w:val="center"/>
          </w:tcPr>
          <w:p w14:paraId="1697FEE1">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其他专业技术服务</w:t>
            </w:r>
          </w:p>
        </w:tc>
        <w:tc>
          <w:tcPr>
            <w:tcW w:w="833" w:type="pct"/>
            <w:vAlign w:val="center"/>
          </w:tcPr>
          <w:p w14:paraId="53A7B00A">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奥泰1.5T超导核磁共振成像系统全保维修保养服务</w:t>
            </w:r>
          </w:p>
        </w:tc>
        <w:tc>
          <w:tcPr>
            <w:tcW w:w="833" w:type="pct"/>
            <w:vAlign w:val="center"/>
          </w:tcPr>
          <w:p w14:paraId="4B3929B9">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1(年)</w:t>
            </w:r>
          </w:p>
        </w:tc>
        <w:tc>
          <w:tcPr>
            <w:tcW w:w="833" w:type="pct"/>
            <w:vAlign w:val="center"/>
          </w:tcPr>
          <w:p w14:paraId="31959759">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详见采购文件</w:t>
            </w:r>
          </w:p>
        </w:tc>
        <w:tc>
          <w:tcPr>
            <w:tcW w:w="833" w:type="pct"/>
            <w:vAlign w:val="center"/>
          </w:tcPr>
          <w:p w14:paraId="39C91EEB">
            <w:pPr>
              <w:pStyle w:val="3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410,000.00</w:t>
            </w:r>
          </w:p>
        </w:tc>
      </w:tr>
    </w:tbl>
    <w:p w14:paraId="5DC89A7C">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本合同包不接受联合体投标</w:t>
      </w:r>
    </w:p>
    <w:p w14:paraId="33C287C2">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合同履行期限：详见磋商文件</w:t>
      </w:r>
    </w:p>
    <w:p w14:paraId="6B7ABB72">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二、申请人的资格要求：</w:t>
      </w:r>
    </w:p>
    <w:p w14:paraId="44498DD8">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1.满足《中华人民共和国政府采购法》第二十二条规定;</w:t>
      </w:r>
    </w:p>
    <w:p w14:paraId="61B66E65">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2.落实政府采购政策需满足的资格要求：</w:t>
      </w:r>
    </w:p>
    <w:p w14:paraId="7FC35949">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合同包1(核磁共振维保服务采购项目)落实政府采购政策需满足的资格要求如下:</w:t>
      </w:r>
    </w:p>
    <w:p w14:paraId="255C9D4A">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44DA9A5B">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3.本项目的特定资格要求：</w:t>
      </w:r>
    </w:p>
    <w:p w14:paraId="286D4088">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合同包1(核磁共振维保服务采购项目)特定资格要求如下:</w:t>
      </w:r>
    </w:p>
    <w:p w14:paraId="784E8AA3">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1、提供合格有效的法人或者其他组织的营业执照等证明文件，自然人的身份证明；</w:t>
      </w:r>
    </w:p>
    <w:p w14:paraId="6241252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2、提供法定代表人授权书（附法定代表人、被授权人身份证复印件）及被授权人身份证原件（法定代表人直接参加磋商，须提供法定代表人身份证明及身份证原件）；</w:t>
      </w:r>
    </w:p>
    <w:p w14:paraId="67A815C0">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05713E7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4、税收缴纳证明：提供磋商截止日前一年内已缴纳的至少一个月的纳税证明或完税证明（任意税种），依法免税的单位应提供相关证明材料；</w:t>
      </w:r>
    </w:p>
    <w:p w14:paraId="6035CE8C">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0B0714DA">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6、供应商须具备医疗器械经营许可证或医疗器械备案凭证；</w:t>
      </w:r>
    </w:p>
    <w:p w14:paraId="5928A52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7、提供具有履行本合同所必需的设备和专业技术能力的说明及承诺书；</w:t>
      </w:r>
    </w:p>
    <w:p w14:paraId="133FEBA3">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8、供应商应通过“信用中国”网站(www.creditchina.gov.cn)、中国政府采购网(www.ccgp.gov.cn)查询相关主体信用记录；</w:t>
      </w:r>
    </w:p>
    <w:p w14:paraId="12291B80">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9、参加政府采购活动前3年内，在经营活动中没有重大违法记录的书面声明；</w:t>
      </w:r>
    </w:p>
    <w:p w14:paraId="166B04CB">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10、供应商须提供中小企业声明函；</w:t>
      </w:r>
    </w:p>
    <w:p w14:paraId="73C84FD5">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11、本项目不接受联合体磋商。</w:t>
      </w:r>
    </w:p>
    <w:p w14:paraId="4F86BCA0">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三、获取采购文件</w:t>
      </w:r>
    </w:p>
    <w:p w14:paraId="7ABC88A9">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时间：2025年12月09日至2025年12月15日，每天上午09:00:00至12:00:00，下午14:00:00至17:00:00（北京时间）</w:t>
      </w:r>
    </w:p>
    <w:p w14:paraId="5F021902">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途径：陕西省商洛市镇安县西关桂花路11楼</w:t>
      </w:r>
    </w:p>
    <w:p w14:paraId="2C0134F9">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方式：现场获取</w:t>
      </w:r>
    </w:p>
    <w:p w14:paraId="06B5D615">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售价： 0元</w:t>
      </w:r>
    </w:p>
    <w:p w14:paraId="40018029">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四、响应文件提交</w:t>
      </w:r>
    </w:p>
    <w:p w14:paraId="02CFE93A">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截止时间：2025年12月19日14时00分00秒（北京时间）</w:t>
      </w:r>
    </w:p>
    <w:p w14:paraId="66121CCE">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地点：陕西省西安市经济技术开发区未央路171-1号银池道拉斯财富中心21楼03室</w:t>
      </w:r>
    </w:p>
    <w:p w14:paraId="308BFB0F">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五、开启</w:t>
      </w:r>
    </w:p>
    <w:p w14:paraId="2F7CF10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时间：2025年12月19日14时00分00秒（北京时间）</w:t>
      </w:r>
    </w:p>
    <w:p w14:paraId="727EB77C">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地点：陕西省西安市经济技术开发区未央路171-1号银池道拉斯财富中心21楼03室</w:t>
      </w:r>
    </w:p>
    <w:p w14:paraId="14736ECA">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六、公告期限</w:t>
      </w:r>
    </w:p>
    <w:p w14:paraId="40358B47">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自本公告发布之日起3个工作日。</w:t>
      </w:r>
    </w:p>
    <w:p w14:paraId="1914F1C8">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p>
    <w:p w14:paraId="56B0E152">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七、其他补充事宜</w:t>
      </w:r>
    </w:p>
    <w:p w14:paraId="2E0DB9D7">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领取采购文件时，请携带①单位介绍信（加盖公章）；②经办人身份证原件及复印件（复印件加盖公章）；③报名供应商为经办人缴纳的社保证明材料（提供磋商截止日前三个月内任意一个月的缴纳证明复印件加盖公章）；④报名供应商营业执照原件；⑤报名供应商医疗器械经营许可证或医疗器械备案凭证原件；</w:t>
      </w:r>
    </w:p>
    <w:p w14:paraId="04504DC2">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（2）请供应商按照《陕西省财政厅关于政府采购供应商注册登记有关事项的通知》中的要求，通过陕西省政府采购网（http://www.ccgp-shaanxi.gov.cn/）注册登记加入陕西省政府采购供应商库；</w:t>
      </w:r>
    </w:p>
    <w:p w14:paraId="27BE1578">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（3）本项目为专门面向中小企业采购。</w:t>
      </w:r>
    </w:p>
    <w:p w14:paraId="55A88D06">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八、对本次招标提出询问，请按以下方式联系。</w:t>
      </w:r>
    </w:p>
    <w:p w14:paraId="480D6546">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1.采购人信息</w:t>
      </w:r>
    </w:p>
    <w:p w14:paraId="47838FDB">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名称：镇安县中医医院</w:t>
      </w:r>
    </w:p>
    <w:p w14:paraId="0D52E617">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地址：陕西省商洛市镇安县县城迎宾路中段</w:t>
      </w:r>
    </w:p>
    <w:p w14:paraId="682AB71E">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联系方式：0914-5360166</w:t>
      </w:r>
    </w:p>
    <w:p w14:paraId="146CB0CE">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2.采购代理机构信息</w:t>
      </w:r>
    </w:p>
    <w:p w14:paraId="10C05BB8">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名称：陕西至诚项目管理集团有限公司</w:t>
      </w:r>
    </w:p>
    <w:p w14:paraId="3FBF2D0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地址：陕西省西安市经济技术开发区未央路171-1号银池道拉斯财富中心21楼</w:t>
      </w:r>
    </w:p>
    <w:p w14:paraId="21BF8913">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联系方式：029-88219779</w:t>
      </w:r>
    </w:p>
    <w:p w14:paraId="66511BD6">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3.项目联系方式</w:t>
      </w:r>
    </w:p>
    <w:p w14:paraId="06F153E5">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项目联系人：康乐、孙洋、常瑛</w:t>
      </w:r>
    </w:p>
    <w:p w14:paraId="27500494">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电话：029-88219779</w:t>
      </w:r>
    </w:p>
    <w:p w14:paraId="3B1BB78B">
      <w:pPr>
        <w:spacing w:line="500" w:lineRule="exact"/>
        <w:ind w:firstLine="520" w:firstLineChars="217"/>
        <w:rPr>
          <w:rFonts w:hint="eastAsia" w:ascii="宋体" w:hAnsi="宋体" w:eastAsia="宋体" w:cs="宋体"/>
          <w:color w:val="auto"/>
          <w:szCs w:val="24"/>
          <w:highlight w:val="none"/>
        </w:rPr>
      </w:pPr>
    </w:p>
    <w:p w14:paraId="3C321B49">
      <w:pPr>
        <w:spacing w:line="500" w:lineRule="exact"/>
        <w:ind w:firstLine="520" w:firstLineChars="217"/>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陕西至诚项目管理集团有限公司</w:t>
      </w:r>
    </w:p>
    <w:p w14:paraId="6ECAB8E3">
      <w:pPr>
        <w:spacing w:line="500" w:lineRule="exact"/>
        <w:ind w:firstLine="520" w:firstLineChars="217"/>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2025年12月08日</w:t>
      </w:r>
    </w:p>
    <w:p w14:paraId="00236393">
      <w:pP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B4269C">
      <w:pPr>
        <w:spacing w:line="348" w:lineRule="auto"/>
        <w:ind w:right="119"/>
        <w:jc w:val="center"/>
        <w:outlineLvl w:val="0"/>
        <w:rPr>
          <w:rFonts w:hint="eastAsia" w:ascii="宋体" w:hAnsi="宋体" w:eastAsia="宋体" w:cs="宋体"/>
          <w:bCs/>
          <w:color w:val="auto"/>
          <w:sz w:val="36"/>
          <w:szCs w:val="36"/>
          <w:highlight w:val="none"/>
        </w:rPr>
      </w:pPr>
      <w:bookmarkStart w:id="20" w:name="_Toc3334"/>
      <w:bookmarkStart w:id="21" w:name="_Toc4831"/>
      <w:bookmarkStart w:id="22" w:name="_Toc14793"/>
      <w:r>
        <w:rPr>
          <w:rFonts w:hint="eastAsia" w:ascii="宋体" w:hAnsi="宋体" w:eastAsia="宋体" w:cs="宋体"/>
          <w:b/>
          <w:bCs/>
          <w:color w:val="auto"/>
          <w:kern w:val="2"/>
          <w:sz w:val="36"/>
          <w:szCs w:val="36"/>
          <w:highlight w:val="none"/>
        </w:rPr>
        <w:t xml:space="preserve">第二章  </w:t>
      </w:r>
      <w:bookmarkEnd w:id="16"/>
      <w:bookmarkEnd w:id="17"/>
      <w:bookmarkStart w:id="23" w:name="OLE_LINK3"/>
      <w:r>
        <w:rPr>
          <w:rFonts w:hint="eastAsia" w:ascii="宋体" w:hAnsi="宋体" w:eastAsia="宋体" w:cs="宋体"/>
          <w:b/>
          <w:bCs/>
          <w:color w:val="auto"/>
          <w:kern w:val="2"/>
          <w:sz w:val="36"/>
          <w:szCs w:val="36"/>
          <w:highlight w:val="none"/>
        </w:rPr>
        <w:t>供应商须知</w:t>
      </w:r>
      <w:bookmarkEnd w:id="18"/>
      <w:bookmarkEnd w:id="19"/>
      <w:bookmarkEnd w:id="20"/>
      <w:bookmarkEnd w:id="21"/>
      <w:bookmarkEnd w:id="22"/>
      <w:bookmarkEnd w:id="23"/>
    </w:p>
    <w:p w14:paraId="6292CC8B">
      <w:pPr>
        <w:spacing w:line="440" w:lineRule="exact"/>
        <w:jc w:val="center"/>
        <w:outlineLvl w:val="1"/>
        <w:rPr>
          <w:rFonts w:hint="eastAsia" w:ascii="宋体" w:hAnsi="宋体" w:eastAsia="宋体" w:cs="宋体"/>
          <w:b/>
          <w:bCs/>
          <w:color w:val="auto"/>
          <w:sz w:val="32"/>
          <w:szCs w:val="32"/>
          <w:highlight w:val="none"/>
        </w:rPr>
      </w:pPr>
      <w:bookmarkStart w:id="24" w:name="_Toc8846"/>
      <w:bookmarkStart w:id="25" w:name="_Toc23180"/>
      <w:bookmarkStart w:id="26" w:name="_Toc18299"/>
      <w:bookmarkStart w:id="27" w:name="_Toc16830"/>
      <w:r>
        <w:rPr>
          <w:rFonts w:hint="eastAsia" w:ascii="宋体" w:hAnsi="宋体" w:eastAsia="宋体" w:cs="宋体"/>
          <w:b/>
          <w:bCs/>
          <w:color w:val="auto"/>
          <w:sz w:val="32"/>
          <w:szCs w:val="32"/>
          <w:highlight w:val="none"/>
        </w:rPr>
        <w:t>供应商须知前附表</w:t>
      </w:r>
      <w:bookmarkEnd w:id="24"/>
      <w:bookmarkEnd w:id="25"/>
      <w:bookmarkEnd w:id="26"/>
      <w:bookmarkEnd w:id="27"/>
    </w:p>
    <w:p w14:paraId="6F62A9F4">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0CF1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1EA624B8">
            <w:pPr>
              <w:spacing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14:paraId="6C3D895B">
            <w:pPr>
              <w:spacing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14:paraId="457EC8E0">
            <w:pPr>
              <w:spacing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08007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5A7ED01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14:paraId="1A209D0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14:paraId="05D82662">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hAnsi="宋体" w:cs="宋体"/>
                <w:color w:val="auto"/>
                <w:szCs w:val="24"/>
                <w:highlight w:val="none"/>
                <w:lang w:eastAsia="zh-CN"/>
              </w:rPr>
              <w:t>陕西至诚项目管理集团有限公司</w:t>
            </w:r>
          </w:p>
          <w:p w14:paraId="7E4E0C76">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w:t>
            </w:r>
            <w:r>
              <w:rPr>
                <w:rFonts w:hint="eastAsia" w:hAnsi="宋体" w:cs="宋体"/>
                <w:color w:val="auto"/>
                <w:szCs w:val="24"/>
                <w:highlight w:val="none"/>
                <w:lang w:val="en-US" w:eastAsia="zh-CN"/>
              </w:rPr>
              <w:t>03室</w:t>
            </w:r>
          </w:p>
          <w:p w14:paraId="41C1457D">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hAnsi="宋体" w:cs="宋体"/>
                <w:color w:val="auto"/>
                <w:szCs w:val="24"/>
                <w:highlight w:val="none"/>
                <w:lang w:val="en-US" w:eastAsia="zh-CN"/>
              </w:rPr>
              <w:t>00</w:t>
            </w:r>
          </w:p>
          <w:p w14:paraId="3AA3072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话：029-88219779</w:t>
            </w:r>
          </w:p>
          <w:p w14:paraId="4F9FEA5D">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66A1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3828E58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14:paraId="75F2144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14:paraId="663717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本项目不接受联合体磋商。</w:t>
            </w:r>
          </w:p>
        </w:tc>
      </w:tr>
      <w:tr w14:paraId="56853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1E41C28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14:paraId="50B1452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14:paraId="7387621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不允许提供备选方案。</w:t>
            </w:r>
          </w:p>
        </w:tc>
      </w:tr>
      <w:tr w14:paraId="4CDAA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0A1EF43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14:paraId="4BD6CDE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14:paraId="298F10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5A7E7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4BEA5ACE">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5</w:t>
            </w:r>
          </w:p>
        </w:tc>
        <w:tc>
          <w:tcPr>
            <w:tcW w:w="951" w:type="dxa"/>
            <w:noWrap w:val="0"/>
            <w:vAlign w:val="center"/>
          </w:tcPr>
          <w:p w14:paraId="5DA488BF">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14:paraId="015493DA">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磋商报价：是供应商为完成本项目要求的全部服务内容最终价格的体现。</w:t>
            </w:r>
          </w:p>
          <w:p w14:paraId="0178D085">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09837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34EA026E">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6</w:t>
            </w:r>
          </w:p>
        </w:tc>
        <w:tc>
          <w:tcPr>
            <w:tcW w:w="951" w:type="dxa"/>
            <w:noWrap w:val="0"/>
            <w:vAlign w:val="center"/>
          </w:tcPr>
          <w:p w14:paraId="059A8ED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14:paraId="051E33CE">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特定资格证明文件：</w:t>
            </w:r>
          </w:p>
          <w:p w14:paraId="1125741B">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1、提供合格有效的法人或者其他组织的营业执照等证明文件，自然人的身份证明；</w:t>
            </w:r>
          </w:p>
          <w:p w14:paraId="35DFA05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2、提供法定代表人授权书（附法定代表人、被授权人身份证复印件）及被授权人身份证原件（法定代表人直接参加磋商，须提供法定代表人身份证明及身份证原件）；</w:t>
            </w:r>
          </w:p>
          <w:p w14:paraId="6D1CB774">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5AF63541">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4、税收缴纳证明：提供磋商截止日前一年内已缴纳的至少一个月的纳税证明或完税证明（任意税种），依法免税的单位应提供相关证明材料；</w:t>
            </w:r>
          </w:p>
          <w:p w14:paraId="6FF39020">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0719698">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6、供应商须具备医疗器械经营许可证或医疗器械备案凭证；</w:t>
            </w:r>
          </w:p>
          <w:p w14:paraId="570DE8A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7、提供具有履行本合同所必需的设备和专业技术能力的说明及承诺书；</w:t>
            </w:r>
          </w:p>
          <w:p w14:paraId="183B470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8、供应商应通过“信用中国”网站(www.creditchina.gov.cn)、中国政府采购网(www.ccgp.gov.cn)查询相关主体信用记录；</w:t>
            </w:r>
          </w:p>
          <w:p w14:paraId="61007B41">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9、参加政府采购活动前3年内，在经营活动中没有重大违法记录的书面声明；</w:t>
            </w:r>
          </w:p>
          <w:p w14:paraId="0A26F7AF">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10、供应商须提供中小企业声明函；</w:t>
            </w:r>
          </w:p>
          <w:p w14:paraId="14FEB0ED">
            <w:pPr>
              <w:spacing w:line="500" w:lineRule="exact"/>
              <w:ind w:firstLine="520" w:firstLineChars="217"/>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11、本项目不接受联合体磋商。</w:t>
            </w:r>
          </w:p>
          <w:p w14:paraId="4181EA8A">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以上（1-</w:t>
            </w:r>
            <w:r>
              <w:rPr>
                <w:rFonts w:hint="eastAsia" w:hAnsi="宋体" w:cs="宋体"/>
                <w:b/>
                <w:bCs/>
                <w:color w:val="auto"/>
                <w:szCs w:val="24"/>
                <w:highlight w:val="none"/>
                <w:lang w:val="en-US" w:eastAsia="zh-CN"/>
              </w:rPr>
              <w:t>11</w:t>
            </w:r>
            <w:r>
              <w:rPr>
                <w:rFonts w:hint="eastAsia" w:ascii="宋体" w:hAnsi="宋体" w:eastAsia="宋体" w:cs="宋体"/>
                <w:b/>
                <w:bCs/>
                <w:color w:val="auto"/>
                <w:szCs w:val="24"/>
                <w:highlight w:val="none"/>
              </w:rPr>
              <w:t>）为必备资质，缺一项或某项达不到要求，按无效磋商处理。</w:t>
            </w:r>
          </w:p>
        </w:tc>
      </w:tr>
      <w:tr w14:paraId="41FC7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jc w:val="center"/>
        </w:trPr>
        <w:tc>
          <w:tcPr>
            <w:tcW w:w="592" w:type="dxa"/>
            <w:noWrap w:val="0"/>
            <w:vAlign w:val="center"/>
          </w:tcPr>
          <w:p w14:paraId="6F27660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951" w:type="dxa"/>
            <w:noWrap w:val="0"/>
            <w:vAlign w:val="center"/>
          </w:tcPr>
          <w:p w14:paraId="132628A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top"/>
          </w:tcPr>
          <w:p w14:paraId="27DEE012">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磋商保证金：人民币</w:t>
            </w:r>
            <w:r>
              <w:rPr>
                <w:rFonts w:hint="eastAsia" w:hAnsi="宋体" w:cs="宋体"/>
                <w:b/>
                <w:bCs/>
                <w:color w:val="auto"/>
                <w:szCs w:val="24"/>
                <w:highlight w:val="none"/>
                <w:lang w:val="en-US" w:eastAsia="zh-CN"/>
              </w:rPr>
              <w:t>伍仟元整</w:t>
            </w:r>
            <w:r>
              <w:rPr>
                <w:rFonts w:hint="eastAsia" w:ascii="宋体" w:hAnsi="宋体" w:eastAsia="宋体" w:cs="宋体"/>
                <w:b/>
                <w:bCs/>
                <w:color w:val="auto"/>
                <w:szCs w:val="24"/>
                <w:highlight w:val="none"/>
              </w:rPr>
              <w:t>（￥5000.00元）</w:t>
            </w:r>
          </w:p>
          <w:p w14:paraId="0F29FC2B">
            <w:pPr>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磋商保证金的有效期与</w:t>
            </w:r>
            <w:r>
              <w:rPr>
                <w:rFonts w:hint="eastAsia" w:hAnsi="宋体" w:cs="宋体"/>
                <w:b w:val="0"/>
                <w:bCs w:val="0"/>
                <w:color w:val="auto"/>
                <w:szCs w:val="24"/>
                <w:highlight w:val="none"/>
                <w:lang w:val="en-US" w:eastAsia="zh-CN"/>
              </w:rPr>
              <w:t>投标</w:t>
            </w:r>
            <w:r>
              <w:rPr>
                <w:rFonts w:hint="eastAsia" w:hAnsi="宋体" w:cs="宋体"/>
                <w:b w:val="0"/>
                <w:bCs w:val="0"/>
                <w:color w:val="auto"/>
                <w:szCs w:val="24"/>
                <w:highlight w:val="none"/>
              </w:rPr>
              <w:t>有效期一致。</w:t>
            </w:r>
            <w:r>
              <w:rPr>
                <w:rFonts w:hint="eastAsia" w:hAnsi="宋体" w:cs="宋体"/>
                <w:b w:val="0"/>
                <w:bCs w:val="0"/>
                <w:color w:val="auto"/>
                <w:szCs w:val="22"/>
                <w:highlight w:val="none"/>
              </w:rPr>
              <w:t>担保机构出具的保函的有效期为</w:t>
            </w:r>
            <w:r>
              <w:rPr>
                <w:rFonts w:hint="eastAsia" w:hAnsi="宋体" w:cs="宋体"/>
                <w:b w:val="0"/>
                <w:bCs w:val="0"/>
                <w:color w:val="auto"/>
                <w:szCs w:val="22"/>
                <w:highlight w:val="none"/>
                <w:lang w:val="en-US" w:eastAsia="zh-CN"/>
              </w:rPr>
              <w:t>投标</w:t>
            </w:r>
            <w:r>
              <w:rPr>
                <w:rFonts w:hint="eastAsia" w:hAnsi="宋体" w:cs="宋体"/>
                <w:b w:val="0"/>
                <w:bCs w:val="0"/>
                <w:color w:val="auto"/>
                <w:szCs w:val="22"/>
                <w:highlight w:val="none"/>
              </w:rPr>
              <w:t>有效期延长一个月。</w:t>
            </w:r>
          </w:p>
          <w:p w14:paraId="4AB9BD08">
            <w:pPr>
              <w:spacing w:line="360" w:lineRule="auto"/>
              <w:ind w:firstLine="480"/>
              <w:rPr>
                <w:rFonts w:hAnsi="宋体" w:cs="宋体"/>
                <w:b w:val="0"/>
                <w:bCs w:val="0"/>
                <w:color w:val="auto"/>
                <w:szCs w:val="24"/>
                <w:highlight w:val="none"/>
              </w:rPr>
            </w:pPr>
            <w:r>
              <w:rPr>
                <w:rFonts w:hint="eastAsia" w:hAnsi="宋体" w:cs="宋体"/>
                <w:b w:val="0"/>
                <w:bCs w:val="0"/>
                <w:color w:val="auto"/>
                <w:szCs w:val="24"/>
                <w:highlight w:val="none"/>
              </w:rPr>
              <w:t>磋商保证金的缴纳形式：转账、电汇、担保机构保函。</w:t>
            </w:r>
          </w:p>
          <w:p w14:paraId="71A51B20">
            <w:pPr>
              <w:spacing w:line="360" w:lineRule="auto"/>
              <w:ind w:firstLine="480"/>
              <w:rPr>
                <w:rFonts w:hAnsi="宋体" w:cs="宋体"/>
                <w:b w:val="0"/>
                <w:bCs w:val="0"/>
                <w:color w:val="auto"/>
                <w:szCs w:val="24"/>
                <w:highlight w:val="none"/>
              </w:rPr>
            </w:pPr>
            <w:r>
              <w:rPr>
                <w:rFonts w:hint="eastAsia" w:hAnsi="宋体" w:cs="宋体"/>
                <w:b w:val="0"/>
                <w:bCs w:val="0"/>
                <w:color w:val="auto"/>
                <w:szCs w:val="24"/>
                <w:highlight w:val="none"/>
                <w:lang w:val="en-US" w:eastAsia="zh-CN"/>
              </w:rPr>
              <w:t>供应商</w:t>
            </w:r>
            <w:r>
              <w:rPr>
                <w:rFonts w:hint="eastAsia" w:hAnsi="宋体" w:cs="宋体"/>
                <w:b w:val="0"/>
                <w:bCs w:val="0"/>
                <w:color w:val="auto"/>
                <w:szCs w:val="24"/>
                <w:highlight w:val="none"/>
              </w:rPr>
              <w:t>以银行转账、电汇形式交纳保证金的，须从基本账户转出，并且在磋商</w:t>
            </w:r>
            <w:r>
              <w:rPr>
                <w:rFonts w:hint="eastAsia" w:hAnsi="宋体" w:cs="宋体"/>
                <w:b w:val="0"/>
                <w:bCs w:val="0"/>
                <w:color w:val="auto"/>
                <w:szCs w:val="24"/>
                <w:highlight w:val="none"/>
                <w:lang w:val="en-US" w:eastAsia="zh-CN"/>
              </w:rPr>
              <w:t>响应</w:t>
            </w:r>
            <w:r>
              <w:rPr>
                <w:rFonts w:hint="eastAsia" w:hAnsi="宋体" w:cs="宋体"/>
                <w:b w:val="0"/>
                <w:bCs w:val="0"/>
                <w:color w:val="auto"/>
                <w:szCs w:val="24"/>
                <w:highlight w:val="none"/>
              </w:rPr>
              <w:t>文件递交截止前到达采购代理机构指定账户（转账时请注明项目编号）。磋商保证金到达</w:t>
            </w:r>
            <w:r>
              <w:rPr>
                <w:rFonts w:hint="eastAsia" w:hAnsi="宋体" w:cs="宋体"/>
                <w:b w:val="0"/>
                <w:bCs w:val="0"/>
                <w:color w:val="auto"/>
                <w:szCs w:val="24"/>
                <w:highlight w:val="none"/>
                <w:lang w:val="en-US" w:eastAsia="zh-CN"/>
              </w:rPr>
              <w:t>招标</w:t>
            </w:r>
            <w:r>
              <w:rPr>
                <w:rFonts w:hint="eastAsia" w:hAnsi="宋体" w:cs="宋体"/>
                <w:b w:val="0"/>
                <w:bCs w:val="0"/>
                <w:color w:val="auto"/>
                <w:szCs w:val="24"/>
                <w:highlight w:val="none"/>
              </w:rPr>
              <w:t>代理机构指定账户后，</w:t>
            </w:r>
            <w:r>
              <w:rPr>
                <w:rFonts w:hint="eastAsia" w:hAnsi="宋体" w:cs="宋体"/>
                <w:b w:val="0"/>
                <w:bCs w:val="0"/>
                <w:color w:val="auto"/>
                <w:szCs w:val="24"/>
                <w:highlight w:val="none"/>
                <w:lang w:val="en-US" w:eastAsia="zh-CN"/>
              </w:rPr>
              <w:t>供应商</w:t>
            </w:r>
            <w:r>
              <w:rPr>
                <w:rFonts w:hint="eastAsia" w:hAnsi="宋体" w:cs="宋体"/>
                <w:b w:val="0"/>
                <w:bCs w:val="0"/>
                <w:color w:val="auto"/>
                <w:szCs w:val="24"/>
                <w:highlight w:val="none"/>
              </w:rPr>
              <w:t>须与</w:t>
            </w:r>
            <w:r>
              <w:rPr>
                <w:rFonts w:hint="eastAsia" w:hAnsi="宋体" w:cs="宋体"/>
                <w:b w:val="0"/>
                <w:bCs w:val="0"/>
                <w:color w:val="auto"/>
                <w:szCs w:val="24"/>
                <w:highlight w:val="none"/>
                <w:lang w:eastAsia="zh-CN"/>
              </w:rPr>
              <w:t>陕西至诚项目管理集团有限公司</w:t>
            </w:r>
            <w:r>
              <w:rPr>
                <w:rFonts w:hint="eastAsia" w:hAnsi="宋体" w:cs="宋体"/>
                <w:b w:val="0"/>
                <w:bCs w:val="0"/>
                <w:color w:val="auto"/>
                <w:szCs w:val="24"/>
                <w:highlight w:val="none"/>
              </w:rPr>
              <w:t>财务部联系确认到账后（联系电话029-88219779），将磋商保证金缴纳凭证复印件粘贴于磋商</w:t>
            </w:r>
            <w:r>
              <w:rPr>
                <w:rFonts w:hint="eastAsia" w:hAnsi="宋体" w:cs="宋体"/>
                <w:b w:val="0"/>
                <w:bCs w:val="0"/>
                <w:color w:val="auto"/>
                <w:szCs w:val="24"/>
                <w:highlight w:val="none"/>
                <w:lang w:val="en-US" w:eastAsia="zh-CN"/>
              </w:rPr>
              <w:t>响应</w:t>
            </w:r>
            <w:r>
              <w:rPr>
                <w:rFonts w:hint="eastAsia" w:hAnsi="宋体" w:cs="宋体"/>
                <w:b w:val="0"/>
                <w:bCs w:val="0"/>
                <w:color w:val="auto"/>
                <w:szCs w:val="24"/>
                <w:highlight w:val="none"/>
              </w:rPr>
              <w:t>文件规定处。</w:t>
            </w:r>
          </w:p>
          <w:p w14:paraId="75C4D275">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供应商</w:t>
            </w:r>
            <w:r>
              <w:rPr>
                <w:rFonts w:hint="eastAsia" w:hAnsi="宋体" w:cs="宋体"/>
                <w:b w:val="0"/>
                <w:bCs w:val="0"/>
                <w:color w:val="auto"/>
                <w:szCs w:val="24"/>
                <w:highlight w:val="none"/>
              </w:rPr>
              <w:t>以保函形式缴纳磋商保证金的，须在磋商</w:t>
            </w:r>
            <w:r>
              <w:rPr>
                <w:rFonts w:hint="eastAsia" w:hAnsi="宋体" w:cs="宋体"/>
                <w:b w:val="0"/>
                <w:bCs w:val="0"/>
                <w:color w:val="auto"/>
                <w:szCs w:val="24"/>
                <w:highlight w:val="none"/>
                <w:lang w:val="en-US" w:eastAsia="zh-CN"/>
              </w:rPr>
              <w:t>响应</w:t>
            </w:r>
            <w:r>
              <w:rPr>
                <w:rFonts w:hint="eastAsia" w:hAnsi="宋体" w:cs="宋体"/>
                <w:b w:val="0"/>
                <w:bCs w:val="0"/>
                <w:color w:val="auto"/>
                <w:szCs w:val="24"/>
                <w:highlight w:val="none"/>
              </w:rPr>
              <w:t>文件递交截止时间前将担保机构保函复印件附在磋商</w:t>
            </w:r>
            <w:r>
              <w:rPr>
                <w:rFonts w:hint="eastAsia" w:hAnsi="宋体" w:cs="宋体"/>
                <w:b w:val="0"/>
                <w:bCs w:val="0"/>
                <w:color w:val="auto"/>
                <w:szCs w:val="24"/>
                <w:highlight w:val="none"/>
                <w:lang w:val="en-US" w:eastAsia="zh-CN"/>
              </w:rPr>
              <w:t>响应</w:t>
            </w:r>
            <w:r>
              <w:rPr>
                <w:rFonts w:hint="eastAsia" w:hAnsi="宋体" w:cs="宋体"/>
                <w:b w:val="0"/>
                <w:bCs w:val="0"/>
                <w:color w:val="auto"/>
                <w:szCs w:val="24"/>
                <w:highlight w:val="none"/>
              </w:rPr>
              <w:t>文件规定处。</w:t>
            </w:r>
          </w:p>
          <w:p w14:paraId="04F145A1">
            <w:pPr>
              <w:spacing w:line="360" w:lineRule="auto"/>
              <w:ind w:firstLine="480" w:firstLineChars="200"/>
              <w:rPr>
                <w:rFonts w:hint="eastAsia"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保证金及服务费账户：</w:t>
            </w:r>
          </w:p>
          <w:p w14:paraId="23B8DD41">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w:t>
            </w:r>
            <w:r>
              <w:rPr>
                <w:rFonts w:hint="eastAsia" w:hAnsi="宋体" w:cs="宋体"/>
                <w:b/>
                <w:bCs/>
                <w:color w:val="auto"/>
                <w:szCs w:val="24"/>
                <w:highlight w:val="none"/>
                <w:lang w:val="en-US" w:eastAsia="zh-CN"/>
              </w:rPr>
              <w:t>招标</w:t>
            </w:r>
            <w:r>
              <w:rPr>
                <w:rFonts w:hint="eastAsia" w:hAnsi="宋体" w:cs="宋体"/>
                <w:b/>
                <w:bCs/>
                <w:color w:val="auto"/>
                <w:szCs w:val="24"/>
                <w:highlight w:val="none"/>
              </w:rPr>
              <w:t xml:space="preserve">代理机构开户名称: </w:t>
            </w:r>
            <w:r>
              <w:rPr>
                <w:rFonts w:hint="eastAsia" w:hAnsi="宋体" w:cs="宋体"/>
                <w:b/>
                <w:bCs/>
                <w:color w:val="auto"/>
                <w:szCs w:val="24"/>
                <w:highlight w:val="none"/>
                <w:lang w:eastAsia="zh-CN"/>
              </w:rPr>
              <w:t>陕西至诚项目管理集团有限公司</w:t>
            </w:r>
          </w:p>
          <w:p w14:paraId="2D23E38E">
            <w:p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2、开户行名称：中国建设银行股份有限公司西安高新技术产业开发区支行</w:t>
            </w:r>
          </w:p>
          <w:p w14:paraId="31EDAEB7">
            <w:pPr>
              <w:spacing w:line="360" w:lineRule="auto"/>
              <w:ind w:firstLine="482" w:firstLineChars="200"/>
              <w:rPr>
                <w:rFonts w:hint="eastAsia" w:ascii="宋体" w:hAnsi="宋体" w:eastAsia="宋体" w:cs="宋体"/>
                <w:b/>
                <w:bCs/>
                <w:color w:val="auto"/>
                <w:szCs w:val="24"/>
                <w:highlight w:val="none"/>
              </w:rPr>
            </w:pPr>
            <w:r>
              <w:rPr>
                <w:rFonts w:hint="eastAsia" w:hAnsi="宋体" w:cs="宋体"/>
                <w:b/>
                <w:bCs/>
                <w:color w:val="auto"/>
                <w:szCs w:val="24"/>
                <w:highlight w:val="none"/>
              </w:rPr>
              <w:t>3、账号：61050192090000002152</w:t>
            </w:r>
          </w:p>
        </w:tc>
      </w:tr>
      <w:tr w14:paraId="4B81D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0E73C97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8</w:t>
            </w:r>
          </w:p>
        </w:tc>
        <w:tc>
          <w:tcPr>
            <w:tcW w:w="951" w:type="dxa"/>
            <w:noWrap w:val="0"/>
            <w:vAlign w:val="center"/>
          </w:tcPr>
          <w:p w14:paraId="108F986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14:paraId="5C310CA3">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磋商有效期</w:t>
            </w:r>
            <w:r>
              <w:rPr>
                <w:rFonts w:hint="eastAsia" w:hAnsi="宋体" w:cs="宋体"/>
                <w:color w:val="auto"/>
                <w:szCs w:val="24"/>
                <w:highlight w:val="none"/>
                <w:lang w:eastAsia="zh-CN"/>
              </w:rPr>
              <w:t>：</w:t>
            </w:r>
            <w:r>
              <w:rPr>
                <w:rFonts w:hint="eastAsia" w:ascii="宋体" w:hAnsi="宋体" w:eastAsia="宋体" w:cs="宋体"/>
                <w:color w:val="auto"/>
                <w:szCs w:val="24"/>
                <w:highlight w:val="none"/>
              </w:rPr>
              <w:t>提交磋商响应文件的截止之日起90天。</w:t>
            </w:r>
          </w:p>
        </w:tc>
      </w:tr>
      <w:tr w14:paraId="64B7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0AEB0FBD">
            <w:pPr>
              <w:spacing w:line="360" w:lineRule="auto"/>
              <w:jc w:val="center"/>
              <w:rPr>
                <w:rFonts w:hint="eastAsia"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9</w:t>
            </w:r>
          </w:p>
        </w:tc>
        <w:tc>
          <w:tcPr>
            <w:tcW w:w="951" w:type="dxa"/>
            <w:noWrap w:val="0"/>
            <w:vAlign w:val="center"/>
          </w:tcPr>
          <w:p w14:paraId="52F74A78">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7354" w:type="dxa"/>
            <w:noWrap w:val="0"/>
            <w:vAlign w:val="center"/>
          </w:tcPr>
          <w:p w14:paraId="7FCE1B7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正本的份数：壹份；副本的份数：贰份；报价一览表：壹份；电子版（U盘）：壹份（需在盘面上标注供应商全称、项目名称、编号）。</w:t>
            </w:r>
          </w:p>
        </w:tc>
      </w:tr>
      <w:tr w14:paraId="1FF4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7A981E78">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10</w:t>
            </w:r>
          </w:p>
        </w:tc>
        <w:tc>
          <w:tcPr>
            <w:tcW w:w="951" w:type="dxa"/>
            <w:noWrap w:val="0"/>
            <w:vAlign w:val="center"/>
          </w:tcPr>
          <w:p w14:paraId="3E36CC81">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7354" w:type="dxa"/>
            <w:noWrap w:val="0"/>
            <w:vAlign w:val="center"/>
          </w:tcPr>
          <w:p w14:paraId="672B5E4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14:paraId="5959F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39501CD0">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p>
        </w:tc>
        <w:tc>
          <w:tcPr>
            <w:tcW w:w="951" w:type="dxa"/>
            <w:noWrap w:val="0"/>
            <w:vAlign w:val="center"/>
          </w:tcPr>
          <w:p w14:paraId="6E6CED39">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7354" w:type="dxa"/>
            <w:noWrap w:val="0"/>
            <w:vAlign w:val="top"/>
          </w:tcPr>
          <w:p w14:paraId="16754566">
            <w:pPr>
              <w:spacing w:line="360" w:lineRule="auto"/>
              <w:rPr>
                <w:rFonts w:hint="default" w:ascii="宋体" w:hAnsi="宋体" w:eastAsia="宋体" w:cs="宋体"/>
                <w:color w:val="auto"/>
                <w:szCs w:val="24"/>
                <w:highlight w:val="none"/>
                <w:lang w:val="en-US"/>
              </w:rPr>
            </w:pPr>
            <w:r>
              <w:rPr>
                <w:rFonts w:hint="eastAsia" w:ascii="宋体" w:hAnsi="宋体" w:eastAsia="宋体" w:cs="宋体"/>
                <w:color w:val="auto"/>
                <w:szCs w:val="24"/>
                <w:highlight w:val="none"/>
              </w:rPr>
              <w:t>磋商响应文件递交截止时间：</w:t>
            </w:r>
            <w:r>
              <w:rPr>
                <w:rFonts w:hint="eastAsia" w:hAnsi="宋体" w:cs="宋体"/>
                <w:color w:val="auto"/>
                <w:szCs w:val="24"/>
                <w:highlight w:val="none"/>
                <w:lang w:val="en-US" w:eastAsia="zh-CN"/>
              </w:rPr>
              <w:t>详见磋商公告</w:t>
            </w:r>
          </w:p>
          <w:p w14:paraId="4A2E5332">
            <w:pPr>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磋商响应文件递交地址：陕西省西安市经济技术开发区未央路171-1号银池道拉斯财富中心21楼03室</w:t>
            </w:r>
          </w:p>
          <w:p w14:paraId="55DA767F">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磋商响应文件接收人：</w:t>
            </w:r>
            <w:r>
              <w:rPr>
                <w:rFonts w:hint="eastAsia" w:hAnsi="宋体" w:cs="宋体"/>
                <w:color w:val="auto"/>
                <w:szCs w:val="24"/>
                <w:highlight w:val="none"/>
                <w:lang w:eastAsia="zh-CN"/>
              </w:rPr>
              <w:t>陕西至诚项目管理集团有限公司</w:t>
            </w:r>
          </w:p>
        </w:tc>
      </w:tr>
      <w:tr w14:paraId="2E5D0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29AC8D3C">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p>
        </w:tc>
        <w:tc>
          <w:tcPr>
            <w:tcW w:w="951" w:type="dxa"/>
            <w:noWrap w:val="0"/>
            <w:vAlign w:val="center"/>
          </w:tcPr>
          <w:p w14:paraId="3B251C3B">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7354" w:type="dxa"/>
            <w:noWrap w:val="0"/>
            <w:vAlign w:val="center"/>
          </w:tcPr>
          <w:p w14:paraId="24D09F6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磋商时间：</w:t>
            </w:r>
            <w:r>
              <w:rPr>
                <w:rFonts w:hint="eastAsia" w:hAnsi="宋体" w:cs="宋体"/>
                <w:color w:val="auto"/>
                <w:szCs w:val="24"/>
                <w:highlight w:val="none"/>
                <w:lang w:val="en-US" w:eastAsia="zh-CN"/>
              </w:rPr>
              <w:t>详见磋商公告</w:t>
            </w:r>
          </w:p>
          <w:p w14:paraId="672FA54B">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磋商地点：陕西省西安市经济技术开发区未央路171-1号银池道拉斯财富中心21楼03室</w:t>
            </w:r>
          </w:p>
        </w:tc>
      </w:tr>
      <w:tr w14:paraId="0330A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8" w:hRule="atLeast"/>
          <w:jc w:val="center"/>
        </w:trPr>
        <w:tc>
          <w:tcPr>
            <w:tcW w:w="592" w:type="dxa"/>
            <w:noWrap w:val="0"/>
            <w:vAlign w:val="center"/>
          </w:tcPr>
          <w:p w14:paraId="3B83769F">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p>
        </w:tc>
        <w:tc>
          <w:tcPr>
            <w:tcW w:w="951" w:type="dxa"/>
            <w:noWrap w:val="0"/>
            <w:vAlign w:val="center"/>
          </w:tcPr>
          <w:p w14:paraId="609CFBAC">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7354" w:type="dxa"/>
            <w:noWrap w:val="0"/>
            <w:vAlign w:val="center"/>
          </w:tcPr>
          <w:p w14:paraId="301F0619">
            <w:pPr>
              <w:spacing w:afterLines="50" w:line="360" w:lineRule="auto"/>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评审方法：综合评分法（详见第</w:t>
            </w:r>
            <w:r>
              <w:rPr>
                <w:rFonts w:hint="eastAsia" w:ascii="宋体" w:hAnsi="宋体" w:eastAsia="宋体" w:cs="宋体"/>
                <w:b/>
                <w:bCs/>
                <w:color w:val="auto"/>
                <w:szCs w:val="24"/>
                <w:highlight w:val="none"/>
                <w:lang w:val="en-US" w:eastAsia="zh-CN"/>
              </w:rPr>
              <w:t>三</w:t>
            </w:r>
            <w:r>
              <w:rPr>
                <w:rFonts w:hint="eastAsia" w:ascii="宋体" w:hAnsi="宋体" w:eastAsia="宋体" w:cs="宋体"/>
                <w:b/>
                <w:bCs/>
                <w:color w:val="auto"/>
                <w:szCs w:val="24"/>
                <w:highlight w:val="none"/>
              </w:rPr>
              <w:t>章）</w:t>
            </w:r>
          </w:p>
        </w:tc>
      </w:tr>
      <w:tr w14:paraId="3371D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10EB114">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w:t>
            </w:r>
          </w:p>
        </w:tc>
        <w:tc>
          <w:tcPr>
            <w:tcW w:w="951" w:type="dxa"/>
            <w:noWrap w:val="0"/>
            <w:vAlign w:val="center"/>
          </w:tcPr>
          <w:p w14:paraId="7E8C3EC9">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14:paraId="7CEDD2EA">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w:t>
            </w:r>
          </w:p>
          <w:p w14:paraId="4CAB5CC4">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29.1</w:t>
            </w:r>
            <w:r>
              <w:rPr>
                <w:rFonts w:hint="eastAsia" w:ascii="宋体" w:hAnsi="宋体" w:eastAsia="宋体" w:cs="宋体"/>
                <w:color w:val="auto"/>
                <w:szCs w:val="24"/>
                <w:highlight w:val="none"/>
              </w:rPr>
              <w:t>收费标准：按国家计委颁发的《招标代理服务收费管理暂行办法》（计价格〔2002〕1980号）及国家发展和改革委员会办公厅颁发的《关于招标代理服务收费有关问题的通知》（发改办价格〔2003〕857号）的有关规定执行。</w:t>
            </w:r>
          </w:p>
          <w:p w14:paraId="7976CBA1">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29.2</w:t>
            </w:r>
            <w:r>
              <w:rPr>
                <w:rFonts w:hint="eastAsia" w:ascii="宋体" w:hAnsi="宋体" w:eastAsia="宋体" w:cs="宋体"/>
                <w:color w:val="auto"/>
                <w:szCs w:val="24"/>
                <w:highlight w:val="none"/>
              </w:rPr>
              <w:t>成交供应商在领取中标通知书前，须向采购代理机构一次性支付招标代理服务费。</w:t>
            </w:r>
          </w:p>
        </w:tc>
      </w:tr>
      <w:tr w14:paraId="746D6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169EA5C7">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15</w:t>
            </w:r>
          </w:p>
        </w:tc>
        <w:tc>
          <w:tcPr>
            <w:tcW w:w="951" w:type="dxa"/>
            <w:noWrap w:val="0"/>
            <w:vAlign w:val="center"/>
          </w:tcPr>
          <w:p w14:paraId="4731151B">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76DE238E">
            <w:pPr>
              <w:spacing w:line="360" w:lineRule="auto"/>
              <w:jc w:val="center"/>
              <w:rPr>
                <w:rFonts w:hint="eastAsia" w:ascii="宋体" w:hAnsi="宋体" w:eastAsia="宋体" w:cs="宋体"/>
                <w:color w:val="auto"/>
                <w:szCs w:val="24"/>
                <w:highlight w:val="none"/>
              </w:rPr>
            </w:pPr>
            <w:r>
              <w:rPr>
                <w:rFonts w:hint="eastAsia" w:hAnsi="宋体" w:cs="宋体"/>
                <w:color w:val="auto"/>
                <w:szCs w:val="24"/>
                <w:highlight w:val="none"/>
              </w:rPr>
              <w:t>现场</w:t>
            </w:r>
          </w:p>
        </w:tc>
        <w:tc>
          <w:tcPr>
            <w:tcW w:w="7354" w:type="dxa"/>
            <w:noWrap w:val="0"/>
            <w:vAlign w:val="center"/>
          </w:tcPr>
          <w:p w14:paraId="2A411DA2">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63CC8A7E">
            <w:pPr>
              <w:spacing w:line="360" w:lineRule="auto"/>
              <w:rPr>
                <w:rFonts w:hint="eastAsia" w:ascii="宋体" w:hAnsi="宋体" w:eastAsia="宋体" w:cs="宋体"/>
                <w:color w:val="auto"/>
                <w:szCs w:val="24"/>
                <w:highlight w:val="none"/>
                <w:lang w:eastAsia="zh-CN"/>
              </w:rPr>
            </w:pPr>
            <w:r>
              <w:rPr>
                <w:rFonts w:hint="eastAsia" w:hAnsi="宋体" w:cs="宋体"/>
                <w:color w:val="auto"/>
                <w:szCs w:val="24"/>
                <w:highlight w:val="none"/>
              </w:rPr>
              <w:t>2）踏勘内容包含：完成本次招标所需要的现场情况及周围环境等资料。</w:t>
            </w:r>
          </w:p>
        </w:tc>
      </w:tr>
      <w:tr w14:paraId="168F7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3F6309CA">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6</w:t>
            </w:r>
          </w:p>
        </w:tc>
        <w:tc>
          <w:tcPr>
            <w:tcW w:w="951" w:type="dxa"/>
            <w:noWrap w:val="0"/>
            <w:vAlign w:val="center"/>
          </w:tcPr>
          <w:p w14:paraId="2AC4F50A">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6B4530F6">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41B0FBDC">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14:paraId="3982255A">
            <w:pPr>
              <w:numPr>
                <w:ilvl w:val="0"/>
                <w:numId w:val="0"/>
              </w:numPr>
              <w:spacing w:line="520" w:lineRule="exact"/>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1、</w:t>
            </w:r>
            <w:r>
              <w:rPr>
                <w:rFonts w:hint="eastAsia" w:hAnsi="宋体" w:cs="宋体"/>
                <w:b/>
                <w:bCs/>
                <w:color w:val="auto"/>
                <w:szCs w:val="24"/>
                <w:highlight w:val="none"/>
                <w:lang w:eastAsia="zh-CN"/>
              </w:rPr>
              <w:t>保证金及</w:t>
            </w:r>
            <w:r>
              <w:rPr>
                <w:rFonts w:hint="eastAsia" w:ascii="宋体" w:hAnsi="宋体" w:eastAsia="宋体" w:cs="宋体"/>
                <w:b/>
                <w:bCs/>
                <w:color w:val="auto"/>
                <w:szCs w:val="24"/>
                <w:highlight w:val="none"/>
              </w:rPr>
              <w:t>代理服务费账户：</w:t>
            </w:r>
          </w:p>
          <w:p w14:paraId="5B4807C2">
            <w:pPr>
              <w:spacing w:line="360" w:lineRule="auto"/>
              <w:ind w:firstLine="482" w:firstLineChars="200"/>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eastAsia="zh-CN"/>
              </w:rPr>
              <w:t>①</w:t>
            </w:r>
            <w:r>
              <w:rPr>
                <w:rFonts w:hint="eastAsia" w:ascii="宋体" w:hAnsi="宋体" w:eastAsia="宋体" w:cs="宋体"/>
                <w:b/>
                <w:bCs/>
                <w:color w:val="auto"/>
                <w:szCs w:val="24"/>
                <w:highlight w:val="none"/>
              </w:rPr>
              <w:t xml:space="preserve">采购代理机构开户名称: </w:t>
            </w:r>
            <w:r>
              <w:rPr>
                <w:rFonts w:hint="eastAsia" w:hAnsi="宋体" w:cs="宋体"/>
                <w:b/>
                <w:bCs/>
                <w:color w:val="auto"/>
                <w:szCs w:val="24"/>
                <w:highlight w:val="none"/>
                <w:lang w:eastAsia="zh-CN"/>
              </w:rPr>
              <w:t>陕西至诚项目管理集团有限公司</w:t>
            </w:r>
          </w:p>
          <w:p w14:paraId="3FCE4653">
            <w:pPr>
              <w:spacing w:line="360" w:lineRule="auto"/>
              <w:ind w:firstLine="482" w:firstLineChars="200"/>
              <w:rPr>
                <w:rFonts w:hint="eastAsia" w:ascii="宋体" w:hAnsi="宋体" w:eastAsia="宋体" w:cs="宋体"/>
                <w:b/>
                <w:bCs/>
                <w:color w:val="auto"/>
                <w:szCs w:val="24"/>
                <w:highlight w:val="none"/>
              </w:rPr>
            </w:pPr>
            <w:r>
              <w:rPr>
                <w:rFonts w:hint="eastAsia" w:hAnsi="宋体" w:cs="宋体"/>
                <w:b/>
                <w:bCs/>
                <w:color w:val="auto"/>
                <w:szCs w:val="24"/>
                <w:highlight w:val="none"/>
                <w:lang w:eastAsia="zh-CN"/>
              </w:rPr>
              <w:t>②</w:t>
            </w:r>
            <w:r>
              <w:rPr>
                <w:rFonts w:hint="eastAsia" w:ascii="宋体" w:hAnsi="宋体" w:eastAsia="宋体" w:cs="宋体"/>
                <w:b/>
                <w:bCs/>
                <w:color w:val="auto"/>
                <w:szCs w:val="24"/>
                <w:highlight w:val="none"/>
              </w:rPr>
              <w:t>开户行名称：中国建设银行股份有限公司西安高新技术产业开发区支行</w:t>
            </w:r>
          </w:p>
          <w:p w14:paraId="19EE33B0">
            <w:pPr>
              <w:pStyle w:val="11"/>
              <w:ind w:firstLine="482" w:firstLineChars="200"/>
              <w:rPr>
                <w:rFonts w:hint="eastAsia" w:ascii="宋体" w:hAnsi="宋体" w:eastAsia="宋体" w:cs="宋体"/>
                <w:color w:val="auto"/>
                <w:szCs w:val="24"/>
                <w:highlight w:val="none"/>
              </w:rPr>
            </w:pPr>
            <w:r>
              <w:rPr>
                <w:rFonts w:hint="eastAsia" w:ascii="宋体" w:hAnsi="宋体" w:cs="宋体"/>
                <w:b/>
                <w:bCs/>
                <w:color w:val="auto"/>
                <w:sz w:val="24"/>
                <w:szCs w:val="24"/>
                <w:highlight w:val="none"/>
                <w:lang w:val="en-US" w:eastAsia="zh-CN"/>
              </w:rPr>
              <w:t>③</w:t>
            </w:r>
            <w:r>
              <w:rPr>
                <w:rFonts w:hint="eastAsia" w:ascii="宋体" w:hAnsi="宋体" w:eastAsia="宋体" w:cs="宋体"/>
                <w:b/>
                <w:bCs/>
                <w:color w:val="auto"/>
                <w:sz w:val="24"/>
                <w:szCs w:val="24"/>
                <w:highlight w:val="none"/>
                <w:lang w:val="en-US" w:eastAsia="zh-CN"/>
              </w:rPr>
              <w:t>账号：61050192090000002152</w:t>
            </w:r>
          </w:p>
        </w:tc>
      </w:tr>
      <w:tr w14:paraId="17B1E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44EEB08">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17</w:t>
            </w:r>
          </w:p>
        </w:tc>
        <w:tc>
          <w:tcPr>
            <w:tcW w:w="951" w:type="dxa"/>
            <w:noWrap w:val="0"/>
            <w:vAlign w:val="center"/>
          </w:tcPr>
          <w:p w14:paraId="41D41BB0">
            <w:pPr>
              <w:widowControl/>
              <w:spacing w:line="360" w:lineRule="auto"/>
              <w:jc w:val="center"/>
              <w:rPr>
                <w:rFonts w:hint="eastAsia" w:hAnsi="宋体" w:cs="宋体"/>
                <w:b/>
                <w:bCs/>
                <w:color w:val="auto"/>
                <w:szCs w:val="24"/>
                <w:highlight w:val="none"/>
                <w:lang w:eastAsia="zh-CN"/>
              </w:rPr>
            </w:pPr>
            <w:r>
              <w:rPr>
                <w:rFonts w:hint="eastAsia" w:hAnsi="宋体" w:cs="宋体"/>
                <w:b/>
                <w:bCs/>
                <w:color w:val="auto"/>
                <w:szCs w:val="24"/>
                <w:highlight w:val="none"/>
                <w:lang w:eastAsia="zh-CN"/>
              </w:rPr>
              <w:t>项目</w:t>
            </w:r>
          </w:p>
          <w:p w14:paraId="339CA7A4">
            <w:pPr>
              <w:widowControl/>
              <w:spacing w:line="360" w:lineRule="auto"/>
              <w:jc w:val="center"/>
              <w:rPr>
                <w:rFonts w:hint="eastAsia" w:ascii="宋体" w:hAnsi="宋体" w:eastAsia="宋体" w:cs="宋体"/>
                <w:b/>
                <w:bCs/>
                <w:color w:val="auto"/>
                <w:szCs w:val="24"/>
                <w:highlight w:val="none"/>
              </w:rPr>
            </w:pPr>
            <w:r>
              <w:rPr>
                <w:rFonts w:hint="eastAsia" w:hAnsi="宋体" w:cs="宋体"/>
                <w:b/>
                <w:bCs/>
                <w:color w:val="auto"/>
                <w:szCs w:val="24"/>
                <w:highlight w:val="none"/>
                <w:lang w:eastAsia="zh-CN"/>
              </w:rPr>
              <w:t>性质</w:t>
            </w:r>
          </w:p>
        </w:tc>
        <w:tc>
          <w:tcPr>
            <w:tcW w:w="7354" w:type="dxa"/>
            <w:noWrap w:val="0"/>
            <w:vAlign w:val="center"/>
          </w:tcPr>
          <w:p w14:paraId="4C831966">
            <w:pPr>
              <w:spacing w:line="500" w:lineRule="exact"/>
              <w:rPr>
                <w:rFonts w:hint="eastAsia" w:ascii="宋体" w:hAnsi="宋体" w:cs="宋体"/>
                <w:b/>
                <w:bCs/>
                <w:color w:val="auto"/>
                <w:sz w:val="24"/>
                <w:szCs w:val="24"/>
                <w:highlight w:val="none"/>
                <w:lang w:val="en-US" w:eastAsia="zh-CN"/>
              </w:rPr>
            </w:pPr>
            <w:r>
              <w:rPr>
                <w:rFonts w:hint="eastAsia" w:hAnsi="宋体" w:cs="宋体"/>
                <w:b/>
                <w:bCs/>
                <w:color w:val="auto"/>
                <w:szCs w:val="24"/>
                <w:highlight w:val="none"/>
                <w:lang w:eastAsia="zh-CN"/>
              </w:rPr>
              <w:t>本项目专门面向中小企业；</w:t>
            </w:r>
          </w:p>
        </w:tc>
      </w:tr>
      <w:tr w14:paraId="2DE9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661353F">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18</w:t>
            </w:r>
          </w:p>
        </w:tc>
        <w:tc>
          <w:tcPr>
            <w:tcW w:w="951" w:type="dxa"/>
            <w:noWrap w:val="0"/>
            <w:vAlign w:val="center"/>
          </w:tcPr>
          <w:p w14:paraId="7D36CDF7">
            <w:pPr>
              <w:widowControl/>
              <w:spacing w:line="360" w:lineRule="auto"/>
              <w:jc w:val="center"/>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lang w:eastAsia="zh-CN"/>
              </w:rPr>
              <w:t>所属行业</w:t>
            </w:r>
          </w:p>
        </w:tc>
        <w:tc>
          <w:tcPr>
            <w:tcW w:w="7354" w:type="dxa"/>
            <w:noWrap w:val="0"/>
            <w:vAlign w:val="center"/>
          </w:tcPr>
          <w:p w14:paraId="02E2F728">
            <w:pPr>
              <w:spacing w:line="500" w:lineRule="exact"/>
              <w:rPr>
                <w:rFonts w:hint="default" w:ascii="宋体" w:hAnsi="宋体" w:cs="宋体"/>
                <w:b/>
                <w:bCs/>
                <w:color w:val="auto"/>
                <w:sz w:val="24"/>
                <w:szCs w:val="24"/>
                <w:highlight w:val="none"/>
                <w:lang w:val="en-US" w:eastAsia="zh-CN"/>
              </w:rPr>
            </w:pPr>
            <w:r>
              <w:rPr>
                <w:rFonts w:hint="eastAsia" w:hAnsi="宋体" w:cs="宋体"/>
                <w:b/>
                <w:bCs/>
                <w:color w:val="auto"/>
                <w:szCs w:val="24"/>
                <w:highlight w:val="none"/>
                <w:lang w:val="en-US" w:eastAsia="zh-CN"/>
              </w:rPr>
              <w:t>其他未列明行业</w:t>
            </w:r>
          </w:p>
        </w:tc>
      </w:tr>
      <w:tr w14:paraId="3C9DD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E4BDCE3">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19</w:t>
            </w:r>
          </w:p>
        </w:tc>
        <w:tc>
          <w:tcPr>
            <w:tcW w:w="951" w:type="dxa"/>
            <w:noWrap w:val="0"/>
            <w:vAlign w:val="center"/>
          </w:tcPr>
          <w:p w14:paraId="59A38364">
            <w:pPr>
              <w:widowControl/>
              <w:spacing w:line="360" w:lineRule="auto"/>
              <w:jc w:val="center"/>
              <w:rPr>
                <w:rFonts w:hint="eastAsia" w:hAnsi="宋体" w:cs="宋体"/>
                <w:b/>
                <w:bCs/>
                <w:color w:val="auto"/>
                <w:szCs w:val="24"/>
                <w:highlight w:val="none"/>
                <w:lang w:eastAsia="zh-CN"/>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44BAA18E">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5885C763">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76A0E5A4">
            <w:pPr>
              <w:spacing w:line="500" w:lineRule="exact"/>
              <w:ind w:firstLine="480" w:firstLineChars="200"/>
              <w:rPr>
                <w:rFonts w:hint="eastAsia" w:hAnsi="宋体" w:cs="宋体"/>
                <w:b/>
                <w:bCs/>
                <w:color w:val="auto"/>
                <w:szCs w:val="24"/>
                <w:highlight w:val="none"/>
                <w:lang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39DE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9B009D5">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20</w:t>
            </w:r>
          </w:p>
        </w:tc>
        <w:tc>
          <w:tcPr>
            <w:tcW w:w="951" w:type="dxa"/>
            <w:noWrap w:val="0"/>
            <w:vAlign w:val="center"/>
          </w:tcPr>
          <w:p w14:paraId="329F681C">
            <w:pPr>
              <w:spacing w:line="312" w:lineRule="auto"/>
              <w:ind w:firstLine="120" w:firstLineChars="50"/>
              <w:jc w:val="center"/>
              <w:rPr>
                <w:rFonts w:hint="eastAsia" w:ascii="宋体" w:hAnsi="宋体" w:eastAsia="宋体" w:cs="宋体"/>
                <w:b w:val="0"/>
                <w:bCs w:val="0"/>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0815D719">
            <w:pPr>
              <w:rPr>
                <w:rFonts w:hint="default" w:ascii="宋体" w:hAnsi="宋体" w:eastAsia="宋体" w:cs="宋体"/>
                <w:color w:val="auto"/>
                <w:szCs w:val="32"/>
                <w:highlight w:val="none"/>
                <w:lang w:val="en-US"/>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r>
              <w:rPr>
                <w:rFonts w:hint="eastAsia" w:hAnsi="宋体" w:cs="宋体"/>
                <w:color w:val="auto"/>
                <w:sz w:val="24"/>
                <w:szCs w:val="24"/>
                <w:highlight w:val="none"/>
                <w:lang w:val="en-US" w:eastAsia="zh-CN"/>
              </w:rPr>
              <w:t>本项目为专门面向中小企业采购，不再进行价格得分的扣减。</w:t>
            </w:r>
          </w:p>
        </w:tc>
      </w:tr>
      <w:tr w14:paraId="70A78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31A9FAE6">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21</w:t>
            </w:r>
          </w:p>
        </w:tc>
        <w:tc>
          <w:tcPr>
            <w:tcW w:w="951" w:type="dxa"/>
            <w:noWrap w:val="0"/>
            <w:vAlign w:val="center"/>
          </w:tcPr>
          <w:p w14:paraId="51FE9B5F">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14:paraId="3EF153E7">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5FCAE1DA">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07E8BAA0">
      <w:pPr>
        <w:spacing w:beforeLines="50" w:afterLines="50"/>
        <w:jc w:val="center"/>
        <w:outlineLvl w:val="2"/>
        <w:rPr>
          <w:rFonts w:hint="eastAsia" w:ascii="宋体" w:hAnsi="宋体" w:eastAsia="宋体" w:cs="宋体"/>
          <w:color w:val="auto"/>
          <w:sz w:val="32"/>
          <w:szCs w:val="32"/>
          <w:highlight w:val="none"/>
        </w:rPr>
      </w:pPr>
      <w:bookmarkStart w:id="28" w:name="_Toc363473972"/>
      <w:bookmarkStart w:id="29" w:name="_Toc403077639"/>
      <w:bookmarkStart w:id="30" w:name="_Toc363474017"/>
      <w:r>
        <w:rPr>
          <w:rFonts w:hint="eastAsia" w:ascii="宋体" w:hAnsi="宋体" w:eastAsia="宋体" w:cs="宋体"/>
          <w:b/>
          <w:color w:val="auto"/>
          <w:sz w:val="32"/>
          <w:szCs w:val="32"/>
          <w:highlight w:val="none"/>
        </w:rPr>
        <w:br w:type="page"/>
      </w:r>
      <w:bookmarkStart w:id="31" w:name="_Toc4670"/>
      <w:bookmarkStart w:id="32" w:name="_Toc3623"/>
      <w:bookmarkStart w:id="33" w:name="_Toc27537"/>
      <w:r>
        <w:rPr>
          <w:rFonts w:hint="eastAsia" w:ascii="宋体" w:hAnsi="宋体" w:eastAsia="宋体" w:cs="宋体"/>
          <w:b/>
          <w:color w:val="auto"/>
          <w:sz w:val="32"/>
          <w:szCs w:val="32"/>
          <w:highlight w:val="none"/>
        </w:rPr>
        <w:t>一.总  则</w:t>
      </w:r>
      <w:bookmarkEnd w:id="28"/>
      <w:bookmarkEnd w:id="29"/>
      <w:bookmarkEnd w:id="30"/>
      <w:bookmarkEnd w:id="31"/>
      <w:bookmarkEnd w:id="32"/>
      <w:bookmarkEnd w:id="33"/>
    </w:p>
    <w:p w14:paraId="751C74C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7A8393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w:t>
      </w:r>
      <w:r>
        <w:rPr>
          <w:rFonts w:hint="eastAsia" w:hAnsi="宋体" w:cs="宋体"/>
          <w:color w:val="auto"/>
          <w:szCs w:val="24"/>
          <w:highlight w:val="none"/>
          <w:lang w:eastAsia="zh-CN"/>
        </w:rPr>
        <w:t>财政拨款</w:t>
      </w:r>
      <w:r>
        <w:rPr>
          <w:rFonts w:hint="eastAsia" w:ascii="宋体" w:hAnsi="宋体" w:eastAsia="宋体" w:cs="宋体"/>
          <w:color w:val="auto"/>
          <w:szCs w:val="24"/>
          <w:highlight w:val="none"/>
        </w:rPr>
        <w:t>支付，资金已落实到位。</w:t>
      </w:r>
    </w:p>
    <w:p w14:paraId="66D1DB45">
      <w:pPr>
        <w:numPr>
          <w:ilvl w:val="0"/>
          <w:numId w:val="2"/>
        </w:numPr>
        <w:spacing w:line="500" w:lineRule="exact"/>
        <w:rPr>
          <w:rFonts w:hint="eastAsia" w:ascii="宋体" w:hAnsi="宋体" w:eastAsia="宋体" w:cs="宋体"/>
          <w:b/>
          <w:color w:val="auto"/>
          <w:szCs w:val="24"/>
          <w:highlight w:val="none"/>
        </w:rPr>
      </w:pPr>
      <w:bookmarkStart w:id="34" w:name="_Toc403077640"/>
      <w:bookmarkStart w:id="35" w:name="_Toc363473973"/>
      <w:bookmarkStart w:id="36" w:name="_Toc363474018"/>
      <w:r>
        <w:rPr>
          <w:rFonts w:hint="eastAsia" w:ascii="宋体" w:hAnsi="宋体" w:eastAsia="宋体" w:cs="宋体"/>
          <w:b/>
          <w:color w:val="auto"/>
          <w:szCs w:val="24"/>
          <w:highlight w:val="none"/>
        </w:rPr>
        <w:t>名词解释</w:t>
      </w:r>
    </w:p>
    <w:p w14:paraId="1E8F31D8">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2.1采购人：镇安县中医医院</w:t>
      </w:r>
    </w:p>
    <w:p w14:paraId="0F202CB6">
      <w:pPr>
        <w:tabs>
          <w:tab w:val="left" w:pos="7665"/>
        </w:tabs>
        <w:spacing w:line="360" w:lineRule="auto"/>
        <w:ind w:firstLine="480" w:firstLineChars="200"/>
        <w:rPr>
          <w:rFonts w:hint="eastAsia" w:hAnsi="宋体" w:cs="宋体"/>
          <w:color w:val="auto"/>
          <w:szCs w:val="22"/>
          <w:highlight w:val="none"/>
          <w:lang w:val="en-US" w:eastAsia="zh-CN"/>
        </w:rPr>
      </w:pPr>
      <w:r>
        <w:rPr>
          <w:rFonts w:hint="eastAsia" w:ascii="宋体" w:hAnsi="宋体" w:eastAsia="宋体" w:cs="宋体"/>
          <w:color w:val="auto"/>
          <w:szCs w:val="22"/>
          <w:highlight w:val="none"/>
        </w:rPr>
        <w:t>2.2监督机构：同级人民政府财政部门</w:t>
      </w:r>
    </w:p>
    <w:p w14:paraId="045E1AA2">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2"/>
          <w:highlight w:val="none"/>
        </w:rPr>
        <w:t>2.3采购代理机构：</w:t>
      </w:r>
      <w:r>
        <w:rPr>
          <w:rFonts w:hint="eastAsia" w:hAnsi="宋体" w:cs="宋体"/>
          <w:color w:val="auto"/>
          <w:szCs w:val="22"/>
          <w:highlight w:val="none"/>
          <w:lang w:eastAsia="zh-CN"/>
        </w:rPr>
        <w:t>陕西至诚项目管理集团有限公司</w:t>
      </w:r>
    </w:p>
    <w:p w14:paraId="225C257D">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14:paraId="01997D1A">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2.5产品是指本竞争性磋商文件中第四章所述所有产品。</w:t>
      </w:r>
    </w:p>
    <w:p w14:paraId="1A7E536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14:paraId="5B5BF573">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14:paraId="4A00E51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1F3B743D">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1787EB1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210222">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1DDDB305">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3A142147">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Cs w:val="24"/>
          <w:highlight w:val="none"/>
        </w:rPr>
        <w:t>政府采购法》第二十二条第一款规定的供应商基本资格条件:</w:t>
      </w:r>
    </w:p>
    <w:p w14:paraId="105AD7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34F19C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7CE0BA4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5072BF5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14:paraId="5D1177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45F72F7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7D8F9743">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14:paraId="25D66B2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0987F52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14:paraId="24ED8C4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14:paraId="072B4A1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14:paraId="78A15A5A">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14:paraId="2682A386">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14:paraId="2C760F51">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34427B0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14:paraId="6510B20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29EED5B7">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37" w:name="_Toc31742"/>
      <w:bookmarkStart w:id="38" w:name="_Toc30698"/>
      <w:bookmarkStart w:id="39" w:name="_Toc27903"/>
      <w:r>
        <w:rPr>
          <w:rFonts w:hint="eastAsia" w:ascii="宋体" w:hAnsi="宋体" w:eastAsia="宋体" w:cs="宋体"/>
          <w:b/>
          <w:color w:val="auto"/>
          <w:sz w:val="32"/>
          <w:szCs w:val="32"/>
          <w:highlight w:val="none"/>
        </w:rPr>
        <w:t>二.竞争性磋商文件</w:t>
      </w:r>
      <w:bookmarkEnd w:id="34"/>
      <w:bookmarkEnd w:id="35"/>
      <w:bookmarkEnd w:id="36"/>
      <w:bookmarkEnd w:id="37"/>
      <w:bookmarkEnd w:id="38"/>
      <w:bookmarkEnd w:id="39"/>
    </w:p>
    <w:p w14:paraId="31B6C31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14:paraId="4647AF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14:paraId="6FF442E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14:paraId="375D56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503DED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14:paraId="53F3F33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章 合同条款及格式</w:t>
      </w:r>
    </w:p>
    <w:p w14:paraId="537D104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14:paraId="21B5CEE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14:paraId="12B188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6CF4C22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，如发现竞争性磋商响应文件内容与现行法律法规不相符的情况，以现行法律法规为准。</w:t>
      </w:r>
    </w:p>
    <w:p w14:paraId="0B37C25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14:paraId="62A0BFC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19B05B7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52A3ED3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5555795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14:paraId="2591E0F0">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40" w:name="_Toc363473974"/>
      <w:bookmarkStart w:id="41" w:name="_Toc363474019"/>
      <w:bookmarkStart w:id="42" w:name="_Toc28227"/>
      <w:bookmarkStart w:id="43" w:name="_Toc13771"/>
      <w:bookmarkStart w:id="44" w:name="_Toc26653"/>
      <w:bookmarkStart w:id="45" w:name="_Toc403077641"/>
      <w:r>
        <w:rPr>
          <w:rFonts w:hint="eastAsia" w:ascii="宋体" w:hAnsi="宋体" w:eastAsia="宋体" w:cs="宋体"/>
          <w:b/>
          <w:color w:val="auto"/>
          <w:sz w:val="32"/>
          <w:szCs w:val="32"/>
          <w:highlight w:val="none"/>
        </w:rPr>
        <w:t>三.磋商响应文件的编制</w:t>
      </w:r>
      <w:bookmarkEnd w:id="40"/>
      <w:bookmarkEnd w:id="41"/>
      <w:bookmarkEnd w:id="42"/>
      <w:bookmarkEnd w:id="43"/>
      <w:bookmarkEnd w:id="44"/>
      <w:bookmarkEnd w:id="45"/>
    </w:p>
    <w:p w14:paraId="3D64CB38">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14:paraId="17C94156">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14:paraId="6E22D68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14:paraId="081BDE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14:paraId="339A75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14:paraId="4AA3E6F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14:paraId="3B8344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14:paraId="3658B41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14:paraId="03FDEC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14:paraId="6B8D6F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14:paraId="536293F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14:paraId="73CF05C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DAD383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14:paraId="4A44B8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329C8B6D">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19093D2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14:paraId="44AD0B39">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w:t>
      </w:r>
    </w:p>
    <w:p w14:paraId="265FC52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w:t>
      </w:r>
    </w:p>
    <w:p w14:paraId="3E244C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14:paraId="07A4D89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14:paraId="0D26E18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14:paraId="7AFF850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43842F3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14:paraId="4D8CF4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14:paraId="6E2CB78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14:paraId="217189FB">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14.磋商保证金</w:t>
      </w:r>
    </w:p>
    <w:p w14:paraId="20743E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14.1供应商在磋商时应向</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提交“供应商须知前附表”规定数额的磋商保证金,并作为其磋商的一部分。</w:t>
      </w:r>
    </w:p>
    <w:p w14:paraId="1EB706F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14.2磋商保证金是为了保护采购单位（包括</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及采购人）免遭因供应商的行为而蒙受损失。采购单位在因供应商的行为受到损害时可根据本须知的规定没收供应商的磋商保证金。</w:t>
      </w:r>
    </w:p>
    <w:p w14:paraId="0DD8BD0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14.3磋商保证金可采取“供应商须知前附表”规定的任何一种形式。</w:t>
      </w:r>
    </w:p>
    <w:p w14:paraId="32CD93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14.4磋商保证金必须按照竞争性磋商文件“供应商须知前附表”中规定的缴纳金额及方式办理。</w:t>
      </w:r>
    </w:p>
    <w:p w14:paraId="5FDE5F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14.5磋商后经审查，未提交磋商保证金、未按竞争性磋商文件规定时间提交磋商保证金</w:t>
      </w:r>
      <w:r>
        <w:rPr>
          <w:rFonts w:hint="eastAsia" w:ascii="宋体" w:hAnsi="宋体" w:eastAsia="宋体" w:cs="宋体"/>
          <w:color w:val="auto"/>
          <w:highlight w:val="none"/>
        </w:rPr>
        <w:t>或担保机构出具的保函正本未在采购代理机构备案的</w:t>
      </w:r>
      <w:r>
        <w:rPr>
          <w:rFonts w:hint="eastAsia" w:ascii="宋体" w:hAnsi="宋体" w:eastAsia="宋体" w:cs="宋体"/>
          <w:color w:val="auto"/>
          <w:szCs w:val="24"/>
          <w:highlight w:val="none"/>
        </w:rPr>
        <w:t>、磋商保证金金额不足或磋商保证金转账凭证复印件/担保机构出具的保函正本复印件未附在磋商响应文件内的磋商将按无效磋商处理。</w:t>
      </w:r>
    </w:p>
    <w:p w14:paraId="05CD83F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color w:val="auto"/>
          <w:szCs w:val="24"/>
          <w:highlight w:val="none"/>
        </w:rPr>
        <w:t>（退还时，须向采购代理机构提供采购合同原件、开户许可证及转账凭证复印件壹份）</w:t>
      </w:r>
      <w:r>
        <w:rPr>
          <w:rFonts w:hint="eastAsia" w:ascii="宋体" w:hAnsi="宋体" w:eastAsia="宋体" w:cs="宋体"/>
          <w:color w:val="auto"/>
          <w:szCs w:val="24"/>
          <w:highlight w:val="none"/>
        </w:rPr>
        <w:t>。</w:t>
      </w:r>
    </w:p>
    <w:p w14:paraId="095621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3C757B3">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14.8 下列任何情况发生时，视为供应商违约，其磋商保证金将被没收：</w:t>
      </w:r>
    </w:p>
    <w:p w14:paraId="2999B87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供应商在磋商有效期内撤回其磋商响应文件；</w:t>
      </w:r>
    </w:p>
    <w:p w14:paraId="0681E7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2）供应商在响应文件中提供伪造、套改、虚假资料参加磋商的。</w:t>
      </w:r>
    </w:p>
    <w:p w14:paraId="731EC78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 供应商成交后放弃成交或未能按规定签订合同；或未能按规定交纳成交代理服务费。</w:t>
      </w:r>
    </w:p>
    <w:p w14:paraId="7876324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4）供应商成交后将成交项目转让给他人，或者在响应文件中未说明，且未经采购人同意，将成交项目分包给他人的。</w:t>
      </w:r>
    </w:p>
    <w:p w14:paraId="73D476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5）供应商事先未通告无故不参加磋商活动的。</w:t>
      </w:r>
    </w:p>
    <w:p w14:paraId="2411FB8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6）供应商不按法定程序进行质疑和投诉，捏造事实，查无实据，造成恶劣影响，导致采购活动无法正常进行的。</w:t>
      </w:r>
    </w:p>
    <w:p w14:paraId="63082D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14:paraId="2D61C153">
      <w:pPr>
        <w:spacing w:line="360" w:lineRule="auto"/>
        <w:ind w:firstLine="480" w:firstLineChars="200"/>
        <w:rPr>
          <w:rFonts w:hint="eastAsia" w:ascii="宋体" w:hAnsi="宋体" w:eastAsia="宋体" w:cs="宋体"/>
          <w:color w:val="auto"/>
          <w:szCs w:val="24"/>
          <w:highlight w:val="none"/>
        </w:rPr>
      </w:pPr>
      <w:bookmarkStart w:id="46"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6"/>
    </w:p>
    <w:p w14:paraId="3D76052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460ECDC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14:paraId="44A0AEC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color w:val="auto"/>
          <w:spacing w:val="4"/>
          <w:highlight w:val="none"/>
        </w:rPr>
        <w:t>电子版（U盘）</w:t>
      </w:r>
      <w:r>
        <w:rPr>
          <w:rFonts w:hint="eastAsia" w:ascii="宋体" w:hAnsi="宋体" w:eastAsia="宋体" w:cs="宋体"/>
          <w:color w:val="auto"/>
          <w:szCs w:val="24"/>
          <w:highlight w:val="none"/>
        </w:rPr>
        <w:t>并在盘面标注供应商全称、项目名称、项目编号，并与竞争性磋商响应文件同时递交。</w:t>
      </w:r>
    </w:p>
    <w:p w14:paraId="3DD75D20">
      <w:pPr>
        <w:spacing w:line="50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color w:val="auto"/>
          <w:szCs w:val="24"/>
          <w:highlight w:val="none"/>
        </w:rPr>
        <w:t>所有竞争性磋商响应文件正本和副本须按第六章规定的顺序编排、并应编制目录、逐页标注连续页码，并</w:t>
      </w:r>
      <w:r>
        <w:rPr>
          <w:rFonts w:hint="eastAsia" w:ascii="宋体" w:hAnsi="宋体" w:eastAsia="宋体" w:cs="宋体"/>
          <w:b/>
          <w:bCs/>
          <w:color w:val="auto"/>
          <w:highlight w:val="none"/>
        </w:rPr>
        <w:t>分别胶装成册。</w:t>
      </w:r>
    </w:p>
    <w:p w14:paraId="0CC143C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16.3任何行间插字、涂改和增删，必须由供应商的法定代表人或其授权代表在旁边签字才有效。</w:t>
      </w:r>
    </w:p>
    <w:p w14:paraId="5BED7BE3">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16.4供应商名称应填写全称。磋商响应文件正本必须逐页加盖供应商公章（鲜章），否则按无效处理。</w:t>
      </w:r>
    </w:p>
    <w:p w14:paraId="5DB4BA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16.5因字迹潦草、表述不清或不按竞争性磋商文件格式编制的竞争性磋商响应文件，所引起的对供应商不利的后果，由供应商自行负责。</w:t>
      </w:r>
    </w:p>
    <w:p w14:paraId="4C4BB03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16.6竞争性磋商文件的副本、电子版须和正本保持一致。</w:t>
      </w:r>
      <w:r>
        <w:rPr>
          <w:rFonts w:hint="eastAsia" w:ascii="宋体" w:hAnsi="宋体" w:eastAsia="宋体" w:cs="宋体"/>
          <w:color w:val="auto"/>
          <w:highlight w:val="none"/>
        </w:rPr>
        <w:t>若正本、副本和电子版有不一致的内容，以正本为准。</w:t>
      </w:r>
    </w:p>
    <w:p w14:paraId="6D3D658F">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47" w:name="_Toc18686"/>
      <w:bookmarkStart w:id="48" w:name="_Toc20799"/>
      <w:bookmarkStart w:id="49" w:name="_Toc12266"/>
      <w:r>
        <w:rPr>
          <w:rFonts w:hint="eastAsia" w:ascii="宋体" w:hAnsi="宋体" w:eastAsia="宋体" w:cs="宋体"/>
          <w:b/>
          <w:color w:val="auto"/>
          <w:sz w:val="32"/>
          <w:szCs w:val="32"/>
          <w:highlight w:val="none"/>
        </w:rPr>
        <w:t>四.竞争性磋商响应文件的递交</w:t>
      </w:r>
      <w:bookmarkEnd w:id="47"/>
      <w:bookmarkEnd w:id="48"/>
      <w:bookmarkEnd w:id="49"/>
    </w:p>
    <w:p w14:paraId="143390E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17.竞争性磋商响应文件的密封和标记</w:t>
      </w:r>
    </w:p>
    <w:p w14:paraId="6FC0771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5D7FF0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17.2供应商应将竞争性磋商响应文件正本、</w:t>
      </w:r>
      <w:r>
        <w:rPr>
          <w:rFonts w:hint="eastAsia" w:ascii="宋体" w:hAnsi="宋体" w:eastAsia="宋体" w:cs="宋体"/>
          <w:color w:val="auto"/>
          <w:szCs w:val="24"/>
          <w:highlight w:val="none"/>
        </w:rPr>
        <w:t>所有的副本、</w:t>
      </w:r>
      <w:r>
        <w:rPr>
          <w:rFonts w:hint="eastAsia" w:ascii="宋体" w:hAnsi="宋体" w:eastAsia="宋体" w:cs="宋体"/>
          <w:color w:val="auto"/>
          <w:highlight w:val="none"/>
        </w:rPr>
        <w:t>电子版本、报价一览表单独密封装在封袋中（封袋不得有破损），且在封袋正面标明</w:t>
      </w:r>
      <w:r>
        <w:rPr>
          <w:rFonts w:hint="eastAsia" w:ascii="宋体" w:hAnsi="宋体" w:eastAsia="宋体" w:cs="宋体"/>
          <w:color w:val="auto"/>
          <w:szCs w:val="24"/>
          <w:highlight w:val="none"/>
        </w:rPr>
        <w:t>“正本”“副本”</w:t>
      </w:r>
      <w:r>
        <w:rPr>
          <w:rFonts w:hint="eastAsia" w:ascii="宋体" w:hAnsi="宋体" w:eastAsia="宋体" w:cs="宋体"/>
          <w:color w:val="auto"/>
          <w:highlight w:val="none"/>
        </w:rPr>
        <w:t>“电子版本”“报价一览表”字样。封袋应加贴封条，并在封线处加盖供应商公章，封袋正面要粘贴供应商全称、项目名称、编号等标识。</w:t>
      </w:r>
    </w:p>
    <w:p w14:paraId="0A526145">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外层包装请按以下要求标记：</w:t>
      </w:r>
    </w:p>
    <w:p w14:paraId="521FABDA">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磋商响应单位的全称；</w:t>
      </w:r>
    </w:p>
    <w:p w14:paraId="572089B2">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磋商项目名称、项目编号；</w:t>
      </w:r>
    </w:p>
    <w:p w14:paraId="07853BF8">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3）正本或副本、电子版、报价一览表“请勿在＿＿＿＿＿(磋商时间)之前启封”。</w:t>
      </w:r>
    </w:p>
    <w:p w14:paraId="7A0EAB4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17.4如果供应商未对竞争性磋商响应文件按上述要求进行完好密封，由此产生的不利后果由供应商自行承担。</w:t>
      </w:r>
    </w:p>
    <w:p w14:paraId="370C3D2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18．竞争性磋商响应文件的递交</w:t>
      </w:r>
    </w:p>
    <w:p w14:paraId="708A04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7B77FF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7211B96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18.3无论供应商成交与否，其竞争性磋商响应文件恕不退还。</w:t>
      </w:r>
    </w:p>
    <w:p w14:paraId="336268C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19．递交的竞争性磋商响应文件</w:t>
      </w:r>
    </w:p>
    <w:p w14:paraId="1DF469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19.1按照供应商须知的规定，采购代理机构将拒绝接受在规定的磋商截止时间后递交的任何竞争性磋商响应文件。</w:t>
      </w:r>
    </w:p>
    <w:p w14:paraId="5C1473B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20．磋商的修改与撤回</w:t>
      </w:r>
    </w:p>
    <w:p w14:paraId="4084221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85E938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403777E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在磋商截止时间之后，供应商不得对其磋商响应文件做任何修改或撤回。</w:t>
      </w:r>
    </w:p>
    <w:p w14:paraId="2A6DB49C">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50" w:name="_Toc25852"/>
      <w:bookmarkStart w:id="51" w:name="_Toc363474021"/>
      <w:bookmarkStart w:id="52" w:name="_Toc15436"/>
      <w:bookmarkStart w:id="53" w:name="_Toc363473976"/>
      <w:bookmarkStart w:id="54" w:name="_Toc13669"/>
      <w:bookmarkStart w:id="55" w:name="_Toc403077643"/>
      <w:r>
        <w:rPr>
          <w:rFonts w:hint="eastAsia" w:ascii="宋体" w:hAnsi="宋体" w:eastAsia="宋体" w:cs="宋体"/>
          <w:b/>
          <w:color w:val="auto"/>
          <w:sz w:val="32"/>
          <w:szCs w:val="32"/>
          <w:highlight w:val="none"/>
        </w:rPr>
        <w:t>五.磋商与评标</w:t>
      </w:r>
      <w:bookmarkEnd w:id="50"/>
      <w:bookmarkEnd w:id="51"/>
      <w:bookmarkEnd w:id="52"/>
      <w:bookmarkEnd w:id="53"/>
      <w:bookmarkEnd w:id="54"/>
      <w:bookmarkEnd w:id="55"/>
    </w:p>
    <w:p w14:paraId="2931E6E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21.磋商大会</w:t>
      </w:r>
    </w:p>
    <w:p w14:paraId="616B25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采购代理机构在规定的时间和地点组织竞争性磋商。磋商时所有供应商代表自愿参加，参加磋商的代表应签名报到以证明其出席。</w:t>
      </w:r>
    </w:p>
    <w:p w14:paraId="11420938">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21.2采购代理机构将做磋商记录，存档备查。</w:t>
      </w:r>
    </w:p>
    <w:p w14:paraId="12DA644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22．评审程序</w:t>
      </w:r>
    </w:p>
    <w:p w14:paraId="7948769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AF8747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23．评审组织及评审原则</w:t>
      </w:r>
    </w:p>
    <w:p w14:paraId="6CD0159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46D65B4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23.2竞争性磋商文件和竞争性磋商响应文件是评审的依据。在评审中，不得改变竞争性磋商文件中规定的评审标准、方法和成交条件。</w:t>
      </w:r>
    </w:p>
    <w:p w14:paraId="2361A58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6F256C9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23.4如果供应商在澄清规定期限内，未能答复或拒绝答复磋商小组提出的澄清要求，将由磋商小组根据其竞争性磋商响应文件按最大风险进行评审。</w:t>
      </w:r>
    </w:p>
    <w:p w14:paraId="7CE721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23.5磋商过程中的实质性变动：</w:t>
      </w:r>
    </w:p>
    <w:p w14:paraId="1B9B97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1BC16E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23.5.2对竞争性磋商文件做出的实质性变动是磋商文件的有效组成部分，磋商小组应当及时以书面形式通知所有参加磋商的供应商。</w:t>
      </w:r>
    </w:p>
    <w:p w14:paraId="1F4D1D4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23.6竞争性磋商响应文件的初审（含资格性检查和符合性检查）</w:t>
      </w:r>
    </w:p>
    <w:p w14:paraId="40B0CC0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23.6.1磋商小组将审查竞争性磋商响应文件是否完整、资格证明文件是否齐全，磋商保证金是否合格、有无计算上的错误等。</w:t>
      </w:r>
    </w:p>
    <w:p w14:paraId="2C2E811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23.6.2计算错误将按以下方法更正：</w:t>
      </w:r>
    </w:p>
    <w:p w14:paraId="44A002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57744E0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（2）磋商响应文件的大写金额和小写金额不一致的，以大写金额为准；</w:t>
      </w:r>
    </w:p>
    <w:p w14:paraId="4228BF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（3）单价金额小数点或者百分比有明显错位的，以单独密封的报价一览表的总价为准，并修改单价；</w:t>
      </w:r>
    </w:p>
    <w:p w14:paraId="772D82D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（4）总价金额与按单价汇总金额不一致的，以单价金额计算结果为准。</w:t>
      </w:r>
    </w:p>
    <w:p w14:paraId="4D2044C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按上述修正的顺序和方法调整的报价应对供应商具有约束力。如果供应商不接受修正后的价格，其响应文件将按无效响应处理。</w:t>
      </w:r>
    </w:p>
    <w:p w14:paraId="08B0A81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23.6.3对于竞争性磋商响应文件中明显的标点符号错误或不构成实质性偏差的不正规、不一致或不规则，采购人可以接受。</w:t>
      </w:r>
    </w:p>
    <w:p w14:paraId="66E750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EDFAEC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color w:val="auto"/>
          <w:szCs w:val="24"/>
          <w:highlight w:val="none"/>
        </w:rPr>
        <w:t>如发现下列情况之一的，其磋商将构成非实质性响应，按无效磋商处理：</w:t>
      </w:r>
    </w:p>
    <w:p w14:paraId="570EB9AC">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1）没有按照竞争性磋商文件要求提供的竞争性磋商响应文件或竞争性磋商响应文件构成有重大缺项；</w:t>
      </w:r>
    </w:p>
    <w:p w14:paraId="3F0CA9C4">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2）竞争性磋商响应文件未按竞争性磋商文件要求密封、签署、盖章的；</w:t>
      </w:r>
    </w:p>
    <w:p w14:paraId="5534BE72">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3）供应商未提交有效的磋商保证金或金额不足的、磋商保证金形式不符合竞争性磋商文件要求的；</w:t>
      </w:r>
    </w:p>
    <w:p w14:paraId="2F6DC28D">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4）资格证明文件不全的或无效的，或不符合国家规定的；</w:t>
      </w:r>
    </w:p>
    <w:p w14:paraId="3978FCC9">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5）竞争性磋商响应文件无供应商公章、无法定代表人签字或签字人无法定代表人有效委托书的；</w:t>
      </w:r>
    </w:p>
    <w:p w14:paraId="0B5A207D">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6）</w:t>
      </w:r>
      <w:r>
        <w:rPr>
          <w:rFonts w:hint="eastAsia" w:ascii="宋体" w:hAnsi="宋体" w:eastAsia="宋体" w:cs="宋体"/>
          <w:b/>
          <w:bCs/>
          <w:color w:val="auto"/>
          <w:spacing w:val="-6"/>
          <w:szCs w:val="24"/>
          <w:highlight w:val="none"/>
        </w:rPr>
        <w:t>无磋商有效期或有效期达不到竞争性磋商文件要求的</w:t>
      </w:r>
      <w:r>
        <w:rPr>
          <w:rFonts w:hint="eastAsia" w:ascii="宋体" w:hAnsi="宋体" w:eastAsia="宋体" w:cs="宋体"/>
          <w:b/>
          <w:bCs/>
          <w:color w:val="auto"/>
          <w:szCs w:val="24"/>
          <w:highlight w:val="none"/>
        </w:rPr>
        <w:t>；</w:t>
      </w:r>
    </w:p>
    <w:p w14:paraId="245B302A">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7）供应商在同一份竞争性磋商响应文件中，有两个或多个报价的；</w:t>
      </w:r>
    </w:p>
    <w:p w14:paraId="03E6AAC9">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8）存在有重大缺漏项和重大偏离的；</w:t>
      </w:r>
    </w:p>
    <w:p w14:paraId="38E3A360">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276D87BB">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10）磋商总报价低于成本或者高于竞争性磋商文件公布的采购预算的。</w:t>
      </w:r>
    </w:p>
    <w:p w14:paraId="4E1DDEF2">
      <w:pPr>
        <w:pStyle w:val="21"/>
        <w:spacing w:before="0" w:beforeAutospacing="0" w:after="0" w:afterAutospacing="0" w:line="50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11）竞争性磋商响应文件含有采购人不能接受的附加条件的；</w:t>
      </w:r>
    </w:p>
    <w:p w14:paraId="097D9528">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12）竞争性磋商响应文件不符合法律法规要求的；</w:t>
      </w:r>
    </w:p>
    <w:p w14:paraId="53FB6917">
      <w:pPr>
        <w:pStyle w:val="21"/>
        <w:spacing w:before="0" w:beforeAutospacing="0" w:after="0" w:afterAutospacing="0" w:line="50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03D1DD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23.7竞争性磋商响应文件的详细评审</w:t>
      </w:r>
    </w:p>
    <w:p w14:paraId="76222C9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23.7.1磋商小组将按照本须知第22.6.4条规定，只对确定为实质性响应竞争性磋商文件要求的磋商响应文件进行详细评审。</w:t>
      </w:r>
    </w:p>
    <w:p w14:paraId="1D99FA8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23.7.2详细评审按照“供应商须知前附表”的评审方法进行。</w:t>
      </w:r>
    </w:p>
    <w:p w14:paraId="7193EA2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23.8成交候选人的确定</w:t>
      </w:r>
    </w:p>
    <w:p w14:paraId="55904FB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磋商小组完成评审后，向采购人提出书面评审，并推荐1-3名成交候选人，标明排列顺序。</w:t>
      </w:r>
    </w:p>
    <w:p w14:paraId="773B84D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24．评审过程的保密</w:t>
      </w:r>
    </w:p>
    <w:p w14:paraId="4EE9E02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磋商小组成员和与评审活动有关的工作人员不得泄露有关竞争性磋商响应文件的评审和比较、成交候选人的推荐以及与评审有关的其他情况。</w:t>
      </w:r>
    </w:p>
    <w:p w14:paraId="677B1102">
      <w:pPr>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25．评审方法</w:t>
      </w:r>
    </w:p>
    <w:p w14:paraId="50537C3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color w:val="auto"/>
          <w:szCs w:val="24"/>
          <w:highlight w:val="none"/>
          <w:lang w:val="en-US" w:eastAsia="zh-CN"/>
        </w:rPr>
        <w:t>推荐</w:t>
      </w:r>
      <w:r>
        <w:rPr>
          <w:rFonts w:hint="eastAsia" w:ascii="宋体" w:hAnsi="宋体" w:eastAsia="宋体" w:cs="宋体"/>
          <w:color w:val="auto"/>
          <w:szCs w:val="24"/>
          <w:highlight w:val="none"/>
        </w:rPr>
        <w:t>1-3名成交候选人。</w:t>
      </w:r>
    </w:p>
    <w:p w14:paraId="43DE911D">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56" w:name="_Toc15100"/>
      <w:bookmarkStart w:id="57" w:name="_Toc29146"/>
      <w:bookmarkStart w:id="58" w:name="_Toc24420"/>
      <w:r>
        <w:rPr>
          <w:rFonts w:hint="eastAsia" w:ascii="宋体" w:hAnsi="宋体" w:eastAsia="宋体" w:cs="宋体"/>
          <w:b/>
          <w:color w:val="auto"/>
          <w:sz w:val="32"/>
          <w:szCs w:val="32"/>
          <w:highlight w:val="none"/>
        </w:rPr>
        <w:t>六.成交、通知与签约</w:t>
      </w:r>
      <w:bookmarkEnd w:id="56"/>
      <w:bookmarkEnd w:id="57"/>
      <w:bookmarkEnd w:id="58"/>
    </w:p>
    <w:p w14:paraId="1BCA43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14:paraId="4EE608A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14:paraId="057BF0F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14:paraId="029322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E269C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14:paraId="700FA18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14:paraId="04A0A4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14:paraId="44F7A8A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14:paraId="3491828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14:paraId="44ADC44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6BA10A2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14:paraId="08F1F77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A4F365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1E84308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29．成交代理服务费</w:t>
      </w:r>
      <w:r>
        <w:rPr>
          <w:rFonts w:hint="eastAsia" w:ascii="宋体" w:hAnsi="宋体" w:eastAsia="宋体" w:cs="宋体"/>
          <w:color w:val="auto"/>
          <w:szCs w:val="24"/>
          <w:highlight w:val="none"/>
        </w:rPr>
        <w:t xml:space="preserve"> </w:t>
      </w:r>
    </w:p>
    <w:p w14:paraId="08710177">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lang w:val="en-US" w:eastAsia="zh-CN"/>
        </w:rPr>
        <w:t>29.1</w:t>
      </w:r>
      <w:r>
        <w:rPr>
          <w:rFonts w:hint="eastAsia" w:ascii="宋体" w:hAnsi="宋体" w:eastAsia="宋体" w:cs="宋体"/>
          <w:b w:val="0"/>
          <w:bCs w:val="0"/>
          <w:color w:val="auto"/>
          <w:szCs w:val="24"/>
          <w:highlight w:val="none"/>
        </w:rPr>
        <w:t>收费标准：按国家计委颁发的《招标代理服务收费管理暂行办法》（计价格〔2002〕1980号）及国家发展和改革委员会办公厅颁发的《关于招标代理服务收费有关问题的通知》（发改办价格〔2003〕857号）的有关规定执行。</w:t>
      </w:r>
    </w:p>
    <w:p w14:paraId="578B9759">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lang w:val="en-US" w:eastAsia="zh-CN"/>
        </w:rPr>
        <w:t>29.2</w:t>
      </w:r>
      <w:r>
        <w:rPr>
          <w:rFonts w:hint="eastAsia" w:ascii="宋体" w:hAnsi="宋体" w:eastAsia="宋体" w:cs="宋体"/>
          <w:b w:val="0"/>
          <w:bCs w:val="0"/>
          <w:color w:val="auto"/>
          <w:szCs w:val="24"/>
          <w:highlight w:val="none"/>
        </w:rPr>
        <w:t>成交供应商在领取中标通知书前，须向采购代理机构一次性支付招标代理服务费。</w:t>
      </w:r>
    </w:p>
    <w:p w14:paraId="6688C1B1">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代理服务费转账账户：</w:t>
      </w:r>
    </w:p>
    <w:p w14:paraId="5EA1FF77">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1、采购代理机构开户名称</w:t>
      </w:r>
      <w:r>
        <w:rPr>
          <w:rFonts w:hint="eastAsia" w:hAnsi="宋体" w:cs="宋体"/>
          <w:b/>
          <w:bCs/>
          <w:color w:val="auto"/>
          <w:szCs w:val="24"/>
          <w:highlight w:val="none"/>
          <w:lang w:eastAsia="zh-CN"/>
        </w:rPr>
        <w:t>：陕西至诚项目管理集团有限公司</w:t>
      </w:r>
    </w:p>
    <w:p w14:paraId="1A3082F8">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7F1EA6E4">
      <w:pPr>
        <w:pStyle w:val="11"/>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3、账号：61050192090000002152。</w:t>
      </w:r>
    </w:p>
    <w:p w14:paraId="78EF1C58">
      <w:pPr>
        <w:numPr>
          <w:ilvl w:val="0"/>
          <w:numId w:val="3"/>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14:paraId="38426E6D">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2937E0C">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34A5E2A8">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FD79027">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6B1213A7">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07C0FA01">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6C7EE3E8">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14:paraId="69F276CB">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9F742D0">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35091A46">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54B3250C">
      <w:pPr>
        <w:spacing w:line="500" w:lineRule="exact"/>
        <w:ind w:right="12"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14:paraId="75658D0D">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14:paraId="03FE901E">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14:paraId="27408938">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14:paraId="407865E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14:paraId="68BF247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14:paraId="08063051">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14:paraId="3BF5586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14:paraId="2AF89DA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14:paraId="26A1A250">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30.6.8不符合法律、法规、规章和政府采购监管机构规定的其他条件的。</w:t>
      </w:r>
    </w:p>
    <w:p w14:paraId="16B3B62E">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30.7质疑答复</w:t>
      </w:r>
    </w:p>
    <w:p w14:paraId="7DC9645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30.7.1采购人或采购代理机构在收到质疑函后7个工作日内作出答复，并以书面形式通知质疑供应商和其他有关供应商。</w:t>
      </w:r>
    </w:p>
    <w:p w14:paraId="17DEF80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14:paraId="66C863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475E58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568C30A0">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222071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9" w:name="_Toc363474023"/>
    </w:p>
    <w:p w14:paraId="6D89C747">
      <w:pPr>
        <w:pStyle w:val="2"/>
        <w:numPr>
          <w:ilvl w:val="0"/>
          <w:numId w:val="4"/>
        </w:numPr>
        <w:jc w:val="center"/>
        <w:outlineLvl w:val="0"/>
        <w:rPr>
          <w:rFonts w:hint="eastAsia" w:ascii="宋体" w:hAnsi="宋体" w:eastAsia="宋体" w:cs="宋体"/>
          <w:color w:val="auto"/>
          <w:highlight w:val="none"/>
        </w:rPr>
      </w:pPr>
      <w:bookmarkStart w:id="60" w:name="_Toc25783"/>
      <w:bookmarkStart w:id="61" w:name="_Toc423973074"/>
      <w:bookmarkStart w:id="62" w:name="_Toc403077645"/>
      <w:r>
        <w:rPr>
          <w:rFonts w:hint="eastAsia" w:ascii="宋体" w:hAnsi="宋体" w:eastAsia="宋体" w:cs="宋体"/>
          <w:bCs/>
          <w:color w:val="auto"/>
          <w:sz w:val="36"/>
          <w:szCs w:val="36"/>
          <w:highlight w:val="none"/>
        </w:rPr>
        <w:br w:type="page"/>
      </w:r>
      <w:bookmarkStart w:id="63" w:name="_Toc22973"/>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 xml:space="preserve"> </w:t>
      </w:r>
      <w:bookmarkStart w:id="64" w:name="_Toc22398"/>
      <w:bookmarkStart w:id="65" w:name="_Toc9687"/>
      <w:r>
        <w:rPr>
          <w:rFonts w:hint="eastAsia" w:ascii="宋体" w:hAnsi="宋体" w:eastAsia="宋体" w:cs="宋体"/>
          <w:bCs/>
          <w:color w:val="auto"/>
          <w:sz w:val="36"/>
          <w:szCs w:val="36"/>
          <w:highlight w:val="none"/>
        </w:rPr>
        <w:t>评审方法</w:t>
      </w:r>
      <w:bookmarkEnd w:id="63"/>
      <w:bookmarkEnd w:id="64"/>
      <w:bookmarkEnd w:id="65"/>
    </w:p>
    <w:p w14:paraId="43CDF996">
      <w:pPr>
        <w:spacing w:line="360" w:lineRule="auto"/>
        <w:outlineLvl w:val="1"/>
        <w:rPr>
          <w:rFonts w:hint="eastAsia" w:ascii="宋体" w:hAnsi="宋体" w:eastAsia="宋体" w:cs="宋体"/>
          <w:b/>
          <w:color w:val="auto"/>
          <w:szCs w:val="24"/>
          <w:highlight w:val="none"/>
        </w:rPr>
      </w:pPr>
      <w:bookmarkStart w:id="66" w:name="_Toc26649"/>
      <w:bookmarkStart w:id="67" w:name="_Toc28665"/>
      <w:bookmarkStart w:id="68" w:name="_Toc32051"/>
      <w:bookmarkStart w:id="69" w:name="_Toc23722"/>
      <w:r>
        <w:rPr>
          <w:rFonts w:hint="eastAsia" w:ascii="宋体" w:hAnsi="宋体" w:eastAsia="宋体" w:cs="宋体"/>
          <w:b/>
          <w:color w:val="auto"/>
          <w:szCs w:val="24"/>
          <w:highlight w:val="none"/>
        </w:rPr>
        <w:t>一</w:t>
      </w:r>
      <w:r>
        <w:rPr>
          <w:rFonts w:hint="eastAsia" w:hAnsi="宋体" w:cs="宋体"/>
          <w:b/>
          <w:color w:val="auto"/>
          <w:szCs w:val="24"/>
          <w:highlight w:val="none"/>
          <w:lang w:eastAsia="zh-CN"/>
        </w:rPr>
        <w:t>、</w:t>
      </w:r>
      <w:r>
        <w:rPr>
          <w:rFonts w:hint="eastAsia" w:ascii="宋体" w:hAnsi="宋体" w:eastAsia="宋体" w:cs="宋体"/>
          <w:b/>
          <w:color w:val="auto"/>
          <w:szCs w:val="24"/>
          <w:highlight w:val="none"/>
        </w:rPr>
        <w:t>评审方法</w:t>
      </w:r>
      <w:bookmarkEnd w:id="66"/>
      <w:bookmarkEnd w:id="67"/>
      <w:bookmarkEnd w:id="68"/>
      <w:bookmarkEnd w:id="69"/>
    </w:p>
    <w:p w14:paraId="5694874B">
      <w:pPr>
        <w:spacing w:line="500" w:lineRule="exact"/>
        <w:ind w:firstLine="520" w:firstLineChars="217"/>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0E8F6783">
      <w:pPr>
        <w:spacing w:line="500" w:lineRule="exact"/>
        <w:outlineLvl w:val="1"/>
        <w:rPr>
          <w:rFonts w:hint="eastAsia" w:ascii="宋体" w:hAnsi="宋体" w:eastAsia="宋体" w:cs="宋体"/>
          <w:b/>
          <w:color w:val="auto"/>
          <w:spacing w:val="4"/>
          <w:szCs w:val="24"/>
          <w:highlight w:val="none"/>
        </w:rPr>
      </w:pPr>
      <w:bookmarkStart w:id="70" w:name="_Toc2374"/>
      <w:bookmarkStart w:id="71" w:name="_Toc20625"/>
      <w:bookmarkStart w:id="72" w:name="_Toc23145"/>
      <w:bookmarkStart w:id="73" w:name="_Toc27615"/>
      <w:r>
        <w:rPr>
          <w:rFonts w:hint="eastAsia" w:ascii="宋体" w:hAnsi="宋体" w:eastAsia="宋体" w:cs="宋体"/>
          <w:b/>
          <w:color w:val="auto"/>
          <w:spacing w:val="4"/>
          <w:szCs w:val="24"/>
          <w:highlight w:val="none"/>
        </w:rPr>
        <w:t>二、评审程序</w:t>
      </w:r>
      <w:bookmarkEnd w:id="70"/>
      <w:bookmarkEnd w:id="71"/>
      <w:bookmarkEnd w:id="72"/>
      <w:bookmarkEnd w:id="73"/>
    </w:p>
    <w:p w14:paraId="34D2745E">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5011BF90">
      <w:pPr>
        <w:numPr>
          <w:ilvl w:val="0"/>
          <w:numId w:val="5"/>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14:paraId="37D516B3">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ascii="宋体" w:hAnsi="宋体" w:eastAsia="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46DBE133">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p w14:paraId="3957FD09">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D2B0601">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1.2.2竞争性磋商响应文件的有效性。竞争性磋商响应文件的签署、加盖印章是否合格、有效；提供的各种证明文件、数据、资料是否真实、有效。</w:t>
      </w:r>
    </w:p>
    <w:p w14:paraId="6AF15556">
      <w:pPr>
        <w:spacing w:line="500" w:lineRule="exact"/>
        <w:ind w:firstLine="496" w:firstLineChars="200"/>
        <w:rPr>
          <w:rFonts w:hint="eastAsia" w:ascii="宋体" w:hAnsi="宋体" w:eastAsia="宋体" w:cs="宋体"/>
          <w:color w:val="auto"/>
          <w:szCs w:val="24"/>
          <w:highlight w:val="none"/>
        </w:rPr>
      </w:pPr>
      <w:r>
        <w:rPr>
          <w:rFonts w:hint="eastAsia" w:ascii="宋体" w:hAnsi="宋体" w:eastAsia="宋体" w:cs="宋体"/>
          <w:bCs/>
          <w:color w:val="auto"/>
          <w:spacing w:val="4"/>
          <w:szCs w:val="24"/>
          <w:highlight w:val="none"/>
        </w:rPr>
        <w:t>1.2.3竞争性磋商</w:t>
      </w:r>
      <w:r>
        <w:rPr>
          <w:rFonts w:hint="eastAsia" w:ascii="宋体" w:hAnsi="宋体" w:eastAsia="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095BB5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1.2.4报价是否超过采购预算。</w:t>
      </w:r>
    </w:p>
    <w:p w14:paraId="3B8566B6">
      <w:pPr>
        <w:spacing w:line="500" w:lineRule="exact"/>
        <w:ind w:firstLine="480" w:firstLineChars="200"/>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1.2.5磋商保证金是否按照磋商文件要求缴纳。</w:t>
      </w:r>
    </w:p>
    <w:p w14:paraId="05311FEF">
      <w:pPr>
        <w:spacing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14:paraId="0D612F16">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3D0B0AB2">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14:paraId="6B537893">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8C71115">
      <w:pPr>
        <w:pStyle w:val="11"/>
        <w:spacing w:line="50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8D4DEE2">
      <w:pPr>
        <w:spacing w:line="360" w:lineRule="auto"/>
        <w:ind w:firstLine="498" w:firstLineChars="200"/>
        <w:jc w:val="center"/>
        <w:outlineLvl w:val="1"/>
        <w:rPr>
          <w:rFonts w:hint="eastAsia" w:ascii="宋体" w:hAnsi="宋体" w:eastAsia="宋体" w:cs="宋体"/>
          <w:color w:val="auto"/>
          <w:szCs w:val="24"/>
          <w:highlight w:val="none"/>
        </w:rPr>
      </w:pPr>
      <w:r>
        <w:rPr>
          <w:rFonts w:hint="eastAsia" w:ascii="宋体" w:hAnsi="宋体" w:eastAsia="宋体" w:cs="宋体"/>
          <w:b/>
          <w:color w:val="auto"/>
          <w:spacing w:val="4"/>
          <w:szCs w:val="24"/>
          <w:highlight w:val="none"/>
        </w:rPr>
        <w:br w:type="page"/>
      </w:r>
      <w:bookmarkStart w:id="74" w:name="_Toc13330"/>
      <w:bookmarkStart w:id="75" w:name="_Toc28532"/>
      <w:bookmarkStart w:id="76" w:name="_Toc4223"/>
      <w:bookmarkStart w:id="77" w:name="_Toc23630"/>
      <w:r>
        <w:rPr>
          <w:rFonts w:hint="eastAsia" w:hAnsi="宋体" w:cs="宋体"/>
          <w:b/>
          <w:color w:val="auto"/>
          <w:spacing w:val="4"/>
          <w:szCs w:val="24"/>
          <w:highlight w:val="none"/>
          <w:lang w:val="en-US" w:eastAsia="zh-CN"/>
        </w:rPr>
        <w:t>三</w:t>
      </w:r>
      <w:r>
        <w:rPr>
          <w:rFonts w:hint="eastAsia" w:ascii="宋体" w:hAnsi="宋体" w:eastAsia="宋体" w:cs="宋体"/>
          <w:b/>
          <w:color w:val="auto"/>
          <w:spacing w:val="4"/>
          <w:szCs w:val="24"/>
          <w:highlight w:val="none"/>
        </w:rPr>
        <w:t>、</w:t>
      </w:r>
      <w:r>
        <w:rPr>
          <w:rFonts w:hint="eastAsia" w:ascii="宋体" w:hAnsi="宋体" w:eastAsia="宋体" w:cs="宋体"/>
          <w:b/>
          <w:color w:val="auto"/>
          <w:szCs w:val="24"/>
          <w:highlight w:val="none"/>
        </w:rPr>
        <w:t>评审要素和分值分解表</w:t>
      </w:r>
      <w:bookmarkEnd w:id="74"/>
      <w:bookmarkEnd w:id="75"/>
      <w:bookmarkEnd w:id="76"/>
      <w:bookmarkEnd w:id="77"/>
    </w:p>
    <w:tbl>
      <w:tblPr>
        <w:tblStyle w:val="37"/>
        <w:tblW w:w="50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1019"/>
        <w:gridCol w:w="6961"/>
        <w:gridCol w:w="682"/>
      </w:tblGrid>
      <w:tr w14:paraId="7651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364" w:type="pct"/>
            <w:vAlign w:val="center"/>
          </w:tcPr>
          <w:p w14:paraId="51CF2B76">
            <w:pPr>
              <w:bidi w:val="0"/>
              <w:jc w:val="center"/>
              <w:rPr>
                <w:rFonts w:hint="default"/>
                <w:color w:val="auto"/>
                <w:highlight w:val="none"/>
                <w:lang w:val="en-US" w:eastAsia="zh-CN"/>
              </w:rPr>
            </w:pPr>
            <w:r>
              <w:rPr>
                <w:rFonts w:hint="eastAsia"/>
                <w:color w:val="auto"/>
                <w:highlight w:val="none"/>
                <w:lang w:val="en-US" w:eastAsia="zh-CN"/>
              </w:rPr>
              <w:t>序号</w:t>
            </w:r>
          </w:p>
        </w:tc>
        <w:tc>
          <w:tcPr>
            <w:tcW w:w="545" w:type="pct"/>
            <w:vAlign w:val="center"/>
          </w:tcPr>
          <w:p w14:paraId="73729FA7">
            <w:pPr>
              <w:bidi w:val="0"/>
              <w:jc w:val="center"/>
              <w:rPr>
                <w:rFonts w:hint="eastAsia" w:eastAsia="宋体"/>
                <w:color w:val="auto"/>
                <w:highlight w:val="none"/>
                <w:lang w:eastAsia="zh-CN"/>
              </w:rPr>
            </w:pPr>
            <w:r>
              <w:rPr>
                <w:rFonts w:hint="eastAsia"/>
                <w:color w:val="auto"/>
                <w:highlight w:val="none"/>
                <w:lang w:val="en-US" w:eastAsia="zh-CN"/>
              </w:rPr>
              <w:t>评审内容</w:t>
            </w:r>
          </w:p>
        </w:tc>
        <w:tc>
          <w:tcPr>
            <w:tcW w:w="3723" w:type="pct"/>
            <w:vAlign w:val="center"/>
          </w:tcPr>
          <w:p w14:paraId="2445257F">
            <w:pPr>
              <w:bidi w:val="0"/>
              <w:jc w:val="center"/>
              <w:rPr>
                <w:color w:val="auto"/>
                <w:highlight w:val="none"/>
              </w:rPr>
            </w:pPr>
            <w:r>
              <w:rPr>
                <w:color w:val="auto"/>
                <w:highlight w:val="none"/>
              </w:rPr>
              <w:t>赋分标准</w:t>
            </w:r>
          </w:p>
        </w:tc>
        <w:tc>
          <w:tcPr>
            <w:tcW w:w="365" w:type="pct"/>
            <w:vAlign w:val="center"/>
          </w:tcPr>
          <w:p w14:paraId="260AF6CC">
            <w:pPr>
              <w:bidi w:val="0"/>
              <w:jc w:val="center"/>
              <w:rPr>
                <w:color w:val="auto"/>
                <w:highlight w:val="none"/>
              </w:rPr>
            </w:pPr>
            <w:r>
              <w:rPr>
                <w:color w:val="auto"/>
                <w:highlight w:val="none"/>
              </w:rPr>
              <w:t>分值</w:t>
            </w:r>
          </w:p>
        </w:tc>
      </w:tr>
      <w:tr w14:paraId="613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364" w:type="pct"/>
            <w:vAlign w:val="center"/>
          </w:tcPr>
          <w:p w14:paraId="1176CDB3">
            <w:pPr>
              <w:bidi w:val="0"/>
              <w:jc w:val="center"/>
              <w:rPr>
                <w:rFonts w:hint="default"/>
                <w:color w:val="auto"/>
                <w:highlight w:val="none"/>
                <w:lang w:val="en-US" w:eastAsia="zh-CN"/>
              </w:rPr>
            </w:pPr>
            <w:r>
              <w:rPr>
                <w:rFonts w:hint="eastAsia"/>
                <w:color w:val="auto"/>
                <w:highlight w:val="none"/>
                <w:lang w:val="en-US" w:eastAsia="zh-CN"/>
              </w:rPr>
              <w:t>1</w:t>
            </w:r>
          </w:p>
        </w:tc>
        <w:tc>
          <w:tcPr>
            <w:tcW w:w="545" w:type="pct"/>
            <w:vAlign w:val="center"/>
          </w:tcPr>
          <w:p w14:paraId="62CA9F16">
            <w:pPr>
              <w:bidi w:val="0"/>
              <w:jc w:val="center"/>
              <w:rPr>
                <w:rFonts w:hint="eastAsia" w:eastAsia="宋体"/>
                <w:color w:val="auto"/>
                <w:highlight w:val="none"/>
                <w:lang w:eastAsia="zh-CN"/>
              </w:rPr>
            </w:pPr>
            <w:r>
              <w:rPr>
                <w:rFonts w:hint="eastAsia"/>
                <w:color w:val="auto"/>
                <w:highlight w:val="none"/>
                <w:lang w:val="en-US" w:eastAsia="zh-CN"/>
              </w:rPr>
              <w:t>磋商价格</w:t>
            </w:r>
          </w:p>
        </w:tc>
        <w:tc>
          <w:tcPr>
            <w:tcW w:w="3723" w:type="pct"/>
            <w:vAlign w:val="center"/>
          </w:tcPr>
          <w:p w14:paraId="048D874E">
            <w:pPr>
              <w:bidi w:val="0"/>
              <w:jc w:val="both"/>
              <w:rPr>
                <w:color w:val="auto"/>
                <w:highlight w:val="none"/>
              </w:rPr>
            </w:pPr>
            <w:r>
              <w:rPr>
                <w:rFonts w:hint="eastAsia"/>
                <w:color w:val="auto"/>
                <w:highlight w:val="none"/>
              </w:rPr>
              <w:t>满足磋商文件商务及技术要求且最后报价最低的供应商的价格为磋商基准价，其价格分为满分。报价得分=（磋商基准价/最后磋商报价）*价格分值</w:t>
            </w:r>
          </w:p>
        </w:tc>
        <w:tc>
          <w:tcPr>
            <w:tcW w:w="365" w:type="pct"/>
            <w:vAlign w:val="center"/>
          </w:tcPr>
          <w:p w14:paraId="0B6D4D0E">
            <w:pPr>
              <w:bidi w:val="0"/>
              <w:jc w:val="center"/>
              <w:rPr>
                <w:rFonts w:hint="eastAsia"/>
                <w:color w:val="auto"/>
                <w:highlight w:val="none"/>
              </w:rPr>
            </w:pPr>
            <w:r>
              <w:rPr>
                <w:rFonts w:hint="eastAsia"/>
                <w:color w:val="auto"/>
                <w:highlight w:val="none"/>
                <w:lang w:val="en-US" w:eastAsia="zh-CN"/>
              </w:rPr>
              <w:t>10</w:t>
            </w:r>
            <w:r>
              <w:rPr>
                <w:color w:val="auto"/>
                <w:highlight w:val="none"/>
              </w:rPr>
              <w:t>分</w:t>
            </w:r>
          </w:p>
        </w:tc>
      </w:tr>
      <w:tr w14:paraId="11B0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0" w:hRule="atLeast"/>
        </w:trPr>
        <w:tc>
          <w:tcPr>
            <w:tcW w:w="364" w:type="pct"/>
            <w:vAlign w:val="center"/>
          </w:tcPr>
          <w:p w14:paraId="5E07542F">
            <w:pPr>
              <w:bidi w:val="0"/>
              <w:jc w:val="center"/>
              <w:rPr>
                <w:rFonts w:hint="eastAsia" w:eastAsia="宋体"/>
                <w:color w:val="auto"/>
                <w:highlight w:val="none"/>
                <w:lang w:val="en-US" w:eastAsia="zh-CN"/>
              </w:rPr>
            </w:pPr>
            <w:r>
              <w:rPr>
                <w:rFonts w:hint="eastAsia"/>
                <w:color w:val="auto"/>
                <w:highlight w:val="none"/>
                <w:lang w:val="en-US" w:eastAsia="zh-CN"/>
              </w:rPr>
              <w:t>2</w:t>
            </w:r>
          </w:p>
        </w:tc>
        <w:tc>
          <w:tcPr>
            <w:tcW w:w="545" w:type="pct"/>
            <w:vAlign w:val="center"/>
          </w:tcPr>
          <w:p w14:paraId="0124451E">
            <w:pPr>
              <w:bidi w:val="0"/>
              <w:jc w:val="center"/>
              <w:rPr>
                <w:rFonts w:hint="eastAsia" w:eastAsia="宋体"/>
                <w:color w:val="auto"/>
                <w:highlight w:val="none"/>
                <w:lang w:eastAsia="zh-CN"/>
              </w:rPr>
            </w:pPr>
            <w:r>
              <w:rPr>
                <w:rFonts w:hint="eastAsia"/>
                <w:color w:val="auto"/>
                <w:highlight w:val="none"/>
                <w:lang w:val="en-US" w:eastAsia="zh-CN"/>
              </w:rPr>
              <w:t>维保方案</w:t>
            </w:r>
          </w:p>
        </w:tc>
        <w:tc>
          <w:tcPr>
            <w:tcW w:w="3723" w:type="pct"/>
            <w:vAlign w:val="center"/>
          </w:tcPr>
          <w:p w14:paraId="12A531A0">
            <w:pPr>
              <w:bidi w:val="0"/>
              <w:jc w:val="both"/>
              <w:rPr>
                <w:rFonts w:hint="eastAsia"/>
                <w:b/>
                <w:bCs/>
                <w:color w:val="auto"/>
                <w:highlight w:val="none"/>
              </w:rPr>
            </w:pPr>
            <w:r>
              <w:rPr>
                <w:rFonts w:hint="eastAsia"/>
                <w:b/>
                <w:bCs/>
                <w:color w:val="auto"/>
                <w:highlight w:val="none"/>
              </w:rPr>
              <w:t>一、评审内容：</w:t>
            </w:r>
          </w:p>
          <w:p w14:paraId="1AE9A5B0">
            <w:pPr>
              <w:bidi w:val="0"/>
              <w:jc w:val="both"/>
              <w:rPr>
                <w:rFonts w:hint="eastAsia"/>
                <w:color w:val="auto"/>
                <w:highlight w:val="none"/>
              </w:rPr>
            </w:pPr>
            <w:r>
              <w:rPr>
                <w:rFonts w:hint="eastAsia"/>
                <w:color w:val="auto"/>
                <w:highlight w:val="none"/>
              </w:rPr>
              <w:t>针对本项目提出适用于本项目的</w:t>
            </w:r>
            <w:r>
              <w:rPr>
                <w:rFonts w:hint="eastAsia"/>
                <w:color w:val="auto"/>
                <w:highlight w:val="none"/>
                <w:lang w:val="en-US" w:eastAsia="zh-CN"/>
              </w:rPr>
              <w:t>维保方案</w:t>
            </w:r>
            <w:r>
              <w:rPr>
                <w:rFonts w:hint="eastAsia"/>
                <w:color w:val="auto"/>
                <w:highlight w:val="none"/>
              </w:rPr>
              <w:t>，包括：</w:t>
            </w:r>
          </w:p>
          <w:p w14:paraId="530E614F">
            <w:pPr>
              <w:bidi w:val="0"/>
              <w:jc w:val="both"/>
              <w:rPr>
                <w:rFonts w:hint="eastAsia" w:eastAsia="宋体"/>
                <w:color w:val="auto"/>
                <w:highlight w:val="none"/>
                <w:lang w:eastAsia="zh-CN"/>
              </w:rPr>
            </w:pPr>
            <w:r>
              <w:rPr>
                <w:rFonts w:hint="eastAsia"/>
                <w:color w:val="auto"/>
                <w:highlight w:val="none"/>
              </w:rPr>
              <w:t>①全年保养分析</w:t>
            </w:r>
            <w:r>
              <w:rPr>
                <w:rFonts w:hint="eastAsia"/>
                <w:color w:val="auto"/>
                <w:highlight w:val="none"/>
                <w:lang w:eastAsia="zh-CN"/>
              </w:rPr>
              <w:t>；</w:t>
            </w:r>
          </w:p>
          <w:p w14:paraId="352092D2">
            <w:pPr>
              <w:bidi w:val="0"/>
              <w:jc w:val="both"/>
              <w:rPr>
                <w:rFonts w:hint="eastAsia"/>
                <w:color w:val="auto"/>
                <w:highlight w:val="none"/>
              </w:rPr>
            </w:pPr>
            <w:r>
              <w:rPr>
                <w:rFonts w:hint="eastAsia"/>
                <w:color w:val="auto"/>
                <w:highlight w:val="none"/>
              </w:rPr>
              <w:t>②维护重点环节分析；</w:t>
            </w:r>
          </w:p>
          <w:p w14:paraId="30424DA4">
            <w:pPr>
              <w:bidi w:val="0"/>
              <w:jc w:val="both"/>
              <w:rPr>
                <w:rFonts w:hint="eastAsia"/>
                <w:color w:val="auto"/>
                <w:highlight w:val="none"/>
                <w:lang w:eastAsia="zh-CN"/>
              </w:rPr>
            </w:pPr>
            <w:r>
              <w:rPr>
                <w:rFonts w:hint="eastAsia"/>
                <w:color w:val="auto"/>
                <w:highlight w:val="none"/>
              </w:rPr>
              <w:t>③外观检查措施</w:t>
            </w:r>
            <w:r>
              <w:rPr>
                <w:rFonts w:hint="eastAsia"/>
                <w:color w:val="auto"/>
                <w:highlight w:val="none"/>
                <w:lang w:eastAsia="zh-CN"/>
              </w:rPr>
              <w:t>；</w:t>
            </w:r>
          </w:p>
          <w:p w14:paraId="563EDA00">
            <w:pPr>
              <w:bidi w:val="0"/>
              <w:jc w:val="both"/>
              <w:rPr>
                <w:rFonts w:hint="eastAsia"/>
                <w:color w:val="auto"/>
                <w:highlight w:val="none"/>
                <w:lang w:val="en-US" w:eastAsia="zh-CN"/>
              </w:rPr>
            </w:pPr>
            <w:r>
              <w:rPr>
                <w:rFonts w:hint="eastAsia"/>
                <w:color w:val="auto"/>
                <w:highlight w:val="none"/>
                <w:lang w:val="en-US" w:eastAsia="zh-CN"/>
              </w:rPr>
              <w:t>④性能测试；</w:t>
            </w:r>
          </w:p>
          <w:p w14:paraId="54876D6E">
            <w:pPr>
              <w:bidi w:val="0"/>
              <w:jc w:val="both"/>
              <w:rPr>
                <w:rFonts w:hint="eastAsia"/>
                <w:color w:val="auto"/>
                <w:highlight w:val="none"/>
                <w:lang w:val="en-US" w:eastAsia="zh-CN"/>
              </w:rPr>
            </w:pPr>
            <w:r>
              <w:rPr>
                <w:rFonts w:hint="eastAsia"/>
                <w:color w:val="auto"/>
                <w:highlight w:val="none"/>
                <w:lang w:val="en-US" w:eastAsia="zh-CN"/>
              </w:rPr>
              <w:t>⑤系统检测措施；</w:t>
            </w:r>
          </w:p>
          <w:p w14:paraId="156ACAA7">
            <w:pPr>
              <w:bidi w:val="0"/>
              <w:jc w:val="both"/>
              <w:rPr>
                <w:rFonts w:hint="default"/>
                <w:color w:val="auto"/>
                <w:highlight w:val="none"/>
                <w:lang w:val="en-US" w:eastAsia="zh-CN"/>
              </w:rPr>
            </w:pPr>
            <w:r>
              <w:rPr>
                <w:rFonts w:hint="eastAsia"/>
                <w:color w:val="auto"/>
                <w:highlight w:val="none"/>
                <w:lang w:val="en-US" w:eastAsia="zh-CN"/>
              </w:rPr>
              <w:t>⑥除尘保养措施。</w:t>
            </w:r>
          </w:p>
          <w:p w14:paraId="180C627B">
            <w:pPr>
              <w:bidi w:val="0"/>
              <w:jc w:val="both"/>
              <w:rPr>
                <w:rFonts w:hint="eastAsia"/>
                <w:b/>
                <w:bCs/>
                <w:color w:val="auto"/>
                <w:highlight w:val="none"/>
              </w:rPr>
            </w:pPr>
            <w:r>
              <w:rPr>
                <w:rFonts w:hint="eastAsia"/>
                <w:b/>
                <w:bCs/>
                <w:color w:val="auto"/>
                <w:highlight w:val="none"/>
              </w:rPr>
              <w:t>二、评审标准：</w:t>
            </w:r>
          </w:p>
          <w:p w14:paraId="655E3042">
            <w:pPr>
              <w:bidi w:val="0"/>
              <w:jc w:val="both"/>
              <w:rPr>
                <w:rFonts w:hint="eastAsia"/>
                <w:color w:val="auto"/>
                <w:highlight w:val="none"/>
              </w:rPr>
            </w:pPr>
            <w:r>
              <w:rPr>
                <w:rFonts w:hint="eastAsia"/>
                <w:color w:val="auto"/>
                <w:highlight w:val="none"/>
              </w:rPr>
              <w:t>1、完整性：方案必须全面，对评审内容中的各项要求有详细描述；</w:t>
            </w:r>
          </w:p>
          <w:p w14:paraId="1F5F3590">
            <w:pPr>
              <w:bidi w:val="0"/>
              <w:jc w:val="both"/>
              <w:rPr>
                <w:rFonts w:hint="eastAsia"/>
                <w:color w:val="auto"/>
                <w:highlight w:val="none"/>
              </w:rPr>
            </w:pPr>
            <w:r>
              <w:rPr>
                <w:rFonts w:hint="eastAsia"/>
                <w:color w:val="auto"/>
                <w:highlight w:val="none"/>
              </w:rPr>
              <w:t>2、可实施性：切合本项目实际情况，提出步骤清晰、合理的方案；</w:t>
            </w:r>
          </w:p>
          <w:p w14:paraId="02EC8047">
            <w:pPr>
              <w:bidi w:val="0"/>
              <w:jc w:val="both"/>
              <w:rPr>
                <w:rFonts w:hint="eastAsia"/>
                <w:color w:val="auto"/>
                <w:highlight w:val="none"/>
              </w:rPr>
            </w:pPr>
            <w:r>
              <w:rPr>
                <w:rFonts w:hint="eastAsia"/>
                <w:color w:val="auto"/>
                <w:highlight w:val="none"/>
              </w:rPr>
              <w:t>3、针对性：方案能够紧扣项目实际情况，内容科学合理。</w:t>
            </w:r>
          </w:p>
          <w:p w14:paraId="5A372E26">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27</w:t>
            </w:r>
            <w:r>
              <w:rPr>
                <w:rFonts w:hint="eastAsia"/>
                <w:b/>
                <w:bCs/>
                <w:color w:val="auto"/>
                <w:highlight w:val="none"/>
              </w:rPr>
              <w:t>分）</w:t>
            </w:r>
          </w:p>
          <w:p w14:paraId="434E942D">
            <w:pPr>
              <w:bidi w:val="0"/>
              <w:jc w:val="both"/>
              <w:rPr>
                <w:rFonts w:hint="eastAsia"/>
                <w:color w:val="auto"/>
                <w:highlight w:val="none"/>
              </w:rPr>
            </w:pPr>
            <w:r>
              <w:rPr>
                <w:rFonts w:hint="eastAsia"/>
                <w:color w:val="auto"/>
                <w:highlight w:val="none"/>
              </w:rPr>
              <w:t>①全年保养分析：每完全满足一个评审标准得</w:t>
            </w:r>
            <w:r>
              <w:rPr>
                <w:rFonts w:hint="eastAsia"/>
                <w:color w:val="auto"/>
                <w:highlight w:val="none"/>
                <w:lang w:val="en-US" w:eastAsia="zh-CN"/>
              </w:rPr>
              <w:t>1.5</w:t>
            </w:r>
            <w:r>
              <w:rPr>
                <w:rFonts w:hint="eastAsia"/>
                <w:color w:val="auto"/>
                <w:highlight w:val="none"/>
              </w:rPr>
              <w:t>分，不完全满足一个评审标准得0-</w:t>
            </w:r>
            <w:r>
              <w:rPr>
                <w:rFonts w:hint="eastAsia"/>
                <w:color w:val="auto"/>
                <w:highlight w:val="none"/>
                <w:lang w:val="en-US" w:eastAsia="zh-CN"/>
              </w:rPr>
              <w:t>1.5</w:t>
            </w:r>
            <w:r>
              <w:rPr>
                <w:rFonts w:hint="eastAsia"/>
                <w:color w:val="auto"/>
                <w:highlight w:val="none"/>
              </w:rPr>
              <w:t>分，满分</w:t>
            </w:r>
            <w:r>
              <w:rPr>
                <w:rFonts w:hint="eastAsia"/>
                <w:color w:val="auto"/>
                <w:highlight w:val="none"/>
                <w:lang w:val="en-US" w:eastAsia="zh-CN"/>
              </w:rPr>
              <w:t>4.5</w:t>
            </w:r>
            <w:r>
              <w:rPr>
                <w:rFonts w:hint="eastAsia"/>
                <w:color w:val="auto"/>
                <w:highlight w:val="none"/>
              </w:rPr>
              <w:t>分；</w:t>
            </w:r>
          </w:p>
          <w:p w14:paraId="0CEB2AE6">
            <w:pPr>
              <w:bidi w:val="0"/>
              <w:jc w:val="both"/>
              <w:rPr>
                <w:rFonts w:hint="eastAsia"/>
                <w:color w:val="auto"/>
                <w:highlight w:val="none"/>
              </w:rPr>
            </w:pPr>
            <w:r>
              <w:rPr>
                <w:rFonts w:hint="eastAsia"/>
                <w:color w:val="auto"/>
                <w:highlight w:val="none"/>
              </w:rPr>
              <w:t>②维护重点环节分析</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1.5</w:t>
            </w:r>
            <w:r>
              <w:rPr>
                <w:rFonts w:hint="eastAsia"/>
                <w:color w:val="auto"/>
                <w:highlight w:val="none"/>
              </w:rPr>
              <w:t>分，不完全满足一个评审标准得0-</w:t>
            </w:r>
            <w:r>
              <w:rPr>
                <w:rFonts w:hint="eastAsia"/>
                <w:color w:val="auto"/>
                <w:highlight w:val="none"/>
                <w:lang w:val="en-US" w:eastAsia="zh-CN"/>
              </w:rPr>
              <w:t>1.5</w:t>
            </w:r>
            <w:r>
              <w:rPr>
                <w:rFonts w:hint="eastAsia"/>
                <w:color w:val="auto"/>
                <w:highlight w:val="none"/>
              </w:rPr>
              <w:t>分，满分</w:t>
            </w:r>
            <w:r>
              <w:rPr>
                <w:rFonts w:hint="eastAsia"/>
                <w:color w:val="auto"/>
                <w:highlight w:val="none"/>
                <w:lang w:val="en-US" w:eastAsia="zh-CN"/>
              </w:rPr>
              <w:t>4.5</w:t>
            </w:r>
            <w:r>
              <w:rPr>
                <w:rFonts w:hint="eastAsia"/>
                <w:color w:val="auto"/>
                <w:highlight w:val="none"/>
              </w:rPr>
              <w:t>分；</w:t>
            </w:r>
          </w:p>
          <w:p w14:paraId="16B1E167">
            <w:pPr>
              <w:bidi w:val="0"/>
              <w:jc w:val="both"/>
              <w:rPr>
                <w:rFonts w:hint="eastAsia"/>
                <w:color w:val="auto"/>
                <w:highlight w:val="none"/>
                <w:lang w:eastAsia="zh-CN"/>
              </w:rPr>
            </w:pPr>
            <w:r>
              <w:rPr>
                <w:rFonts w:hint="eastAsia"/>
                <w:color w:val="auto"/>
                <w:highlight w:val="none"/>
              </w:rPr>
              <w:t>③外观检查措施</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1.5</w:t>
            </w:r>
            <w:r>
              <w:rPr>
                <w:rFonts w:hint="eastAsia"/>
                <w:color w:val="auto"/>
                <w:highlight w:val="none"/>
              </w:rPr>
              <w:t>分，不完全满足一个评审标准得0-</w:t>
            </w:r>
            <w:r>
              <w:rPr>
                <w:rFonts w:hint="eastAsia"/>
                <w:color w:val="auto"/>
                <w:highlight w:val="none"/>
                <w:lang w:val="en-US" w:eastAsia="zh-CN"/>
              </w:rPr>
              <w:t>1.5</w:t>
            </w:r>
            <w:r>
              <w:rPr>
                <w:rFonts w:hint="eastAsia"/>
                <w:color w:val="auto"/>
                <w:highlight w:val="none"/>
              </w:rPr>
              <w:t>分，满分</w:t>
            </w:r>
            <w:r>
              <w:rPr>
                <w:rFonts w:hint="eastAsia"/>
                <w:color w:val="auto"/>
                <w:highlight w:val="none"/>
                <w:lang w:val="en-US" w:eastAsia="zh-CN"/>
              </w:rPr>
              <w:t>4.5</w:t>
            </w:r>
            <w:r>
              <w:rPr>
                <w:rFonts w:hint="eastAsia"/>
                <w:color w:val="auto"/>
                <w:highlight w:val="none"/>
              </w:rPr>
              <w:t>分；</w:t>
            </w:r>
          </w:p>
          <w:p w14:paraId="40274E63">
            <w:pPr>
              <w:bidi w:val="0"/>
              <w:jc w:val="both"/>
              <w:rPr>
                <w:rFonts w:hint="eastAsia"/>
                <w:color w:val="auto"/>
                <w:highlight w:val="none"/>
                <w:lang w:val="en-US" w:eastAsia="zh-CN"/>
              </w:rPr>
            </w:pPr>
            <w:r>
              <w:rPr>
                <w:rFonts w:hint="eastAsia"/>
                <w:color w:val="auto"/>
                <w:highlight w:val="none"/>
                <w:lang w:val="en-US" w:eastAsia="zh-CN"/>
              </w:rPr>
              <w:t>④性能测试：</w:t>
            </w:r>
            <w:r>
              <w:rPr>
                <w:rFonts w:hint="eastAsia"/>
                <w:color w:val="auto"/>
                <w:highlight w:val="none"/>
              </w:rPr>
              <w:t>每完全满足一个评审标准得</w:t>
            </w:r>
            <w:r>
              <w:rPr>
                <w:rFonts w:hint="eastAsia"/>
                <w:color w:val="auto"/>
                <w:highlight w:val="none"/>
                <w:lang w:val="en-US" w:eastAsia="zh-CN"/>
              </w:rPr>
              <w:t>1.5</w:t>
            </w:r>
            <w:r>
              <w:rPr>
                <w:rFonts w:hint="eastAsia"/>
                <w:color w:val="auto"/>
                <w:highlight w:val="none"/>
              </w:rPr>
              <w:t>分，不完全满足一个评审标准得0-</w:t>
            </w:r>
            <w:r>
              <w:rPr>
                <w:rFonts w:hint="eastAsia"/>
                <w:color w:val="auto"/>
                <w:highlight w:val="none"/>
                <w:lang w:val="en-US" w:eastAsia="zh-CN"/>
              </w:rPr>
              <w:t>1.5</w:t>
            </w:r>
            <w:r>
              <w:rPr>
                <w:rFonts w:hint="eastAsia"/>
                <w:color w:val="auto"/>
                <w:highlight w:val="none"/>
              </w:rPr>
              <w:t>分，满分</w:t>
            </w:r>
            <w:r>
              <w:rPr>
                <w:rFonts w:hint="eastAsia"/>
                <w:color w:val="auto"/>
                <w:highlight w:val="none"/>
                <w:lang w:val="en-US" w:eastAsia="zh-CN"/>
              </w:rPr>
              <w:t>4.5</w:t>
            </w:r>
            <w:r>
              <w:rPr>
                <w:rFonts w:hint="eastAsia"/>
                <w:color w:val="auto"/>
                <w:highlight w:val="none"/>
              </w:rPr>
              <w:t>分；</w:t>
            </w:r>
          </w:p>
          <w:p w14:paraId="3A990399">
            <w:pPr>
              <w:bidi w:val="0"/>
              <w:jc w:val="both"/>
              <w:rPr>
                <w:rFonts w:hint="eastAsia"/>
                <w:color w:val="auto"/>
                <w:highlight w:val="none"/>
                <w:lang w:val="en-US" w:eastAsia="zh-CN"/>
              </w:rPr>
            </w:pPr>
            <w:r>
              <w:rPr>
                <w:rFonts w:hint="eastAsia"/>
                <w:color w:val="auto"/>
                <w:highlight w:val="none"/>
                <w:lang w:val="en-US" w:eastAsia="zh-CN"/>
              </w:rPr>
              <w:t>⑤系统检测措施：</w:t>
            </w:r>
            <w:r>
              <w:rPr>
                <w:rFonts w:hint="eastAsia"/>
                <w:color w:val="auto"/>
                <w:highlight w:val="none"/>
              </w:rPr>
              <w:t>每完全满足一个评审标准得</w:t>
            </w:r>
            <w:r>
              <w:rPr>
                <w:rFonts w:hint="eastAsia"/>
                <w:color w:val="auto"/>
                <w:highlight w:val="none"/>
                <w:lang w:val="en-US" w:eastAsia="zh-CN"/>
              </w:rPr>
              <w:t>1.5</w:t>
            </w:r>
            <w:r>
              <w:rPr>
                <w:rFonts w:hint="eastAsia"/>
                <w:color w:val="auto"/>
                <w:highlight w:val="none"/>
              </w:rPr>
              <w:t>分，不完全满足一个评审标准得0-</w:t>
            </w:r>
            <w:r>
              <w:rPr>
                <w:rFonts w:hint="eastAsia"/>
                <w:color w:val="auto"/>
                <w:highlight w:val="none"/>
                <w:lang w:val="en-US" w:eastAsia="zh-CN"/>
              </w:rPr>
              <w:t>1.5</w:t>
            </w:r>
            <w:r>
              <w:rPr>
                <w:rFonts w:hint="eastAsia"/>
                <w:color w:val="auto"/>
                <w:highlight w:val="none"/>
              </w:rPr>
              <w:t>分，满分</w:t>
            </w:r>
            <w:r>
              <w:rPr>
                <w:rFonts w:hint="eastAsia"/>
                <w:color w:val="auto"/>
                <w:highlight w:val="none"/>
                <w:lang w:val="en-US" w:eastAsia="zh-CN"/>
              </w:rPr>
              <w:t>4.5</w:t>
            </w:r>
            <w:r>
              <w:rPr>
                <w:rFonts w:hint="eastAsia"/>
                <w:color w:val="auto"/>
                <w:highlight w:val="none"/>
              </w:rPr>
              <w:t>分；</w:t>
            </w:r>
          </w:p>
          <w:p w14:paraId="1C5468F3">
            <w:pPr>
              <w:bidi w:val="0"/>
              <w:jc w:val="both"/>
              <w:rPr>
                <w:color w:val="auto"/>
                <w:highlight w:val="none"/>
              </w:rPr>
            </w:pPr>
            <w:r>
              <w:rPr>
                <w:rFonts w:hint="eastAsia"/>
                <w:color w:val="auto"/>
                <w:highlight w:val="none"/>
                <w:lang w:val="en-US" w:eastAsia="zh-CN"/>
              </w:rPr>
              <w:t>⑥除尘保养措施：</w:t>
            </w:r>
            <w:r>
              <w:rPr>
                <w:rFonts w:hint="eastAsia"/>
                <w:color w:val="auto"/>
                <w:highlight w:val="none"/>
              </w:rPr>
              <w:t>每完全满足一个评审标准得</w:t>
            </w:r>
            <w:r>
              <w:rPr>
                <w:rFonts w:hint="eastAsia"/>
                <w:color w:val="auto"/>
                <w:highlight w:val="none"/>
                <w:lang w:val="en-US" w:eastAsia="zh-CN"/>
              </w:rPr>
              <w:t>1.5</w:t>
            </w:r>
            <w:r>
              <w:rPr>
                <w:rFonts w:hint="eastAsia"/>
                <w:color w:val="auto"/>
                <w:highlight w:val="none"/>
              </w:rPr>
              <w:t>分，不完全满足一个评审标准得0-</w:t>
            </w:r>
            <w:r>
              <w:rPr>
                <w:rFonts w:hint="eastAsia"/>
                <w:color w:val="auto"/>
                <w:highlight w:val="none"/>
                <w:lang w:val="en-US" w:eastAsia="zh-CN"/>
              </w:rPr>
              <w:t>1.5</w:t>
            </w:r>
            <w:r>
              <w:rPr>
                <w:rFonts w:hint="eastAsia"/>
                <w:color w:val="auto"/>
                <w:highlight w:val="none"/>
              </w:rPr>
              <w:t>分，满分</w:t>
            </w:r>
            <w:r>
              <w:rPr>
                <w:rFonts w:hint="eastAsia"/>
                <w:color w:val="auto"/>
                <w:highlight w:val="none"/>
                <w:lang w:val="en-US" w:eastAsia="zh-CN"/>
              </w:rPr>
              <w:t>4.5</w:t>
            </w:r>
            <w:r>
              <w:rPr>
                <w:rFonts w:hint="eastAsia"/>
                <w:color w:val="auto"/>
                <w:highlight w:val="none"/>
              </w:rPr>
              <w:t>分；</w:t>
            </w:r>
          </w:p>
        </w:tc>
        <w:tc>
          <w:tcPr>
            <w:tcW w:w="365" w:type="pct"/>
            <w:vAlign w:val="center"/>
          </w:tcPr>
          <w:p w14:paraId="0A400303">
            <w:pPr>
              <w:bidi w:val="0"/>
              <w:jc w:val="center"/>
              <w:rPr>
                <w:rFonts w:hint="default" w:eastAsia="宋体"/>
                <w:color w:val="auto"/>
                <w:highlight w:val="none"/>
                <w:lang w:val="en-US" w:eastAsia="zh-CN"/>
              </w:rPr>
            </w:pPr>
            <w:r>
              <w:rPr>
                <w:rFonts w:hint="eastAsia"/>
                <w:color w:val="auto"/>
                <w:highlight w:val="none"/>
                <w:lang w:val="en-US" w:eastAsia="zh-CN"/>
              </w:rPr>
              <w:t>27分</w:t>
            </w:r>
          </w:p>
        </w:tc>
      </w:tr>
      <w:tr w14:paraId="0A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4" w:hRule="atLeast"/>
        </w:trPr>
        <w:tc>
          <w:tcPr>
            <w:tcW w:w="364" w:type="pct"/>
            <w:vAlign w:val="center"/>
          </w:tcPr>
          <w:p w14:paraId="5F3D9EBE">
            <w:pPr>
              <w:bidi w:val="0"/>
              <w:jc w:val="center"/>
              <w:rPr>
                <w:rFonts w:hint="eastAsia" w:eastAsia="宋体"/>
                <w:color w:val="auto"/>
                <w:highlight w:val="none"/>
                <w:lang w:val="en-US" w:eastAsia="zh-CN"/>
              </w:rPr>
            </w:pPr>
            <w:r>
              <w:rPr>
                <w:rFonts w:hint="eastAsia"/>
                <w:color w:val="auto"/>
                <w:highlight w:val="none"/>
                <w:lang w:val="en-US" w:eastAsia="zh-CN"/>
              </w:rPr>
              <w:t>3</w:t>
            </w:r>
          </w:p>
        </w:tc>
        <w:tc>
          <w:tcPr>
            <w:tcW w:w="545" w:type="pct"/>
            <w:vAlign w:val="center"/>
          </w:tcPr>
          <w:p w14:paraId="1F5CE76F">
            <w:pPr>
              <w:bidi w:val="0"/>
              <w:jc w:val="center"/>
              <w:rPr>
                <w:color w:val="auto"/>
                <w:highlight w:val="none"/>
              </w:rPr>
            </w:pPr>
            <w:r>
              <w:rPr>
                <w:rFonts w:hint="eastAsia"/>
                <w:color w:val="auto"/>
                <w:highlight w:val="none"/>
              </w:rPr>
              <w:t>质量保证措施方案</w:t>
            </w:r>
          </w:p>
        </w:tc>
        <w:tc>
          <w:tcPr>
            <w:tcW w:w="3723" w:type="pct"/>
            <w:vAlign w:val="center"/>
          </w:tcPr>
          <w:p w14:paraId="0677D844">
            <w:pPr>
              <w:bidi w:val="0"/>
              <w:jc w:val="both"/>
              <w:rPr>
                <w:rFonts w:hint="eastAsia"/>
                <w:b/>
                <w:bCs/>
                <w:color w:val="auto"/>
                <w:highlight w:val="none"/>
              </w:rPr>
            </w:pPr>
            <w:r>
              <w:rPr>
                <w:rFonts w:hint="eastAsia"/>
                <w:b/>
                <w:bCs/>
                <w:color w:val="auto"/>
                <w:highlight w:val="none"/>
              </w:rPr>
              <w:t>一、评审内容：</w:t>
            </w:r>
          </w:p>
          <w:p w14:paraId="4A102B63">
            <w:pPr>
              <w:bidi w:val="0"/>
              <w:jc w:val="both"/>
              <w:rPr>
                <w:rFonts w:hint="eastAsia"/>
                <w:color w:val="auto"/>
                <w:highlight w:val="none"/>
              </w:rPr>
            </w:pPr>
            <w:r>
              <w:rPr>
                <w:rFonts w:hint="eastAsia"/>
                <w:color w:val="auto"/>
                <w:highlight w:val="none"/>
              </w:rPr>
              <w:t>针对本项目提出适用于本项目的质量保证措施方案，包括：</w:t>
            </w:r>
          </w:p>
          <w:p w14:paraId="7F505291">
            <w:pPr>
              <w:bidi w:val="0"/>
              <w:jc w:val="both"/>
              <w:rPr>
                <w:rFonts w:hint="eastAsia" w:eastAsia="宋体"/>
                <w:color w:val="auto"/>
                <w:highlight w:val="none"/>
                <w:lang w:eastAsia="zh-CN"/>
              </w:rPr>
            </w:pPr>
            <w:r>
              <w:rPr>
                <w:rFonts w:hint="eastAsia"/>
                <w:color w:val="auto"/>
                <w:highlight w:val="none"/>
              </w:rPr>
              <w:t>①服务质量标准</w:t>
            </w:r>
            <w:r>
              <w:rPr>
                <w:rFonts w:hint="eastAsia"/>
                <w:color w:val="auto"/>
                <w:highlight w:val="none"/>
                <w:lang w:eastAsia="zh-CN"/>
              </w:rPr>
              <w:t>；</w:t>
            </w:r>
          </w:p>
          <w:p w14:paraId="282C6741">
            <w:pPr>
              <w:bidi w:val="0"/>
              <w:jc w:val="both"/>
              <w:rPr>
                <w:rFonts w:hint="eastAsia"/>
                <w:color w:val="auto"/>
                <w:highlight w:val="none"/>
              </w:rPr>
            </w:pPr>
            <w:r>
              <w:rPr>
                <w:rFonts w:hint="eastAsia"/>
                <w:color w:val="auto"/>
                <w:highlight w:val="none"/>
              </w:rPr>
              <w:t>②服务质量承诺；</w:t>
            </w:r>
          </w:p>
          <w:p w14:paraId="54DC04FD">
            <w:pPr>
              <w:bidi w:val="0"/>
              <w:jc w:val="both"/>
              <w:rPr>
                <w:rFonts w:hint="eastAsia"/>
                <w:color w:val="auto"/>
                <w:highlight w:val="none"/>
                <w:lang w:eastAsia="zh-CN"/>
              </w:rPr>
            </w:pPr>
            <w:r>
              <w:rPr>
                <w:rFonts w:hint="eastAsia"/>
                <w:color w:val="auto"/>
                <w:highlight w:val="none"/>
              </w:rPr>
              <w:t>③确保服务质量的措施</w:t>
            </w:r>
            <w:r>
              <w:rPr>
                <w:rFonts w:hint="eastAsia"/>
                <w:color w:val="auto"/>
                <w:highlight w:val="none"/>
                <w:lang w:eastAsia="zh-CN"/>
              </w:rPr>
              <w:t>；</w:t>
            </w:r>
          </w:p>
          <w:p w14:paraId="3FAF9CE7">
            <w:pPr>
              <w:bidi w:val="0"/>
              <w:jc w:val="both"/>
              <w:rPr>
                <w:rFonts w:hint="eastAsia"/>
                <w:color w:val="auto"/>
                <w:highlight w:val="none"/>
                <w:lang w:val="en-US" w:eastAsia="zh-CN"/>
              </w:rPr>
            </w:pPr>
            <w:r>
              <w:rPr>
                <w:rFonts w:hint="eastAsia"/>
                <w:color w:val="auto"/>
                <w:highlight w:val="none"/>
                <w:lang w:val="en-US" w:eastAsia="zh-CN"/>
              </w:rPr>
              <w:t>④未达到质量标准的处罚措施。</w:t>
            </w:r>
          </w:p>
          <w:p w14:paraId="53837315">
            <w:pPr>
              <w:bidi w:val="0"/>
              <w:jc w:val="both"/>
              <w:rPr>
                <w:rFonts w:hint="eastAsia"/>
                <w:b/>
                <w:bCs/>
                <w:color w:val="auto"/>
                <w:highlight w:val="none"/>
              </w:rPr>
            </w:pPr>
            <w:r>
              <w:rPr>
                <w:rFonts w:hint="eastAsia"/>
                <w:b/>
                <w:bCs/>
                <w:color w:val="auto"/>
                <w:highlight w:val="none"/>
              </w:rPr>
              <w:t>二、评审标准：</w:t>
            </w:r>
          </w:p>
          <w:p w14:paraId="1CB2DECA">
            <w:pPr>
              <w:bidi w:val="0"/>
              <w:jc w:val="both"/>
              <w:rPr>
                <w:rFonts w:hint="eastAsia"/>
                <w:color w:val="auto"/>
                <w:highlight w:val="none"/>
              </w:rPr>
            </w:pPr>
            <w:r>
              <w:rPr>
                <w:rFonts w:hint="eastAsia"/>
                <w:color w:val="auto"/>
                <w:highlight w:val="none"/>
              </w:rPr>
              <w:t>1、完整性：方案必须全面，对评审内容中的各项要求有详细描述；</w:t>
            </w:r>
          </w:p>
          <w:p w14:paraId="4FAECFD1">
            <w:pPr>
              <w:bidi w:val="0"/>
              <w:jc w:val="both"/>
              <w:rPr>
                <w:rFonts w:hint="eastAsia"/>
                <w:color w:val="auto"/>
                <w:highlight w:val="none"/>
              </w:rPr>
            </w:pPr>
            <w:r>
              <w:rPr>
                <w:rFonts w:hint="eastAsia"/>
                <w:color w:val="auto"/>
                <w:highlight w:val="none"/>
              </w:rPr>
              <w:t>2、可实施性：切合本项目实际情况，提出步骤清晰、合理的方案；</w:t>
            </w:r>
          </w:p>
          <w:p w14:paraId="2D838C2C">
            <w:pPr>
              <w:bidi w:val="0"/>
              <w:jc w:val="both"/>
              <w:rPr>
                <w:rFonts w:hint="eastAsia"/>
                <w:color w:val="auto"/>
                <w:highlight w:val="none"/>
              </w:rPr>
            </w:pPr>
            <w:r>
              <w:rPr>
                <w:rFonts w:hint="eastAsia"/>
                <w:color w:val="auto"/>
                <w:highlight w:val="none"/>
              </w:rPr>
              <w:t>3、针对性：方案能够紧扣项目实际情况，内容科学合理。</w:t>
            </w:r>
          </w:p>
          <w:p w14:paraId="4025CB0A">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12</w:t>
            </w:r>
            <w:r>
              <w:rPr>
                <w:rFonts w:hint="eastAsia"/>
                <w:b/>
                <w:bCs/>
                <w:color w:val="auto"/>
                <w:highlight w:val="none"/>
              </w:rPr>
              <w:t>分）</w:t>
            </w:r>
          </w:p>
          <w:p w14:paraId="0108CB3D">
            <w:pPr>
              <w:bidi w:val="0"/>
              <w:jc w:val="both"/>
              <w:rPr>
                <w:rFonts w:hint="eastAsia"/>
                <w:color w:val="auto"/>
                <w:highlight w:val="none"/>
              </w:rPr>
            </w:pPr>
            <w:r>
              <w:rPr>
                <w:rFonts w:hint="eastAsia"/>
                <w:color w:val="auto"/>
                <w:highlight w:val="none"/>
              </w:rPr>
              <w:t>①服务质量标准：每完全满足一个评审标准得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69E35315">
            <w:pPr>
              <w:bidi w:val="0"/>
              <w:jc w:val="both"/>
              <w:rPr>
                <w:rFonts w:hint="eastAsia"/>
                <w:color w:val="auto"/>
                <w:highlight w:val="none"/>
              </w:rPr>
            </w:pPr>
            <w:r>
              <w:rPr>
                <w:rFonts w:hint="eastAsia"/>
                <w:color w:val="auto"/>
                <w:highlight w:val="none"/>
              </w:rPr>
              <w:t>②服务质量承诺：每完全满足一个评审标准得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78D242C5">
            <w:pPr>
              <w:bidi w:val="0"/>
              <w:jc w:val="both"/>
              <w:rPr>
                <w:rFonts w:hint="eastAsia"/>
                <w:color w:val="auto"/>
                <w:highlight w:val="none"/>
              </w:rPr>
            </w:pPr>
            <w:r>
              <w:rPr>
                <w:rFonts w:hint="eastAsia"/>
                <w:color w:val="auto"/>
                <w:highlight w:val="none"/>
              </w:rPr>
              <w:t>③确保服务质量的措施：每完全满足一个评审标准得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338BF5D8">
            <w:pPr>
              <w:bidi w:val="0"/>
              <w:jc w:val="both"/>
              <w:rPr>
                <w:color w:val="auto"/>
                <w:highlight w:val="none"/>
              </w:rPr>
            </w:pPr>
            <w:r>
              <w:rPr>
                <w:rFonts w:hint="eastAsia"/>
                <w:color w:val="auto"/>
                <w:highlight w:val="none"/>
              </w:rPr>
              <w:t>④未达到质量标准的处罚措施：每完全满足一个评审标准得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c>
          <w:tcPr>
            <w:tcW w:w="365" w:type="pct"/>
            <w:vAlign w:val="center"/>
          </w:tcPr>
          <w:p w14:paraId="4F98B330">
            <w:pPr>
              <w:bidi w:val="0"/>
              <w:jc w:val="center"/>
              <w:rPr>
                <w:rFonts w:hint="eastAsia"/>
                <w:color w:val="auto"/>
                <w:highlight w:val="none"/>
              </w:rPr>
            </w:pPr>
            <w:r>
              <w:rPr>
                <w:rFonts w:hint="eastAsia"/>
                <w:color w:val="auto"/>
                <w:highlight w:val="none"/>
                <w:lang w:val="en-US" w:eastAsia="zh-CN"/>
              </w:rPr>
              <w:t>12</w:t>
            </w:r>
            <w:r>
              <w:rPr>
                <w:color w:val="auto"/>
                <w:highlight w:val="none"/>
              </w:rPr>
              <w:t>分</w:t>
            </w:r>
          </w:p>
        </w:tc>
      </w:tr>
      <w:tr w14:paraId="4C6F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2" w:hRule="atLeast"/>
        </w:trPr>
        <w:tc>
          <w:tcPr>
            <w:tcW w:w="364" w:type="pct"/>
            <w:vAlign w:val="center"/>
          </w:tcPr>
          <w:p w14:paraId="16B9030F">
            <w:pPr>
              <w:bidi w:val="0"/>
              <w:jc w:val="center"/>
              <w:rPr>
                <w:rFonts w:hint="default"/>
                <w:color w:val="auto"/>
                <w:highlight w:val="none"/>
                <w:lang w:val="en-US" w:eastAsia="zh-CN"/>
              </w:rPr>
            </w:pPr>
            <w:r>
              <w:rPr>
                <w:rFonts w:hint="eastAsia"/>
                <w:color w:val="auto"/>
                <w:highlight w:val="none"/>
                <w:lang w:val="en-US" w:eastAsia="zh-CN"/>
              </w:rPr>
              <w:t>4</w:t>
            </w:r>
          </w:p>
        </w:tc>
        <w:tc>
          <w:tcPr>
            <w:tcW w:w="545" w:type="pct"/>
            <w:vAlign w:val="center"/>
          </w:tcPr>
          <w:p w14:paraId="4683CBAD">
            <w:pPr>
              <w:bidi w:val="0"/>
              <w:jc w:val="center"/>
              <w:rPr>
                <w:color w:val="auto"/>
                <w:highlight w:val="none"/>
              </w:rPr>
            </w:pPr>
            <w:r>
              <w:rPr>
                <w:rFonts w:hint="eastAsia"/>
                <w:color w:val="auto"/>
                <w:highlight w:val="none"/>
              </w:rPr>
              <w:t>安全保证措施方案</w:t>
            </w:r>
          </w:p>
        </w:tc>
        <w:tc>
          <w:tcPr>
            <w:tcW w:w="3723" w:type="pct"/>
            <w:vAlign w:val="center"/>
          </w:tcPr>
          <w:p w14:paraId="06A51558">
            <w:pPr>
              <w:bidi w:val="0"/>
              <w:jc w:val="both"/>
              <w:rPr>
                <w:rFonts w:hint="eastAsia"/>
                <w:b/>
                <w:bCs/>
                <w:color w:val="auto"/>
                <w:highlight w:val="none"/>
              </w:rPr>
            </w:pPr>
            <w:r>
              <w:rPr>
                <w:rFonts w:hint="eastAsia"/>
                <w:b/>
                <w:bCs/>
                <w:color w:val="auto"/>
                <w:highlight w:val="none"/>
              </w:rPr>
              <w:t>一、评审内容：</w:t>
            </w:r>
          </w:p>
          <w:p w14:paraId="2F25B70E">
            <w:pPr>
              <w:bidi w:val="0"/>
              <w:jc w:val="both"/>
              <w:rPr>
                <w:rFonts w:hint="eastAsia"/>
                <w:color w:val="auto"/>
                <w:highlight w:val="none"/>
              </w:rPr>
            </w:pPr>
            <w:r>
              <w:rPr>
                <w:rFonts w:hint="eastAsia"/>
                <w:color w:val="auto"/>
                <w:highlight w:val="none"/>
              </w:rPr>
              <w:t>针对本项目提出适用于本项目的安全保证措施方案，包括：</w:t>
            </w:r>
          </w:p>
          <w:p w14:paraId="52FFD742">
            <w:pPr>
              <w:bidi w:val="0"/>
              <w:jc w:val="both"/>
              <w:rPr>
                <w:rFonts w:hint="eastAsia" w:eastAsia="宋体"/>
                <w:color w:val="auto"/>
                <w:highlight w:val="none"/>
                <w:lang w:eastAsia="zh-CN"/>
              </w:rPr>
            </w:pPr>
            <w:r>
              <w:rPr>
                <w:rFonts w:hint="eastAsia"/>
                <w:color w:val="auto"/>
                <w:highlight w:val="none"/>
              </w:rPr>
              <w:t>①安全检查方案</w:t>
            </w:r>
            <w:r>
              <w:rPr>
                <w:rFonts w:hint="eastAsia"/>
                <w:color w:val="auto"/>
                <w:highlight w:val="none"/>
                <w:lang w:eastAsia="zh-CN"/>
              </w:rPr>
              <w:t>；</w:t>
            </w:r>
          </w:p>
          <w:p w14:paraId="311806C2">
            <w:pPr>
              <w:bidi w:val="0"/>
              <w:jc w:val="both"/>
              <w:rPr>
                <w:rFonts w:hint="eastAsia"/>
                <w:color w:val="auto"/>
                <w:highlight w:val="none"/>
                <w:lang w:eastAsia="zh-CN"/>
              </w:rPr>
            </w:pPr>
            <w:r>
              <w:rPr>
                <w:rFonts w:hint="eastAsia"/>
                <w:color w:val="auto"/>
                <w:highlight w:val="none"/>
              </w:rPr>
              <w:t>②安全保证体系</w:t>
            </w:r>
            <w:r>
              <w:rPr>
                <w:rFonts w:hint="eastAsia"/>
                <w:color w:val="auto"/>
                <w:highlight w:val="none"/>
                <w:lang w:eastAsia="zh-CN"/>
              </w:rPr>
              <w:t>；</w:t>
            </w:r>
          </w:p>
          <w:p w14:paraId="4A591C48">
            <w:pPr>
              <w:bidi w:val="0"/>
              <w:jc w:val="both"/>
              <w:rPr>
                <w:rFonts w:hint="default"/>
                <w:color w:val="auto"/>
                <w:highlight w:val="none"/>
                <w:lang w:val="en-US" w:eastAsia="zh-CN"/>
              </w:rPr>
            </w:pPr>
            <w:r>
              <w:rPr>
                <w:rFonts w:hint="eastAsia"/>
                <w:color w:val="auto"/>
                <w:highlight w:val="none"/>
                <w:lang w:val="en-US" w:eastAsia="zh-CN"/>
              </w:rPr>
              <w:t>③安全保障措施。</w:t>
            </w:r>
          </w:p>
          <w:p w14:paraId="061F5234">
            <w:pPr>
              <w:bidi w:val="0"/>
              <w:jc w:val="both"/>
              <w:rPr>
                <w:rFonts w:hint="eastAsia"/>
                <w:b/>
                <w:bCs/>
                <w:color w:val="auto"/>
                <w:highlight w:val="none"/>
              </w:rPr>
            </w:pPr>
            <w:r>
              <w:rPr>
                <w:rFonts w:hint="eastAsia"/>
                <w:b/>
                <w:bCs/>
                <w:color w:val="auto"/>
                <w:highlight w:val="none"/>
              </w:rPr>
              <w:t>二、评审标准：</w:t>
            </w:r>
          </w:p>
          <w:p w14:paraId="088EFDFF">
            <w:pPr>
              <w:bidi w:val="0"/>
              <w:jc w:val="both"/>
              <w:rPr>
                <w:rFonts w:hint="eastAsia"/>
                <w:color w:val="auto"/>
                <w:highlight w:val="none"/>
              </w:rPr>
            </w:pPr>
            <w:r>
              <w:rPr>
                <w:rFonts w:hint="eastAsia"/>
                <w:color w:val="auto"/>
                <w:highlight w:val="none"/>
              </w:rPr>
              <w:t>1、完整性：方案必须全面，对评审内容中的各项要求有详细描述；</w:t>
            </w:r>
          </w:p>
          <w:p w14:paraId="218E45C7">
            <w:pPr>
              <w:bidi w:val="0"/>
              <w:jc w:val="both"/>
              <w:rPr>
                <w:rFonts w:hint="eastAsia"/>
                <w:color w:val="auto"/>
                <w:highlight w:val="none"/>
              </w:rPr>
            </w:pPr>
            <w:r>
              <w:rPr>
                <w:rFonts w:hint="eastAsia"/>
                <w:color w:val="auto"/>
                <w:highlight w:val="none"/>
              </w:rPr>
              <w:t>2、可实施性：切合本项目实际情况，提出步骤清晰、合理的方案；</w:t>
            </w:r>
          </w:p>
          <w:p w14:paraId="5AF9B804">
            <w:pPr>
              <w:bidi w:val="0"/>
              <w:jc w:val="both"/>
              <w:rPr>
                <w:rFonts w:hint="eastAsia"/>
                <w:color w:val="auto"/>
                <w:highlight w:val="none"/>
              </w:rPr>
            </w:pPr>
            <w:r>
              <w:rPr>
                <w:rFonts w:hint="eastAsia"/>
                <w:color w:val="auto"/>
                <w:highlight w:val="none"/>
              </w:rPr>
              <w:t>3、针对性：方案能够紧扣项目实际情况，内容科学合理。</w:t>
            </w:r>
          </w:p>
          <w:p w14:paraId="38AA5965">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9</w:t>
            </w:r>
            <w:r>
              <w:rPr>
                <w:rFonts w:hint="eastAsia"/>
                <w:b/>
                <w:bCs/>
                <w:color w:val="auto"/>
                <w:highlight w:val="none"/>
              </w:rPr>
              <w:t>分）</w:t>
            </w:r>
          </w:p>
          <w:p w14:paraId="5C172BC9">
            <w:pPr>
              <w:bidi w:val="0"/>
              <w:jc w:val="both"/>
              <w:rPr>
                <w:rFonts w:hint="eastAsia" w:eastAsia="宋体"/>
                <w:color w:val="auto"/>
                <w:highlight w:val="none"/>
                <w:lang w:eastAsia="zh-CN"/>
              </w:rPr>
            </w:pPr>
            <w:r>
              <w:rPr>
                <w:rFonts w:hint="eastAsia"/>
                <w:color w:val="auto"/>
                <w:highlight w:val="none"/>
              </w:rPr>
              <w:t>①安全检查方案</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2E366354">
            <w:pPr>
              <w:bidi w:val="0"/>
              <w:jc w:val="both"/>
              <w:rPr>
                <w:rFonts w:hint="eastAsia"/>
                <w:color w:val="auto"/>
                <w:highlight w:val="none"/>
                <w:lang w:eastAsia="zh-CN"/>
              </w:rPr>
            </w:pPr>
            <w:r>
              <w:rPr>
                <w:rFonts w:hint="eastAsia"/>
                <w:color w:val="auto"/>
                <w:highlight w:val="none"/>
              </w:rPr>
              <w:t>②安全保证体系</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546B71C3">
            <w:pPr>
              <w:bidi w:val="0"/>
              <w:jc w:val="both"/>
              <w:rPr>
                <w:color w:val="auto"/>
                <w:highlight w:val="none"/>
              </w:rPr>
            </w:pPr>
            <w:r>
              <w:rPr>
                <w:rFonts w:hint="eastAsia"/>
                <w:color w:val="auto"/>
                <w:highlight w:val="none"/>
                <w:lang w:val="en-US" w:eastAsia="zh-CN"/>
              </w:rPr>
              <w:t>③安全保障措施</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c>
          <w:tcPr>
            <w:tcW w:w="365" w:type="pct"/>
            <w:vAlign w:val="center"/>
          </w:tcPr>
          <w:p w14:paraId="66625E66">
            <w:pPr>
              <w:bidi w:val="0"/>
              <w:jc w:val="center"/>
              <w:rPr>
                <w:rFonts w:hint="eastAsia"/>
                <w:color w:val="auto"/>
                <w:highlight w:val="none"/>
              </w:rPr>
            </w:pPr>
            <w:r>
              <w:rPr>
                <w:rFonts w:hint="eastAsia"/>
                <w:color w:val="auto"/>
                <w:highlight w:val="none"/>
                <w:lang w:val="en-US" w:eastAsia="zh-CN"/>
              </w:rPr>
              <w:t>9</w:t>
            </w:r>
            <w:r>
              <w:rPr>
                <w:color w:val="auto"/>
                <w:highlight w:val="none"/>
              </w:rPr>
              <w:t>分</w:t>
            </w:r>
          </w:p>
        </w:tc>
      </w:tr>
      <w:tr w14:paraId="263B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7" w:hRule="atLeast"/>
        </w:trPr>
        <w:tc>
          <w:tcPr>
            <w:tcW w:w="364" w:type="pct"/>
            <w:vAlign w:val="center"/>
          </w:tcPr>
          <w:p w14:paraId="7A8B6EBE">
            <w:pPr>
              <w:bidi w:val="0"/>
              <w:jc w:val="center"/>
              <w:rPr>
                <w:rFonts w:hint="default"/>
                <w:color w:val="auto"/>
                <w:highlight w:val="none"/>
                <w:lang w:val="en-US" w:eastAsia="zh-CN"/>
              </w:rPr>
            </w:pPr>
            <w:r>
              <w:rPr>
                <w:rFonts w:hint="eastAsia"/>
                <w:color w:val="auto"/>
                <w:highlight w:val="none"/>
                <w:lang w:val="en-US" w:eastAsia="zh-CN"/>
              </w:rPr>
              <w:t>5</w:t>
            </w:r>
          </w:p>
        </w:tc>
        <w:tc>
          <w:tcPr>
            <w:tcW w:w="545" w:type="pct"/>
            <w:vAlign w:val="center"/>
          </w:tcPr>
          <w:p w14:paraId="32EB2F09">
            <w:pPr>
              <w:bidi w:val="0"/>
              <w:jc w:val="center"/>
              <w:rPr>
                <w:rFonts w:hint="default"/>
                <w:color w:val="auto"/>
                <w:highlight w:val="none"/>
                <w:lang w:val="en-US" w:eastAsia="zh-CN"/>
              </w:rPr>
            </w:pPr>
            <w:r>
              <w:rPr>
                <w:rFonts w:hint="default"/>
                <w:color w:val="auto"/>
                <w:highlight w:val="none"/>
                <w:lang w:val="en-US" w:eastAsia="zh-CN"/>
              </w:rPr>
              <w:t>应急措施方案</w:t>
            </w:r>
          </w:p>
        </w:tc>
        <w:tc>
          <w:tcPr>
            <w:tcW w:w="3723" w:type="pct"/>
            <w:vAlign w:val="center"/>
          </w:tcPr>
          <w:p w14:paraId="0D078CCA">
            <w:pPr>
              <w:bidi w:val="0"/>
              <w:jc w:val="both"/>
              <w:rPr>
                <w:rFonts w:hint="eastAsia"/>
                <w:b/>
                <w:bCs/>
                <w:color w:val="auto"/>
                <w:highlight w:val="none"/>
              </w:rPr>
            </w:pPr>
            <w:r>
              <w:rPr>
                <w:rFonts w:hint="eastAsia"/>
                <w:b/>
                <w:bCs/>
                <w:color w:val="auto"/>
                <w:highlight w:val="none"/>
              </w:rPr>
              <w:t>一、评审内容：</w:t>
            </w:r>
          </w:p>
          <w:p w14:paraId="1CC03DA7">
            <w:pPr>
              <w:bidi w:val="0"/>
              <w:jc w:val="both"/>
              <w:rPr>
                <w:rFonts w:hint="eastAsia"/>
                <w:color w:val="auto"/>
                <w:highlight w:val="none"/>
              </w:rPr>
            </w:pPr>
            <w:r>
              <w:rPr>
                <w:rFonts w:hint="eastAsia"/>
                <w:color w:val="auto"/>
                <w:highlight w:val="none"/>
              </w:rPr>
              <w:t>针对本项目提出适用于本项目突发情况</w:t>
            </w:r>
            <w:r>
              <w:rPr>
                <w:rFonts w:hint="eastAsia"/>
                <w:color w:val="auto"/>
                <w:highlight w:val="none"/>
                <w:lang w:val="en-US" w:eastAsia="zh-CN"/>
              </w:rPr>
              <w:t>的</w:t>
            </w:r>
            <w:r>
              <w:rPr>
                <w:rFonts w:hint="eastAsia"/>
                <w:color w:val="auto"/>
                <w:highlight w:val="none"/>
              </w:rPr>
              <w:t>应急措施方案，包括：</w:t>
            </w:r>
          </w:p>
          <w:p w14:paraId="0B40BD46">
            <w:pPr>
              <w:bidi w:val="0"/>
              <w:jc w:val="both"/>
              <w:rPr>
                <w:rFonts w:hint="eastAsia" w:eastAsia="宋体"/>
                <w:color w:val="auto"/>
                <w:highlight w:val="none"/>
                <w:lang w:eastAsia="zh-CN"/>
              </w:rPr>
            </w:pPr>
            <w:r>
              <w:rPr>
                <w:rFonts w:hint="eastAsia"/>
                <w:color w:val="auto"/>
                <w:highlight w:val="none"/>
              </w:rPr>
              <w:t>①应急情况分析</w:t>
            </w:r>
            <w:r>
              <w:rPr>
                <w:rFonts w:hint="eastAsia"/>
                <w:color w:val="auto"/>
                <w:highlight w:val="none"/>
                <w:lang w:eastAsia="zh-CN"/>
              </w:rPr>
              <w:t>；</w:t>
            </w:r>
          </w:p>
          <w:p w14:paraId="38979829">
            <w:pPr>
              <w:bidi w:val="0"/>
              <w:jc w:val="both"/>
              <w:rPr>
                <w:rFonts w:hint="eastAsia"/>
                <w:color w:val="auto"/>
                <w:highlight w:val="none"/>
                <w:lang w:eastAsia="zh-CN"/>
              </w:rPr>
            </w:pPr>
            <w:r>
              <w:rPr>
                <w:rFonts w:hint="eastAsia"/>
                <w:color w:val="auto"/>
                <w:highlight w:val="none"/>
              </w:rPr>
              <w:t>②应急人员安排方案</w:t>
            </w:r>
            <w:r>
              <w:rPr>
                <w:rFonts w:hint="eastAsia"/>
                <w:color w:val="auto"/>
                <w:highlight w:val="none"/>
                <w:lang w:eastAsia="zh-CN"/>
              </w:rPr>
              <w:t>；</w:t>
            </w:r>
          </w:p>
          <w:p w14:paraId="1C8BDC9E">
            <w:pPr>
              <w:bidi w:val="0"/>
              <w:jc w:val="both"/>
              <w:rPr>
                <w:rFonts w:hint="default"/>
                <w:color w:val="auto"/>
                <w:highlight w:val="none"/>
                <w:lang w:val="en-US" w:eastAsia="zh-CN"/>
              </w:rPr>
            </w:pPr>
            <w:r>
              <w:rPr>
                <w:rFonts w:hint="eastAsia"/>
                <w:color w:val="auto"/>
                <w:highlight w:val="none"/>
                <w:lang w:val="en-US" w:eastAsia="zh-CN"/>
              </w:rPr>
              <w:t>③应急响应时间及处理方法。</w:t>
            </w:r>
          </w:p>
          <w:p w14:paraId="38B512C6">
            <w:pPr>
              <w:bidi w:val="0"/>
              <w:jc w:val="both"/>
              <w:rPr>
                <w:rFonts w:hint="eastAsia"/>
                <w:b/>
                <w:bCs/>
                <w:color w:val="auto"/>
                <w:highlight w:val="none"/>
              </w:rPr>
            </w:pPr>
            <w:r>
              <w:rPr>
                <w:rFonts w:hint="eastAsia"/>
                <w:b/>
                <w:bCs/>
                <w:color w:val="auto"/>
                <w:highlight w:val="none"/>
              </w:rPr>
              <w:t>二、评审标准：</w:t>
            </w:r>
          </w:p>
          <w:p w14:paraId="13949498">
            <w:pPr>
              <w:bidi w:val="0"/>
              <w:jc w:val="both"/>
              <w:rPr>
                <w:rFonts w:hint="eastAsia"/>
                <w:color w:val="auto"/>
                <w:highlight w:val="none"/>
              </w:rPr>
            </w:pPr>
            <w:r>
              <w:rPr>
                <w:rFonts w:hint="eastAsia"/>
                <w:color w:val="auto"/>
                <w:highlight w:val="none"/>
              </w:rPr>
              <w:t>1、完整性：方案必须全面，对评审内容中的各项要求有详细描述；</w:t>
            </w:r>
          </w:p>
          <w:p w14:paraId="5AFECFAD">
            <w:pPr>
              <w:bidi w:val="0"/>
              <w:jc w:val="both"/>
              <w:rPr>
                <w:rFonts w:hint="eastAsia"/>
                <w:color w:val="auto"/>
                <w:highlight w:val="none"/>
              </w:rPr>
            </w:pPr>
            <w:r>
              <w:rPr>
                <w:rFonts w:hint="eastAsia"/>
                <w:color w:val="auto"/>
                <w:highlight w:val="none"/>
              </w:rPr>
              <w:t>2、可实施性：切合本项目实际情况，提出步骤清晰、合理的方案；</w:t>
            </w:r>
          </w:p>
          <w:p w14:paraId="2181BAAA">
            <w:pPr>
              <w:bidi w:val="0"/>
              <w:jc w:val="both"/>
              <w:rPr>
                <w:rFonts w:hint="eastAsia"/>
                <w:color w:val="auto"/>
                <w:highlight w:val="none"/>
              </w:rPr>
            </w:pPr>
            <w:r>
              <w:rPr>
                <w:rFonts w:hint="eastAsia"/>
                <w:color w:val="auto"/>
                <w:highlight w:val="none"/>
              </w:rPr>
              <w:t>3、针对性：方案能够紧扣项目实际情况，内容科学合理。</w:t>
            </w:r>
          </w:p>
          <w:p w14:paraId="5DF7CAC3">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9</w:t>
            </w:r>
            <w:r>
              <w:rPr>
                <w:rFonts w:hint="eastAsia"/>
                <w:b/>
                <w:bCs/>
                <w:color w:val="auto"/>
                <w:highlight w:val="none"/>
              </w:rPr>
              <w:t>分）</w:t>
            </w:r>
          </w:p>
          <w:p w14:paraId="28AB7734">
            <w:pPr>
              <w:bidi w:val="0"/>
              <w:jc w:val="both"/>
              <w:rPr>
                <w:rFonts w:hint="eastAsia" w:eastAsia="宋体"/>
                <w:color w:val="auto"/>
                <w:highlight w:val="none"/>
                <w:lang w:eastAsia="zh-CN"/>
              </w:rPr>
            </w:pPr>
            <w:r>
              <w:rPr>
                <w:rFonts w:hint="eastAsia"/>
                <w:color w:val="auto"/>
                <w:highlight w:val="none"/>
              </w:rPr>
              <w:t>①应急情况分析</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1C64B8B5">
            <w:pPr>
              <w:bidi w:val="0"/>
              <w:jc w:val="both"/>
              <w:rPr>
                <w:rFonts w:hint="eastAsia"/>
                <w:color w:val="auto"/>
                <w:highlight w:val="none"/>
                <w:lang w:eastAsia="zh-CN"/>
              </w:rPr>
            </w:pPr>
            <w:r>
              <w:rPr>
                <w:rFonts w:hint="eastAsia"/>
                <w:color w:val="auto"/>
                <w:highlight w:val="none"/>
              </w:rPr>
              <w:t>②应急人员安排方案</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5A26074F">
            <w:pPr>
              <w:bidi w:val="0"/>
              <w:jc w:val="both"/>
              <w:rPr>
                <w:rFonts w:hint="eastAsia"/>
                <w:color w:val="auto"/>
                <w:highlight w:val="none"/>
              </w:rPr>
            </w:pPr>
            <w:r>
              <w:rPr>
                <w:rFonts w:hint="eastAsia"/>
                <w:color w:val="auto"/>
                <w:highlight w:val="none"/>
                <w:lang w:val="en-US" w:eastAsia="zh-CN"/>
              </w:rPr>
              <w:t>③应急响应时间及处理方法</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c>
          <w:tcPr>
            <w:tcW w:w="365" w:type="pct"/>
            <w:vAlign w:val="center"/>
          </w:tcPr>
          <w:p w14:paraId="38DFAAE8">
            <w:pPr>
              <w:bidi w:val="0"/>
              <w:jc w:val="center"/>
              <w:rPr>
                <w:rFonts w:hint="eastAsia"/>
                <w:color w:val="auto"/>
                <w:highlight w:val="none"/>
              </w:rPr>
            </w:pPr>
            <w:r>
              <w:rPr>
                <w:rFonts w:hint="eastAsia"/>
                <w:color w:val="auto"/>
                <w:highlight w:val="none"/>
                <w:lang w:val="en-US" w:eastAsia="zh-CN"/>
              </w:rPr>
              <w:t>9分</w:t>
            </w:r>
          </w:p>
        </w:tc>
      </w:tr>
      <w:tr w14:paraId="4675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8" w:hRule="atLeast"/>
        </w:trPr>
        <w:tc>
          <w:tcPr>
            <w:tcW w:w="364" w:type="pct"/>
            <w:vAlign w:val="center"/>
          </w:tcPr>
          <w:p w14:paraId="668C0541">
            <w:pPr>
              <w:bidi w:val="0"/>
              <w:jc w:val="center"/>
              <w:rPr>
                <w:rFonts w:hint="default"/>
                <w:color w:val="auto"/>
                <w:highlight w:val="none"/>
                <w:lang w:val="en-US" w:eastAsia="zh-CN"/>
              </w:rPr>
            </w:pPr>
            <w:r>
              <w:rPr>
                <w:rFonts w:hint="eastAsia"/>
                <w:color w:val="auto"/>
                <w:highlight w:val="none"/>
                <w:lang w:val="en-US" w:eastAsia="zh-CN"/>
              </w:rPr>
              <w:t>6</w:t>
            </w:r>
          </w:p>
        </w:tc>
        <w:tc>
          <w:tcPr>
            <w:tcW w:w="545" w:type="pct"/>
            <w:vAlign w:val="center"/>
          </w:tcPr>
          <w:p w14:paraId="70EB4FCB">
            <w:pPr>
              <w:bidi w:val="0"/>
              <w:jc w:val="center"/>
              <w:rPr>
                <w:rFonts w:hint="default"/>
                <w:color w:val="auto"/>
                <w:highlight w:val="none"/>
                <w:lang w:val="en-US" w:eastAsia="zh-CN"/>
              </w:rPr>
            </w:pPr>
            <w:r>
              <w:rPr>
                <w:rFonts w:hint="default"/>
                <w:color w:val="auto"/>
                <w:highlight w:val="none"/>
                <w:lang w:val="en-US" w:eastAsia="zh-CN"/>
              </w:rPr>
              <w:t>项目管理机构及人员</w:t>
            </w:r>
            <w:r>
              <w:rPr>
                <w:rFonts w:hint="eastAsia"/>
                <w:color w:val="auto"/>
                <w:highlight w:val="none"/>
                <w:lang w:val="en-US" w:eastAsia="zh-CN"/>
              </w:rPr>
              <w:t>配置方案</w:t>
            </w:r>
          </w:p>
        </w:tc>
        <w:tc>
          <w:tcPr>
            <w:tcW w:w="3723" w:type="pct"/>
            <w:vAlign w:val="center"/>
          </w:tcPr>
          <w:p w14:paraId="697F7D0D">
            <w:pPr>
              <w:bidi w:val="0"/>
              <w:jc w:val="both"/>
              <w:rPr>
                <w:rFonts w:hint="eastAsia"/>
                <w:b/>
                <w:bCs/>
                <w:color w:val="auto"/>
                <w:highlight w:val="none"/>
              </w:rPr>
            </w:pPr>
            <w:r>
              <w:rPr>
                <w:rFonts w:hint="eastAsia"/>
                <w:b/>
                <w:bCs/>
                <w:color w:val="auto"/>
                <w:highlight w:val="none"/>
              </w:rPr>
              <w:t>一、评审内容：</w:t>
            </w:r>
          </w:p>
          <w:p w14:paraId="1BF4A367">
            <w:pPr>
              <w:bidi w:val="0"/>
              <w:jc w:val="both"/>
              <w:rPr>
                <w:rFonts w:hint="eastAsia"/>
                <w:color w:val="auto"/>
                <w:highlight w:val="none"/>
              </w:rPr>
            </w:pPr>
            <w:r>
              <w:rPr>
                <w:rFonts w:hint="eastAsia"/>
                <w:color w:val="auto"/>
                <w:highlight w:val="none"/>
              </w:rPr>
              <w:t>针对本项目提出适用于本项目</w:t>
            </w:r>
            <w:r>
              <w:rPr>
                <w:rFonts w:hint="eastAsia"/>
                <w:color w:val="auto"/>
                <w:highlight w:val="none"/>
                <w:lang w:val="en-US" w:eastAsia="zh-CN"/>
              </w:rPr>
              <w:t>的项目管理机构及人员配置方案</w:t>
            </w:r>
            <w:r>
              <w:rPr>
                <w:rFonts w:hint="eastAsia"/>
                <w:color w:val="auto"/>
                <w:highlight w:val="none"/>
              </w:rPr>
              <w:t>，包括：</w:t>
            </w:r>
          </w:p>
          <w:p w14:paraId="2839C776">
            <w:pPr>
              <w:bidi w:val="0"/>
              <w:jc w:val="both"/>
              <w:rPr>
                <w:rFonts w:hint="eastAsia" w:eastAsia="宋体"/>
                <w:color w:val="auto"/>
                <w:highlight w:val="none"/>
                <w:lang w:eastAsia="zh-CN"/>
              </w:rPr>
            </w:pPr>
            <w:r>
              <w:rPr>
                <w:rFonts w:hint="eastAsia"/>
                <w:color w:val="auto"/>
                <w:highlight w:val="none"/>
              </w:rPr>
              <w:t>①组织机构</w:t>
            </w:r>
            <w:r>
              <w:rPr>
                <w:rFonts w:hint="eastAsia"/>
                <w:color w:val="auto"/>
                <w:highlight w:val="none"/>
                <w:lang w:eastAsia="zh-CN"/>
              </w:rPr>
              <w:t>；</w:t>
            </w:r>
          </w:p>
          <w:p w14:paraId="51C6F3CF">
            <w:pPr>
              <w:bidi w:val="0"/>
              <w:jc w:val="both"/>
              <w:rPr>
                <w:rFonts w:hint="eastAsia"/>
                <w:color w:val="auto"/>
                <w:highlight w:val="none"/>
                <w:lang w:eastAsia="zh-CN"/>
              </w:rPr>
            </w:pPr>
            <w:r>
              <w:rPr>
                <w:rFonts w:hint="eastAsia"/>
                <w:color w:val="auto"/>
                <w:highlight w:val="none"/>
              </w:rPr>
              <w:t>②人员配置、工作职责</w:t>
            </w:r>
            <w:r>
              <w:rPr>
                <w:rFonts w:hint="eastAsia"/>
                <w:color w:val="auto"/>
                <w:highlight w:val="none"/>
                <w:lang w:eastAsia="zh-CN"/>
              </w:rPr>
              <w:t>；</w:t>
            </w:r>
          </w:p>
          <w:p w14:paraId="4DF98DB3">
            <w:pPr>
              <w:bidi w:val="0"/>
              <w:jc w:val="both"/>
              <w:rPr>
                <w:rFonts w:hint="eastAsia"/>
                <w:b/>
                <w:bCs/>
                <w:color w:val="auto"/>
                <w:highlight w:val="none"/>
              </w:rPr>
            </w:pPr>
            <w:r>
              <w:rPr>
                <w:rFonts w:hint="eastAsia"/>
                <w:b/>
                <w:bCs/>
                <w:color w:val="auto"/>
                <w:highlight w:val="none"/>
              </w:rPr>
              <w:t>二、评审标准：</w:t>
            </w:r>
          </w:p>
          <w:p w14:paraId="78D9B753">
            <w:pPr>
              <w:bidi w:val="0"/>
              <w:jc w:val="both"/>
              <w:rPr>
                <w:rFonts w:hint="eastAsia"/>
                <w:color w:val="auto"/>
                <w:highlight w:val="none"/>
              </w:rPr>
            </w:pPr>
            <w:r>
              <w:rPr>
                <w:rFonts w:hint="eastAsia"/>
                <w:color w:val="auto"/>
                <w:highlight w:val="none"/>
              </w:rPr>
              <w:t>1、完整性：方案必须全面，对评审内容中的各项要求有详细描述；</w:t>
            </w:r>
          </w:p>
          <w:p w14:paraId="07EE5E6F">
            <w:pPr>
              <w:bidi w:val="0"/>
              <w:jc w:val="both"/>
              <w:rPr>
                <w:rFonts w:hint="eastAsia"/>
                <w:color w:val="auto"/>
                <w:highlight w:val="none"/>
              </w:rPr>
            </w:pPr>
            <w:r>
              <w:rPr>
                <w:rFonts w:hint="eastAsia"/>
                <w:color w:val="auto"/>
                <w:highlight w:val="none"/>
              </w:rPr>
              <w:t>2、可实施性：切合本项目实际情况，提出步骤清晰、合理的方案；</w:t>
            </w:r>
          </w:p>
          <w:p w14:paraId="7CF4C42E">
            <w:pPr>
              <w:bidi w:val="0"/>
              <w:jc w:val="both"/>
              <w:rPr>
                <w:rFonts w:hint="eastAsia"/>
                <w:color w:val="auto"/>
                <w:highlight w:val="none"/>
              </w:rPr>
            </w:pPr>
            <w:r>
              <w:rPr>
                <w:rFonts w:hint="eastAsia"/>
                <w:color w:val="auto"/>
                <w:highlight w:val="none"/>
              </w:rPr>
              <w:t>3、针对性：方案能够紧扣项目实际情况，内容科学合理。</w:t>
            </w:r>
          </w:p>
          <w:p w14:paraId="1A56A7BC">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6</w:t>
            </w:r>
            <w:r>
              <w:rPr>
                <w:rFonts w:hint="eastAsia"/>
                <w:b/>
                <w:bCs/>
                <w:color w:val="auto"/>
                <w:highlight w:val="none"/>
              </w:rPr>
              <w:t>分）</w:t>
            </w:r>
          </w:p>
          <w:p w14:paraId="1343EEC7">
            <w:pPr>
              <w:bidi w:val="0"/>
              <w:jc w:val="both"/>
              <w:rPr>
                <w:rFonts w:hint="eastAsia" w:eastAsia="宋体"/>
                <w:color w:val="auto"/>
                <w:highlight w:val="none"/>
                <w:lang w:eastAsia="zh-CN"/>
              </w:rPr>
            </w:pPr>
            <w:r>
              <w:rPr>
                <w:rFonts w:hint="eastAsia"/>
                <w:color w:val="auto"/>
                <w:highlight w:val="none"/>
              </w:rPr>
              <w:t>①组织机构</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208D74A0">
            <w:pPr>
              <w:bidi w:val="0"/>
              <w:jc w:val="both"/>
              <w:rPr>
                <w:rFonts w:hint="eastAsia"/>
                <w:color w:val="auto"/>
                <w:highlight w:val="none"/>
              </w:rPr>
            </w:pPr>
            <w:r>
              <w:rPr>
                <w:rFonts w:hint="eastAsia"/>
                <w:color w:val="auto"/>
                <w:highlight w:val="none"/>
              </w:rPr>
              <w:t>②人员配置、工作职责</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c>
          <w:tcPr>
            <w:tcW w:w="365" w:type="pct"/>
            <w:vAlign w:val="center"/>
          </w:tcPr>
          <w:p w14:paraId="045C10A9">
            <w:pPr>
              <w:bidi w:val="0"/>
              <w:jc w:val="center"/>
              <w:rPr>
                <w:rFonts w:hint="default"/>
                <w:color w:val="auto"/>
                <w:highlight w:val="none"/>
                <w:lang w:val="en-US" w:eastAsia="zh-CN"/>
              </w:rPr>
            </w:pPr>
            <w:r>
              <w:rPr>
                <w:rFonts w:hint="eastAsia"/>
                <w:color w:val="auto"/>
                <w:highlight w:val="none"/>
                <w:lang w:val="en-US" w:eastAsia="zh-CN"/>
              </w:rPr>
              <w:t>6分</w:t>
            </w:r>
          </w:p>
        </w:tc>
      </w:tr>
      <w:tr w14:paraId="05C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364" w:type="pct"/>
            <w:vAlign w:val="center"/>
          </w:tcPr>
          <w:p w14:paraId="49F1B7C0">
            <w:pPr>
              <w:bidi w:val="0"/>
              <w:jc w:val="center"/>
              <w:rPr>
                <w:rFonts w:hint="default"/>
                <w:color w:val="auto"/>
                <w:highlight w:val="none"/>
                <w:lang w:val="en-US" w:eastAsia="zh-CN"/>
              </w:rPr>
            </w:pPr>
            <w:r>
              <w:rPr>
                <w:rFonts w:hint="eastAsia"/>
                <w:color w:val="auto"/>
                <w:highlight w:val="none"/>
                <w:lang w:val="en-US" w:eastAsia="zh-CN"/>
              </w:rPr>
              <w:t>7</w:t>
            </w:r>
          </w:p>
        </w:tc>
        <w:tc>
          <w:tcPr>
            <w:tcW w:w="545" w:type="pct"/>
            <w:vAlign w:val="center"/>
          </w:tcPr>
          <w:p w14:paraId="1A4C9796">
            <w:pPr>
              <w:bidi w:val="0"/>
              <w:jc w:val="center"/>
              <w:rPr>
                <w:rFonts w:hint="default"/>
                <w:color w:val="auto"/>
                <w:highlight w:val="none"/>
                <w:lang w:val="en-US" w:eastAsia="zh-CN"/>
              </w:rPr>
            </w:pPr>
            <w:r>
              <w:rPr>
                <w:rFonts w:hint="eastAsia"/>
                <w:color w:val="auto"/>
                <w:highlight w:val="none"/>
                <w:lang w:val="en-US" w:eastAsia="zh-CN"/>
              </w:rPr>
              <w:t>维修工程师资质</w:t>
            </w:r>
          </w:p>
        </w:tc>
        <w:tc>
          <w:tcPr>
            <w:tcW w:w="3723" w:type="pct"/>
            <w:vAlign w:val="center"/>
          </w:tcPr>
          <w:p w14:paraId="7DB0E51B">
            <w:pPr>
              <w:bidi w:val="0"/>
              <w:jc w:val="both"/>
              <w:rPr>
                <w:rFonts w:hint="default"/>
                <w:color w:val="auto"/>
                <w:highlight w:val="none"/>
                <w:lang w:val="en-US"/>
              </w:rPr>
            </w:pPr>
            <w:r>
              <w:rPr>
                <w:rFonts w:hint="eastAsia"/>
                <w:color w:val="auto"/>
                <w:highlight w:val="none"/>
              </w:rPr>
              <w:t>拟投入维修工程师具备</w:t>
            </w:r>
            <w:r>
              <w:rPr>
                <w:rFonts w:hint="eastAsia"/>
                <w:color w:val="auto"/>
                <w:highlight w:val="none"/>
                <w:lang w:val="en-US" w:eastAsia="zh-CN"/>
              </w:rPr>
              <w:t>医疗器械维修工程师（高级），提供1名得2.5分，满分5分（提供证书复印件）。</w:t>
            </w:r>
          </w:p>
        </w:tc>
        <w:tc>
          <w:tcPr>
            <w:tcW w:w="365" w:type="pct"/>
            <w:vAlign w:val="center"/>
          </w:tcPr>
          <w:p w14:paraId="48060D31">
            <w:pPr>
              <w:bidi w:val="0"/>
              <w:jc w:val="center"/>
              <w:rPr>
                <w:rFonts w:hint="default"/>
                <w:color w:val="auto"/>
                <w:highlight w:val="none"/>
                <w:lang w:val="en-US" w:eastAsia="zh-CN"/>
              </w:rPr>
            </w:pPr>
            <w:r>
              <w:rPr>
                <w:rFonts w:hint="eastAsia"/>
                <w:color w:val="auto"/>
                <w:highlight w:val="none"/>
                <w:lang w:val="en-US" w:eastAsia="zh-CN"/>
              </w:rPr>
              <w:t>5分</w:t>
            </w:r>
          </w:p>
        </w:tc>
      </w:tr>
      <w:tr w14:paraId="13F7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1" w:hRule="atLeast"/>
        </w:trPr>
        <w:tc>
          <w:tcPr>
            <w:tcW w:w="364" w:type="pct"/>
            <w:vAlign w:val="center"/>
          </w:tcPr>
          <w:p w14:paraId="04E23C23">
            <w:pPr>
              <w:bidi w:val="0"/>
              <w:jc w:val="center"/>
              <w:rPr>
                <w:rFonts w:hint="default"/>
                <w:color w:val="auto"/>
                <w:highlight w:val="none"/>
                <w:lang w:val="en-US" w:eastAsia="zh-CN"/>
              </w:rPr>
            </w:pPr>
            <w:r>
              <w:rPr>
                <w:rFonts w:hint="eastAsia"/>
                <w:color w:val="auto"/>
                <w:highlight w:val="none"/>
                <w:lang w:val="en-US" w:eastAsia="zh-CN"/>
              </w:rPr>
              <w:t>8</w:t>
            </w:r>
          </w:p>
        </w:tc>
        <w:tc>
          <w:tcPr>
            <w:tcW w:w="545" w:type="pct"/>
            <w:vAlign w:val="center"/>
          </w:tcPr>
          <w:p w14:paraId="2418D7D4">
            <w:pPr>
              <w:bidi w:val="0"/>
              <w:jc w:val="center"/>
              <w:rPr>
                <w:rFonts w:hint="eastAsia"/>
                <w:color w:val="auto"/>
                <w:highlight w:val="none"/>
                <w:lang w:val="en-US" w:eastAsia="zh-CN"/>
              </w:rPr>
            </w:pPr>
            <w:r>
              <w:rPr>
                <w:rFonts w:hint="eastAsia"/>
                <w:color w:val="auto"/>
                <w:highlight w:val="none"/>
                <w:lang w:val="en-US" w:eastAsia="zh-CN"/>
              </w:rPr>
              <w:t>零配件配备</w:t>
            </w:r>
          </w:p>
        </w:tc>
        <w:tc>
          <w:tcPr>
            <w:tcW w:w="3723" w:type="pct"/>
            <w:vAlign w:val="center"/>
          </w:tcPr>
          <w:p w14:paraId="7B1977B8">
            <w:pPr>
              <w:bidi w:val="0"/>
              <w:jc w:val="both"/>
              <w:rPr>
                <w:rFonts w:hint="eastAsia"/>
                <w:b/>
                <w:bCs/>
                <w:color w:val="auto"/>
                <w:highlight w:val="none"/>
              </w:rPr>
            </w:pPr>
            <w:r>
              <w:rPr>
                <w:rFonts w:hint="eastAsia"/>
                <w:b/>
                <w:bCs/>
                <w:color w:val="auto"/>
                <w:highlight w:val="none"/>
              </w:rPr>
              <w:t>一、评审内容：</w:t>
            </w:r>
          </w:p>
          <w:p w14:paraId="53E1F5F8">
            <w:pPr>
              <w:bidi w:val="0"/>
              <w:jc w:val="both"/>
              <w:rPr>
                <w:rFonts w:hint="eastAsia"/>
                <w:color w:val="auto"/>
                <w:highlight w:val="none"/>
              </w:rPr>
            </w:pPr>
            <w:r>
              <w:rPr>
                <w:rFonts w:hint="eastAsia"/>
                <w:color w:val="auto"/>
                <w:highlight w:val="none"/>
              </w:rPr>
              <w:t>针对本项目提出适用于本项目</w:t>
            </w:r>
            <w:r>
              <w:rPr>
                <w:rFonts w:hint="eastAsia"/>
                <w:color w:val="auto"/>
                <w:highlight w:val="none"/>
                <w:lang w:val="en-US" w:eastAsia="zh-CN"/>
              </w:rPr>
              <w:t>的零配件配备方案</w:t>
            </w:r>
            <w:r>
              <w:rPr>
                <w:rFonts w:hint="eastAsia"/>
                <w:color w:val="auto"/>
                <w:highlight w:val="none"/>
              </w:rPr>
              <w:t>，包括：</w:t>
            </w:r>
          </w:p>
          <w:p w14:paraId="0DE21C5E">
            <w:pPr>
              <w:bidi w:val="0"/>
              <w:jc w:val="both"/>
              <w:rPr>
                <w:rFonts w:hint="eastAsia" w:eastAsia="宋体"/>
                <w:color w:val="auto"/>
                <w:highlight w:val="none"/>
                <w:lang w:eastAsia="zh-CN"/>
              </w:rPr>
            </w:pPr>
            <w:r>
              <w:rPr>
                <w:rFonts w:hint="eastAsia"/>
                <w:color w:val="auto"/>
                <w:highlight w:val="none"/>
              </w:rPr>
              <w:t>①零配件配备情况方案</w:t>
            </w:r>
            <w:r>
              <w:rPr>
                <w:rFonts w:hint="eastAsia"/>
                <w:color w:val="auto"/>
                <w:highlight w:val="none"/>
                <w:lang w:eastAsia="zh-CN"/>
              </w:rPr>
              <w:t>；</w:t>
            </w:r>
          </w:p>
          <w:p w14:paraId="56FAC130">
            <w:pPr>
              <w:bidi w:val="0"/>
              <w:jc w:val="both"/>
              <w:rPr>
                <w:rFonts w:hint="eastAsia"/>
                <w:color w:val="auto"/>
                <w:highlight w:val="none"/>
                <w:lang w:eastAsia="zh-CN"/>
              </w:rPr>
            </w:pPr>
            <w:r>
              <w:rPr>
                <w:rFonts w:hint="eastAsia"/>
                <w:color w:val="auto"/>
                <w:highlight w:val="none"/>
              </w:rPr>
              <w:t>②零配件来源渠道</w:t>
            </w:r>
            <w:r>
              <w:rPr>
                <w:rFonts w:hint="eastAsia"/>
                <w:color w:val="auto"/>
                <w:highlight w:val="none"/>
                <w:lang w:eastAsia="zh-CN"/>
              </w:rPr>
              <w:t>；</w:t>
            </w:r>
          </w:p>
          <w:p w14:paraId="3051BE69">
            <w:pPr>
              <w:bidi w:val="0"/>
              <w:jc w:val="both"/>
              <w:rPr>
                <w:rFonts w:hint="eastAsia"/>
                <w:b/>
                <w:bCs/>
                <w:color w:val="auto"/>
                <w:highlight w:val="none"/>
              </w:rPr>
            </w:pPr>
            <w:r>
              <w:rPr>
                <w:rFonts w:hint="eastAsia"/>
                <w:b/>
                <w:bCs/>
                <w:color w:val="auto"/>
                <w:highlight w:val="none"/>
              </w:rPr>
              <w:t>二、评审标准：</w:t>
            </w:r>
          </w:p>
          <w:p w14:paraId="2F5E330E">
            <w:pPr>
              <w:bidi w:val="0"/>
              <w:jc w:val="both"/>
              <w:rPr>
                <w:rFonts w:hint="eastAsia"/>
                <w:color w:val="auto"/>
                <w:highlight w:val="none"/>
              </w:rPr>
            </w:pPr>
            <w:r>
              <w:rPr>
                <w:rFonts w:hint="eastAsia"/>
                <w:color w:val="auto"/>
                <w:highlight w:val="none"/>
              </w:rPr>
              <w:t>1、完整性：方案必须全面，对评审内容中的各项要求有详细描述；</w:t>
            </w:r>
          </w:p>
          <w:p w14:paraId="09C7533E">
            <w:pPr>
              <w:bidi w:val="0"/>
              <w:jc w:val="both"/>
              <w:rPr>
                <w:rFonts w:hint="eastAsia"/>
                <w:color w:val="auto"/>
                <w:highlight w:val="none"/>
              </w:rPr>
            </w:pPr>
            <w:r>
              <w:rPr>
                <w:rFonts w:hint="eastAsia"/>
                <w:color w:val="auto"/>
                <w:highlight w:val="none"/>
              </w:rPr>
              <w:t>2、可实施性：切合本项目实际情况，提出步骤清晰、合理的方案；</w:t>
            </w:r>
          </w:p>
          <w:p w14:paraId="110ABBF9">
            <w:pPr>
              <w:bidi w:val="0"/>
              <w:jc w:val="both"/>
              <w:rPr>
                <w:rFonts w:hint="eastAsia"/>
                <w:color w:val="auto"/>
                <w:highlight w:val="none"/>
              </w:rPr>
            </w:pPr>
            <w:r>
              <w:rPr>
                <w:rFonts w:hint="eastAsia"/>
                <w:color w:val="auto"/>
                <w:highlight w:val="none"/>
              </w:rPr>
              <w:t>3、针对性：方案能够紧扣项目实际情况，内容科学合理。</w:t>
            </w:r>
          </w:p>
          <w:p w14:paraId="0D7BAF54">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6</w:t>
            </w:r>
            <w:r>
              <w:rPr>
                <w:rFonts w:hint="eastAsia"/>
                <w:b/>
                <w:bCs/>
                <w:color w:val="auto"/>
                <w:highlight w:val="none"/>
              </w:rPr>
              <w:t>分）</w:t>
            </w:r>
          </w:p>
          <w:p w14:paraId="15383278">
            <w:pPr>
              <w:bidi w:val="0"/>
              <w:jc w:val="both"/>
              <w:rPr>
                <w:rFonts w:hint="eastAsia" w:eastAsia="宋体"/>
                <w:color w:val="auto"/>
                <w:highlight w:val="none"/>
                <w:lang w:eastAsia="zh-CN"/>
              </w:rPr>
            </w:pPr>
            <w:r>
              <w:rPr>
                <w:rFonts w:hint="eastAsia"/>
                <w:color w:val="auto"/>
                <w:highlight w:val="none"/>
              </w:rPr>
              <w:t>①零配件配备情况方案</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54813FAC">
            <w:pPr>
              <w:bidi w:val="0"/>
              <w:jc w:val="both"/>
              <w:rPr>
                <w:rFonts w:hint="eastAsia"/>
                <w:color w:val="auto"/>
                <w:highlight w:val="none"/>
              </w:rPr>
            </w:pPr>
            <w:r>
              <w:rPr>
                <w:rFonts w:hint="eastAsia"/>
                <w:color w:val="auto"/>
                <w:highlight w:val="none"/>
              </w:rPr>
              <w:t>②零配件来源渠道</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c>
          <w:tcPr>
            <w:tcW w:w="365" w:type="pct"/>
            <w:vAlign w:val="center"/>
          </w:tcPr>
          <w:p w14:paraId="60274FAF">
            <w:pPr>
              <w:bidi w:val="0"/>
              <w:jc w:val="center"/>
              <w:rPr>
                <w:rFonts w:hint="eastAsia"/>
                <w:color w:val="auto"/>
                <w:highlight w:val="none"/>
                <w:lang w:val="en-US" w:eastAsia="zh-CN"/>
              </w:rPr>
            </w:pPr>
            <w:r>
              <w:rPr>
                <w:rFonts w:hint="eastAsia"/>
                <w:color w:val="auto"/>
                <w:highlight w:val="none"/>
                <w:lang w:val="en-US" w:eastAsia="zh-CN"/>
              </w:rPr>
              <w:t>6分</w:t>
            </w:r>
          </w:p>
        </w:tc>
      </w:tr>
      <w:tr w14:paraId="30EE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364" w:type="pct"/>
            <w:vAlign w:val="center"/>
          </w:tcPr>
          <w:p w14:paraId="2DC1B342">
            <w:pPr>
              <w:bidi w:val="0"/>
              <w:jc w:val="center"/>
              <w:rPr>
                <w:rFonts w:hint="default"/>
                <w:color w:val="auto"/>
                <w:highlight w:val="none"/>
                <w:lang w:val="en-US" w:eastAsia="zh-CN"/>
              </w:rPr>
            </w:pPr>
            <w:r>
              <w:rPr>
                <w:rFonts w:hint="eastAsia"/>
                <w:color w:val="auto"/>
                <w:highlight w:val="none"/>
                <w:lang w:val="en-US" w:eastAsia="zh-CN"/>
              </w:rPr>
              <w:t>9</w:t>
            </w:r>
          </w:p>
        </w:tc>
        <w:tc>
          <w:tcPr>
            <w:tcW w:w="545" w:type="pct"/>
            <w:vAlign w:val="center"/>
          </w:tcPr>
          <w:p w14:paraId="46621279">
            <w:pPr>
              <w:bidi w:val="0"/>
              <w:jc w:val="center"/>
              <w:rPr>
                <w:rFonts w:hint="eastAsia"/>
                <w:color w:val="auto"/>
                <w:highlight w:val="none"/>
                <w:lang w:val="en-US" w:eastAsia="zh-CN"/>
              </w:rPr>
            </w:pPr>
            <w:r>
              <w:rPr>
                <w:rFonts w:hint="eastAsia"/>
                <w:color w:val="auto"/>
                <w:highlight w:val="none"/>
                <w:lang w:val="en-US" w:eastAsia="zh-CN"/>
              </w:rPr>
              <w:t>合理化建议及增值服务</w:t>
            </w:r>
          </w:p>
        </w:tc>
        <w:tc>
          <w:tcPr>
            <w:tcW w:w="3723" w:type="pct"/>
            <w:vAlign w:val="center"/>
          </w:tcPr>
          <w:p w14:paraId="64DB66B2">
            <w:pPr>
              <w:bidi w:val="0"/>
              <w:jc w:val="both"/>
              <w:rPr>
                <w:rFonts w:hint="eastAsia"/>
                <w:b/>
                <w:bCs/>
                <w:color w:val="auto"/>
                <w:highlight w:val="none"/>
              </w:rPr>
            </w:pPr>
            <w:r>
              <w:rPr>
                <w:rFonts w:hint="eastAsia"/>
                <w:b/>
                <w:bCs/>
                <w:color w:val="auto"/>
                <w:highlight w:val="none"/>
              </w:rPr>
              <w:t>一、评审内容：</w:t>
            </w:r>
          </w:p>
          <w:p w14:paraId="739BDB33">
            <w:pPr>
              <w:bidi w:val="0"/>
              <w:jc w:val="both"/>
              <w:rPr>
                <w:rFonts w:hint="eastAsia"/>
                <w:color w:val="auto"/>
                <w:highlight w:val="none"/>
              </w:rPr>
            </w:pPr>
            <w:r>
              <w:rPr>
                <w:rFonts w:hint="eastAsia"/>
                <w:color w:val="auto"/>
                <w:highlight w:val="none"/>
              </w:rPr>
              <w:t>针对本项目提出适用于本项目</w:t>
            </w:r>
            <w:r>
              <w:rPr>
                <w:rFonts w:hint="eastAsia"/>
                <w:color w:val="auto"/>
                <w:highlight w:val="none"/>
                <w:lang w:val="en-US" w:eastAsia="zh-CN"/>
              </w:rPr>
              <w:t>的合理化建议及增值服务方案</w:t>
            </w:r>
            <w:r>
              <w:rPr>
                <w:rFonts w:hint="eastAsia"/>
                <w:color w:val="auto"/>
                <w:highlight w:val="none"/>
              </w:rPr>
              <w:t>，包括：</w:t>
            </w:r>
          </w:p>
          <w:p w14:paraId="2E5E6697">
            <w:pPr>
              <w:bidi w:val="0"/>
              <w:jc w:val="both"/>
              <w:rPr>
                <w:rFonts w:hint="eastAsia" w:eastAsia="宋体"/>
                <w:color w:val="auto"/>
                <w:highlight w:val="none"/>
                <w:lang w:eastAsia="zh-CN"/>
              </w:rPr>
            </w:pPr>
            <w:r>
              <w:rPr>
                <w:rFonts w:hint="eastAsia"/>
                <w:color w:val="auto"/>
                <w:highlight w:val="none"/>
              </w:rPr>
              <w:t>①合理化建议</w:t>
            </w:r>
            <w:r>
              <w:rPr>
                <w:rFonts w:hint="eastAsia"/>
                <w:color w:val="auto"/>
                <w:highlight w:val="none"/>
                <w:lang w:eastAsia="zh-CN"/>
              </w:rPr>
              <w:t>；</w:t>
            </w:r>
          </w:p>
          <w:p w14:paraId="66EC8F35">
            <w:pPr>
              <w:bidi w:val="0"/>
              <w:jc w:val="both"/>
              <w:rPr>
                <w:rFonts w:hint="eastAsia"/>
                <w:color w:val="auto"/>
                <w:highlight w:val="none"/>
                <w:lang w:eastAsia="zh-CN"/>
              </w:rPr>
            </w:pPr>
            <w:r>
              <w:rPr>
                <w:rFonts w:hint="eastAsia"/>
                <w:color w:val="auto"/>
                <w:highlight w:val="none"/>
              </w:rPr>
              <w:t>②增值服务</w:t>
            </w:r>
            <w:r>
              <w:rPr>
                <w:rFonts w:hint="eastAsia"/>
                <w:color w:val="auto"/>
                <w:highlight w:val="none"/>
                <w:lang w:eastAsia="zh-CN"/>
              </w:rPr>
              <w:t>；</w:t>
            </w:r>
          </w:p>
          <w:p w14:paraId="587EC36F">
            <w:pPr>
              <w:bidi w:val="0"/>
              <w:jc w:val="both"/>
              <w:rPr>
                <w:rFonts w:hint="eastAsia"/>
                <w:b/>
                <w:bCs/>
                <w:color w:val="auto"/>
                <w:highlight w:val="none"/>
              </w:rPr>
            </w:pPr>
            <w:r>
              <w:rPr>
                <w:rFonts w:hint="eastAsia"/>
                <w:b/>
                <w:bCs/>
                <w:color w:val="auto"/>
                <w:highlight w:val="none"/>
              </w:rPr>
              <w:t>二、评审标准：</w:t>
            </w:r>
          </w:p>
          <w:p w14:paraId="1BAA55BA">
            <w:pPr>
              <w:bidi w:val="0"/>
              <w:jc w:val="both"/>
              <w:rPr>
                <w:rFonts w:hint="eastAsia"/>
                <w:color w:val="auto"/>
                <w:highlight w:val="none"/>
              </w:rPr>
            </w:pPr>
            <w:r>
              <w:rPr>
                <w:rFonts w:hint="eastAsia"/>
                <w:color w:val="auto"/>
                <w:highlight w:val="none"/>
              </w:rPr>
              <w:t>1、完整性：方案必须全面，对评审内容中的各项要求有详细描述；</w:t>
            </w:r>
          </w:p>
          <w:p w14:paraId="191614E0">
            <w:pPr>
              <w:bidi w:val="0"/>
              <w:jc w:val="both"/>
              <w:rPr>
                <w:rFonts w:hint="eastAsia"/>
                <w:color w:val="auto"/>
                <w:highlight w:val="none"/>
              </w:rPr>
            </w:pPr>
            <w:r>
              <w:rPr>
                <w:rFonts w:hint="eastAsia"/>
                <w:color w:val="auto"/>
                <w:highlight w:val="none"/>
              </w:rPr>
              <w:t>2、可实施性：切合本项目实际情况，提出步骤清晰、合理的方案；</w:t>
            </w:r>
          </w:p>
          <w:p w14:paraId="1D3D8BCD">
            <w:pPr>
              <w:bidi w:val="0"/>
              <w:jc w:val="both"/>
              <w:rPr>
                <w:rFonts w:hint="eastAsia"/>
                <w:color w:val="auto"/>
                <w:highlight w:val="none"/>
              </w:rPr>
            </w:pPr>
            <w:r>
              <w:rPr>
                <w:rFonts w:hint="eastAsia"/>
                <w:color w:val="auto"/>
                <w:highlight w:val="none"/>
              </w:rPr>
              <w:t>3、针对性：方案能够紧扣项目实际情况，内容科学合理。</w:t>
            </w:r>
          </w:p>
          <w:p w14:paraId="6BDB011F">
            <w:pPr>
              <w:bidi w:val="0"/>
              <w:jc w:val="both"/>
              <w:rPr>
                <w:rFonts w:hint="eastAsia"/>
                <w:b/>
                <w:bCs/>
                <w:color w:val="auto"/>
                <w:highlight w:val="none"/>
              </w:rPr>
            </w:pPr>
            <w:r>
              <w:rPr>
                <w:rFonts w:hint="eastAsia"/>
                <w:b/>
                <w:bCs/>
                <w:color w:val="auto"/>
                <w:highlight w:val="none"/>
              </w:rPr>
              <w:t>三、赋分标准（满分</w:t>
            </w:r>
            <w:r>
              <w:rPr>
                <w:rFonts w:hint="eastAsia"/>
                <w:b/>
                <w:bCs/>
                <w:color w:val="auto"/>
                <w:highlight w:val="none"/>
                <w:lang w:val="en-US" w:eastAsia="zh-CN"/>
              </w:rPr>
              <w:t>6</w:t>
            </w:r>
            <w:r>
              <w:rPr>
                <w:rFonts w:hint="eastAsia"/>
                <w:b/>
                <w:bCs/>
                <w:color w:val="auto"/>
                <w:highlight w:val="none"/>
              </w:rPr>
              <w:t>分）</w:t>
            </w:r>
          </w:p>
          <w:p w14:paraId="730FF443">
            <w:pPr>
              <w:bidi w:val="0"/>
              <w:jc w:val="both"/>
              <w:rPr>
                <w:rFonts w:hint="eastAsia" w:eastAsia="宋体"/>
                <w:color w:val="auto"/>
                <w:highlight w:val="none"/>
                <w:lang w:eastAsia="zh-CN"/>
              </w:rPr>
            </w:pPr>
            <w:r>
              <w:rPr>
                <w:rFonts w:hint="eastAsia"/>
                <w:color w:val="auto"/>
                <w:highlight w:val="none"/>
              </w:rPr>
              <w:t>①合理化建议</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7AB39A93">
            <w:pPr>
              <w:bidi w:val="0"/>
              <w:jc w:val="both"/>
              <w:rPr>
                <w:rFonts w:hint="eastAsia"/>
                <w:color w:val="auto"/>
                <w:highlight w:val="none"/>
              </w:rPr>
            </w:pPr>
            <w:r>
              <w:rPr>
                <w:rFonts w:hint="eastAsia"/>
                <w:color w:val="auto"/>
                <w:highlight w:val="none"/>
              </w:rPr>
              <w:t>②增值服务</w:t>
            </w:r>
            <w:r>
              <w:rPr>
                <w:rFonts w:hint="eastAsia"/>
                <w:color w:val="auto"/>
                <w:highlight w:val="none"/>
                <w:lang w:eastAsia="zh-CN"/>
              </w:rPr>
              <w:t>：</w:t>
            </w:r>
            <w:r>
              <w:rPr>
                <w:rFonts w:hint="eastAsia"/>
                <w:color w:val="auto"/>
                <w:highlight w:val="none"/>
              </w:rPr>
              <w:t>每完全满足一个评审标准得</w:t>
            </w:r>
            <w:r>
              <w:rPr>
                <w:rFonts w:hint="eastAsia"/>
                <w:color w:val="auto"/>
                <w:highlight w:val="none"/>
                <w:lang w:val="en-US" w:eastAsia="zh-CN"/>
              </w:rPr>
              <w:t>1</w:t>
            </w:r>
            <w:r>
              <w:rPr>
                <w:rFonts w:hint="eastAsia"/>
                <w:color w:val="auto"/>
                <w:highlight w:val="none"/>
              </w:rPr>
              <w:t>分，不完全满足一个评审标准得0-</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tc>
        <w:tc>
          <w:tcPr>
            <w:tcW w:w="365" w:type="pct"/>
            <w:vAlign w:val="center"/>
          </w:tcPr>
          <w:p w14:paraId="6FD2F5E6">
            <w:pPr>
              <w:bidi w:val="0"/>
              <w:jc w:val="center"/>
              <w:rPr>
                <w:rFonts w:hint="eastAsia"/>
                <w:color w:val="auto"/>
                <w:highlight w:val="none"/>
                <w:lang w:val="en-US" w:eastAsia="zh-CN"/>
              </w:rPr>
            </w:pPr>
            <w:r>
              <w:rPr>
                <w:rFonts w:hint="eastAsia"/>
                <w:color w:val="auto"/>
                <w:highlight w:val="none"/>
                <w:lang w:val="en-US" w:eastAsia="zh-CN"/>
              </w:rPr>
              <w:t>6分</w:t>
            </w:r>
          </w:p>
        </w:tc>
      </w:tr>
      <w:tr w14:paraId="6E2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trPr>
        <w:tc>
          <w:tcPr>
            <w:tcW w:w="364" w:type="pct"/>
            <w:vAlign w:val="center"/>
          </w:tcPr>
          <w:p w14:paraId="0676BFC6">
            <w:pPr>
              <w:bidi w:val="0"/>
              <w:jc w:val="center"/>
              <w:rPr>
                <w:rFonts w:hint="default" w:eastAsia="宋体"/>
                <w:color w:val="auto"/>
                <w:highlight w:val="none"/>
                <w:lang w:val="en-US" w:eastAsia="zh-CN"/>
              </w:rPr>
            </w:pPr>
            <w:r>
              <w:rPr>
                <w:rFonts w:hint="eastAsia"/>
                <w:color w:val="auto"/>
                <w:highlight w:val="none"/>
                <w:lang w:val="en-US" w:eastAsia="zh-CN"/>
              </w:rPr>
              <w:t>10</w:t>
            </w:r>
          </w:p>
        </w:tc>
        <w:tc>
          <w:tcPr>
            <w:tcW w:w="545" w:type="pct"/>
            <w:vAlign w:val="center"/>
          </w:tcPr>
          <w:p w14:paraId="2FD6D9C1">
            <w:pPr>
              <w:bidi w:val="0"/>
              <w:jc w:val="center"/>
              <w:rPr>
                <w:rFonts w:hint="default"/>
                <w:color w:val="auto"/>
                <w:highlight w:val="none"/>
                <w:lang w:val="en-US" w:eastAsia="zh-CN"/>
              </w:rPr>
            </w:pPr>
            <w:r>
              <w:rPr>
                <w:rFonts w:hint="eastAsia"/>
                <w:color w:val="auto"/>
                <w:highlight w:val="none"/>
                <w:lang w:val="en-US" w:eastAsia="zh-CN"/>
              </w:rPr>
              <w:t>本地化服务</w:t>
            </w:r>
          </w:p>
        </w:tc>
        <w:tc>
          <w:tcPr>
            <w:tcW w:w="3723" w:type="pct"/>
            <w:vAlign w:val="center"/>
          </w:tcPr>
          <w:p w14:paraId="1CBB1D4F">
            <w:pPr>
              <w:bidi w:val="0"/>
              <w:jc w:val="both"/>
              <w:rPr>
                <w:rFonts w:hint="eastAsia"/>
                <w:color w:val="auto"/>
                <w:highlight w:val="none"/>
              </w:rPr>
            </w:pPr>
            <w:r>
              <w:rPr>
                <w:rFonts w:hint="eastAsia"/>
                <w:color w:val="auto"/>
                <w:highlight w:val="none"/>
              </w:rPr>
              <w:t>针对本项目提出适用于本项目</w:t>
            </w:r>
            <w:r>
              <w:rPr>
                <w:rFonts w:hint="eastAsia"/>
                <w:color w:val="auto"/>
                <w:highlight w:val="none"/>
                <w:lang w:val="en-US" w:eastAsia="zh-CN"/>
              </w:rPr>
              <w:t>的本地化服务方案</w:t>
            </w:r>
            <w:r>
              <w:rPr>
                <w:rFonts w:hint="eastAsia"/>
                <w:color w:val="auto"/>
                <w:highlight w:val="none"/>
              </w:rPr>
              <w:t>，包括：</w:t>
            </w:r>
          </w:p>
          <w:p w14:paraId="02D73EED">
            <w:pPr>
              <w:bidi w:val="0"/>
              <w:jc w:val="both"/>
              <w:rPr>
                <w:rFonts w:hint="eastAsia"/>
                <w:color w:val="auto"/>
                <w:highlight w:val="none"/>
                <w:lang w:val="en-US" w:eastAsia="zh-CN"/>
              </w:rPr>
            </w:pPr>
            <w:r>
              <w:rPr>
                <w:rFonts w:hint="eastAsia"/>
                <w:color w:val="auto"/>
                <w:highlight w:val="none"/>
                <w:lang w:val="en-US" w:eastAsia="zh-CN"/>
              </w:rPr>
              <w:t>①收到故障后响应时间及到场检修时间；</w:t>
            </w:r>
          </w:p>
          <w:p w14:paraId="2E6C7435">
            <w:pPr>
              <w:bidi w:val="0"/>
              <w:jc w:val="both"/>
              <w:rPr>
                <w:rFonts w:hint="default"/>
                <w:color w:val="auto"/>
                <w:highlight w:val="none"/>
                <w:lang w:val="en-US" w:eastAsia="zh-CN"/>
              </w:rPr>
            </w:pPr>
            <w:r>
              <w:rPr>
                <w:rFonts w:hint="eastAsia"/>
                <w:color w:val="auto"/>
                <w:highlight w:val="none"/>
                <w:lang w:val="en-US" w:eastAsia="zh-CN"/>
              </w:rPr>
              <w:t>根据供应商收到故障后响应时间及到场检修时间进行赋分，收到故障后响应时间1小时内得2分，到场检修时间1小时内得2分，到场检修时间4小时内得1分。（提供相应证明材料如本地办公场所、本地驻场人员等）</w:t>
            </w:r>
          </w:p>
        </w:tc>
        <w:tc>
          <w:tcPr>
            <w:tcW w:w="365" w:type="pct"/>
            <w:vAlign w:val="center"/>
          </w:tcPr>
          <w:p w14:paraId="3E4B83DF">
            <w:pPr>
              <w:bidi w:val="0"/>
              <w:jc w:val="center"/>
              <w:rPr>
                <w:rFonts w:hint="eastAsia"/>
                <w:color w:val="auto"/>
                <w:highlight w:val="none"/>
                <w:lang w:val="en-US" w:eastAsia="en-US"/>
              </w:rPr>
            </w:pPr>
            <w:r>
              <w:rPr>
                <w:rFonts w:hint="eastAsia"/>
                <w:color w:val="auto"/>
                <w:highlight w:val="none"/>
                <w:lang w:val="en-US" w:eastAsia="zh-CN"/>
              </w:rPr>
              <w:t>5分</w:t>
            </w:r>
          </w:p>
        </w:tc>
      </w:tr>
      <w:tr w14:paraId="5908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3" w:hRule="atLeast"/>
        </w:trPr>
        <w:tc>
          <w:tcPr>
            <w:tcW w:w="364" w:type="pct"/>
            <w:vAlign w:val="center"/>
          </w:tcPr>
          <w:p w14:paraId="32D32915">
            <w:pPr>
              <w:bidi w:val="0"/>
              <w:jc w:val="center"/>
              <w:rPr>
                <w:rFonts w:hint="default"/>
                <w:color w:val="auto"/>
                <w:highlight w:val="none"/>
                <w:lang w:val="en-US" w:eastAsia="zh-CN"/>
              </w:rPr>
            </w:pPr>
            <w:r>
              <w:rPr>
                <w:rFonts w:hint="eastAsia"/>
                <w:color w:val="auto"/>
                <w:highlight w:val="none"/>
                <w:lang w:val="en-US" w:eastAsia="zh-CN"/>
              </w:rPr>
              <w:t>11</w:t>
            </w:r>
          </w:p>
        </w:tc>
        <w:tc>
          <w:tcPr>
            <w:tcW w:w="545" w:type="pct"/>
            <w:vAlign w:val="center"/>
          </w:tcPr>
          <w:p w14:paraId="0B4E8864">
            <w:pPr>
              <w:bidi w:val="0"/>
              <w:jc w:val="center"/>
              <w:rPr>
                <w:rFonts w:hint="eastAsia"/>
                <w:color w:val="auto"/>
                <w:highlight w:val="none"/>
                <w:lang w:val="en-US" w:eastAsia="en-US"/>
              </w:rPr>
            </w:pPr>
            <w:r>
              <w:rPr>
                <w:rFonts w:hint="eastAsia"/>
                <w:color w:val="auto"/>
                <w:highlight w:val="none"/>
                <w:lang w:val="en-US" w:eastAsia="en-US"/>
              </w:rPr>
              <w:t>业绩</w:t>
            </w:r>
          </w:p>
        </w:tc>
        <w:tc>
          <w:tcPr>
            <w:tcW w:w="3723" w:type="pct"/>
            <w:vAlign w:val="center"/>
          </w:tcPr>
          <w:p w14:paraId="00CF3723">
            <w:pPr>
              <w:bidi w:val="0"/>
              <w:jc w:val="both"/>
              <w:rPr>
                <w:rFonts w:hint="eastAsia"/>
                <w:color w:val="auto"/>
                <w:highlight w:val="none"/>
                <w:lang w:val="en-US" w:eastAsia="en-US"/>
              </w:rPr>
            </w:pPr>
            <w:r>
              <w:rPr>
                <w:rFonts w:hint="eastAsia"/>
                <w:color w:val="auto"/>
                <w:highlight w:val="none"/>
                <w:lang w:val="en-US" w:eastAsia="en-US"/>
              </w:rPr>
              <w:t>提供</w:t>
            </w:r>
            <w:r>
              <w:rPr>
                <w:rFonts w:hint="eastAsia"/>
                <w:color w:val="auto"/>
                <w:highlight w:val="none"/>
                <w:lang w:val="en-US" w:eastAsia="zh-CN"/>
              </w:rPr>
              <w:t>2023年1月1日以后类似医疗设备维修或维保业绩每提供一份得2.5</w:t>
            </w:r>
            <w:r>
              <w:rPr>
                <w:rFonts w:hint="eastAsia"/>
                <w:color w:val="auto"/>
                <w:highlight w:val="none"/>
                <w:lang w:val="en-US" w:eastAsia="en-US"/>
              </w:rPr>
              <w:t>分，满分</w:t>
            </w:r>
            <w:r>
              <w:rPr>
                <w:rFonts w:hint="eastAsia"/>
                <w:color w:val="auto"/>
                <w:highlight w:val="none"/>
                <w:lang w:val="en-US" w:eastAsia="zh-CN"/>
              </w:rPr>
              <w:t>5</w:t>
            </w:r>
            <w:r>
              <w:rPr>
                <w:rFonts w:hint="eastAsia"/>
                <w:color w:val="auto"/>
                <w:highlight w:val="none"/>
                <w:lang w:val="en-US" w:eastAsia="en-US"/>
              </w:rPr>
              <w:t>分（业绩以合同复印件</w:t>
            </w:r>
            <w:r>
              <w:rPr>
                <w:rFonts w:hint="eastAsia"/>
                <w:color w:val="auto"/>
                <w:highlight w:val="none"/>
                <w:lang w:val="en-US" w:eastAsia="zh-CN"/>
              </w:rPr>
              <w:t>或中标通知书</w:t>
            </w:r>
            <w:r>
              <w:rPr>
                <w:rFonts w:hint="eastAsia"/>
                <w:color w:val="auto"/>
                <w:highlight w:val="none"/>
                <w:lang w:val="en-US" w:eastAsia="en-US"/>
              </w:rPr>
              <w:t>为依据）。</w:t>
            </w:r>
          </w:p>
        </w:tc>
        <w:tc>
          <w:tcPr>
            <w:tcW w:w="365" w:type="pct"/>
            <w:vAlign w:val="center"/>
          </w:tcPr>
          <w:p w14:paraId="6DA330A0">
            <w:pPr>
              <w:bidi w:val="0"/>
              <w:jc w:val="center"/>
              <w:rPr>
                <w:rFonts w:hint="eastAsia"/>
                <w:color w:val="auto"/>
                <w:highlight w:val="none"/>
                <w:lang w:val="en-US" w:eastAsia="zh-CN"/>
              </w:rPr>
            </w:pPr>
            <w:r>
              <w:rPr>
                <w:rFonts w:hint="eastAsia"/>
                <w:color w:val="auto"/>
                <w:highlight w:val="none"/>
                <w:lang w:val="en-US" w:eastAsia="zh-CN"/>
              </w:rPr>
              <w:t>5分</w:t>
            </w:r>
          </w:p>
        </w:tc>
      </w:tr>
    </w:tbl>
    <w:p w14:paraId="11B980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评价和比较以</w:t>
      </w:r>
      <w:r>
        <w:rPr>
          <w:rFonts w:hint="eastAsia" w:hAnsi="宋体" w:cs="宋体"/>
          <w:color w:val="auto"/>
          <w:szCs w:val="24"/>
          <w:highlight w:val="none"/>
          <w:lang w:eastAsia="zh-CN"/>
        </w:rPr>
        <w:t>磋商</w:t>
      </w:r>
      <w:r>
        <w:rPr>
          <w:rFonts w:hint="eastAsia" w:ascii="宋体" w:hAnsi="宋体" w:eastAsia="宋体" w:cs="宋体"/>
          <w:color w:val="auto"/>
          <w:szCs w:val="24"/>
          <w:highlight w:val="none"/>
        </w:rPr>
        <w:t>响应文件为依据，进行评审并按照百分制进行赋分。</w:t>
      </w:r>
    </w:p>
    <w:p w14:paraId="1428E968">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6454B93">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hAnsi="宋体" w:eastAsia="宋体" w:cs="宋体"/>
          <w:color w:val="auto"/>
          <w:szCs w:val="24"/>
          <w:highlight w:val="none"/>
          <w:lang w:eastAsia="zh-CN"/>
        </w:rPr>
        <w:t>磋商小组</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6C93AC97">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2、采购人根据评标报告中推荐的</w:t>
      </w:r>
      <w:r>
        <w:rPr>
          <w:rFonts w:hint="eastAsia" w:hAnsi="宋体" w:eastAsia="宋体" w:cs="宋体"/>
          <w:color w:val="auto"/>
          <w:spacing w:val="4"/>
          <w:szCs w:val="24"/>
          <w:highlight w:val="none"/>
          <w:lang w:eastAsia="zh-CN"/>
        </w:rPr>
        <w:t>成交</w:t>
      </w:r>
      <w:r>
        <w:rPr>
          <w:rFonts w:hint="eastAsia" w:ascii="宋体" w:hAnsi="宋体" w:eastAsia="宋体" w:cs="宋体"/>
          <w:color w:val="auto"/>
          <w:spacing w:val="4"/>
          <w:szCs w:val="24"/>
          <w:highlight w:val="none"/>
        </w:rPr>
        <w:t>候选人排列顺序确定</w:t>
      </w:r>
      <w:r>
        <w:rPr>
          <w:rFonts w:hint="eastAsia"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，以复函通知招标代理机构。</w:t>
      </w:r>
    </w:p>
    <w:p w14:paraId="13E09955">
      <w:pPr>
        <w:pStyle w:val="19"/>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93B26DC">
      <w:pPr>
        <w:pStyle w:val="2"/>
        <w:jc w:val="center"/>
        <w:outlineLvl w:val="0"/>
        <w:rPr>
          <w:rFonts w:hint="eastAsia" w:ascii="宋体" w:hAnsi="宋体" w:eastAsia="宋体" w:cs="宋体"/>
          <w:bCs/>
          <w:color w:val="auto"/>
          <w:sz w:val="36"/>
          <w:szCs w:val="36"/>
          <w:highlight w:val="none"/>
        </w:rPr>
      </w:pPr>
      <w:bookmarkStart w:id="78" w:name="_Toc11680"/>
      <w:bookmarkStart w:id="79" w:name="_Toc8788"/>
      <w:bookmarkStart w:id="80" w:name="_Toc10029"/>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60"/>
      <w:bookmarkEnd w:id="61"/>
      <w:bookmarkEnd w:id="62"/>
      <w:bookmarkEnd w:id="78"/>
      <w:bookmarkEnd w:id="79"/>
      <w:bookmarkEnd w:id="80"/>
    </w:p>
    <w:p w14:paraId="1CC4FD4A">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81" w:name="_Toc23705"/>
      <w:bookmarkStart w:id="82" w:name="_Toc32476"/>
      <w:bookmarkStart w:id="83" w:name="_Toc24218"/>
      <w:bookmarkStart w:id="84" w:name="_Toc3424"/>
      <w:r>
        <w:rPr>
          <w:rFonts w:hint="eastAsia" w:ascii="宋体" w:hAnsi="宋体" w:eastAsia="宋体" w:cs="宋体"/>
          <w:b/>
          <w:bCs/>
          <w:color w:val="auto"/>
          <w:sz w:val="32"/>
          <w:szCs w:val="32"/>
          <w:highlight w:val="none"/>
        </w:rPr>
        <w:t>合同前附表</w:t>
      </w:r>
      <w:bookmarkEnd w:id="81"/>
      <w:bookmarkEnd w:id="82"/>
      <w:bookmarkEnd w:id="83"/>
      <w:bookmarkEnd w:id="84"/>
    </w:p>
    <w:p w14:paraId="4E96BA26">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2"/>
        <w:gridCol w:w="8410"/>
      </w:tblGrid>
      <w:tr w14:paraId="22AB8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942" w:type="dxa"/>
            <w:noWrap w:val="0"/>
            <w:vAlign w:val="center"/>
          </w:tcPr>
          <w:p w14:paraId="107ECB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410" w:type="dxa"/>
            <w:noWrap w:val="0"/>
            <w:vAlign w:val="center"/>
          </w:tcPr>
          <w:p w14:paraId="23C73E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3EA35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8" w:hRule="exact"/>
        </w:trPr>
        <w:tc>
          <w:tcPr>
            <w:tcW w:w="942" w:type="dxa"/>
            <w:noWrap w:val="0"/>
            <w:vAlign w:val="center"/>
          </w:tcPr>
          <w:p w14:paraId="39E2CB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10" w:type="dxa"/>
            <w:noWrap w:val="0"/>
            <w:vAlign w:val="center"/>
          </w:tcPr>
          <w:p w14:paraId="6CB276E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采购人名称：镇安县中医医院</w:t>
            </w:r>
          </w:p>
          <w:p w14:paraId="43DE553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址：陕西省商洛市镇安县县城迎宾路中段</w:t>
            </w:r>
          </w:p>
          <w:p w14:paraId="1302BA0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项目名称：核磁共振维保服务采购项目</w:t>
            </w:r>
          </w:p>
        </w:tc>
      </w:tr>
      <w:tr w14:paraId="19844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942" w:type="dxa"/>
            <w:noWrap w:val="0"/>
            <w:vAlign w:val="center"/>
          </w:tcPr>
          <w:p w14:paraId="5B3ECF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410" w:type="dxa"/>
            <w:noWrap w:val="0"/>
            <w:vAlign w:val="center"/>
          </w:tcPr>
          <w:p w14:paraId="1BDADABA">
            <w:pPr>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4E097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5" w:hRule="exact"/>
        </w:trPr>
        <w:tc>
          <w:tcPr>
            <w:tcW w:w="942" w:type="dxa"/>
            <w:noWrap w:val="0"/>
            <w:vAlign w:val="center"/>
          </w:tcPr>
          <w:p w14:paraId="730F0B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10" w:type="dxa"/>
            <w:noWrap w:val="0"/>
            <w:vAlign w:val="center"/>
          </w:tcPr>
          <w:p w14:paraId="7DF5F007">
            <w:pPr>
              <w:spacing w:line="360" w:lineRule="auto"/>
              <w:rPr>
                <w:rFonts w:hint="default"/>
                <w:color w:val="auto"/>
                <w:sz w:val="24"/>
                <w:szCs w:val="24"/>
                <w:highlight w:val="none"/>
                <w:lang w:val="en-US" w:eastAsia="zh-CN"/>
              </w:rPr>
            </w:pPr>
            <w:r>
              <w:rPr>
                <w:rFonts w:hint="eastAsia"/>
                <w:color w:val="auto"/>
                <w:sz w:val="24"/>
                <w:szCs w:val="24"/>
                <w:highlight w:val="none"/>
                <w:lang w:val="en-US" w:eastAsia="zh-CN"/>
              </w:rPr>
              <w:t>服务期</w:t>
            </w:r>
            <w:r>
              <w:rPr>
                <w:rFonts w:hint="eastAsia"/>
                <w:color w:val="auto"/>
                <w:sz w:val="24"/>
                <w:szCs w:val="24"/>
                <w:highlight w:val="none"/>
              </w:rPr>
              <w:t>：自合同签订</w:t>
            </w:r>
            <w:r>
              <w:rPr>
                <w:rFonts w:hint="eastAsia"/>
                <w:color w:val="auto"/>
                <w:sz w:val="24"/>
                <w:szCs w:val="24"/>
                <w:highlight w:val="none"/>
                <w:lang w:val="en-US" w:eastAsia="zh-CN"/>
              </w:rPr>
              <w:t>之日起1年（甲方根据服务质量确定是否续签合同，合同一年一签，续签合同最多不超过三年）</w:t>
            </w:r>
            <w:r>
              <w:rPr>
                <w:rFonts w:hint="eastAsia"/>
                <w:color w:val="auto"/>
                <w:sz w:val="24"/>
                <w:szCs w:val="24"/>
                <w:highlight w:val="none"/>
                <w:lang w:eastAsia="zh-CN"/>
              </w:rPr>
              <w:t>；</w:t>
            </w:r>
          </w:p>
        </w:tc>
      </w:tr>
      <w:tr w14:paraId="0D5D9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6" w:hRule="atLeast"/>
        </w:trPr>
        <w:tc>
          <w:tcPr>
            <w:tcW w:w="942" w:type="dxa"/>
            <w:noWrap w:val="0"/>
            <w:vAlign w:val="center"/>
          </w:tcPr>
          <w:p w14:paraId="650B39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410" w:type="dxa"/>
            <w:noWrap w:val="0"/>
            <w:vAlign w:val="center"/>
          </w:tcPr>
          <w:p w14:paraId="127BA12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13BF63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2883C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2.付款方式和程序：</w:t>
            </w:r>
          </w:p>
          <w:p w14:paraId="7A4342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2.1由采购人负责结算，在付款前，供应商必须开具发票给采购人（附详细清单）。</w:t>
            </w:r>
          </w:p>
          <w:p w14:paraId="78EB713E">
            <w:pPr>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2.2付款方式：</w:t>
            </w:r>
            <w:r>
              <w:rPr>
                <w:rFonts w:hint="eastAsia" w:ascii="宋体" w:hAnsi="宋体" w:cs="宋体"/>
                <w:color w:val="auto"/>
                <w:sz w:val="24"/>
                <w:szCs w:val="24"/>
                <w:highlight w:val="none"/>
              </w:rPr>
              <w:t>以合同签订为准。</w:t>
            </w:r>
          </w:p>
          <w:p w14:paraId="67939627">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2.3支付方式：银行转账</w:t>
            </w:r>
          </w:p>
        </w:tc>
      </w:tr>
      <w:tr w14:paraId="156E6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2" w:hRule="atLeast"/>
        </w:trPr>
        <w:tc>
          <w:tcPr>
            <w:tcW w:w="942" w:type="dxa"/>
            <w:noWrap w:val="0"/>
            <w:vAlign w:val="center"/>
          </w:tcPr>
          <w:p w14:paraId="4AFB4C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410" w:type="dxa"/>
            <w:noWrap w:val="0"/>
            <w:vAlign w:val="center"/>
          </w:tcPr>
          <w:p w14:paraId="5DE8EB0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服务支持：</w:t>
            </w:r>
          </w:p>
          <w:p w14:paraId="17ACBB9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0FEAE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9" w:hRule="atLeast"/>
        </w:trPr>
        <w:tc>
          <w:tcPr>
            <w:tcW w:w="942" w:type="dxa"/>
            <w:noWrap w:val="0"/>
            <w:vAlign w:val="center"/>
          </w:tcPr>
          <w:p w14:paraId="52103A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410" w:type="dxa"/>
            <w:noWrap w:val="0"/>
            <w:vAlign w:val="center"/>
          </w:tcPr>
          <w:p w14:paraId="58C5085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知识产权、专利权：</w:t>
            </w:r>
          </w:p>
          <w:p w14:paraId="49EE8A94">
            <w:pPr>
              <w:tabs>
                <w:tab w:val="left" w:pos="498"/>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282D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50" w:hRule="atLeast"/>
        </w:trPr>
        <w:tc>
          <w:tcPr>
            <w:tcW w:w="942" w:type="dxa"/>
            <w:noWrap w:val="0"/>
            <w:vAlign w:val="center"/>
          </w:tcPr>
          <w:p w14:paraId="0E47C5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410" w:type="dxa"/>
            <w:noWrap w:val="0"/>
            <w:vAlign w:val="center"/>
          </w:tcPr>
          <w:p w14:paraId="2AFC20A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5745C77B">
            <w:pPr>
              <w:tabs>
                <w:tab w:val="left" w:pos="15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》中的相关条款执行。</w:t>
            </w:r>
          </w:p>
          <w:p w14:paraId="227DD09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》有关条款及合同约定终止合同，并要求服务商承担违约责任。同时，政府采购监管部门有权依据《中华人民共和国政府采购法》及相关法律法规对服务商的违法行为进行相应的处罚。</w:t>
            </w:r>
          </w:p>
        </w:tc>
      </w:tr>
      <w:tr w14:paraId="42C0E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trPr>
        <w:tc>
          <w:tcPr>
            <w:tcW w:w="942" w:type="dxa"/>
            <w:noWrap w:val="0"/>
            <w:vAlign w:val="center"/>
          </w:tcPr>
          <w:p w14:paraId="4FA204A8">
            <w:pPr>
              <w:spacing w:line="360" w:lineRule="auto"/>
              <w:jc w:val="center"/>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8</w:t>
            </w:r>
          </w:p>
        </w:tc>
        <w:tc>
          <w:tcPr>
            <w:tcW w:w="8410" w:type="dxa"/>
            <w:noWrap w:val="0"/>
            <w:vAlign w:val="center"/>
          </w:tcPr>
          <w:p w14:paraId="1B427A7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14:paraId="62D2F50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政府采购合同适用《</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》。采购人和供应商之间的权利和义务，应当按照平等、自愿的原则以合同方式约定。</w:t>
            </w:r>
          </w:p>
          <w:p w14:paraId="6A2C9BD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采购人可以委托采购代理机构代表其与供应商签订政府采购合同。由采购代理机构以采购人名义签订合同的，应当提交采购人的授权委托书，作为合同附件。</w:t>
            </w:r>
          </w:p>
          <w:p w14:paraId="20B5B1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采购人与中标、成交供应商应当在中标、成交通知书发出之日起</w:t>
            </w:r>
            <w:r>
              <w:rPr>
                <w:rFonts w:hint="eastAsia" w:hAnsi="宋体" w:cs="宋体"/>
                <w:color w:val="auto"/>
                <w:sz w:val="24"/>
                <w:szCs w:val="24"/>
                <w:highlight w:val="none"/>
                <w:lang w:val="en-US" w:eastAsia="zh-CN"/>
              </w:rPr>
              <w:t>三十</w:t>
            </w:r>
            <w:r>
              <w:rPr>
                <w:rFonts w:hint="eastAsia" w:ascii="宋体" w:hAnsi="宋体" w:eastAsia="宋体" w:cs="宋体"/>
                <w:color w:val="auto"/>
                <w:sz w:val="24"/>
                <w:szCs w:val="24"/>
                <w:highlight w:val="none"/>
              </w:rPr>
              <w:t>日内，按照采购文件确定的事项签订政府采购合同。</w:t>
            </w:r>
          </w:p>
          <w:p w14:paraId="04CC5F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5B5562AB">
            <w:pPr>
              <w:pStyle w:val="15"/>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1FD54CF">
            <w:pPr>
              <w:pStyle w:val="15"/>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4C9C81DA">
            <w:pPr>
              <w:pStyle w:val="15"/>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政府采购合同的双方当事人不得擅自变更、中止或者终止合同。</w:t>
            </w:r>
          </w:p>
          <w:p w14:paraId="03B55A13">
            <w:pPr>
              <w:pStyle w:val="15"/>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F0BD50F">
      <w:pPr>
        <w:rPr>
          <w:rFonts w:hint="eastAsia" w:ascii="宋体" w:hAnsi="宋体" w:eastAsia="宋体" w:cs="宋体"/>
          <w:color w:val="auto"/>
          <w:sz w:val="32"/>
          <w:highlight w:val="none"/>
        </w:rPr>
      </w:pPr>
      <w:bookmarkStart w:id="85" w:name="_Toc389582037"/>
      <w:bookmarkStart w:id="86" w:name="_Toc8333"/>
      <w:bookmarkStart w:id="87" w:name="_Toc4679"/>
      <w:bookmarkStart w:id="88" w:name="_Toc26595"/>
      <w:bookmarkStart w:id="89" w:name="_Toc19246"/>
      <w:bookmarkStart w:id="90" w:name="_Toc29888"/>
      <w:bookmarkStart w:id="91" w:name="_Toc19199"/>
      <w:bookmarkStart w:id="92" w:name="_Toc31520"/>
      <w:bookmarkStart w:id="93" w:name="_Toc423973075"/>
      <w:r>
        <w:rPr>
          <w:rFonts w:hint="eastAsia" w:ascii="宋体" w:hAnsi="宋体" w:eastAsia="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1ABF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14:paraId="57034E4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14:paraId="665A63AD">
      <w:pPr>
        <w:outlineLvl w:val="1"/>
        <w:rPr>
          <w:rFonts w:hint="eastAsia" w:ascii="宋体" w:hAnsi="宋体" w:eastAsia="宋体" w:cs="宋体"/>
          <w:b/>
          <w:color w:val="auto"/>
          <w:sz w:val="32"/>
          <w:szCs w:val="32"/>
          <w:highlight w:val="none"/>
        </w:rPr>
      </w:pPr>
      <w:bookmarkStart w:id="94" w:name="_Toc1362"/>
      <w:bookmarkStart w:id="95" w:name="_Toc7874"/>
      <w:bookmarkStart w:id="96" w:name="_Toc5216"/>
      <w:bookmarkStart w:id="97" w:name="_Toc18120"/>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仅供参考）</w:t>
      </w:r>
      <w:bookmarkEnd w:id="94"/>
      <w:bookmarkEnd w:id="95"/>
      <w:bookmarkEnd w:id="96"/>
      <w:bookmarkEnd w:id="97"/>
      <w:r>
        <w:rPr>
          <w:rFonts w:hint="eastAsia" w:ascii="宋体" w:hAnsi="宋体" w:eastAsia="宋体" w:cs="宋体"/>
          <w:b/>
          <w:color w:val="auto"/>
          <w:sz w:val="32"/>
          <w:szCs w:val="32"/>
          <w:highlight w:val="none"/>
        </w:rPr>
        <w:t xml:space="preserve">                  </w:t>
      </w:r>
    </w:p>
    <w:p w14:paraId="5519A35E">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D4B4FE9">
      <w:pPr>
        <w:pStyle w:val="38"/>
        <w:spacing w:beforeLines="50" w:afterLines="50" w:line="480" w:lineRule="auto"/>
        <w:jc w:val="center"/>
        <w:outlineLvl w:val="9"/>
        <w:rPr>
          <w:rFonts w:hint="default" w:ascii="宋体" w:hAnsi="宋体" w:eastAsia="宋体" w:cs="宋体"/>
          <w:color w:val="auto"/>
          <w:sz w:val="52"/>
          <w:szCs w:val="52"/>
          <w:highlight w:val="none"/>
        </w:rPr>
      </w:pPr>
      <w:r>
        <w:rPr>
          <w:rFonts w:ascii="宋体" w:hAnsi="宋体" w:eastAsia="宋体" w:cs="宋体"/>
          <w:b/>
          <w:color w:val="auto"/>
          <w:sz w:val="52"/>
          <w:szCs w:val="52"/>
          <w:highlight w:val="none"/>
        </w:rPr>
        <w:t>政府采购合同</w:t>
      </w:r>
    </w:p>
    <w:p w14:paraId="6E837DE2">
      <w:pPr>
        <w:pStyle w:val="38"/>
        <w:spacing w:beforeLines="50" w:afterLines="50" w:line="480" w:lineRule="auto"/>
        <w:jc w:val="center"/>
        <w:outlineLvl w:val="9"/>
        <w:rPr>
          <w:rFonts w:hint="default" w:ascii="宋体" w:hAnsi="宋体" w:eastAsia="宋体" w:cs="宋体"/>
          <w:color w:val="auto"/>
          <w:sz w:val="24"/>
          <w:szCs w:val="24"/>
          <w:highlight w:val="none"/>
        </w:rPr>
      </w:pPr>
      <w:r>
        <w:rPr>
          <w:rFonts w:ascii="宋体" w:hAnsi="宋体" w:eastAsia="宋体" w:cs="宋体"/>
          <w:b/>
          <w:color w:val="auto"/>
          <w:sz w:val="52"/>
          <w:szCs w:val="52"/>
          <w:highlight w:val="none"/>
        </w:rPr>
        <w:t xml:space="preserve"> （服务类）</w:t>
      </w:r>
      <w:r>
        <w:rPr>
          <w:rFonts w:ascii="宋体" w:hAnsi="宋体" w:eastAsia="宋体" w:cs="宋体"/>
          <w:color w:val="auto"/>
          <w:sz w:val="52"/>
          <w:szCs w:val="52"/>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206252A0">
      <w:pPr>
        <w:pStyle w:val="38"/>
        <w:spacing w:beforeLines="50" w:line="360" w:lineRule="auto"/>
        <w:outlineLvl w:val="9"/>
        <w:rPr>
          <w:rFonts w:hint="default" w:ascii="宋体" w:hAnsi="宋体" w:eastAsia="宋体" w:cs="宋体"/>
          <w:b/>
          <w:color w:val="auto"/>
          <w:sz w:val="28"/>
          <w:szCs w:val="28"/>
          <w:highlight w:val="none"/>
          <w:u w:val="single"/>
          <w:lang w:eastAsia="zh-CN"/>
        </w:rPr>
      </w:pPr>
      <w:r>
        <w:rPr>
          <w:rFonts w:ascii="宋体" w:hAnsi="宋体" w:eastAsia="宋体" w:cs="宋体"/>
          <w:b/>
          <w:color w:val="auto"/>
          <w:sz w:val="28"/>
          <w:szCs w:val="28"/>
          <w:highlight w:val="none"/>
        </w:rPr>
        <w:t>政府采购合同编号：</w:t>
      </w:r>
    </w:p>
    <w:p w14:paraId="2426FB27">
      <w:pPr>
        <w:pStyle w:val="38"/>
        <w:spacing w:beforeLines="50" w:line="360" w:lineRule="auto"/>
        <w:outlineLvl w:val="9"/>
        <w:rPr>
          <w:rFonts w:hint="eastAsia" w:ascii="宋体" w:hAnsi="宋体" w:eastAsia="宋体" w:cs="宋体"/>
          <w:color w:val="auto"/>
          <w:sz w:val="28"/>
          <w:szCs w:val="28"/>
          <w:highlight w:val="none"/>
          <w:u w:val="single"/>
          <w:lang w:val="en-US" w:eastAsia="zh-CN"/>
        </w:rPr>
      </w:pPr>
      <w:r>
        <w:rPr>
          <w:rFonts w:ascii="宋体" w:hAnsi="宋体" w:eastAsia="宋体" w:cs="宋体"/>
          <w:b/>
          <w:color w:val="auto"/>
          <w:sz w:val="28"/>
          <w:szCs w:val="28"/>
          <w:highlight w:val="none"/>
        </w:rPr>
        <w:t>履约地</w:t>
      </w:r>
      <w:r>
        <w:rPr>
          <w:rFonts w:hint="eastAsia" w:ascii="宋体" w:hAnsi="宋体" w:eastAsia="宋体" w:cs="宋体"/>
          <w:b/>
          <w:color w:val="auto"/>
          <w:sz w:val="28"/>
          <w:szCs w:val="28"/>
          <w:highlight w:val="none"/>
          <w:lang w:val="en-US" w:eastAsia="zh-CN"/>
        </w:rPr>
        <w:t>点：</w:t>
      </w:r>
    </w:p>
    <w:p w14:paraId="6770EEFE">
      <w:pPr>
        <w:pStyle w:val="38"/>
        <w:spacing w:beforeLines="50" w:line="360" w:lineRule="auto"/>
        <w:outlineLvl w:val="9"/>
        <w:rPr>
          <w:rFonts w:hint="default" w:ascii="宋体" w:hAnsi="宋体" w:eastAsia="宋体" w:cs="宋体"/>
          <w:color w:val="auto"/>
          <w:sz w:val="28"/>
          <w:szCs w:val="28"/>
          <w:highlight w:val="none"/>
          <w:lang w:eastAsia="zh-CN"/>
        </w:rPr>
      </w:pPr>
      <w:r>
        <w:rPr>
          <w:rFonts w:ascii="宋体" w:hAnsi="宋体" w:eastAsia="宋体" w:cs="宋体"/>
          <w:b/>
          <w:color w:val="auto"/>
          <w:sz w:val="28"/>
          <w:szCs w:val="28"/>
          <w:highlight w:val="none"/>
        </w:rPr>
        <w:t>签订地点：</w:t>
      </w:r>
    </w:p>
    <w:p w14:paraId="46547695">
      <w:pPr>
        <w:pStyle w:val="38"/>
        <w:spacing w:beforeLines="50" w:line="360" w:lineRule="auto"/>
        <w:outlineLvl w:val="9"/>
        <w:rPr>
          <w:rFonts w:hint="default" w:ascii="宋体" w:hAnsi="宋体" w:eastAsia="宋体" w:cs="宋体"/>
          <w:color w:val="auto"/>
          <w:sz w:val="28"/>
          <w:szCs w:val="28"/>
          <w:highlight w:val="none"/>
        </w:rPr>
      </w:pPr>
      <w:r>
        <w:rPr>
          <w:rFonts w:ascii="宋体" w:hAnsi="宋体" w:eastAsia="宋体" w:cs="宋体"/>
          <w:b/>
          <w:color w:val="auto"/>
          <w:sz w:val="28"/>
          <w:szCs w:val="28"/>
          <w:highlight w:val="none"/>
        </w:rPr>
        <w:t>签订时间：20___年___月___日</w:t>
      </w:r>
    </w:p>
    <w:p w14:paraId="1B5646FD">
      <w:pPr>
        <w:pStyle w:val="38"/>
        <w:spacing w:beforeLines="50" w:line="360" w:lineRule="auto"/>
        <w:outlineLvl w:val="9"/>
        <w:rPr>
          <w:rFonts w:hint="default" w:ascii="宋体" w:hAnsi="宋体" w:eastAsia="宋体" w:cs="宋体"/>
          <w:color w:val="auto"/>
          <w:sz w:val="28"/>
          <w:szCs w:val="28"/>
          <w:highlight w:val="none"/>
          <w:lang w:eastAsia="zh-CN"/>
        </w:rPr>
      </w:pPr>
      <w:r>
        <w:rPr>
          <w:rFonts w:ascii="宋体" w:hAnsi="宋体" w:eastAsia="宋体" w:cs="宋体"/>
          <w:b/>
          <w:color w:val="auto"/>
          <w:sz w:val="28"/>
          <w:szCs w:val="28"/>
          <w:highlight w:val="none"/>
        </w:rPr>
        <w:t>采购人（甲方）：</w:t>
      </w:r>
    </w:p>
    <w:p w14:paraId="3EC02E91">
      <w:pPr>
        <w:pStyle w:val="38"/>
        <w:spacing w:beforeLines="50" w:line="360" w:lineRule="auto"/>
        <w:outlineLvl w:val="9"/>
        <w:rPr>
          <w:rFonts w:hint="default" w:ascii="宋体" w:hAnsi="宋体" w:eastAsia="宋体" w:cs="宋体"/>
          <w:color w:val="auto"/>
          <w:sz w:val="28"/>
          <w:szCs w:val="28"/>
          <w:highlight w:val="none"/>
        </w:rPr>
      </w:pPr>
      <w:r>
        <w:rPr>
          <w:rFonts w:ascii="宋体" w:hAnsi="宋体" w:eastAsia="宋体" w:cs="宋体"/>
          <w:b/>
          <w:color w:val="auto"/>
          <w:sz w:val="28"/>
          <w:szCs w:val="28"/>
          <w:highlight w:val="none"/>
        </w:rPr>
        <w:t>采购人地址：</w:t>
      </w:r>
    </w:p>
    <w:p w14:paraId="3C9405E2">
      <w:pPr>
        <w:pStyle w:val="38"/>
        <w:spacing w:beforeLines="50" w:line="360" w:lineRule="auto"/>
        <w:outlineLvl w:val="9"/>
        <w:rPr>
          <w:rFonts w:hint="default" w:ascii="宋体" w:hAnsi="宋体" w:eastAsia="宋体" w:cs="宋体"/>
          <w:b/>
          <w:color w:val="auto"/>
          <w:sz w:val="28"/>
          <w:szCs w:val="28"/>
          <w:highlight w:val="none"/>
          <w:u w:val="single"/>
          <w:lang w:eastAsia="zh-CN"/>
        </w:rPr>
      </w:pPr>
      <w:r>
        <w:rPr>
          <w:rFonts w:ascii="宋体" w:hAnsi="宋体" w:eastAsia="宋体" w:cs="宋体"/>
          <w:b/>
          <w:color w:val="auto"/>
          <w:sz w:val="28"/>
          <w:szCs w:val="28"/>
          <w:highlight w:val="none"/>
        </w:rPr>
        <w:t>供应商(乙方)：</w:t>
      </w:r>
    </w:p>
    <w:p w14:paraId="44F3951C">
      <w:pPr>
        <w:pStyle w:val="38"/>
        <w:spacing w:beforeLines="50" w:line="360" w:lineRule="auto"/>
        <w:outlineLvl w:val="9"/>
        <w:rPr>
          <w:rFonts w:hint="default" w:ascii="宋体" w:hAnsi="宋体" w:eastAsia="宋体" w:cs="宋体"/>
          <w:color w:val="auto"/>
          <w:sz w:val="28"/>
          <w:szCs w:val="28"/>
          <w:highlight w:val="none"/>
        </w:rPr>
      </w:pPr>
      <w:r>
        <w:rPr>
          <w:rFonts w:ascii="宋体" w:hAnsi="宋体" w:eastAsia="宋体" w:cs="宋体"/>
          <w:b/>
          <w:color w:val="auto"/>
          <w:sz w:val="28"/>
          <w:szCs w:val="28"/>
          <w:highlight w:val="none"/>
        </w:rPr>
        <w:t>供应商地址：</w:t>
      </w:r>
    </w:p>
    <w:p w14:paraId="1F405A13">
      <w:pPr>
        <w:spacing w:line="590" w:lineRule="exact"/>
        <w:rPr>
          <w:rFonts w:hint="eastAsia" w:ascii="宋体" w:hAnsi="宋体" w:eastAsia="宋体" w:cs="宋体"/>
          <w:b/>
          <w:color w:val="auto"/>
          <w:sz w:val="36"/>
          <w:szCs w:val="36"/>
          <w:highlight w:val="none"/>
        </w:rPr>
      </w:pPr>
    </w:p>
    <w:p w14:paraId="6DE3E7A3">
      <w:pPr>
        <w:jc w:val="center"/>
        <w:outlineLvl w:val="2"/>
        <w:rPr>
          <w:rFonts w:hint="eastAsia" w:ascii="黑体" w:eastAsia="宋体"/>
          <w:b/>
          <w:color w:val="auto"/>
          <w:sz w:val="36"/>
          <w:szCs w:val="36"/>
          <w:highlight w:val="none"/>
          <w:lang w:eastAsia="zh-CN"/>
        </w:rPr>
      </w:pPr>
      <w:r>
        <w:rPr>
          <w:rFonts w:hint="eastAsia" w:ascii="宋体" w:hAnsi="宋体" w:eastAsia="宋体" w:cs="宋体"/>
          <w:b/>
          <w:color w:val="auto"/>
          <w:szCs w:val="21"/>
          <w:highlight w:val="none"/>
        </w:rPr>
        <w:br w:type="page"/>
      </w:r>
      <w:bookmarkStart w:id="98" w:name="_Toc28398"/>
      <w:bookmarkStart w:id="99" w:name="_Toc7965"/>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98"/>
      <w:bookmarkEnd w:id="99"/>
    </w:p>
    <w:p w14:paraId="5017C566">
      <w:pPr>
        <w:pStyle w:val="38"/>
        <w:spacing w:line="560" w:lineRule="exact"/>
        <w:ind w:firstLine="480" w:firstLineChars="200"/>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依据《中华人民共和国民法典》 《中华人民共和国政府采购法》与项目行业有关的法律法规，以及</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rPr>
        <w:t>采购项目的《磋商文件》，乙方的《投标（响应）文件》及《中标（成交）通知书》，甲乙双方同意签订本合同。具体情况及要求如下：</w:t>
      </w:r>
    </w:p>
    <w:p w14:paraId="70D001A5">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标的信息</w:t>
      </w:r>
    </w:p>
    <w:p w14:paraId="3C381BCB">
      <w:pPr>
        <w:pStyle w:val="38"/>
        <w:spacing w:line="560" w:lineRule="exact"/>
        <w:ind w:firstLine="480" w:firstLineChars="200"/>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整机全保（含外水冷机），更换备件、维修、保养等产生的一切费用由乙方负责</w:t>
      </w:r>
      <w:r>
        <w:rPr>
          <w:rFonts w:ascii="宋体" w:hAnsi="宋体" w:eastAsia="宋体" w:cs="宋体"/>
          <w:color w:val="auto"/>
          <w:sz w:val="24"/>
          <w:szCs w:val="24"/>
          <w:highlight w:val="none"/>
          <w:lang w:eastAsia="zh-CN"/>
        </w:rPr>
        <w:t>，服务期一年。</w:t>
      </w:r>
    </w:p>
    <w:tbl>
      <w:tblPr>
        <w:tblStyle w:val="2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8"/>
        <w:gridCol w:w="678"/>
        <w:gridCol w:w="678"/>
        <w:gridCol w:w="678"/>
        <w:gridCol w:w="678"/>
        <w:gridCol w:w="678"/>
        <w:gridCol w:w="678"/>
        <w:gridCol w:w="678"/>
        <w:gridCol w:w="678"/>
        <w:gridCol w:w="678"/>
        <w:gridCol w:w="678"/>
        <w:gridCol w:w="678"/>
      </w:tblGrid>
      <w:tr w14:paraId="68EFA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678" w:type="dxa"/>
            <w:tcBorders>
              <w:top w:val="double" w:color="000000" w:sz="12" w:space="0"/>
              <w:left w:val="double" w:color="000000" w:sz="12" w:space="0"/>
              <w:bottom w:val="single" w:color="000000" w:sz="4" w:space="0"/>
              <w:right w:val="single" w:color="000000" w:sz="4" w:space="0"/>
            </w:tcBorders>
            <w:tcMar>
              <w:top w:w="0" w:type="dxa"/>
              <w:left w:w="105" w:type="dxa"/>
              <w:bottom w:w="0" w:type="dxa"/>
              <w:right w:w="105" w:type="dxa"/>
            </w:tcMar>
            <w:vAlign w:val="center"/>
          </w:tcPr>
          <w:p w14:paraId="61987B42">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第三方外围设备</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5CD3E922">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系统维护</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50104914">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性能调整</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50E2A746">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故障维修</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79EDD905">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远程诊断</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5A51B290">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软件升级</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050D5AD0">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响应时间保证</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0605CB98">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额外时间服务</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697E5096">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系统备件</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03370AFE">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磁体备件</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3FE41B76">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液氦</w:t>
            </w:r>
          </w:p>
        </w:tc>
        <w:tc>
          <w:tcPr>
            <w:tcW w:w="678" w:type="dxa"/>
            <w:tcBorders>
              <w:top w:val="double" w:color="000000" w:sz="12" w:space="0"/>
              <w:left w:val="nil"/>
              <w:bottom w:val="single" w:color="000000" w:sz="4" w:space="0"/>
              <w:right w:val="double" w:color="000000" w:sz="12" w:space="0"/>
            </w:tcBorders>
            <w:tcMar>
              <w:top w:w="0" w:type="dxa"/>
              <w:left w:w="105" w:type="dxa"/>
              <w:bottom w:w="0" w:type="dxa"/>
              <w:right w:w="105" w:type="dxa"/>
            </w:tcMar>
            <w:vAlign w:val="center"/>
          </w:tcPr>
          <w:p w14:paraId="23E36C4A">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运行时间保证</w:t>
            </w:r>
          </w:p>
        </w:tc>
      </w:tr>
      <w:tr w14:paraId="62AF1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8" w:type="dxa"/>
            <w:tcBorders>
              <w:top w:val="nil"/>
              <w:left w:val="double" w:color="000000" w:sz="12" w:space="0"/>
              <w:bottom w:val="single" w:color="000000" w:sz="4" w:space="0"/>
              <w:right w:val="single" w:color="000000" w:sz="4" w:space="0"/>
            </w:tcBorders>
            <w:tcMar>
              <w:top w:w="0" w:type="dxa"/>
              <w:left w:w="105" w:type="dxa"/>
              <w:bottom w:w="0" w:type="dxa"/>
              <w:right w:w="105" w:type="dxa"/>
            </w:tcMar>
            <w:vAlign w:val="center"/>
          </w:tcPr>
          <w:p w14:paraId="16301E2C">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7728B5">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B54948">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A84D0A">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5010F6">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DEB12F">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B341AD">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203F2C">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3941A7">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B431DB">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98431C">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678" w:type="dxa"/>
            <w:tcBorders>
              <w:top w:val="nil"/>
              <w:left w:val="nil"/>
              <w:bottom w:val="single" w:color="000000" w:sz="4" w:space="0"/>
              <w:right w:val="double" w:color="000000" w:sz="12" w:space="0"/>
            </w:tcBorders>
            <w:tcMar>
              <w:top w:w="0" w:type="dxa"/>
              <w:left w:w="105" w:type="dxa"/>
              <w:bottom w:w="0" w:type="dxa"/>
              <w:right w:w="105" w:type="dxa"/>
            </w:tcMar>
            <w:vAlign w:val="center"/>
          </w:tcPr>
          <w:p w14:paraId="5EE6B2CE">
            <w:pPr>
              <w:pStyle w:val="38"/>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r>
    </w:tbl>
    <w:p w14:paraId="123421AB">
      <w:pPr>
        <w:pStyle w:val="38"/>
        <w:spacing w:line="560" w:lineRule="exact"/>
        <w:ind w:firstLine="480" w:firstLineChars="200"/>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注：第三方外围设备包括屏蔽、激光相机、机房精密空调等。</w:t>
      </w:r>
    </w:p>
    <w:p w14:paraId="0AB4574D">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服务要求</w:t>
      </w:r>
    </w:p>
    <w:p w14:paraId="223ABB81">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1.</w:t>
      </w:r>
      <w:r>
        <w:rPr>
          <w:rFonts w:ascii="宋体" w:hAnsi="宋体" w:eastAsia="宋体" w:cs="宋体"/>
          <w:color w:val="auto"/>
          <w:sz w:val="24"/>
          <w:szCs w:val="24"/>
          <w:highlight w:val="none"/>
        </w:rPr>
        <w:t>维保要求：明确维修、保养内容的报告单、工程师现场维保资料。对设备提供每年≥4次的定期维护与保养，定期的维护保养服务包括：设备的安全检查、影像质量检查、设备清洁保养、性能测试及校准、运行状态检查、质控服务等；以及非紧急性质的预防性维护和确保系统能按照设备的产品规范运行的其他维护，并定期对设备的数据进行备份，确保系统能按照设备制造商的产品标准来运行。每次巡检后须提供巡检报告，包含但不仅限于现场照片、故障现象、 解决方案、配件更换记录等内容。</w:t>
      </w:r>
    </w:p>
    <w:p w14:paraId="5155999A">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2.</w:t>
      </w:r>
      <w:r>
        <w:rPr>
          <w:rFonts w:ascii="宋体" w:hAnsi="宋体" w:eastAsia="宋体" w:cs="宋体"/>
          <w:color w:val="auto"/>
          <w:sz w:val="24"/>
          <w:szCs w:val="24"/>
          <w:highlight w:val="none"/>
        </w:rPr>
        <w:t>根据设备运行要求提供不限次数的人工技术服务与不限数量备件更换。</w:t>
      </w:r>
    </w:p>
    <w:p w14:paraId="3760BF73">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3.</w:t>
      </w:r>
      <w:r>
        <w:rPr>
          <w:rFonts w:ascii="宋体" w:hAnsi="宋体" w:eastAsia="宋体" w:cs="宋体"/>
          <w:color w:val="auto"/>
          <w:sz w:val="24"/>
          <w:szCs w:val="24"/>
          <w:highlight w:val="none"/>
        </w:rPr>
        <w:t>提供在线支持：协助</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技师分析及处理有关问题。</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在电话报修后</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提供远程支持，资深工程师在线支持、答疑，及时诊断机器故障原因，定制维修方案。</w:t>
      </w:r>
    </w:p>
    <w:p w14:paraId="181F2114">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4.</w:t>
      </w:r>
      <w:r>
        <w:rPr>
          <w:rFonts w:ascii="宋体" w:hAnsi="宋体" w:eastAsia="宋体" w:cs="宋体"/>
          <w:color w:val="auto"/>
          <w:sz w:val="24"/>
          <w:szCs w:val="24"/>
          <w:highlight w:val="none"/>
        </w:rPr>
        <w:t>远程诊断：服务期内，经</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同意后</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工程师可以通过网络与医院系统进行连接，从而执行维护和故障排除的任务。</w:t>
      </w:r>
    </w:p>
    <w:p w14:paraId="274300C7">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5.</w:t>
      </w:r>
      <w:r>
        <w:rPr>
          <w:rFonts w:ascii="宋体" w:hAnsi="宋体" w:eastAsia="宋体" w:cs="宋体"/>
          <w:color w:val="auto"/>
          <w:sz w:val="24"/>
          <w:szCs w:val="24"/>
          <w:highlight w:val="none"/>
        </w:rPr>
        <w:t>维修时效要求：</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具备客户服务专线电话</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，24小时*365天响应，维修热线24小时畅通。初次电话响应时间在30分钟内，现场响应时间≤</w:t>
      </w:r>
      <w:r>
        <w:rPr>
          <w:rFonts w:hint="eastAsia" w:ascii="宋体" w:hAnsi="宋体" w:eastAsia="宋体" w:cs="宋体"/>
          <w:color w:val="auto"/>
          <w:sz w:val="24"/>
          <w:szCs w:val="24"/>
          <w:highlight w:val="none"/>
          <w:lang w:val="en-US" w:eastAsia="zh-CN"/>
        </w:rPr>
        <w:t>24</w:t>
      </w:r>
      <w:r>
        <w:rPr>
          <w:rFonts w:ascii="宋体" w:hAnsi="宋体" w:eastAsia="宋体" w:cs="宋体"/>
          <w:color w:val="auto"/>
          <w:sz w:val="24"/>
          <w:szCs w:val="24"/>
          <w:highlight w:val="none"/>
        </w:rPr>
        <w:t>小时，维修不涉及零配件更换应≤24小时修复完毕，更换配件的情况下，配件物流到达时间≤48小时，达到现场后≤12小时修复设备。（以上不可抗力因素除外）</w:t>
      </w:r>
      <w:r>
        <w:rPr>
          <w:rFonts w:ascii="宋体" w:hAnsi="宋体" w:eastAsia="宋体" w:cs="宋体"/>
          <w:color w:val="auto"/>
          <w:sz w:val="24"/>
          <w:szCs w:val="24"/>
          <w:highlight w:val="none"/>
          <w:lang w:eastAsia="zh-CN"/>
        </w:rPr>
        <w:t>。</w:t>
      </w:r>
    </w:p>
    <w:p w14:paraId="7FE35D16">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rPr>
        <w:t>液氦：目前液面值：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，在正常使用中低于50%的安全线时，乙方为客户提供液氦添加和磁体性能检测服务。非正常消耗的液氦不在本合同范围之内，如因人为因素引起失超故障等造成液氦消耗。</w:t>
      </w:r>
    </w:p>
    <w:p w14:paraId="2F4E0E63">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7.</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确保开机率≥9</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%，按一年365天计算。若设备开机率低于 9</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%时，停机时间超过一天顺延5天维保期；如开机率低于90%时，停机时间超过一天顺延5天维保期。</w:t>
      </w:r>
    </w:p>
    <w:p w14:paraId="13A6B7D5">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8.</w:t>
      </w:r>
      <w:r>
        <w:rPr>
          <w:rFonts w:ascii="宋体" w:hAnsi="宋体" w:eastAsia="宋体" w:cs="宋体"/>
          <w:color w:val="auto"/>
          <w:sz w:val="24"/>
          <w:szCs w:val="24"/>
          <w:highlight w:val="none"/>
        </w:rPr>
        <w:t>软件升级：在不需要新的硬件支持下，为系统升级成最新版的软件。</w:t>
      </w:r>
    </w:p>
    <w:p w14:paraId="5FB2ED50">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9.</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对设备使用相关技术人员进行免费培训，使其熟练使用该设备，并进行日常维护和保养和性能检测。</w:t>
      </w:r>
    </w:p>
    <w:p w14:paraId="08AFD32D">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10.</w:t>
      </w:r>
      <w:r>
        <w:rPr>
          <w:rFonts w:ascii="宋体" w:hAnsi="宋体" w:eastAsia="宋体" w:cs="宋体"/>
          <w:color w:val="auto"/>
          <w:sz w:val="24"/>
          <w:szCs w:val="24"/>
          <w:highlight w:val="none"/>
        </w:rPr>
        <w:t>配件及时性要求：</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设有专业的零备件仓库，仓储有同类型设备零备件。</w:t>
      </w:r>
    </w:p>
    <w:p w14:paraId="35C1003B">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11.</w:t>
      </w:r>
      <w:r>
        <w:rPr>
          <w:rFonts w:ascii="宋体" w:hAnsi="宋体" w:eastAsia="宋体" w:cs="宋体"/>
          <w:color w:val="auto"/>
          <w:sz w:val="24"/>
          <w:szCs w:val="24"/>
          <w:highlight w:val="none"/>
        </w:rPr>
        <w:t>服务期内，所需配件由</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提供，更换配件过程中所产生相关费用由</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负责。</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保证更换的配件为同一设备型号一致的配件，证件齐全，与机器匹配，确保安装完毕后达到设备运行标准与使用标准。</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在维修更换配件时，导致的</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设备其它故障，由</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自行解决故障，由此带来的一切费用和损失由</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承担。</w:t>
      </w:r>
    </w:p>
    <w:p w14:paraId="6CE16AB7">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12.</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需具备能解决磁共振成像系统失超恢复所必须的励磁电源工具。</w:t>
      </w:r>
    </w:p>
    <w:p w14:paraId="348D8C00">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三</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设备维保前接收状态标准</w:t>
      </w:r>
    </w:p>
    <w:p w14:paraId="617EB8FB">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1.核心系统功能正常</w:t>
      </w:r>
    </w:p>
    <w:p w14:paraId="71BAB822">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2</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主磁体磁场稳定无失超风险，梯度系统、射频系统运行无报错；常规及特殊扫描序列可正常调用，图像重建、存储功能完好；检查床升降、移动精准平稳，线圈等附件接触良好、无破损。</w:t>
      </w:r>
    </w:p>
    <w:p w14:paraId="0AD341B8">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3</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.性能指标符合标准；磁场均匀性、信噪比、空间分辨率等成像参数达标，需提供匀场校准报告和性能测试报告；漏磁剂量、接地电阻等安全指标符合国家规范，无安全隐患。</w:t>
      </w:r>
    </w:p>
    <w:p w14:paraId="62DADA66">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4</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设备及环境整洁合规；设备内外（磁体舱、操作台、线圈）清洁无积尘、污渍；机房温湿度、防尘防磁条件满足设备运行要求，空调、稳压电源、冷水机组等配套设施运行稳定；消防、急救设备齐全有效，强磁警示标识清晰。</w:t>
      </w:r>
    </w:p>
    <w:p w14:paraId="057CBA8C">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default"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液氦值，液氦值达到60%以上</w:t>
      </w:r>
    </w:p>
    <w:p w14:paraId="5066160F">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合同定价方式、付款进度和支付方式</w:t>
      </w:r>
    </w:p>
    <w:p w14:paraId="1B911021">
      <w:pPr>
        <w:pStyle w:val="38"/>
        <w:numPr>
          <w:ilvl w:val="0"/>
          <w:numId w:val="7"/>
        </w:numPr>
        <w:spacing w:line="560" w:lineRule="exact"/>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合同定价方式</w:t>
      </w:r>
    </w:p>
    <w:tbl>
      <w:tblPr>
        <w:tblStyle w:val="22"/>
        <w:tblW w:w="8778" w:type="dxa"/>
        <w:tblInd w:w="-1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1744"/>
        <w:gridCol w:w="977"/>
        <w:gridCol w:w="1173"/>
        <w:gridCol w:w="1173"/>
        <w:gridCol w:w="1544"/>
        <w:gridCol w:w="1371"/>
      </w:tblGrid>
      <w:tr w14:paraId="53F6C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trPr>
        <w:tc>
          <w:tcPr>
            <w:tcW w:w="796" w:type="dxa"/>
            <w:vAlign w:val="center"/>
          </w:tcPr>
          <w:p w14:paraId="0A0F91A2">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744" w:type="dxa"/>
            <w:vAlign w:val="center"/>
          </w:tcPr>
          <w:p w14:paraId="736412DF">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服务</w:t>
            </w:r>
            <w:r>
              <w:rPr>
                <w:rFonts w:ascii="宋体" w:hAnsi="宋体" w:eastAsia="宋体" w:cs="宋体"/>
                <w:color w:val="auto"/>
                <w:sz w:val="24"/>
                <w:szCs w:val="24"/>
                <w:highlight w:val="none"/>
              </w:rPr>
              <w:t>内容</w:t>
            </w:r>
          </w:p>
        </w:tc>
        <w:tc>
          <w:tcPr>
            <w:tcW w:w="977" w:type="dxa"/>
            <w:vAlign w:val="center"/>
          </w:tcPr>
          <w:p w14:paraId="66814614">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173" w:type="dxa"/>
            <w:vAlign w:val="center"/>
          </w:tcPr>
          <w:p w14:paraId="44CB6407">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单价（元）</w:t>
            </w:r>
          </w:p>
        </w:tc>
        <w:tc>
          <w:tcPr>
            <w:tcW w:w="1173" w:type="dxa"/>
            <w:vAlign w:val="center"/>
          </w:tcPr>
          <w:p w14:paraId="420F1A08">
            <w:pPr>
              <w:pStyle w:val="38"/>
              <w:spacing w:line="560" w:lineRule="exact"/>
              <w:jc w:val="center"/>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总价</w:t>
            </w:r>
            <w:r>
              <w:rPr>
                <w:rFonts w:ascii="宋体" w:hAnsi="宋体" w:eastAsia="宋体" w:cs="宋体"/>
                <w:color w:val="auto"/>
                <w:sz w:val="24"/>
                <w:szCs w:val="24"/>
                <w:highlight w:val="none"/>
              </w:rPr>
              <w:t>（元）</w:t>
            </w:r>
          </w:p>
        </w:tc>
        <w:tc>
          <w:tcPr>
            <w:tcW w:w="1544" w:type="dxa"/>
            <w:vAlign w:val="center"/>
          </w:tcPr>
          <w:p w14:paraId="38AF7EA0">
            <w:pPr>
              <w:pStyle w:val="38"/>
              <w:spacing w:line="560" w:lineRule="exact"/>
              <w:jc w:val="center"/>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服务期</w:t>
            </w:r>
          </w:p>
        </w:tc>
        <w:tc>
          <w:tcPr>
            <w:tcW w:w="1371" w:type="dxa"/>
            <w:vAlign w:val="center"/>
          </w:tcPr>
          <w:p w14:paraId="492BBF5F">
            <w:pPr>
              <w:pStyle w:val="38"/>
              <w:spacing w:line="560" w:lineRule="exact"/>
              <w:jc w:val="center"/>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服务期限</w:t>
            </w:r>
          </w:p>
        </w:tc>
      </w:tr>
      <w:tr w14:paraId="39841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center"/>
          </w:tcPr>
          <w:p w14:paraId="66F9421C">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744" w:type="dxa"/>
            <w:vAlign w:val="center"/>
          </w:tcPr>
          <w:p w14:paraId="4C904ED6">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核磁共振维保</w:t>
            </w:r>
          </w:p>
        </w:tc>
        <w:tc>
          <w:tcPr>
            <w:tcW w:w="977" w:type="dxa"/>
            <w:vAlign w:val="center"/>
          </w:tcPr>
          <w:p w14:paraId="7F04BFD9">
            <w:pPr>
              <w:pStyle w:val="38"/>
              <w:spacing w:line="560" w:lineRule="exact"/>
              <w:jc w:val="center"/>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1.00（项）</w:t>
            </w:r>
          </w:p>
        </w:tc>
        <w:tc>
          <w:tcPr>
            <w:tcW w:w="1173" w:type="dxa"/>
            <w:vAlign w:val="center"/>
          </w:tcPr>
          <w:p w14:paraId="293528A4">
            <w:pPr>
              <w:pStyle w:val="38"/>
              <w:spacing w:line="560" w:lineRule="exact"/>
              <w:jc w:val="center"/>
              <w:outlineLvl w:val="9"/>
              <w:rPr>
                <w:rFonts w:hint="default" w:ascii="宋体" w:hAnsi="宋体" w:eastAsia="宋体" w:cs="宋体"/>
                <w:color w:val="auto"/>
                <w:sz w:val="24"/>
                <w:szCs w:val="24"/>
                <w:highlight w:val="none"/>
              </w:rPr>
            </w:pPr>
          </w:p>
        </w:tc>
        <w:tc>
          <w:tcPr>
            <w:tcW w:w="1173" w:type="dxa"/>
            <w:vAlign w:val="center"/>
          </w:tcPr>
          <w:p w14:paraId="3FEE2A4E">
            <w:pPr>
              <w:pStyle w:val="38"/>
              <w:spacing w:line="560" w:lineRule="exact"/>
              <w:jc w:val="center"/>
              <w:outlineLvl w:val="9"/>
              <w:rPr>
                <w:rFonts w:hint="default" w:ascii="宋体" w:hAnsi="宋体" w:eastAsia="宋体" w:cs="宋体"/>
                <w:color w:val="auto"/>
                <w:sz w:val="24"/>
                <w:szCs w:val="24"/>
                <w:highlight w:val="none"/>
              </w:rPr>
            </w:pPr>
          </w:p>
        </w:tc>
        <w:tc>
          <w:tcPr>
            <w:tcW w:w="1544" w:type="dxa"/>
            <w:vAlign w:val="center"/>
          </w:tcPr>
          <w:p w14:paraId="514DBB4B">
            <w:pPr>
              <w:pStyle w:val="38"/>
              <w:spacing w:line="560" w:lineRule="exact"/>
              <w:jc w:val="center"/>
              <w:outlineLvl w:val="9"/>
              <w:rPr>
                <w:rFonts w:hint="default" w:ascii="宋体" w:hAnsi="宋体" w:eastAsia="宋体" w:cs="宋体"/>
                <w:color w:val="auto"/>
                <w:sz w:val="24"/>
                <w:szCs w:val="24"/>
                <w:highlight w:val="none"/>
              </w:rPr>
            </w:pPr>
          </w:p>
        </w:tc>
        <w:tc>
          <w:tcPr>
            <w:tcW w:w="1371" w:type="dxa"/>
            <w:vAlign w:val="center"/>
          </w:tcPr>
          <w:p w14:paraId="3A23F521">
            <w:pPr>
              <w:pStyle w:val="38"/>
              <w:spacing w:line="560" w:lineRule="exact"/>
              <w:jc w:val="center"/>
              <w:outlineLvl w:val="9"/>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1年</w:t>
            </w:r>
          </w:p>
        </w:tc>
      </w:tr>
    </w:tbl>
    <w:p w14:paraId="54B2D46B">
      <w:pPr>
        <w:pStyle w:val="38"/>
        <w:numPr>
          <w:ilvl w:val="0"/>
          <w:numId w:val="7"/>
        </w:numPr>
        <w:spacing w:line="560" w:lineRule="exact"/>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付款进度</w:t>
      </w:r>
    </w:p>
    <w:p w14:paraId="6AB0030A">
      <w:pPr>
        <w:pStyle w:val="38"/>
        <w:numPr>
          <w:ilvl w:val="0"/>
          <w:numId w:val="7"/>
        </w:numPr>
        <w:spacing w:line="560" w:lineRule="exact"/>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支付方式：银行转账</w:t>
      </w:r>
    </w:p>
    <w:p w14:paraId="1216DE48">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履约保证金</w:t>
      </w:r>
    </w:p>
    <w:p w14:paraId="72E18287">
      <w:pPr>
        <w:pStyle w:val="38"/>
        <w:spacing w:beforeLines="50" w:line="560" w:lineRule="exact"/>
        <w:ind w:left="119" w:firstLine="480" w:firstLineChars="200"/>
        <w:outlineLvl w:val="9"/>
        <w:rPr>
          <w:rFonts w:hint="default" w:ascii="宋体" w:hAnsi="宋体" w:eastAsia="宋体" w:cs="宋体"/>
          <w:b/>
          <w:bCs/>
          <w:color w:val="auto"/>
          <w:sz w:val="24"/>
          <w:szCs w:val="24"/>
          <w:highlight w:val="none"/>
        </w:rPr>
      </w:pPr>
      <w:r>
        <w:rPr>
          <w:rFonts w:ascii="宋体" w:hAnsi="宋体" w:eastAsia="宋体" w:cs="宋体"/>
          <w:color w:val="auto"/>
          <w:sz w:val="24"/>
          <w:szCs w:val="24"/>
          <w:highlight w:val="none"/>
        </w:rPr>
        <w:t>不收取</w:t>
      </w:r>
    </w:p>
    <w:p w14:paraId="22CA3552">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验收标准和方法</w:t>
      </w:r>
    </w:p>
    <w:p w14:paraId="30987C2C">
      <w:pPr>
        <w:pStyle w:val="38"/>
        <w:numPr>
          <w:ilvl w:val="0"/>
          <w:numId w:val="8"/>
        </w:numPr>
        <w:spacing w:line="560" w:lineRule="exact"/>
        <w:outlineLvl w:val="9"/>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以采购文件中的采购清单、技术参数要求、中标供应商响应内容、合同文本内容要求及《财政部关于进一步加强政府采购需求和履约验收管理的指导意见》(财库〔2016〕205号)的要求进行验收。</w:t>
      </w:r>
    </w:p>
    <w:p w14:paraId="7CBDA8FE">
      <w:pPr>
        <w:pStyle w:val="38"/>
        <w:numPr>
          <w:ilvl w:val="0"/>
          <w:numId w:val="8"/>
        </w:numPr>
        <w:spacing w:line="560" w:lineRule="exact"/>
        <w:outlineLvl w:val="9"/>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甲方根据乙方维保服务质量确定是否续签合同，</w:t>
      </w:r>
      <w:r>
        <w:rPr>
          <w:rFonts w:ascii="宋体" w:hAnsi="宋体" w:eastAsia="宋体" w:cs="宋体"/>
          <w:color w:val="auto"/>
          <w:sz w:val="24"/>
          <w:szCs w:val="24"/>
          <w:highlight w:val="none"/>
          <w:lang w:eastAsia="zh-CN"/>
        </w:rPr>
        <w:t>若达不到甲方要求，甲方可以单方面终止合同。</w:t>
      </w:r>
    </w:p>
    <w:p w14:paraId="7D1186F4">
      <w:pPr>
        <w:pStyle w:val="38"/>
        <w:numPr>
          <w:ilvl w:val="0"/>
          <w:numId w:val="8"/>
        </w:numPr>
        <w:spacing w:line="560" w:lineRule="exact"/>
        <w:outlineLvl w:val="9"/>
        <w:rPr>
          <w:rFonts w:hint="default" w:ascii="宋体" w:hAnsi="宋体" w:eastAsia="宋体" w:cs="宋体"/>
          <w:color w:val="auto"/>
          <w:sz w:val="24"/>
          <w:szCs w:val="24"/>
          <w:highlight w:val="none"/>
        </w:rPr>
      </w:pPr>
    </w:p>
    <w:p w14:paraId="6ADBD120">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甲方的权利和义务</w:t>
      </w:r>
    </w:p>
    <w:p w14:paraId="2AA8942B">
      <w:pPr>
        <w:pStyle w:val="38"/>
        <w:numPr>
          <w:ilvl w:val="0"/>
          <w:numId w:val="9"/>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甲方有权对合同规定范围内乙方的服务行为进行监督和检查，拥有监管权。有权定期核对乙方提供服务所配备的人员数量。对甲方认为不合理的部分</w:t>
      </w:r>
      <w:r>
        <w:rPr>
          <w:rFonts w:ascii="宋体" w:hAnsi="宋体" w:eastAsia="宋体" w:cs="宋体"/>
          <w:color w:val="auto"/>
          <w:sz w:val="24"/>
          <w:szCs w:val="24"/>
          <w:highlight w:val="none"/>
          <w:lang w:eastAsia="zh-CN"/>
        </w:rPr>
        <w:t>乙方必须及时进行整改</w:t>
      </w:r>
      <w:r>
        <w:rPr>
          <w:rFonts w:ascii="宋体" w:hAnsi="宋体" w:eastAsia="宋体" w:cs="宋体"/>
          <w:color w:val="auto"/>
          <w:sz w:val="24"/>
          <w:szCs w:val="24"/>
          <w:highlight w:val="none"/>
        </w:rPr>
        <w:t>。</w:t>
      </w:r>
    </w:p>
    <w:p w14:paraId="60075DFB">
      <w:pPr>
        <w:pStyle w:val="38"/>
        <w:numPr>
          <w:ilvl w:val="0"/>
          <w:numId w:val="9"/>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当设备出现故障时，甲方应及时通知乙方并报告故障现象。当乙方工程师到达现场维护设备时，甲方应尽量提供设备故障发生的原因及相关的信息资料。</w:t>
      </w:r>
    </w:p>
    <w:p w14:paraId="53824113">
      <w:pPr>
        <w:pStyle w:val="38"/>
        <w:numPr>
          <w:ilvl w:val="0"/>
          <w:numId w:val="9"/>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根据本合同规定，按时向乙方支付应付服务费用。</w:t>
      </w:r>
    </w:p>
    <w:p w14:paraId="75D6947D">
      <w:pPr>
        <w:pStyle w:val="38"/>
        <w:numPr>
          <w:ilvl w:val="0"/>
          <w:numId w:val="9"/>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甲方应保证设备进保时为原厂配置并处于良好状态。</w:t>
      </w:r>
    </w:p>
    <w:p w14:paraId="69E2D606">
      <w:pPr>
        <w:pStyle w:val="38"/>
        <w:numPr>
          <w:ilvl w:val="0"/>
          <w:numId w:val="9"/>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国家法律、法规所规定由甲方承担的其它责任。</w:t>
      </w:r>
    </w:p>
    <w:p w14:paraId="404D38E1">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乙方的权利和义务</w:t>
      </w:r>
    </w:p>
    <w:p w14:paraId="5BF110E2">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根据本合同的约定向甲方收取相关服务费用。</w:t>
      </w:r>
    </w:p>
    <w:p w14:paraId="7EE9B91B">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接受项目行业管理部门及政府有关部门的指导，接受甲方的监督。</w:t>
      </w:r>
    </w:p>
    <w:p w14:paraId="2D2DDA0B">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乙方承诺遵守《中华人民共和国劳动合同法》有关规定和《中华人民共和国妇女权益保障法》中关于“劳动和社会保障权益”的有关要求。</w:t>
      </w:r>
    </w:p>
    <w:p w14:paraId="2FE2E173">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乙方依据本合同向院方提供的服务符合并能满足院方的相关设备及其系统正常、持续的商业运营的全部要求。</w:t>
      </w:r>
    </w:p>
    <w:p w14:paraId="264AE20A">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提供定期保养:乙方依据合同约定提供的技术服务条款每年提供预防性定期维护，并在预期保养时间之前一周通知甲方保养时间。定期的维修服务检测包括机器清洁、性能测试及校准、必要的机械或电气的检查，以及非紧急性质的补救性维修，和确保系统能按照制造商的产品规格运行的维修。</w:t>
      </w:r>
    </w:p>
    <w:p w14:paraId="060B0393">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提供在线支持，在甲方拨打维修电话后协助医院的工程师分析和维修有关设备。</w:t>
      </w:r>
    </w:p>
    <w:p w14:paraId="42F8C796">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提供现场检修，在远程在线支持无法解决故障时，及时派遣工程师前往维修有关设备。由专业工程师维修队伍提供快速优质的现场服务。</w:t>
      </w:r>
    </w:p>
    <w:p w14:paraId="6E76C598">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乙方根据本合同所签署的服务内容和服务方式对甲方的设备进行维护服务，保证设备达到临床应用要求。</w:t>
      </w:r>
    </w:p>
    <w:p w14:paraId="4A17BFE1">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乙方不接受任何第三方代付款项或以其他任何形式的以物抵债。</w:t>
      </w:r>
    </w:p>
    <w:p w14:paraId="686E951E">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在双方合同签订后，乙方维修保养服务不受其他第三方限制。</w:t>
      </w:r>
    </w:p>
    <w:p w14:paraId="6393473B">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维保期间所更换的故障件需退回乙方，乙方负责后续返厂处理。</w:t>
      </w:r>
    </w:p>
    <w:p w14:paraId="5DAB05A9">
      <w:pPr>
        <w:pStyle w:val="38"/>
        <w:numPr>
          <w:ilvl w:val="0"/>
          <w:numId w:val="10"/>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国家法律、法规所规定由乙方承担的其它责任。</w:t>
      </w:r>
    </w:p>
    <w:p w14:paraId="270968D0">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违约责任</w:t>
      </w:r>
    </w:p>
    <w:p w14:paraId="0765CA36">
      <w:pPr>
        <w:pStyle w:val="38"/>
        <w:numPr>
          <w:ilvl w:val="0"/>
          <w:numId w:val="11"/>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未能达到约定的服务标准，</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有权要求</w:t>
      </w:r>
      <w:r>
        <w:rPr>
          <w:rFonts w:ascii="宋体" w:hAnsi="宋体" w:eastAsia="宋体" w:cs="宋体"/>
          <w:color w:val="auto"/>
          <w:sz w:val="24"/>
          <w:szCs w:val="24"/>
          <w:highlight w:val="none"/>
          <w:lang w:eastAsia="zh-CN"/>
        </w:rPr>
        <w:t>乙</w:t>
      </w:r>
      <w:r>
        <w:rPr>
          <w:rFonts w:ascii="宋体" w:hAnsi="宋体" w:eastAsia="宋体" w:cs="宋体"/>
          <w:color w:val="auto"/>
          <w:sz w:val="24"/>
          <w:szCs w:val="24"/>
          <w:highlight w:val="none"/>
        </w:rPr>
        <w:t>方限期整改，逾期未整改的，</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有权终止合同；造成</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经济损失的,</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应给予</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经济赔偿（最高赔偿金不超过合同金额的两倍）。</w:t>
      </w:r>
    </w:p>
    <w:p w14:paraId="684A790E">
      <w:pPr>
        <w:pStyle w:val="38"/>
        <w:numPr>
          <w:ilvl w:val="0"/>
          <w:numId w:val="11"/>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因法律规定或合同约定,任何一方擅自终止本合同,应当承担违约责任,如最终导致合同不能履行,违约方应当赔偿合同总金额百分之五的违约金给守约方,由此给守约方造成经济损失的,违约方还应负责赔偿（最高赔偿金不超过合同金额的两倍）。</w:t>
      </w:r>
    </w:p>
    <w:p w14:paraId="3DE77A1B">
      <w:pPr>
        <w:pStyle w:val="38"/>
        <w:numPr>
          <w:ilvl w:val="0"/>
          <w:numId w:val="11"/>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必须按照合同所约定的时间和付款方式及时足额地向</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支付维保费，</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不承担因</w:t>
      </w:r>
      <w:r>
        <w:rPr>
          <w:rFonts w:ascii="宋体" w:hAnsi="宋体" w:eastAsia="宋体" w:cs="宋体"/>
          <w:color w:val="auto"/>
          <w:sz w:val="24"/>
          <w:szCs w:val="24"/>
          <w:highlight w:val="none"/>
          <w:lang w:eastAsia="zh-CN"/>
        </w:rPr>
        <w:t>甲方</w:t>
      </w:r>
      <w:r>
        <w:rPr>
          <w:rFonts w:ascii="宋体" w:hAnsi="宋体" w:eastAsia="宋体" w:cs="宋体"/>
          <w:color w:val="auto"/>
          <w:sz w:val="24"/>
          <w:szCs w:val="24"/>
          <w:highlight w:val="none"/>
        </w:rPr>
        <w:t>逾期不付款而造成设备故障的经济与法律责任。若甲方延迟六个月付款，乙方有权暂停对甲方提供服务直至甲方支付应付款，且有权单方面解除本合同。暂停服务期间，甲方的各项支付义务依然存在。</w:t>
      </w:r>
    </w:p>
    <w:p w14:paraId="061AA2BA">
      <w:pPr>
        <w:pStyle w:val="38"/>
        <w:numPr>
          <w:ilvl w:val="0"/>
          <w:numId w:val="11"/>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人为破坏因素引起的设备故障损坏导致设备完全停机，</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不承担责任与费用，但</w:t>
      </w:r>
      <w:r>
        <w:rPr>
          <w:rFonts w:ascii="宋体" w:hAnsi="宋体" w:eastAsia="宋体" w:cs="宋体"/>
          <w:color w:val="auto"/>
          <w:sz w:val="24"/>
          <w:szCs w:val="24"/>
          <w:highlight w:val="none"/>
          <w:lang w:eastAsia="zh-CN"/>
        </w:rPr>
        <w:t>乙方</w:t>
      </w:r>
      <w:r>
        <w:rPr>
          <w:rFonts w:ascii="宋体" w:hAnsi="宋体" w:eastAsia="宋体" w:cs="宋体"/>
          <w:color w:val="auto"/>
          <w:sz w:val="24"/>
          <w:szCs w:val="24"/>
          <w:highlight w:val="none"/>
        </w:rPr>
        <w:t>要积极帮助采购人修理，恢复设备的正常工作。</w:t>
      </w:r>
    </w:p>
    <w:p w14:paraId="01E69EBF">
      <w:pPr>
        <w:pStyle w:val="38"/>
        <w:numPr>
          <w:ilvl w:val="0"/>
          <w:numId w:val="11"/>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如因遇国家法律、法规、政策的规定与本合同发生冲突的,双方应协商对本合同进行相应调整,使之符合法律规定。</w:t>
      </w:r>
    </w:p>
    <w:p w14:paraId="1E90EE33">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不可抗事件处理</w:t>
      </w:r>
    </w:p>
    <w:p w14:paraId="4CEE12B3">
      <w:pPr>
        <w:pStyle w:val="38"/>
        <w:numPr>
          <w:ilvl w:val="0"/>
          <w:numId w:val="12"/>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在合同有效期内，任何一方因暴力冲突、地震、火灾、洪水</w:t>
      </w:r>
      <w:r>
        <w:rPr>
          <w:rFonts w:ascii="宋体" w:hAnsi="宋体" w:eastAsia="宋体" w:cs="宋体"/>
          <w:color w:val="auto"/>
          <w:sz w:val="24"/>
          <w:szCs w:val="24"/>
          <w:highlight w:val="none"/>
          <w:lang w:eastAsia="zh-CN"/>
        </w:rPr>
        <w:t>、台风</w:t>
      </w:r>
      <w:r>
        <w:rPr>
          <w:rFonts w:ascii="宋体" w:hAnsi="宋体" w:eastAsia="宋体" w:cs="宋体"/>
          <w:color w:val="auto"/>
          <w:sz w:val="24"/>
          <w:szCs w:val="24"/>
          <w:highlight w:val="none"/>
        </w:rPr>
        <w:t>、战争、停水、停电、疫情</w:t>
      </w:r>
      <w:r>
        <w:rPr>
          <w:rFonts w:ascii="宋体" w:hAnsi="宋体" w:eastAsia="宋体" w:cs="宋体"/>
          <w:color w:val="auto"/>
          <w:sz w:val="24"/>
          <w:szCs w:val="24"/>
          <w:highlight w:val="none"/>
          <w:lang w:eastAsia="zh-CN"/>
        </w:rPr>
        <w:t>、鼠患</w:t>
      </w:r>
      <w:r>
        <w:rPr>
          <w:rFonts w:ascii="宋体" w:hAnsi="宋体" w:eastAsia="宋体" w:cs="宋体"/>
          <w:color w:val="auto"/>
          <w:sz w:val="24"/>
          <w:szCs w:val="24"/>
          <w:highlight w:val="none"/>
        </w:rPr>
        <w:t>等不可抗力事件导致不能履行合同，则合同履行期可延长，其延长期与不可抗力事件影响期相同。</w:t>
      </w:r>
    </w:p>
    <w:p w14:paraId="55E0038E">
      <w:pPr>
        <w:pStyle w:val="38"/>
        <w:numPr>
          <w:ilvl w:val="0"/>
          <w:numId w:val="12"/>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受阻一方应在不可抗事件发生后尽快用电话通知对方并于事故发生后</w:t>
      </w:r>
      <w:r>
        <w:rPr>
          <w:rFonts w:ascii="宋体" w:hAnsi="宋体" w:eastAsia="宋体" w:cs="宋体"/>
          <w:color w:val="auto"/>
          <w:sz w:val="24"/>
          <w:szCs w:val="24"/>
          <w:highlight w:val="none"/>
          <w:u w:val="single"/>
          <w:lang w:eastAsia="zh-CN"/>
        </w:rPr>
        <w:t xml:space="preserve"> 7 </w:t>
      </w:r>
      <w:r>
        <w:rPr>
          <w:rFonts w:ascii="宋体" w:hAnsi="宋体" w:eastAsia="宋体" w:cs="宋体"/>
          <w:color w:val="auto"/>
          <w:sz w:val="24"/>
          <w:szCs w:val="24"/>
          <w:highlight w:val="none"/>
        </w:rPr>
        <w:t>天内将有关部门出具的证明文件等用特快专递或挂号信寄给对方审阅确认。</w:t>
      </w:r>
    </w:p>
    <w:p w14:paraId="70D6CE58">
      <w:pPr>
        <w:pStyle w:val="38"/>
        <w:numPr>
          <w:ilvl w:val="0"/>
          <w:numId w:val="12"/>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不可抗事件延续</w:t>
      </w:r>
      <w:r>
        <w:rPr>
          <w:rFonts w:ascii="宋体" w:hAnsi="宋体" w:eastAsia="宋体" w:cs="宋体"/>
          <w:color w:val="auto"/>
          <w:sz w:val="24"/>
          <w:szCs w:val="24"/>
          <w:highlight w:val="none"/>
          <w:u w:val="single"/>
          <w:lang w:eastAsia="zh-CN"/>
        </w:rPr>
        <w:t xml:space="preserve">  60  </w:t>
      </w:r>
      <w:r>
        <w:rPr>
          <w:rFonts w:ascii="宋体" w:hAnsi="宋体" w:eastAsia="宋体" w:cs="宋体"/>
          <w:color w:val="auto"/>
          <w:sz w:val="24"/>
          <w:szCs w:val="24"/>
          <w:highlight w:val="none"/>
        </w:rPr>
        <w:t>天以上，双方应通过友好协商，确定是否继续履行合同。</w:t>
      </w:r>
    </w:p>
    <w:p w14:paraId="629A3590">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解决合同纠纷的方式</w:t>
      </w:r>
    </w:p>
    <w:p w14:paraId="325E4738">
      <w:pPr>
        <w:pStyle w:val="38"/>
        <w:numPr>
          <w:ilvl w:val="0"/>
          <w:numId w:val="13"/>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因服务的质量问题发生争议时，甲方与乙方双方协商解决。</w:t>
      </w:r>
    </w:p>
    <w:p w14:paraId="00AADE4E">
      <w:pPr>
        <w:pStyle w:val="38"/>
        <w:numPr>
          <w:ilvl w:val="0"/>
          <w:numId w:val="13"/>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因服务的质量问题发生争议且甲方与乙方双方不能协商解决时，任一方可向</w:t>
      </w:r>
      <w:r>
        <w:rPr>
          <w:rFonts w:ascii="宋体" w:hAnsi="宋体" w:eastAsia="宋体" w:cs="宋体"/>
          <w:color w:val="auto"/>
          <w:sz w:val="24"/>
          <w:szCs w:val="24"/>
          <w:highlight w:val="none"/>
          <w:lang w:eastAsia="zh-CN"/>
        </w:rPr>
        <w:t>甲方所在地</w:t>
      </w:r>
      <w:r>
        <w:rPr>
          <w:rFonts w:ascii="宋体" w:hAnsi="宋体" w:eastAsia="宋体" w:cs="宋体"/>
          <w:color w:val="auto"/>
          <w:sz w:val="24"/>
          <w:szCs w:val="24"/>
          <w:highlight w:val="none"/>
        </w:rPr>
        <w:t>人民法院提起诉讼。</w:t>
      </w:r>
    </w:p>
    <w:p w14:paraId="453E84E1">
      <w:pPr>
        <w:pStyle w:val="38"/>
        <w:numPr>
          <w:ilvl w:val="0"/>
          <w:numId w:val="6"/>
        </w:numPr>
        <w:spacing w:beforeLines="50" w:line="560" w:lineRule="exact"/>
        <w:ind w:left="119"/>
        <w:outlineLvl w:val="9"/>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合同生效及其他</w:t>
      </w:r>
    </w:p>
    <w:p w14:paraId="77326E1B">
      <w:pPr>
        <w:pStyle w:val="38"/>
        <w:numPr>
          <w:ilvl w:val="0"/>
          <w:numId w:val="14"/>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合同经双方法定代表人（或主要负责人）或授权委托代理人签字并加盖公章后生效。</w:t>
      </w:r>
    </w:p>
    <w:p w14:paraId="54950D75">
      <w:pPr>
        <w:pStyle w:val="38"/>
        <w:numPr>
          <w:ilvl w:val="0"/>
          <w:numId w:val="14"/>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14:paraId="16028C52">
      <w:pPr>
        <w:pStyle w:val="38"/>
        <w:numPr>
          <w:ilvl w:val="0"/>
          <w:numId w:val="14"/>
        </w:numPr>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本合同一式3份，自双方签章之日起生效。甲方持有1份，乙方持有1份，同级财政部门备案1份，具有同等法律效力。</w:t>
      </w:r>
    </w:p>
    <w:p w14:paraId="30FD8766">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 xml:space="preserve"> 甲方： （盖章）</w:t>
      </w:r>
    </w:p>
    <w:p w14:paraId="0980EBFF">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法定代表人或主要负责人（授权代表）：</w:t>
      </w:r>
    </w:p>
    <w:p w14:paraId="45672760">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地 址：</w:t>
      </w:r>
    </w:p>
    <w:p w14:paraId="0AAE1DDD">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开户银行：</w:t>
      </w:r>
    </w:p>
    <w:p w14:paraId="645B9360">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账号：</w:t>
      </w:r>
    </w:p>
    <w:p w14:paraId="14A2C1AE">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签订时间： 年 月 日</w:t>
      </w:r>
    </w:p>
    <w:p w14:paraId="09E431FC">
      <w:pPr>
        <w:pStyle w:val="38"/>
        <w:spacing w:line="560" w:lineRule="exact"/>
        <w:outlineLvl w:val="9"/>
        <w:rPr>
          <w:rFonts w:hint="default" w:ascii="宋体" w:hAnsi="宋体" w:eastAsia="宋体" w:cs="宋体"/>
          <w:color w:val="auto"/>
          <w:sz w:val="24"/>
          <w:szCs w:val="24"/>
          <w:highlight w:val="none"/>
        </w:rPr>
      </w:pPr>
    </w:p>
    <w:p w14:paraId="5EF4EDAF">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乙方：(盖章）</w:t>
      </w:r>
    </w:p>
    <w:p w14:paraId="3C15B510">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法定代表人或主要负责人（授权代表）：</w:t>
      </w:r>
    </w:p>
    <w:p w14:paraId="361264D6">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地 址：</w:t>
      </w:r>
    </w:p>
    <w:p w14:paraId="53DB35AC">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开户银行：</w:t>
      </w:r>
    </w:p>
    <w:p w14:paraId="505A11C7">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账号：</w:t>
      </w:r>
    </w:p>
    <w:p w14:paraId="53DA23A0">
      <w:pPr>
        <w:pStyle w:val="38"/>
        <w:spacing w:line="560" w:lineRule="exact"/>
        <w:outlineLvl w:val="9"/>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签订时间： 年 月 日</w:t>
      </w:r>
    </w:p>
    <w:p w14:paraId="6C34CE15">
      <w:pPr>
        <w:bidi w:val="0"/>
        <w:rPr>
          <w:rFonts w:hint="eastAsia"/>
          <w:color w:val="auto"/>
          <w:highlight w:val="none"/>
        </w:rPr>
      </w:pPr>
    </w:p>
    <w:p w14:paraId="3F4877B6">
      <w:pPr>
        <w:pStyle w:val="2"/>
        <w:jc w:val="center"/>
        <w:outlineLvl w:val="0"/>
        <w:rPr>
          <w:rFonts w:hint="eastAsia" w:ascii="宋体" w:hAnsi="宋体" w:eastAsia="宋体" w:cs="宋体"/>
          <w:bCs/>
          <w:color w:val="auto"/>
          <w:sz w:val="36"/>
          <w:szCs w:val="36"/>
          <w:highlight w:val="none"/>
        </w:rPr>
      </w:pPr>
      <w:r>
        <w:rPr>
          <w:rFonts w:hint="eastAsia" w:ascii="宋体" w:hAnsi="宋体" w:eastAsia="宋体" w:cs="宋体"/>
          <w:b w:val="0"/>
          <w:color w:val="auto"/>
          <w:szCs w:val="21"/>
          <w:highlight w:val="none"/>
        </w:rPr>
        <w:br w:type="page"/>
      </w:r>
      <w:bookmarkStart w:id="100" w:name="_Toc4254"/>
      <w:bookmarkStart w:id="101" w:name="_Toc24914"/>
      <w:bookmarkStart w:id="102" w:name="_Toc1119"/>
      <w:r>
        <w:rPr>
          <w:rFonts w:hint="eastAsia" w:ascii="宋体" w:hAnsi="宋体" w:eastAsia="宋体" w:cs="宋体"/>
          <w:bCs/>
          <w:color w:val="auto"/>
          <w:sz w:val="36"/>
          <w:szCs w:val="36"/>
          <w:highlight w:val="none"/>
        </w:rPr>
        <w:t xml:space="preserve">第五章 </w:t>
      </w:r>
      <w:bookmarkEnd w:id="85"/>
      <w:bookmarkEnd w:id="86"/>
      <w:bookmarkEnd w:id="87"/>
      <w:bookmarkEnd w:id="88"/>
      <w:bookmarkEnd w:id="89"/>
      <w:bookmarkEnd w:id="90"/>
      <w:bookmarkEnd w:id="91"/>
      <w:bookmarkEnd w:id="92"/>
      <w:bookmarkEnd w:id="93"/>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100"/>
      <w:bookmarkEnd w:id="101"/>
      <w:bookmarkEnd w:id="102"/>
    </w:p>
    <w:bookmarkEnd w:id="59"/>
    <w:p w14:paraId="6DF8A56D">
      <w:pPr>
        <w:pStyle w:val="38"/>
        <w:numPr>
          <w:ilvl w:val="0"/>
          <w:numId w:val="0"/>
        </w:numPr>
        <w:spacing w:beforeLines="50" w:line="560" w:lineRule="exact"/>
        <w:ind w:left="119" w:leftChars="0"/>
        <w:outlineLvl w:val="9"/>
        <w:rPr>
          <w:rFonts w:hint="eastAsia" w:ascii="宋体" w:hAnsi="宋体" w:eastAsia="宋体" w:cs="宋体"/>
          <w:color w:val="auto"/>
          <w:sz w:val="28"/>
          <w:szCs w:val="28"/>
          <w:highlight w:val="none"/>
          <w:lang w:val="en-US" w:eastAsia="zh-CN"/>
        </w:rPr>
      </w:pPr>
      <w:bookmarkStart w:id="103" w:name="_Toc423973079"/>
      <w:bookmarkStart w:id="104" w:name="_Toc6373"/>
      <w:bookmarkStart w:id="105" w:name="_Toc363474025"/>
      <w:bookmarkStart w:id="106" w:name="_Toc403077646"/>
      <w:bookmarkStart w:id="107" w:name="_Toc5084"/>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服务要求</w:t>
      </w:r>
    </w:p>
    <w:p w14:paraId="403B971D">
      <w:pPr>
        <w:pStyle w:val="38"/>
        <w:spacing w:line="5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整机全保，更换备件、维修、保养等产生的一切费用由乙方负责。</w:t>
      </w:r>
    </w:p>
    <w:p w14:paraId="39F10E4F">
      <w:pPr>
        <w:pStyle w:val="38"/>
        <w:spacing w:line="560" w:lineRule="exact"/>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服务对象：奥泰 Centauri 1.5T MR</w:t>
      </w:r>
    </w:p>
    <w:tbl>
      <w:tblPr>
        <w:tblStyle w:val="22"/>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8"/>
        <w:gridCol w:w="678"/>
        <w:gridCol w:w="678"/>
        <w:gridCol w:w="678"/>
        <w:gridCol w:w="678"/>
        <w:gridCol w:w="678"/>
        <w:gridCol w:w="678"/>
        <w:gridCol w:w="678"/>
        <w:gridCol w:w="678"/>
        <w:gridCol w:w="678"/>
        <w:gridCol w:w="678"/>
        <w:gridCol w:w="678"/>
      </w:tblGrid>
      <w:tr w14:paraId="1D62D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678" w:type="dxa"/>
            <w:tcBorders>
              <w:top w:val="double" w:color="000000" w:sz="12" w:space="0"/>
              <w:left w:val="double" w:color="000000" w:sz="12" w:space="0"/>
              <w:bottom w:val="single" w:color="000000" w:sz="4" w:space="0"/>
              <w:right w:val="single" w:color="000000" w:sz="4" w:space="0"/>
            </w:tcBorders>
            <w:tcMar>
              <w:top w:w="0" w:type="dxa"/>
              <w:left w:w="105" w:type="dxa"/>
              <w:bottom w:w="0" w:type="dxa"/>
              <w:right w:w="105" w:type="dxa"/>
            </w:tcMar>
            <w:vAlign w:val="center"/>
          </w:tcPr>
          <w:p w14:paraId="2BD58066">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第三方外围设备</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50504D73">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系统维护</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3F49CB14">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性能调整</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07BE283D">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故障维修</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04B76791">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远程诊断</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27D2BA95">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软件升级</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7E878283">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响应时间保证</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03E19AE1">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额外时间服务</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5EF770F5">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系统备件</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4F345632">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磁体备件</w:t>
            </w:r>
          </w:p>
        </w:tc>
        <w:tc>
          <w:tcPr>
            <w:tcW w:w="678" w:type="dxa"/>
            <w:tcBorders>
              <w:top w:val="double" w:color="000000" w:sz="12" w:space="0"/>
              <w:left w:val="nil"/>
              <w:bottom w:val="single" w:color="000000" w:sz="4" w:space="0"/>
              <w:right w:val="single" w:color="000000" w:sz="4" w:space="0"/>
            </w:tcBorders>
            <w:tcMar>
              <w:top w:w="0" w:type="dxa"/>
              <w:left w:w="105" w:type="dxa"/>
              <w:bottom w:w="0" w:type="dxa"/>
              <w:right w:w="105" w:type="dxa"/>
            </w:tcMar>
            <w:vAlign w:val="center"/>
          </w:tcPr>
          <w:p w14:paraId="4B9C0FD6">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液氦</w:t>
            </w:r>
          </w:p>
        </w:tc>
        <w:tc>
          <w:tcPr>
            <w:tcW w:w="678" w:type="dxa"/>
            <w:tcBorders>
              <w:top w:val="double" w:color="000000" w:sz="12" w:space="0"/>
              <w:left w:val="nil"/>
              <w:bottom w:val="single" w:color="000000" w:sz="4" w:space="0"/>
              <w:right w:val="double" w:color="000000" w:sz="12" w:space="0"/>
            </w:tcBorders>
            <w:tcMar>
              <w:top w:w="0" w:type="dxa"/>
              <w:left w:w="105" w:type="dxa"/>
              <w:bottom w:w="0" w:type="dxa"/>
              <w:right w:w="105" w:type="dxa"/>
            </w:tcMar>
            <w:vAlign w:val="center"/>
          </w:tcPr>
          <w:p w14:paraId="29071284">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运行时间保证</w:t>
            </w:r>
          </w:p>
        </w:tc>
      </w:tr>
      <w:tr w14:paraId="61507E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78" w:type="dxa"/>
            <w:tcBorders>
              <w:top w:val="nil"/>
              <w:left w:val="double" w:color="000000" w:sz="12" w:space="0"/>
              <w:bottom w:val="single" w:color="000000" w:sz="4" w:space="0"/>
              <w:right w:val="single" w:color="000000" w:sz="4" w:space="0"/>
            </w:tcBorders>
            <w:tcMar>
              <w:top w:w="0" w:type="dxa"/>
              <w:left w:w="105" w:type="dxa"/>
              <w:bottom w:w="0" w:type="dxa"/>
              <w:right w:w="105" w:type="dxa"/>
            </w:tcMar>
            <w:vAlign w:val="center"/>
          </w:tcPr>
          <w:p w14:paraId="1B68788E">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B0AFBC">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F7A811">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35D36D">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7508E">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2606AC">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18221C">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CF0221">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FC4413">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5FEF7B">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03666">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78" w:type="dxa"/>
            <w:tcBorders>
              <w:top w:val="nil"/>
              <w:left w:val="nil"/>
              <w:bottom w:val="single" w:color="000000" w:sz="4" w:space="0"/>
              <w:right w:val="double" w:color="000000" w:sz="12" w:space="0"/>
            </w:tcBorders>
            <w:tcMar>
              <w:top w:w="0" w:type="dxa"/>
              <w:left w:w="105" w:type="dxa"/>
              <w:bottom w:w="0" w:type="dxa"/>
              <w:right w:w="105" w:type="dxa"/>
            </w:tcMar>
            <w:vAlign w:val="center"/>
          </w:tcPr>
          <w:p w14:paraId="132AF8A1">
            <w:pPr>
              <w:pStyle w:val="3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2FE9C7B5">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注：第三方外围设备包括屏蔽、激光相机、机房精密空调等</w:t>
      </w:r>
      <w:r>
        <w:rPr>
          <w:rFonts w:hint="eastAsia" w:hAnsi="宋体" w:cs="宋体"/>
          <w:color w:val="auto"/>
          <w:sz w:val="24"/>
          <w:szCs w:val="24"/>
          <w:highlight w:val="none"/>
          <w:lang w:eastAsia="zh-CN"/>
        </w:rPr>
        <w:t>。</w:t>
      </w:r>
    </w:p>
    <w:p w14:paraId="7D7049FA">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rPr>
        <w:t>维保要求：明确维修、保养内容的报告单、工程师现场维保资料。对设备提供每年≥4次的定期维护与保养，定期的维护保养服务包括：设备的安全检查、影像质量检查、设备清洁保养、性能测试及校准、运行状态检查、质控服务等；以及非紧急性质的预防性维护和确保系统能按照设备的产品规范运行的其他维护，并定期对设备的数据进行备份，确保系统能按照设备制造商的产品标准来运行。每次巡检后须提供巡检报告，包含但不仅限于现场照片、故障现象、解决方案、配件更换记录等内容。</w:t>
      </w:r>
    </w:p>
    <w:p w14:paraId="7E6EBC60">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w:t>
      </w:r>
      <w:r>
        <w:rPr>
          <w:rFonts w:hint="eastAsia" w:ascii="宋体" w:hAnsi="宋体" w:eastAsia="宋体" w:cs="宋体"/>
          <w:color w:val="auto"/>
          <w:sz w:val="24"/>
          <w:szCs w:val="24"/>
          <w:highlight w:val="none"/>
        </w:rPr>
        <w:t>根据设备运行要求提供不限次数的人工技术服务与不限数量备件更换。</w:t>
      </w:r>
    </w:p>
    <w:p w14:paraId="10C173B8">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rPr>
        <w:t>提供在线支持：协助</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技师分析及处理有关问题。</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在电话报修后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提供远程支持，资深工程师在线支持、答疑，及时诊断机器故障原因，定制维修方案。</w:t>
      </w:r>
    </w:p>
    <w:p w14:paraId="6F1AF967">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rPr>
        <w:t>远程诊断：服务期内，经</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同意后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工程师可以通过网络与医院系统进行连接，从而执行维护和故障排除的任务。</w:t>
      </w:r>
    </w:p>
    <w:p w14:paraId="3E16C9A3">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维修时效要求：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具备客户服务专线电话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，24小时*365天响应，维修热线24小时畅通。初次电话响应时间在30分钟内，现场响应时间≤</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小时，维修不涉及零配件更换应≤24小时修复完毕，更换配件的情况下，配件物流到达时间≤48小时，达到现场后≤12小时修复设备。（以上不可抗力因素除外）</w:t>
      </w:r>
      <w:r>
        <w:rPr>
          <w:rFonts w:hint="eastAsia" w:ascii="宋体" w:hAnsi="宋体" w:eastAsia="宋体" w:cs="宋体"/>
          <w:color w:val="auto"/>
          <w:sz w:val="24"/>
          <w:szCs w:val="24"/>
          <w:highlight w:val="none"/>
          <w:lang w:eastAsia="zh-CN"/>
        </w:rPr>
        <w:t>。</w:t>
      </w:r>
    </w:p>
    <w:p w14:paraId="23753CD8">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rPr>
        <w:t>液氦：</w:t>
      </w:r>
      <w:r>
        <w:rPr>
          <w:rFonts w:hint="eastAsia" w:ascii="宋体" w:hAnsi="宋体" w:eastAsia="宋体" w:cs="宋体"/>
          <w:color w:val="auto"/>
          <w:sz w:val="24"/>
          <w:szCs w:val="24"/>
          <w:highlight w:val="none"/>
          <w:u w:val="none"/>
          <w:lang w:val="en-US" w:eastAsia="zh-CN"/>
        </w:rPr>
        <w:t>在正常使用中低于50%的安全线时，乙方为客户提供液氦添加和磁体性能检测服务。非正常消耗的液氦不在本合同范围之内，如因人为因素引起失超故障等造成液氦消耗。</w:t>
      </w:r>
    </w:p>
    <w:p w14:paraId="13F6191F">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7.</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确保开机率≥9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%，按一年365天计算。若设备开机率低于 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%时，停机时间超过一天顺延5天维保期；如开机率低于90%时，停机时间超过一天顺延5天维保期。</w:t>
      </w:r>
    </w:p>
    <w:p w14:paraId="682B0E7D">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8.</w:t>
      </w:r>
      <w:r>
        <w:rPr>
          <w:rFonts w:hint="eastAsia" w:ascii="宋体" w:hAnsi="宋体" w:eastAsia="宋体" w:cs="宋体"/>
          <w:color w:val="auto"/>
          <w:sz w:val="24"/>
          <w:szCs w:val="24"/>
          <w:highlight w:val="none"/>
        </w:rPr>
        <w:t>软件升级：在不需要新的硬件支持下，为系统升级成最新版的软件。</w:t>
      </w:r>
    </w:p>
    <w:p w14:paraId="765E4DCF">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9.</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对设备使用相关技术人员进行免费培训，使其熟练使用该设备，并进行日常维护和保养和性能检测。</w:t>
      </w:r>
    </w:p>
    <w:p w14:paraId="710653DB">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10.</w:t>
      </w:r>
      <w:r>
        <w:rPr>
          <w:rFonts w:hint="eastAsia" w:ascii="宋体" w:hAnsi="宋体" w:eastAsia="宋体" w:cs="宋体"/>
          <w:color w:val="auto"/>
          <w:sz w:val="24"/>
          <w:szCs w:val="24"/>
          <w:highlight w:val="none"/>
        </w:rPr>
        <w:t>配件及时性要求：</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设有专业的零备件仓库，仓储有同类型设备零备件。</w:t>
      </w:r>
    </w:p>
    <w:p w14:paraId="338C426A">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11.</w:t>
      </w:r>
      <w:r>
        <w:rPr>
          <w:rFonts w:hint="eastAsia" w:ascii="宋体" w:hAnsi="宋体" w:eastAsia="宋体" w:cs="宋体"/>
          <w:color w:val="auto"/>
          <w:sz w:val="24"/>
          <w:szCs w:val="24"/>
          <w:highlight w:val="none"/>
        </w:rPr>
        <w:t>服务期内，所需配件由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提供，更换配件过程中所产生相关费用由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保证更换的配件为同一设备型号一致的配件，证件齐全，与机器匹配，确保安装完毕后达到设备运行标准与使用标准。</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在维修更换配件时，导致的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设备其它故障，由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自行解决故障，由此带来的一切费用和损失由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14:paraId="28500781">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需具备能解决磁共振成像系统失超恢复所必须的励磁电源工具。</w:t>
      </w:r>
    </w:p>
    <w:p w14:paraId="1A071B41">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系统备件：除磁体、冷头、压缩机以及相关附件以外，系统维修时所需要的备件。</w:t>
      </w:r>
    </w:p>
    <w:p w14:paraId="586E37B7">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磁体备件：磁体、冷头、压缩机以及相关附件。</w:t>
      </w:r>
    </w:p>
    <w:p w14:paraId="6634E323">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外冷水机：第三方产品外冷水机的维修与维护，包括人工与备件。</w:t>
      </w:r>
    </w:p>
    <w:p w14:paraId="4A9143A7">
      <w:pPr>
        <w:pStyle w:val="3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稳压电源：第三方产品稳压电源的维修与维护，包括人工与备件。</w:t>
      </w:r>
    </w:p>
    <w:p w14:paraId="13ADA88F">
      <w:pPr>
        <w:autoSpaceDE w:val="0"/>
        <w:autoSpaceDN w:val="0"/>
        <w:jc w:val="left"/>
        <w:rPr>
          <w:rFonts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br w:type="page"/>
      </w:r>
    </w:p>
    <w:p w14:paraId="2FEEB109">
      <w:pPr>
        <w:bidi w:val="0"/>
        <w:jc w:val="center"/>
        <w:outlineLvl w:val="0"/>
        <w:rPr>
          <w:rFonts w:hint="eastAsia" w:ascii="宋体" w:hAnsi="宋体" w:eastAsia="宋体" w:cs="宋体"/>
          <w:b w:val="0"/>
          <w:bCs/>
          <w:color w:val="auto"/>
          <w:kern w:val="2"/>
          <w:sz w:val="36"/>
          <w:szCs w:val="36"/>
          <w:highlight w:val="none"/>
        </w:rPr>
      </w:pPr>
      <w:bookmarkStart w:id="108" w:name="_Toc2750"/>
      <w:r>
        <w:rPr>
          <w:rStyle w:val="30"/>
          <w:rFonts w:hint="eastAsia" w:ascii="宋体" w:hAnsi="宋体" w:eastAsia="宋体" w:cs="宋体"/>
          <w:b/>
          <w:color w:val="auto"/>
          <w:sz w:val="36"/>
          <w:szCs w:val="21"/>
          <w:highlight w:val="none"/>
        </w:rPr>
        <w:t xml:space="preserve">第六章 </w:t>
      </w:r>
      <w:r>
        <w:rPr>
          <w:rStyle w:val="30"/>
          <w:rFonts w:hint="eastAsia" w:ascii="宋体" w:eastAsia="宋体" w:cs="宋体"/>
          <w:b/>
          <w:color w:val="auto"/>
          <w:sz w:val="36"/>
          <w:szCs w:val="21"/>
          <w:highlight w:val="none"/>
          <w:lang w:val="en-US" w:eastAsia="zh-CN"/>
        </w:rPr>
        <w:t xml:space="preserve"> </w:t>
      </w:r>
      <w:r>
        <w:rPr>
          <w:rStyle w:val="30"/>
          <w:rFonts w:hint="eastAsia" w:ascii="宋体" w:hAnsi="宋体" w:eastAsia="宋体" w:cs="宋体"/>
          <w:b/>
          <w:color w:val="auto"/>
          <w:sz w:val="36"/>
          <w:szCs w:val="21"/>
          <w:highlight w:val="none"/>
        </w:rPr>
        <w:t>竞争性磋商响应文件格式</w:t>
      </w:r>
      <w:bookmarkEnd w:id="103"/>
      <w:bookmarkEnd w:id="104"/>
      <w:bookmarkEnd w:id="105"/>
      <w:bookmarkEnd w:id="106"/>
      <w:bookmarkEnd w:id="107"/>
      <w:bookmarkEnd w:id="108"/>
    </w:p>
    <w:p w14:paraId="39A7DDD9">
      <w:pPr>
        <w:rPr>
          <w:rFonts w:hint="eastAsia" w:ascii="宋体" w:hAnsi="宋体" w:eastAsia="宋体" w:cs="宋体"/>
          <w:color w:val="auto"/>
          <w:highlight w:val="none"/>
        </w:rPr>
      </w:pPr>
    </w:p>
    <w:p w14:paraId="198B1BEC">
      <w:pPr>
        <w:rPr>
          <w:rFonts w:hint="eastAsia" w:ascii="宋体" w:hAnsi="宋体" w:eastAsia="宋体" w:cs="宋体"/>
          <w:color w:val="auto"/>
          <w:highlight w:val="none"/>
        </w:rPr>
      </w:pPr>
    </w:p>
    <w:p w14:paraId="0EA8373E">
      <w:pPr>
        <w:jc w:val="left"/>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 xml:space="preserve">项目编号：SXZCZB2025-ZCCS-1211          </w:t>
      </w:r>
      <w:r>
        <w:rPr>
          <w:rFonts w:hint="eastAsia" w:hAnsi="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（正本或副本）</w:t>
      </w:r>
    </w:p>
    <w:p w14:paraId="48A012F6">
      <w:pPr>
        <w:jc w:val="right"/>
        <w:rPr>
          <w:rFonts w:hint="eastAsia" w:ascii="宋体" w:hAnsi="宋体" w:eastAsia="宋体" w:cs="宋体"/>
          <w:b/>
          <w:color w:val="auto"/>
          <w:sz w:val="32"/>
          <w:szCs w:val="32"/>
          <w:highlight w:val="none"/>
        </w:rPr>
      </w:pPr>
    </w:p>
    <w:p w14:paraId="0EFEFF10">
      <w:pPr>
        <w:jc w:val="right"/>
        <w:rPr>
          <w:rFonts w:hint="eastAsia" w:ascii="宋体" w:hAnsi="宋体" w:eastAsia="宋体" w:cs="宋体"/>
          <w:b/>
          <w:color w:val="auto"/>
          <w:sz w:val="32"/>
          <w:szCs w:val="32"/>
          <w:highlight w:val="none"/>
        </w:rPr>
      </w:pPr>
      <w:bookmarkStart w:id="176" w:name="_GoBack"/>
      <w:bookmarkEnd w:id="176"/>
    </w:p>
    <w:p w14:paraId="4CF99888">
      <w:pPr>
        <w:pStyle w:val="11"/>
        <w:rPr>
          <w:rFonts w:hint="eastAsia" w:ascii="宋体" w:hAnsi="宋体" w:eastAsia="宋体" w:cs="宋体"/>
          <w:color w:val="auto"/>
          <w:highlight w:val="none"/>
        </w:rPr>
      </w:pPr>
    </w:p>
    <w:p w14:paraId="25BAD15E">
      <w:pPr>
        <w:jc w:val="center"/>
        <w:rPr>
          <w:rFonts w:hint="eastAsia" w:ascii="宋体" w:hAnsi="宋体" w:eastAsia="宋体" w:cs="宋体"/>
          <w:b/>
          <w:color w:val="auto"/>
          <w:sz w:val="62"/>
          <w:szCs w:val="72"/>
          <w:highlight w:val="none"/>
          <w:lang w:eastAsia="zh-CN"/>
        </w:rPr>
      </w:pPr>
      <w:r>
        <w:rPr>
          <w:rFonts w:hint="eastAsia" w:hAnsi="宋体" w:cs="宋体"/>
          <w:b/>
          <w:color w:val="auto"/>
          <w:sz w:val="62"/>
          <w:szCs w:val="72"/>
          <w:highlight w:val="none"/>
          <w:lang w:eastAsia="zh-CN"/>
        </w:rPr>
        <w:t>核磁共振维保服务采购项目</w:t>
      </w:r>
    </w:p>
    <w:p w14:paraId="53CB43B5">
      <w:pPr>
        <w:pStyle w:val="11"/>
        <w:rPr>
          <w:rFonts w:hint="eastAsia" w:ascii="宋体" w:hAnsi="宋体" w:eastAsia="宋体" w:cs="宋体"/>
          <w:b/>
          <w:color w:val="auto"/>
          <w:sz w:val="62"/>
          <w:szCs w:val="72"/>
          <w:highlight w:val="none"/>
        </w:rPr>
      </w:pPr>
    </w:p>
    <w:p w14:paraId="133AB8BE">
      <w:pPr>
        <w:rPr>
          <w:rFonts w:hint="eastAsia" w:ascii="宋体" w:hAnsi="宋体" w:eastAsia="宋体" w:cs="宋体"/>
          <w:color w:val="auto"/>
          <w:highlight w:val="none"/>
        </w:rPr>
      </w:pPr>
    </w:p>
    <w:p w14:paraId="582FB28B">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14:paraId="54B80DDB">
      <w:pPr>
        <w:jc w:val="center"/>
        <w:rPr>
          <w:rFonts w:hint="eastAsia" w:ascii="宋体" w:hAnsi="宋体" w:eastAsia="宋体" w:cs="宋体"/>
          <w:b/>
          <w:color w:val="auto"/>
          <w:sz w:val="36"/>
          <w:szCs w:val="36"/>
          <w:highlight w:val="none"/>
        </w:rPr>
      </w:pPr>
    </w:p>
    <w:p w14:paraId="7BF9E4FD">
      <w:pPr>
        <w:rPr>
          <w:rFonts w:hint="eastAsia" w:ascii="宋体" w:hAnsi="宋体" w:eastAsia="宋体" w:cs="宋体"/>
          <w:b/>
          <w:color w:val="auto"/>
          <w:sz w:val="36"/>
          <w:szCs w:val="36"/>
          <w:highlight w:val="none"/>
        </w:rPr>
      </w:pPr>
    </w:p>
    <w:p w14:paraId="6E0A6E22">
      <w:pPr>
        <w:pStyle w:val="11"/>
        <w:rPr>
          <w:rFonts w:hint="eastAsia" w:ascii="宋体" w:hAnsi="宋体" w:eastAsia="宋体" w:cs="宋体"/>
          <w:color w:val="auto"/>
          <w:highlight w:val="none"/>
        </w:rPr>
      </w:pPr>
    </w:p>
    <w:p w14:paraId="6C58BB79">
      <w:pPr>
        <w:rPr>
          <w:rFonts w:hint="eastAsia" w:ascii="宋体" w:hAnsi="宋体" w:eastAsia="宋体" w:cs="宋体"/>
          <w:b/>
          <w:color w:val="auto"/>
          <w:sz w:val="36"/>
          <w:szCs w:val="36"/>
          <w:highlight w:val="none"/>
        </w:rPr>
      </w:pPr>
    </w:p>
    <w:p w14:paraId="364FA60F">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14:paraId="16838788">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09" w:name="_Toc344572156"/>
    </w:p>
    <w:p w14:paraId="582657F0">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65048622">
      <w:pPr>
        <w:pStyle w:val="11"/>
        <w:rPr>
          <w:rFonts w:hint="eastAsia" w:ascii="宋体" w:hAnsi="宋体" w:eastAsia="宋体" w:cs="宋体"/>
          <w:color w:val="auto"/>
          <w:highlight w:val="none"/>
        </w:rPr>
      </w:pPr>
    </w:p>
    <w:p w14:paraId="15103E3E">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一、磋商响应函</w:t>
      </w:r>
    </w:p>
    <w:p w14:paraId="77561AF1">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二、磋商报价表</w:t>
      </w:r>
    </w:p>
    <w:p w14:paraId="2068057F">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三、磋商方案说明书</w:t>
      </w:r>
    </w:p>
    <w:p w14:paraId="5DD3EBA7">
      <w:pPr>
        <w:spacing w:line="360" w:lineRule="auto"/>
        <w:ind w:firstLine="576" w:firstLineChars="200"/>
        <w:jc w:val="left"/>
        <w:outlineLvl w:val="9"/>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rPr>
        <w:t>四、商务</w:t>
      </w:r>
      <w:r>
        <w:rPr>
          <w:rFonts w:hint="eastAsia" w:hAnsi="宋体" w:cs="宋体"/>
          <w:color w:val="auto"/>
          <w:spacing w:val="4"/>
          <w:sz w:val="28"/>
          <w:szCs w:val="28"/>
          <w:highlight w:val="none"/>
          <w:lang w:eastAsia="zh-CN"/>
        </w:rPr>
        <w:t>条款偏离表</w:t>
      </w:r>
    </w:p>
    <w:p w14:paraId="4DAFA621">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五、陕西省政府采购供应商拒绝政府采购领域商业贿赂承诺书</w:t>
      </w:r>
    </w:p>
    <w:p w14:paraId="5329C4A1">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六、</w:t>
      </w:r>
      <w:r>
        <w:rPr>
          <w:rFonts w:hint="eastAsia" w:ascii="宋体" w:hAnsi="宋体" w:eastAsia="宋体" w:cs="宋体"/>
          <w:color w:val="auto"/>
          <w:spacing w:val="4"/>
          <w:sz w:val="28"/>
          <w:szCs w:val="28"/>
          <w:highlight w:val="none"/>
          <w:lang w:eastAsia="zh-CN"/>
        </w:rPr>
        <w:t>特定</w:t>
      </w:r>
      <w:r>
        <w:rPr>
          <w:rFonts w:hint="eastAsia" w:ascii="宋体" w:hAnsi="宋体" w:eastAsia="宋体" w:cs="宋体"/>
          <w:color w:val="auto"/>
          <w:spacing w:val="4"/>
          <w:sz w:val="28"/>
          <w:szCs w:val="28"/>
          <w:highlight w:val="none"/>
        </w:rPr>
        <w:t>资格证明文件</w:t>
      </w:r>
    </w:p>
    <w:p w14:paraId="57CB8795">
      <w:pPr>
        <w:spacing w:line="360" w:lineRule="auto"/>
        <w:ind w:firstLine="576" w:firstLineChars="200"/>
        <w:jc w:val="left"/>
        <w:outlineLvl w:val="9"/>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rPr>
        <w:t>七、</w:t>
      </w:r>
      <w:r>
        <w:rPr>
          <w:rFonts w:hint="eastAsia" w:ascii="宋体" w:hAnsi="宋体" w:eastAsia="宋体" w:cs="宋体"/>
          <w:color w:val="auto"/>
          <w:spacing w:val="4"/>
          <w:sz w:val="28"/>
          <w:szCs w:val="28"/>
          <w:highlight w:val="none"/>
          <w:lang w:eastAsia="zh-CN"/>
        </w:rPr>
        <w:t>其他</w:t>
      </w:r>
    </w:p>
    <w:p w14:paraId="38C6CEAC">
      <w:pPr>
        <w:pStyle w:val="8"/>
        <w:spacing w:line="360" w:lineRule="auto"/>
        <w:rPr>
          <w:rFonts w:hint="eastAsia" w:ascii="宋体" w:hAnsi="宋体" w:eastAsia="宋体" w:cs="宋体"/>
          <w:color w:val="auto"/>
          <w:highlight w:val="none"/>
        </w:rPr>
      </w:pPr>
    </w:p>
    <w:p w14:paraId="6930975F">
      <w:pPr>
        <w:pStyle w:val="8"/>
        <w:spacing w:line="360" w:lineRule="auto"/>
        <w:rPr>
          <w:rFonts w:hint="eastAsia" w:ascii="宋体" w:hAnsi="宋体" w:eastAsia="宋体" w:cs="宋体"/>
          <w:color w:val="auto"/>
          <w:highlight w:val="none"/>
        </w:rPr>
      </w:pPr>
    </w:p>
    <w:p w14:paraId="0E3C3AEF">
      <w:pPr>
        <w:keepNext/>
        <w:keepLines/>
        <w:widowControl/>
        <w:tabs>
          <w:tab w:val="left" w:pos="3705"/>
        </w:tabs>
        <w:spacing w:line="360" w:lineRule="auto"/>
        <w:ind w:left="3708"/>
        <w:rPr>
          <w:rFonts w:hint="eastAsia" w:ascii="宋体" w:hAnsi="宋体" w:eastAsia="宋体" w:cs="宋体"/>
          <w:bCs/>
          <w:color w:val="auto"/>
          <w:sz w:val="44"/>
          <w:highlight w:val="none"/>
        </w:rPr>
      </w:pPr>
    </w:p>
    <w:p w14:paraId="6202BA62">
      <w:pPr>
        <w:pStyle w:val="8"/>
        <w:ind w:firstLine="880"/>
        <w:rPr>
          <w:rFonts w:hint="eastAsia" w:ascii="宋体" w:hAnsi="宋体" w:eastAsia="宋体" w:cs="宋体"/>
          <w:bCs/>
          <w:color w:val="auto"/>
          <w:sz w:val="44"/>
          <w:highlight w:val="none"/>
        </w:rPr>
      </w:pPr>
    </w:p>
    <w:p w14:paraId="19B62064">
      <w:pPr>
        <w:pStyle w:val="8"/>
        <w:ind w:firstLine="880"/>
        <w:rPr>
          <w:rFonts w:hint="eastAsia" w:ascii="宋体" w:hAnsi="宋体" w:eastAsia="宋体" w:cs="宋体"/>
          <w:bCs/>
          <w:color w:val="auto"/>
          <w:sz w:val="44"/>
          <w:highlight w:val="none"/>
        </w:rPr>
      </w:pPr>
    </w:p>
    <w:bookmarkEnd w:id="109"/>
    <w:p w14:paraId="5AA6A06E">
      <w:pPr>
        <w:pStyle w:val="11"/>
        <w:rPr>
          <w:rFonts w:hint="eastAsia" w:ascii="宋体" w:hAnsi="宋体" w:eastAsia="宋体" w:cs="宋体"/>
          <w:b/>
          <w:color w:val="auto"/>
          <w:sz w:val="32"/>
          <w:szCs w:val="32"/>
          <w:highlight w:val="none"/>
        </w:rPr>
      </w:pPr>
      <w:bookmarkStart w:id="110" w:name="_Toc403077648"/>
      <w:bookmarkStart w:id="111" w:name="_Toc363474027"/>
      <w:bookmarkStart w:id="112" w:name="_Toc204524343"/>
    </w:p>
    <w:p w14:paraId="4B646CC6">
      <w:pPr>
        <w:pStyle w:val="11"/>
        <w:rPr>
          <w:rFonts w:hint="eastAsia" w:ascii="宋体" w:hAnsi="宋体" w:eastAsia="宋体" w:cs="宋体"/>
          <w:b/>
          <w:color w:val="auto"/>
          <w:sz w:val="32"/>
          <w:szCs w:val="32"/>
          <w:highlight w:val="none"/>
        </w:rPr>
      </w:pPr>
    </w:p>
    <w:p w14:paraId="412935CE">
      <w:pPr>
        <w:pStyle w:val="11"/>
        <w:rPr>
          <w:rFonts w:hint="eastAsia" w:ascii="宋体" w:hAnsi="宋体" w:eastAsia="宋体" w:cs="宋体"/>
          <w:b/>
          <w:color w:val="auto"/>
          <w:sz w:val="32"/>
          <w:szCs w:val="32"/>
          <w:highlight w:val="none"/>
        </w:rPr>
      </w:pPr>
    </w:p>
    <w:p w14:paraId="4A1C0637">
      <w:pPr>
        <w:spacing w:line="52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13" w:name="_Toc15762"/>
      <w:bookmarkStart w:id="114" w:name="_Toc4367"/>
      <w:bookmarkStart w:id="115" w:name="_Toc16320"/>
      <w:bookmarkStart w:id="116" w:name="_Toc32002"/>
      <w:r>
        <w:rPr>
          <w:rFonts w:hint="eastAsia" w:ascii="宋体" w:hAnsi="宋体" w:eastAsia="宋体" w:cs="宋体"/>
          <w:b/>
          <w:color w:val="auto"/>
          <w:sz w:val="32"/>
          <w:szCs w:val="32"/>
          <w:highlight w:val="none"/>
        </w:rPr>
        <w:t>一、磋商</w:t>
      </w:r>
      <w:bookmarkEnd w:id="110"/>
      <w:bookmarkEnd w:id="111"/>
      <w:r>
        <w:rPr>
          <w:rFonts w:hint="eastAsia" w:ascii="宋体" w:hAnsi="宋体" w:eastAsia="宋体" w:cs="宋体"/>
          <w:b/>
          <w:color w:val="auto"/>
          <w:sz w:val="32"/>
          <w:szCs w:val="32"/>
          <w:highlight w:val="none"/>
        </w:rPr>
        <w:t>响应函</w:t>
      </w:r>
      <w:bookmarkEnd w:id="113"/>
      <w:bookmarkEnd w:id="114"/>
      <w:bookmarkEnd w:id="115"/>
      <w:bookmarkEnd w:id="116"/>
    </w:p>
    <w:p w14:paraId="347D409B">
      <w:pPr>
        <w:spacing w:line="360" w:lineRule="auto"/>
        <w:jc w:val="left"/>
        <w:rPr>
          <w:rFonts w:hint="eastAsia" w:ascii="宋体" w:hAnsi="宋体" w:eastAsia="宋体" w:cs="宋体"/>
          <w:color w:val="auto"/>
          <w:spacing w:val="4"/>
          <w:szCs w:val="24"/>
          <w:highlight w:val="none"/>
          <w:lang w:eastAsia="zh-CN"/>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p>
    <w:p w14:paraId="25F9F929">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提交竞争性磋商响应文件正本壹份、副本一式</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份、报价一览表</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w:t>
      </w:r>
    </w:p>
    <w:p w14:paraId="5F982248">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36205A4C">
      <w:pPr>
        <w:numPr>
          <w:ilvl w:val="0"/>
          <w:numId w:val="15"/>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49760298">
      <w:pPr>
        <w:numPr>
          <w:ilvl w:val="0"/>
          <w:numId w:val="15"/>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14:paraId="5DBC171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14:paraId="44D2F580">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14:paraId="730F91B1">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 xml:space="preserve">）同意提供贵方可能另外要求的与本磋商有关的任何证据和资料。 </w:t>
      </w:r>
    </w:p>
    <w:p w14:paraId="367011A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）我们同意，如果成交，向</w:t>
      </w:r>
      <w:r>
        <w:rPr>
          <w:rFonts w:hint="eastAsia" w:hAnsi="宋体" w:cs="宋体"/>
          <w:color w:val="auto"/>
          <w:spacing w:val="4"/>
          <w:szCs w:val="24"/>
          <w:highlight w:val="none"/>
          <w:lang w:eastAsia="zh-CN"/>
        </w:rPr>
        <w:t>陕西至诚项目管理集团有限公司</w:t>
      </w:r>
      <w:r>
        <w:rPr>
          <w:rFonts w:hint="eastAsia" w:ascii="宋体" w:hAnsi="宋体" w:eastAsia="宋体" w:cs="宋体"/>
          <w:color w:val="auto"/>
          <w:spacing w:val="4"/>
          <w:szCs w:val="24"/>
          <w:highlight w:val="none"/>
        </w:rPr>
        <w:t>交纳招标代理服务费。</w:t>
      </w:r>
    </w:p>
    <w:p w14:paraId="4060D063">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）与本磋商有关的一切正式往来通讯为：</w:t>
      </w:r>
    </w:p>
    <w:p w14:paraId="13B9B8AF">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14:paraId="74AA9CB1">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14:paraId="38DBAA84">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14:paraId="16FAE3A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14:paraId="6241717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14:paraId="12BB4296">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4EE88CC3">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14:paraId="70D3378B">
      <w:pPr>
        <w:pStyle w:val="3"/>
        <w:spacing w:beforeLines="100" w:line="36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117" w:name="_Toc9730"/>
      <w:bookmarkStart w:id="118" w:name="_Toc363474030"/>
      <w:bookmarkStart w:id="119" w:name="_Toc28910"/>
      <w:bookmarkStart w:id="120" w:name="_Toc403077651"/>
      <w:bookmarkStart w:id="121" w:name="_Toc17800"/>
      <w:bookmarkStart w:id="122" w:name="_Toc732"/>
      <w:r>
        <w:rPr>
          <w:rFonts w:hint="eastAsia" w:ascii="宋体" w:hAnsi="宋体" w:eastAsia="宋体" w:cs="宋体"/>
          <w:b/>
          <w:bCs w:val="0"/>
          <w:color w:val="auto"/>
          <w:sz w:val="32"/>
          <w:szCs w:val="32"/>
          <w:highlight w:val="none"/>
        </w:rPr>
        <w:t>二、磋商报价表</w:t>
      </w:r>
      <w:bookmarkEnd w:id="117"/>
      <w:bookmarkEnd w:id="118"/>
      <w:bookmarkEnd w:id="119"/>
      <w:bookmarkEnd w:id="120"/>
      <w:bookmarkEnd w:id="121"/>
      <w:bookmarkEnd w:id="122"/>
    </w:p>
    <w:p w14:paraId="258F1B8F">
      <w:pPr>
        <w:spacing w:line="360" w:lineRule="auto"/>
        <w:jc w:val="center"/>
        <w:outlineLvl w:val="1"/>
        <w:rPr>
          <w:rFonts w:hint="eastAsia" w:ascii="宋体" w:hAnsi="宋体" w:eastAsia="宋体" w:cs="宋体"/>
          <w:color w:val="auto"/>
          <w:szCs w:val="24"/>
          <w:highlight w:val="none"/>
        </w:rPr>
      </w:pPr>
      <w:bookmarkStart w:id="123" w:name="_Toc29008"/>
      <w:bookmarkStart w:id="124" w:name="_Toc7982"/>
      <w:bookmarkStart w:id="125" w:name="_Toc12732"/>
      <w:bookmarkStart w:id="126" w:name="_Toc32277"/>
      <w:r>
        <w:rPr>
          <w:rFonts w:hint="eastAsia" w:ascii="宋体" w:hAnsi="宋体" w:eastAsia="宋体" w:cs="宋体"/>
          <w:color w:val="auto"/>
          <w:szCs w:val="24"/>
          <w:highlight w:val="none"/>
        </w:rPr>
        <w:t>2.1报价一览表</w:t>
      </w:r>
      <w:bookmarkEnd w:id="123"/>
      <w:bookmarkEnd w:id="124"/>
      <w:bookmarkEnd w:id="125"/>
      <w:bookmarkEnd w:id="126"/>
    </w:p>
    <w:p w14:paraId="27288973">
      <w:pPr>
        <w:spacing w:line="360" w:lineRule="auto"/>
        <w:jc w:val="center"/>
        <w:rPr>
          <w:rFonts w:hint="eastAsia" w:ascii="宋体" w:hAnsi="宋体" w:eastAsia="宋体" w:cs="宋体"/>
          <w:color w:val="auto"/>
          <w:szCs w:val="24"/>
          <w:highlight w:val="none"/>
        </w:rPr>
      </w:pPr>
    </w:p>
    <w:p w14:paraId="08CC7287">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73CBE515">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5261"/>
        <w:gridCol w:w="1916"/>
      </w:tblGrid>
      <w:tr w14:paraId="2EE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273" w:type="dxa"/>
            <w:noWrap w:val="0"/>
            <w:vAlign w:val="center"/>
          </w:tcPr>
          <w:p w14:paraId="06B8DAB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r>
              <w:rPr>
                <w:rFonts w:hint="eastAsia" w:ascii="宋体" w:hAnsi="宋体" w:eastAsia="宋体" w:cs="宋体"/>
                <w:color w:val="auto"/>
                <w:szCs w:val="24"/>
                <w:highlight w:val="none"/>
                <w:lang w:eastAsia="zh-CN"/>
              </w:rPr>
              <w:t>总</w:t>
            </w:r>
            <w:r>
              <w:rPr>
                <w:rFonts w:hint="eastAsia" w:ascii="宋体" w:hAnsi="宋体" w:eastAsia="宋体" w:cs="宋体"/>
                <w:color w:val="auto"/>
                <w:szCs w:val="24"/>
                <w:highlight w:val="none"/>
              </w:rPr>
              <w:t>报价</w:t>
            </w:r>
          </w:p>
          <w:p w14:paraId="6BDFD28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5261" w:type="dxa"/>
            <w:noWrap w:val="0"/>
            <w:vAlign w:val="center"/>
          </w:tcPr>
          <w:p w14:paraId="6AA5E08C">
            <w:pPr>
              <w:pStyle w:val="11"/>
              <w:jc w:val="center"/>
              <w:rPr>
                <w:rFonts w:hint="eastAsia" w:ascii="宋体" w:hAnsi="宋体" w:eastAsia="宋体" w:cs="宋体"/>
                <w:color w:val="auto"/>
                <w:highlight w:val="none"/>
                <w:lang w:val="en-US" w:eastAsia="zh-CN"/>
              </w:rPr>
            </w:pPr>
            <w:r>
              <w:rPr>
                <w:rFonts w:hint="eastAsia" w:hAnsi="宋体" w:cs="宋体"/>
                <w:color w:val="auto"/>
                <w:szCs w:val="24"/>
                <w:highlight w:val="none"/>
                <w:lang w:val="en-US" w:eastAsia="zh-CN"/>
              </w:rPr>
              <w:t>服务期</w:t>
            </w:r>
          </w:p>
        </w:tc>
        <w:tc>
          <w:tcPr>
            <w:tcW w:w="1916" w:type="dxa"/>
            <w:noWrap w:val="0"/>
            <w:vAlign w:val="center"/>
          </w:tcPr>
          <w:p w14:paraId="264E105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3E78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273" w:type="dxa"/>
            <w:noWrap w:val="0"/>
            <w:vAlign w:val="center"/>
          </w:tcPr>
          <w:p w14:paraId="71C5DF74">
            <w:pPr>
              <w:jc w:val="center"/>
              <w:rPr>
                <w:rFonts w:hint="eastAsia" w:ascii="宋体" w:hAnsi="宋体" w:eastAsia="宋体" w:cs="宋体"/>
                <w:color w:val="auto"/>
                <w:szCs w:val="24"/>
                <w:highlight w:val="none"/>
              </w:rPr>
            </w:pPr>
          </w:p>
        </w:tc>
        <w:tc>
          <w:tcPr>
            <w:tcW w:w="5261" w:type="dxa"/>
            <w:noWrap w:val="0"/>
            <w:vAlign w:val="center"/>
          </w:tcPr>
          <w:p w14:paraId="365D8440">
            <w:pPr>
              <w:jc w:val="center"/>
              <w:rPr>
                <w:rFonts w:hint="eastAsia" w:ascii="宋体" w:hAnsi="宋体" w:eastAsia="宋体" w:cs="宋体"/>
                <w:color w:val="auto"/>
                <w:szCs w:val="24"/>
                <w:highlight w:val="none"/>
              </w:rPr>
            </w:pPr>
          </w:p>
        </w:tc>
        <w:tc>
          <w:tcPr>
            <w:tcW w:w="1916" w:type="dxa"/>
            <w:noWrap w:val="0"/>
            <w:vAlign w:val="center"/>
          </w:tcPr>
          <w:p w14:paraId="0C21116F">
            <w:pPr>
              <w:jc w:val="center"/>
              <w:rPr>
                <w:rFonts w:hint="eastAsia" w:ascii="宋体" w:hAnsi="宋体" w:eastAsia="宋体" w:cs="宋体"/>
                <w:color w:val="auto"/>
                <w:szCs w:val="24"/>
                <w:highlight w:val="none"/>
              </w:rPr>
            </w:pPr>
          </w:p>
        </w:tc>
      </w:tr>
      <w:tr w14:paraId="211F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noWrap w:val="0"/>
            <w:vAlign w:val="center"/>
          </w:tcPr>
          <w:p w14:paraId="3EF7B5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磋商报价（大写）：                             （小写：￥       ）</w:t>
            </w:r>
          </w:p>
        </w:tc>
      </w:tr>
      <w:tr w14:paraId="1BD1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noWrap w:val="0"/>
            <w:vAlign w:val="center"/>
          </w:tcPr>
          <w:p w14:paraId="34373B65">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w:t>
            </w:r>
            <w:r>
              <w:rPr>
                <w:rFonts w:hint="eastAsia" w:ascii="宋体" w:hAnsi="宋体" w:eastAsia="宋体" w:cs="宋体"/>
                <w:b/>
                <w:color w:val="auto"/>
                <w:szCs w:val="24"/>
                <w:highlight w:val="none"/>
              </w:rPr>
              <w:t>两位</w:t>
            </w:r>
            <w:r>
              <w:rPr>
                <w:rFonts w:hint="eastAsia" w:ascii="宋体" w:hAnsi="宋体" w:eastAsia="宋体" w:cs="宋体"/>
                <w:color w:val="auto"/>
                <w:szCs w:val="24"/>
                <w:highlight w:val="none"/>
              </w:rPr>
              <w:t>）。</w:t>
            </w:r>
          </w:p>
        </w:tc>
      </w:tr>
    </w:tbl>
    <w:p w14:paraId="5B557872">
      <w:pPr>
        <w:rPr>
          <w:rFonts w:hint="eastAsia" w:ascii="宋体" w:hAnsi="宋体" w:eastAsia="宋体" w:cs="宋体"/>
          <w:color w:val="auto"/>
          <w:szCs w:val="24"/>
          <w:highlight w:val="none"/>
        </w:rPr>
      </w:pPr>
    </w:p>
    <w:p w14:paraId="710301B0">
      <w:pPr>
        <w:rPr>
          <w:rFonts w:hint="eastAsia" w:ascii="宋体" w:hAnsi="宋体" w:eastAsia="宋体" w:cs="宋体"/>
          <w:color w:val="auto"/>
          <w:szCs w:val="24"/>
          <w:highlight w:val="none"/>
        </w:rPr>
      </w:pPr>
    </w:p>
    <w:p w14:paraId="32E07631">
      <w:pPr>
        <w:rPr>
          <w:rFonts w:hint="eastAsia" w:ascii="宋体" w:hAnsi="宋体" w:eastAsia="宋体" w:cs="宋体"/>
          <w:color w:val="auto"/>
          <w:szCs w:val="24"/>
          <w:highlight w:val="none"/>
        </w:rPr>
      </w:pPr>
    </w:p>
    <w:p w14:paraId="46EAE84E">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14:paraId="51A2B924">
      <w:pPr>
        <w:spacing w:line="280" w:lineRule="exact"/>
        <w:ind w:right="617" w:rightChars="257"/>
        <w:jc w:val="left"/>
        <w:rPr>
          <w:rFonts w:hint="eastAsia" w:ascii="宋体" w:hAnsi="宋体" w:eastAsia="宋体" w:cs="宋体"/>
          <w:color w:val="auto"/>
          <w:szCs w:val="24"/>
          <w:highlight w:val="none"/>
        </w:rPr>
      </w:pPr>
    </w:p>
    <w:p w14:paraId="7AE0185E">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24D34CFC">
      <w:pPr>
        <w:spacing w:line="280" w:lineRule="exact"/>
        <w:ind w:right="617" w:rightChars="257"/>
        <w:jc w:val="left"/>
        <w:rPr>
          <w:rFonts w:hint="eastAsia" w:ascii="宋体" w:hAnsi="宋体" w:eastAsia="宋体" w:cs="宋体"/>
          <w:color w:val="auto"/>
          <w:szCs w:val="24"/>
          <w:highlight w:val="none"/>
        </w:rPr>
      </w:pPr>
    </w:p>
    <w:p w14:paraId="258628AC">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FAEC865">
      <w:pPr>
        <w:jc w:val="center"/>
        <w:rPr>
          <w:rFonts w:hint="eastAsia" w:ascii="宋体" w:hAnsi="宋体" w:eastAsia="宋体" w:cs="宋体"/>
          <w:color w:val="auto"/>
          <w:szCs w:val="24"/>
          <w:highlight w:val="none"/>
        </w:rPr>
      </w:pPr>
    </w:p>
    <w:p w14:paraId="583B1CFB">
      <w:pPr>
        <w:spacing w:beforeLines="50" w:afterLines="50"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注：本表应按“供应商须知”的规定密封单独提交。若有折扣声明，请与本表一并装订和密封。严格按照表格格式报价。</w:t>
      </w:r>
    </w:p>
    <w:p w14:paraId="6FA84761">
      <w:pPr>
        <w:jc w:val="center"/>
        <w:rPr>
          <w:rFonts w:hint="eastAsia" w:ascii="宋体" w:hAnsi="宋体" w:eastAsia="宋体" w:cs="宋体"/>
          <w:b/>
          <w:color w:val="auto"/>
          <w:sz w:val="30"/>
          <w:szCs w:val="30"/>
          <w:highlight w:val="none"/>
        </w:rPr>
      </w:pPr>
    </w:p>
    <w:p w14:paraId="05777EA9">
      <w:pPr>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27" w:name="_Toc9220"/>
      <w:bookmarkStart w:id="128" w:name="_Toc11197"/>
      <w:bookmarkStart w:id="129" w:name="_Toc8017"/>
      <w:bookmarkStart w:id="130" w:name="_Toc9760"/>
      <w:r>
        <w:rPr>
          <w:rFonts w:hint="eastAsia" w:ascii="宋体" w:hAnsi="宋体" w:eastAsia="宋体" w:cs="宋体"/>
          <w:b/>
          <w:color w:val="auto"/>
          <w:sz w:val="30"/>
          <w:szCs w:val="30"/>
          <w:highlight w:val="none"/>
        </w:rPr>
        <w:t>2.2分项报价表</w:t>
      </w:r>
      <w:bookmarkEnd w:id="127"/>
      <w:bookmarkEnd w:id="128"/>
      <w:bookmarkEnd w:id="129"/>
      <w:bookmarkEnd w:id="130"/>
    </w:p>
    <w:p w14:paraId="1308B321">
      <w:pPr>
        <w:jc w:val="center"/>
        <w:rPr>
          <w:rFonts w:hint="eastAsia" w:hAnsi="宋体" w:eastAsia="宋体" w:cs="宋体"/>
          <w:b/>
          <w:bCs/>
          <w:color w:val="auto"/>
          <w:highlight w:val="none"/>
          <w:lang w:eastAsia="zh-CN"/>
        </w:rPr>
      </w:pPr>
      <w:r>
        <w:rPr>
          <w:rFonts w:hint="eastAsia" w:hAnsi="宋体" w:cs="宋体"/>
          <w:b/>
          <w:bCs/>
          <w:color w:val="auto"/>
          <w:highlight w:val="none"/>
          <w:lang w:eastAsia="zh-CN"/>
        </w:rPr>
        <w:t>（</w:t>
      </w:r>
      <w:r>
        <w:rPr>
          <w:rFonts w:hint="eastAsia" w:hAnsi="宋体" w:cs="宋体"/>
          <w:b/>
          <w:bCs/>
          <w:color w:val="auto"/>
          <w:highlight w:val="none"/>
          <w:lang w:val="en-US" w:eastAsia="zh-CN"/>
        </w:rPr>
        <w:t>格式自拟</w:t>
      </w:r>
      <w:r>
        <w:rPr>
          <w:rFonts w:hint="eastAsia" w:hAnsi="宋体" w:cs="宋体"/>
          <w:b/>
          <w:bCs/>
          <w:color w:val="auto"/>
          <w:highlight w:val="none"/>
          <w:lang w:eastAsia="zh-CN"/>
        </w:rPr>
        <w:t>）</w:t>
      </w:r>
    </w:p>
    <w:p w14:paraId="3A8FEA5E">
      <w:pPr>
        <w:rPr>
          <w:rFonts w:hAnsi="宋体" w:cs="宋体"/>
          <w:b w:val="0"/>
          <w:bCs w:val="0"/>
          <w:color w:val="auto"/>
          <w:highlight w:val="none"/>
        </w:rPr>
      </w:pPr>
    </w:p>
    <w:p w14:paraId="5D31D006">
      <w:pPr>
        <w:rPr>
          <w:rFonts w:hAnsi="宋体" w:cs="宋体"/>
          <w:b w:val="0"/>
          <w:bCs w:val="0"/>
          <w:color w:val="auto"/>
          <w:highlight w:val="none"/>
        </w:rPr>
      </w:pPr>
    </w:p>
    <w:p w14:paraId="02AA28C8">
      <w:pPr>
        <w:spacing w:line="480" w:lineRule="auto"/>
        <w:ind w:right="617" w:rightChars="257"/>
        <w:rPr>
          <w:rFonts w:hAnsi="宋体" w:cs="宋体"/>
          <w:b w:val="0"/>
          <w:bCs w:val="0"/>
          <w:color w:val="auto"/>
          <w:highlight w:val="none"/>
          <w:u w:val="single"/>
        </w:rPr>
      </w:pPr>
      <w:r>
        <w:rPr>
          <w:rFonts w:hint="eastAsia" w:hAnsi="宋体" w:cs="宋体"/>
          <w:b w:val="0"/>
          <w:bCs w:val="0"/>
          <w:color w:val="auto"/>
          <w:highlight w:val="none"/>
        </w:rPr>
        <w:t>磋商响应单位名称：</w:t>
      </w:r>
      <w:r>
        <w:rPr>
          <w:rFonts w:hint="eastAsia" w:hAnsi="宋体" w:cs="宋体"/>
          <w:b w:val="0"/>
          <w:bCs w:val="0"/>
          <w:color w:val="auto"/>
          <w:highlight w:val="none"/>
          <w:u w:val="single"/>
        </w:rPr>
        <w:t xml:space="preserve">      （加盖单位公章）     </w:t>
      </w:r>
    </w:p>
    <w:p w14:paraId="69664D09">
      <w:pPr>
        <w:rPr>
          <w:b w:val="0"/>
          <w:bCs w:val="0"/>
          <w:color w:val="auto"/>
          <w:highlight w:val="none"/>
        </w:rPr>
      </w:pPr>
    </w:p>
    <w:p w14:paraId="08241998">
      <w:pPr>
        <w:spacing w:line="280" w:lineRule="exact"/>
        <w:ind w:right="617" w:rightChars="257"/>
        <w:jc w:val="left"/>
        <w:rPr>
          <w:rFonts w:hAnsi="宋体" w:cs="宋体"/>
          <w:b w:val="0"/>
          <w:bCs w:val="0"/>
          <w:color w:val="auto"/>
          <w:highlight w:val="none"/>
          <w:u w:val="single"/>
        </w:rPr>
      </w:pPr>
      <w:r>
        <w:rPr>
          <w:rFonts w:hint="eastAsia" w:hAnsi="宋体" w:cs="宋体"/>
          <w:b w:val="0"/>
          <w:bCs w:val="0"/>
          <w:color w:val="auto"/>
          <w:szCs w:val="24"/>
          <w:highlight w:val="none"/>
        </w:rPr>
        <w:t>法定代表人/授权代表签字</w:t>
      </w:r>
      <w:r>
        <w:rPr>
          <w:rFonts w:hint="eastAsia" w:hAnsi="宋体" w:cs="宋体"/>
          <w:b w:val="0"/>
          <w:bCs w:val="0"/>
          <w:color w:val="auto"/>
          <w:spacing w:val="4"/>
          <w:highlight w:val="none"/>
        </w:rPr>
        <w:t>或盖章</w:t>
      </w:r>
      <w:r>
        <w:rPr>
          <w:rFonts w:hint="eastAsia" w:hAnsi="宋体" w:cs="宋体"/>
          <w:b w:val="0"/>
          <w:bCs w:val="0"/>
          <w:color w:val="auto"/>
          <w:szCs w:val="24"/>
          <w:highlight w:val="none"/>
        </w:rPr>
        <w:t>：</w:t>
      </w:r>
      <w:r>
        <w:rPr>
          <w:rFonts w:hint="eastAsia" w:hAnsi="宋体" w:cs="宋体"/>
          <w:b w:val="0"/>
          <w:bCs w:val="0"/>
          <w:color w:val="auto"/>
          <w:highlight w:val="none"/>
        </w:rPr>
        <w:t>：</w:t>
      </w:r>
      <w:r>
        <w:rPr>
          <w:rFonts w:hint="eastAsia" w:hAnsi="宋体" w:cs="宋体"/>
          <w:b w:val="0"/>
          <w:bCs w:val="0"/>
          <w:color w:val="auto"/>
          <w:highlight w:val="none"/>
          <w:u w:val="single"/>
        </w:rPr>
        <w:t xml:space="preserve">                                     </w:t>
      </w:r>
    </w:p>
    <w:p w14:paraId="4D3B119F">
      <w:pPr>
        <w:rPr>
          <w:b w:val="0"/>
          <w:bCs w:val="0"/>
          <w:color w:val="auto"/>
          <w:highlight w:val="none"/>
        </w:rPr>
      </w:pPr>
    </w:p>
    <w:p w14:paraId="5BE2517F">
      <w:pPr>
        <w:spacing w:line="480" w:lineRule="auto"/>
        <w:ind w:right="617" w:rightChars="257"/>
        <w:rPr>
          <w:rFonts w:hAnsi="宋体" w:cs="宋体"/>
          <w:b w:val="0"/>
          <w:bCs w:val="0"/>
          <w:color w:val="auto"/>
          <w:highlight w:val="none"/>
        </w:rPr>
      </w:pPr>
      <w:r>
        <w:rPr>
          <w:rFonts w:hint="eastAsia" w:hAnsi="宋体" w:cs="宋体"/>
          <w:b w:val="0"/>
          <w:bCs w:val="0"/>
          <w:color w:val="auto"/>
          <w:highlight w:val="none"/>
        </w:rPr>
        <w:t>日    期：</w:t>
      </w:r>
      <w:r>
        <w:rPr>
          <w:rFonts w:hint="eastAsia" w:hAnsi="宋体" w:cs="宋体"/>
          <w:b w:val="0"/>
          <w:bCs w:val="0"/>
          <w:color w:val="auto"/>
          <w:highlight w:val="none"/>
          <w:u w:val="single"/>
        </w:rPr>
        <w:t xml:space="preserve">                                   </w:t>
      </w:r>
    </w:p>
    <w:p w14:paraId="51EA0739">
      <w:pPr>
        <w:pStyle w:val="11"/>
        <w:jc w:val="center"/>
        <w:outlineLvl w:val="9"/>
        <w:rPr>
          <w:rFonts w:hint="eastAsia" w:ascii="宋体" w:hAnsi="宋体" w:eastAsia="宋体" w:cs="宋体"/>
          <w:bCs/>
          <w:color w:val="auto"/>
          <w:sz w:val="24"/>
          <w:szCs w:val="24"/>
          <w:highlight w:val="none"/>
        </w:rPr>
      </w:pPr>
    </w:p>
    <w:p w14:paraId="4EB4AA4B">
      <w:pPr>
        <w:pStyle w:val="11"/>
        <w:rPr>
          <w:rFonts w:hint="eastAsia" w:ascii="宋体" w:hAnsi="宋体" w:eastAsia="宋体" w:cs="宋体"/>
          <w:color w:val="auto"/>
          <w:highlight w:val="none"/>
        </w:rPr>
      </w:pPr>
    </w:p>
    <w:p w14:paraId="49717014">
      <w:pPr>
        <w:ind w:firstLine="420"/>
        <w:rPr>
          <w:rFonts w:hint="eastAsia" w:ascii="宋体" w:hAnsi="宋体" w:eastAsia="宋体" w:cs="宋体"/>
          <w:color w:val="auto"/>
          <w:highlight w:val="none"/>
        </w:rPr>
      </w:pPr>
    </w:p>
    <w:p w14:paraId="337FE2E6">
      <w:pPr>
        <w:pStyle w:val="11"/>
        <w:spacing w:line="360" w:lineRule="auto"/>
        <w:rPr>
          <w:rFonts w:hint="eastAsia" w:ascii="宋体" w:hAnsi="宋体" w:eastAsia="宋体" w:cs="宋体"/>
          <w:color w:val="auto"/>
          <w:sz w:val="28"/>
          <w:szCs w:val="28"/>
          <w:highlight w:val="none"/>
        </w:rPr>
      </w:pPr>
    </w:p>
    <w:p w14:paraId="0EE4DC93">
      <w:pPr>
        <w:rPr>
          <w:rFonts w:hint="eastAsia" w:ascii="宋体" w:hAnsi="宋体" w:eastAsia="宋体" w:cs="宋体"/>
          <w:color w:val="auto"/>
          <w:highlight w:val="none"/>
        </w:rPr>
      </w:pPr>
    </w:p>
    <w:bookmarkEnd w:id="112"/>
    <w:p w14:paraId="1CCEBFF7">
      <w:pPr>
        <w:jc w:val="center"/>
        <w:outlineLvl w:val="1"/>
        <w:rPr>
          <w:rFonts w:hint="eastAsia" w:ascii="宋体" w:hAnsi="宋体" w:eastAsia="宋体" w:cs="宋体"/>
          <w:color w:val="auto"/>
          <w:sz w:val="32"/>
          <w:szCs w:val="32"/>
          <w:highlight w:val="none"/>
        </w:rPr>
      </w:pPr>
      <w:bookmarkStart w:id="131" w:name="_Toc344572163"/>
      <w:r>
        <w:rPr>
          <w:rFonts w:hint="eastAsia" w:ascii="宋体" w:hAnsi="宋体" w:eastAsia="宋体" w:cs="宋体"/>
          <w:color w:val="auto"/>
          <w:sz w:val="32"/>
          <w:szCs w:val="32"/>
          <w:highlight w:val="none"/>
        </w:rPr>
        <w:br w:type="page"/>
      </w:r>
      <w:bookmarkStart w:id="132" w:name="_Toc24936"/>
      <w:bookmarkStart w:id="133" w:name="_Toc5944"/>
      <w:bookmarkStart w:id="134" w:name="_Toc3628"/>
      <w:bookmarkStart w:id="135" w:name="_Toc32126"/>
      <w:r>
        <w:rPr>
          <w:rFonts w:hint="eastAsia" w:ascii="宋体" w:hAnsi="宋体" w:eastAsia="宋体" w:cs="宋体"/>
          <w:b/>
          <w:bCs/>
          <w:color w:val="auto"/>
          <w:sz w:val="32"/>
          <w:szCs w:val="32"/>
          <w:highlight w:val="none"/>
        </w:rPr>
        <w:t>三、磋商方案说明书</w:t>
      </w:r>
      <w:bookmarkEnd w:id="132"/>
      <w:bookmarkEnd w:id="133"/>
      <w:bookmarkEnd w:id="134"/>
      <w:bookmarkEnd w:id="135"/>
    </w:p>
    <w:p w14:paraId="12800488">
      <w:pPr>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53A32E4B">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p w14:paraId="6BEF0424">
      <w:pPr>
        <w:spacing w:line="480" w:lineRule="auto"/>
        <w:jc w:val="center"/>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eastAsia="zh-CN"/>
        </w:rPr>
        <w:t>供应商依据</w:t>
      </w:r>
      <w:r>
        <w:rPr>
          <w:rFonts w:hint="eastAsia" w:ascii="宋体" w:hAnsi="宋体" w:eastAsia="宋体" w:cs="宋体"/>
          <w:b/>
          <w:bCs/>
          <w:color w:val="auto"/>
          <w:szCs w:val="24"/>
          <w:highlight w:val="none"/>
          <w:lang w:eastAsia="zh-CN"/>
        </w:rPr>
        <w:t>第三章评审</w:t>
      </w:r>
      <w:r>
        <w:rPr>
          <w:rFonts w:hint="eastAsia" w:hAnsi="宋体" w:cs="宋体"/>
          <w:b/>
          <w:bCs/>
          <w:color w:val="auto"/>
          <w:szCs w:val="24"/>
          <w:highlight w:val="none"/>
          <w:lang w:eastAsia="zh-CN"/>
        </w:rPr>
        <w:t>方法自行编制</w:t>
      </w:r>
    </w:p>
    <w:p w14:paraId="69D6656F">
      <w:pPr>
        <w:pStyle w:val="11"/>
        <w:rPr>
          <w:rFonts w:hint="eastAsia" w:ascii="宋体" w:hAnsi="宋体" w:eastAsia="宋体" w:cs="宋体"/>
          <w:color w:val="auto"/>
          <w:highlight w:val="none"/>
        </w:rPr>
      </w:pPr>
    </w:p>
    <w:p w14:paraId="13D53718">
      <w:pPr>
        <w:pStyle w:val="11"/>
        <w:rPr>
          <w:rFonts w:hint="eastAsia" w:ascii="宋体" w:hAnsi="宋体" w:eastAsia="宋体" w:cs="宋体"/>
          <w:color w:val="auto"/>
          <w:highlight w:val="none"/>
        </w:rPr>
      </w:pPr>
    </w:p>
    <w:p w14:paraId="20DCA99E">
      <w:pPr>
        <w:rPr>
          <w:rFonts w:hint="eastAsia" w:ascii="宋体" w:hAnsi="宋体" w:eastAsia="宋体" w:cs="宋体"/>
          <w:color w:val="auto"/>
          <w:highlight w:val="none"/>
        </w:rPr>
      </w:pPr>
    </w:p>
    <w:p w14:paraId="25FE1495">
      <w:pPr>
        <w:pStyle w:val="11"/>
        <w:rPr>
          <w:rFonts w:hint="eastAsia" w:ascii="宋体" w:hAnsi="宋体" w:eastAsia="宋体" w:cs="宋体"/>
          <w:color w:val="auto"/>
          <w:highlight w:val="none"/>
        </w:rPr>
      </w:pPr>
    </w:p>
    <w:p w14:paraId="1730BD13">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r>
        <w:rPr>
          <w:rFonts w:hint="eastAsia" w:hAnsi="宋体" w:cs="宋体"/>
          <w:color w:val="auto"/>
          <w:szCs w:val="24"/>
          <w:highlight w:val="none"/>
          <w:lang w:val="en-US" w:eastAsia="zh-CN"/>
        </w:rPr>
        <w:t>或盖章</w:t>
      </w:r>
      <w:r>
        <w:rPr>
          <w:rFonts w:hint="eastAsia" w:ascii="宋体" w:hAnsi="宋体" w:eastAsia="宋体" w:cs="宋体"/>
          <w:color w:val="auto"/>
          <w:szCs w:val="24"/>
          <w:highlight w:val="none"/>
        </w:rPr>
        <w:t>：</w:t>
      </w:r>
    </w:p>
    <w:p w14:paraId="0E988EF0">
      <w:pPr>
        <w:spacing w:line="480" w:lineRule="auto"/>
        <w:ind w:left="3725" w:leftChars="1552"/>
        <w:rPr>
          <w:rFonts w:hint="eastAsia" w:ascii="宋体" w:hAnsi="宋体" w:eastAsia="宋体" w:cs="宋体"/>
          <w:color w:val="auto"/>
          <w:szCs w:val="24"/>
          <w:highlight w:val="none"/>
        </w:rPr>
      </w:pPr>
    </w:p>
    <w:p w14:paraId="5503D6AA">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15C85489">
      <w:pPr>
        <w:spacing w:line="480" w:lineRule="auto"/>
        <w:ind w:left="3725" w:leftChars="1552" w:firstLine="5668" w:firstLineChars="2362"/>
        <w:rPr>
          <w:rFonts w:hint="eastAsia" w:ascii="宋体" w:hAnsi="宋体" w:eastAsia="宋体" w:cs="宋体"/>
          <w:color w:val="auto"/>
          <w:szCs w:val="24"/>
          <w:highlight w:val="none"/>
        </w:rPr>
      </w:pPr>
    </w:p>
    <w:p w14:paraId="4E985063">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DE74035">
      <w:pPr>
        <w:spacing w:after="120" w:line="480" w:lineRule="auto"/>
        <w:rPr>
          <w:rFonts w:hint="eastAsia" w:ascii="宋体" w:hAnsi="宋体" w:eastAsia="宋体" w:cs="宋体"/>
          <w:b/>
          <w:color w:val="auto"/>
          <w:szCs w:val="24"/>
          <w:highlight w:val="none"/>
        </w:rPr>
      </w:pPr>
    </w:p>
    <w:p w14:paraId="624096BA">
      <w:pPr>
        <w:spacing w:after="120"/>
        <w:rPr>
          <w:rFonts w:hint="eastAsia" w:ascii="宋体" w:hAnsi="宋体" w:eastAsia="宋体" w:cs="宋体"/>
          <w:b/>
          <w:color w:val="auto"/>
          <w:szCs w:val="24"/>
          <w:highlight w:val="none"/>
        </w:rPr>
      </w:pPr>
    </w:p>
    <w:p w14:paraId="645BB01C">
      <w:pPr>
        <w:spacing w:after="120"/>
        <w:rPr>
          <w:rFonts w:hint="eastAsia" w:ascii="宋体" w:hAnsi="宋体" w:eastAsia="宋体" w:cs="宋体"/>
          <w:b/>
          <w:color w:val="auto"/>
          <w:szCs w:val="24"/>
          <w:highlight w:val="none"/>
        </w:rPr>
      </w:pPr>
    </w:p>
    <w:p w14:paraId="56F7C291">
      <w:pPr>
        <w:spacing w:after="120"/>
        <w:rPr>
          <w:rFonts w:hint="eastAsia" w:ascii="宋体" w:hAnsi="宋体" w:eastAsia="宋体" w:cs="宋体"/>
          <w:b/>
          <w:color w:val="auto"/>
          <w:szCs w:val="24"/>
          <w:highlight w:val="none"/>
        </w:rPr>
      </w:pPr>
    </w:p>
    <w:p w14:paraId="49E83CAF">
      <w:pPr>
        <w:spacing w:line="360" w:lineRule="auto"/>
        <w:rPr>
          <w:rFonts w:hAnsi="宋体" w:cs="宋体"/>
          <w:b/>
          <w:bCs/>
          <w:color w:val="auto"/>
          <w:sz w:val="30"/>
          <w:szCs w:val="30"/>
          <w:highlight w:val="none"/>
        </w:rPr>
      </w:pPr>
      <w:r>
        <w:rPr>
          <w:rFonts w:hint="eastAsia" w:ascii="宋体" w:hAnsi="宋体" w:eastAsia="宋体" w:cs="宋体"/>
          <w:b/>
          <w:color w:val="auto"/>
          <w:szCs w:val="24"/>
          <w:highlight w:val="none"/>
        </w:rPr>
        <w:br w:type="page"/>
      </w:r>
      <w:bookmarkStart w:id="136" w:name="_Toc21284"/>
      <w:bookmarkStart w:id="137" w:name="_Toc23455"/>
      <w:bookmarkStart w:id="138" w:name="_Toc9218"/>
      <w:bookmarkStart w:id="139" w:name="_Toc2621"/>
      <w:bookmarkStart w:id="140" w:name="_Toc1379"/>
      <w:bookmarkStart w:id="141" w:name="_Toc5662"/>
      <w:bookmarkStart w:id="142" w:name="_Toc15265"/>
      <w:bookmarkStart w:id="143" w:name="_Toc8845"/>
      <w:r>
        <w:rPr>
          <w:rFonts w:hint="eastAsia" w:hAnsi="宋体" w:cs="宋体"/>
          <w:b/>
          <w:bCs/>
          <w:color w:val="auto"/>
          <w:sz w:val="30"/>
          <w:szCs w:val="30"/>
          <w:highlight w:val="none"/>
        </w:rPr>
        <w:t>附件1：</w:t>
      </w:r>
    </w:p>
    <w:p w14:paraId="39A6A6DE">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0EBE1FC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EBF1EE">
            <w:pPr>
              <w:pStyle w:val="31"/>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1698EE">
            <w:pPr>
              <w:pStyle w:val="31"/>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DCF2AC">
            <w:pPr>
              <w:pStyle w:val="31"/>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162C39">
            <w:pPr>
              <w:pStyle w:val="31"/>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3F936E">
            <w:pPr>
              <w:pStyle w:val="31"/>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F6D3D9">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113F5A21">
            <w:pPr>
              <w:pStyle w:val="31"/>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08BF94">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1A97C56C">
            <w:pPr>
              <w:pStyle w:val="31"/>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1A6F5C">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3AF086F7">
            <w:pPr>
              <w:pStyle w:val="31"/>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51CE6E">
            <w:pPr>
              <w:pStyle w:val="31"/>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17DA6C">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4E7C0AC7">
            <w:pPr>
              <w:pStyle w:val="31"/>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4D7AC1B8">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9AD5BF4">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552A383">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BCBFBA">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2798A2F">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9EF56B4">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AF2FC4">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87FB262">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DE226D">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F8BBD5">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C17F266">
            <w:pPr>
              <w:pStyle w:val="31"/>
              <w:spacing w:line="360" w:lineRule="auto"/>
              <w:ind w:left="0" w:leftChars="0" w:firstLine="480" w:firstLineChars="200"/>
              <w:jc w:val="both"/>
              <w:rPr>
                <w:rFonts w:hAnsi="宋体" w:cs="宋体"/>
                <w:color w:val="auto"/>
                <w:highlight w:val="none"/>
              </w:rPr>
            </w:pPr>
          </w:p>
        </w:tc>
      </w:tr>
      <w:tr w14:paraId="10C5DAEF">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8DF4714">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0CB160">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E7FC82">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F65B43">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9038B4">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5F29D5">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BA7D84B">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1888F3E">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768D1B">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DE5D8B3">
            <w:pPr>
              <w:pStyle w:val="31"/>
              <w:spacing w:line="360" w:lineRule="auto"/>
              <w:ind w:left="0" w:leftChars="0" w:firstLine="480" w:firstLineChars="200"/>
              <w:jc w:val="both"/>
              <w:rPr>
                <w:rFonts w:hAnsi="宋体" w:cs="宋体"/>
                <w:color w:val="auto"/>
                <w:highlight w:val="none"/>
              </w:rPr>
            </w:pPr>
          </w:p>
        </w:tc>
      </w:tr>
      <w:tr w14:paraId="28ED594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361E5FA">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4D146DA">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73A21BC">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49C8B0B">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FA64A7">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3F3A8D4">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93EB82F">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6711BD">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D6BB988">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FE92044">
            <w:pPr>
              <w:pStyle w:val="31"/>
              <w:spacing w:line="360" w:lineRule="auto"/>
              <w:ind w:left="0" w:leftChars="0" w:firstLine="480" w:firstLineChars="200"/>
              <w:jc w:val="both"/>
              <w:rPr>
                <w:rFonts w:hAnsi="宋体" w:cs="宋体"/>
                <w:color w:val="auto"/>
                <w:highlight w:val="none"/>
              </w:rPr>
            </w:pPr>
          </w:p>
        </w:tc>
      </w:tr>
      <w:tr w14:paraId="3A78E20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CF06A48">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0165E11">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3EF975">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E3D2B53">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45871B">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7D1888">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CCFF476">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FE9AE6">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FCF03B6">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27BEA04">
            <w:pPr>
              <w:pStyle w:val="31"/>
              <w:spacing w:line="360" w:lineRule="auto"/>
              <w:ind w:left="0" w:leftChars="0" w:firstLine="480" w:firstLineChars="200"/>
              <w:jc w:val="both"/>
              <w:rPr>
                <w:rFonts w:hAnsi="宋体" w:cs="宋体"/>
                <w:color w:val="auto"/>
                <w:highlight w:val="none"/>
              </w:rPr>
            </w:pPr>
          </w:p>
        </w:tc>
      </w:tr>
      <w:tr w14:paraId="42609034">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93D86E3">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BD9438B">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44CF8D8">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880EC8">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46EE109">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28C129">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50104B3">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BB87B8">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9E5E1E1">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154C66">
            <w:pPr>
              <w:pStyle w:val="31"/>
              <w:spacing w:line="360" w:lineRule="auto"/>
              <w:ind w:left="0" w:leftChars="0" w:firstLine="480" w:firstLineChars="200"/>
              <w:jc w:val="both"/>
              <w:rPr>
                <w:rFonts w:hAnsi="宋体" w:cs="宋体"/>
                <w:color w:val="auto"/>
                <w:highlight w:val="none"/>
              </w:rPr>
            </w:pPr>
          </w:p>
        </w:tc>
      </w:tr>
      <w:tr w14:paraId="6F867E2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01D8B3E">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C0C9D0F">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E996D98">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F696EA4">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26EB83">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16F44D8">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AA43219">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EF1DB9">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50416A">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E3EDE76">
            <w:pPr>
              <w:pStyle w:val="31"/>
              <w:spacing w:line="360" w:lineRule="auto"/>
              <w:ind w:left="0" w:leftChars="0" w:firstLine="480" w:firstLineChars="200"/>
              <w:jc w:val="both"/>
              <w:rPr>
                <w:rFonts w:hAnsi="宋体" w:cs="宋体"/>
                <w:color w:val="auto"/>
                <w:highlight w:val="none"/>
              </w:rPr>
            </w:pPr>
          </w:p>
        </w:tc>
      </w:tr>
    </w:tbl>
    <w:p w14:paraId="1834FDD7">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2233EA9A">
      <w:pPr>
        <w:ind w:firstLine="161" w:firstLineChars="50"/>
        <w:jc w:val="center"/>
        <w:outlineLvl w:val="1"/>
        <w:rPr>
          <w:rFonts w:hint="eastAsia" w:ascii="宋体" w:hAnsi="宋体" w:eastAsia="宋体" w:cs="宋体"/>
          <w:color w:val="auto"/>
          <w:sz w:val="32"/>
          <w:szCs w:val="32"/>
          <w:highlight w:val="none"/>
        </w:rPr>
      </w:pPr>
      <w:bookmarkStart w:id="144" w:name="_Toc31151"/>
      <w:r>
        <w:rPr>
          <w:rFonts w:hint="eastAsia" w:ascii="宋体" w:hAnsi="宋体" w:eastAsia="宋体" w:cs="宋体"/>
          <w:b/>
          <w:bCs/>
          <w:color w:val="auto"/>
          <w:sz w:val="32"/>
          <w:szCs w:val="32"/>
          <w:highlight w:val="none"/>
        </w:rPr>
        <w:t>四、</w:t>
      </w:r>
      <w:bookmarkEnd w:id="136"/>
      <w:bookmarkEnd w:id="137"/>
      <w:bookmarkEnd w:id="138"/>
      <w:bookmarkEnd w:id="139"/>
      <w:bookmarkEnd w:id="140"/>
      <w:r>
        <w:rPr>
          <w:rFonts w:hint="eastAsia" w:ascii="宋体" w:hAnsi="宋体" w:eastAsia="宋体" w:cs="宋体"/>
          <w:b/>
          <w:bCs/>
          <w:color w:val="auto"/>
          <w:sz w:val="32"/>
          <w:szCs w:val="32"/>
          <w:highlight w:val="none"/>
        </w:rPr>
        <w:t>商务条款偏离表</w:t>
      </w:r>
      <w:bookmarkEnd w:id="141"/>
      <w:bookmarkEnd w:id="142"/>
      <w:bookmarkEnd w:id="143"/>
      <w:bookmarkEnd w:id="144"/>
    </w:p>
    <w:p w14:paraId="6742348F">
      <w:pPr>
        <w:pStyle w:val="21"/>
        <w:widowControl w:val="0"/>
        <w:spacing w:before="0" w:beforeAutospacing="0" w:after="0" w:afterAutospacing="0"/>
        <w:jc w:val="both"/>
        <w:rPr>
          <w:rFonts w:hint="eastAsia" w:ascii="宋体" w:hAnsi="宋体" w:eastAsia="宋体" w:cs="宋体"/>
          <w:color w:val="auto"/>
          <w:highlight w:val="none"/>
        </w:rPr>
      </w:pPr>
    </w:p>
    <w:p w14:paraId="4EB577B0">
      <w:pPr>
        <w:pStyle w:val="21"/>
        <w:widowControl w:val="0"/>
        <w:spacing w:beforeLines="50" w:beforeAutospacing="0" w:afterLines="50" w:afterAutospacing="0"/>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ED3DEA0">
      <w:pPr>
        <w:pStyle w:val="21"/>
        <w:widowControl w:val="0"/>
        <w:spacing w:beforeLines="50" w:beforeAutospacing="0"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14:paraId="01E9FAEE">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F1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C6860E6">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D60ED44">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943EEAE">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3A9B2C4">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04B9025">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320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5F2049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FD1364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702183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C079F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871B94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917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B0C4D2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16938A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A8B0A4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AB89F1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68000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FB5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B4AFA1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8BA61F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4B95FA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D06CAE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658ABC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8F8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4BB099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05DB69C">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794A0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904D4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E4B050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0B9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42C800B9">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36C944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B52594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950B729">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5E7EA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DA1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D76E83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13E4DB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0FC831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C7E78F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84BAB2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6E8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49E437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C5693AA">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E4DE08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662744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14B14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1E642A39">
      <w:pPr>
        <w:pStyle w:val="21"/>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337BF9E">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w:t>
      </w:r>
      <w:r>
        <w:rPr>
          <w:rFonts w:hint="eastAsia" w:cs="宋体"/>
          <w:color w:val="auto"/>
          <w:highlight w:val="none"/>
          <w:lang w:eastAsia="zh-CN"/>
        </w:rPr>
        <w:t>四</w:t>
      </w:r>
      <w:r>
        <w:rPr>
          <w:rFonts w:hint="eastAsia" w:ascii="宋体" w:hAnsi="宋体" w:eastAsia="宋体" w:cs="宋体"/>
          <w:color w:val="auto"/>
          <w:highlight w:val="none"/>
        </w:rPr>
        <w:t>章合同条款要求内容进行响应。</w:t>
      </w:r>
    </w:p>
    <w:p w14:paraId="6344235B">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75094E31">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2.供应商必须据实填写，不得虚假响应，否则将取消其磋商或成交资格，并按有关规定进处罚。</w:t>
      </w:r>
    </w:p>
    <w:p w14:paraId="79D51056">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14:paraId="6C447044">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cs="宋体"/>
          <w:color w:val="auto"/>
          <w:highlight w:val="none"/>
          <w:lang w:val="en-US" w:eastAsia="zh-CN"/>
        </w:rPr>
        <w:t xml:space="preserve">  </w:t>
      </w:r>
      <w:r>
        <w:rPr>
          <w:rFonts w:hint="eastAsia" w:ascii="宋体" w:hAnsi="宋体" w:eastAsia="宋体" w:cs="宋体"/>
          <w:color w:val="auto"/>
          <w:highlight w:val="none"/>
        </w:rPr>
        <w:t>（单位公章）</w:t>
      </w:r>
    </w:p>
    <w:p w14:paraId="7140431A">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3E5B9">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法定代表人或委托代理人：              （签字</w:t>
      </w:r>
      <w:r>
        <w:rPr>
          <w:rFonts w:hint="eastAsia" w:hAnsi="宋体" w:cs="宋体"/>
          <w:color w:val="auto"/>
          <w:highlight w:val="none"/>
          <w:lang w:val="en-US" w:eastAsia="zh-CN"/>
        </w:rPr>
        <w:t>或盖章</w:t>
      </w:r>
      <w:r>
        <w:rPr>
          <w:rFonts w:hint="eastAsia" w:ascii="宋体" w:hAnsi="宋体" w:eastAsia="宋体" w:cs="宋体"/>
          <w:color w:val="auto"/>
          <w:highlight w:val="none"/>
        </w:rPr>
        <w:t xml:space="preserve">） </w:t>
      </w:r>
    </w:p>
    <w:p w14:paraId="56534355">
      <w:pPr>
        <w:spacing w:line="360" w:lineRule="auto"/>
        <w:ind w:left="600" w:leftChars="250"/>
        <w:rPr>
          <w:rFonts w:hint="eastAsia" w:ascii="宋体" w:hAnsi="宋体" w:eastAsia="宋体" w:cs="宋体"/>
          <w:b/>
          <w:bCs/>
          <w:color w:val="auto"/>
          <w:sz w:val="28"/>
          <w:szCs w:val="28"/>
          <w:highlight w:val="none"/>
        </w:rPr>
      </w:pPr>
    </w:p>
    <w:p w14:paraId="5A6DE5B0">
      <w:pPr>
        <w:spacing w:line="440" w:lineRule="exact"/>
        <w:ind w:left="3725" w:leftChars="1552"/>
        <w:rPr>
          <w:rFonts w:hint="eastAsia" w:ascii="宋体" w:hAnsi="宋体" w:eastAsia="宋体" w:cs="宋体"/>
          <w:color w:val="auto"/>
          <w:szCs w:val="24"/>
          <w:highlight w:val="none"/>
        </w:rPr>
      </w:pPr>
    </w:p>
    <w:p w14:paraId="7F495819">
      <w:pPr>
        <w:spacing w:line="440" w:lineRule="exact"/>
        <w:ind w:left="3725" w:leftChars="1552"/>
        <w:rPr>
          <w:rFonts w:hint="eastAsia" w:ascii="宋体" w:hAnsi="宋体" w:eastAsia="宋体" w:cs="宋体"/>
          <w:color w:val="auto"/>
          <w:szCs w:val="24"/>
          <w:highlight w:val="none"/>
        </w:rPr>
      </w:pPr>
    </w:p>
    <w:p w14:paraId="6DD05608">
      <w:pPr>
        <w:spacing w:line="440" w:lineRule="exact"/>
        <w:ind w:left="3725" w:leftChars="1552"/>
        <w:rPr>
          <w:rFonts w:hint="eastAsia" w:ascii="宋体" w:hAnsi="宋体" w:eastAsia="宋体" w:cs="宋体"/>
          <w:color w:val="auto"/>
          <w:szCs w:val="24"/>
          <w:highlight w:val="none"/>
        </w:rPr>
      </w:pPr>
    </w:p>
    <w:bookmarkEnd w:id="131"/>
    <w:p w14:paraId="10E43BC5">
      <w:pPr>
        <w:spacing w:line="360" w:lineRule="auto"/>
        <w:jc w:val="center"/>
        <w:outlineLvl w:val="1"/>
        <w:rPr>
          <w:rFonts w:hint="eastAsia" w:ascii="宋体" w:hAnsi="宋体" w:eastAsia="宋体" w:cs="宋体"/>
          <w:b/>
          <w:bCs/>
          <w:color w:val="auto"/>
          <w:sz w:val="30"/>
          <w:szCs w:val="30"/>
          <w:highlight w:val="none"/>
        </w:rPr>
      </w:pPr>
      <w:bookmarkStart w:id="145" w:name="_Toc363474033"/>
      <w:bookmarkStart w:id="146" w:name="_Toc403077656"/>
      <w:r>
        <w:rPr>
          <w:rFonts w:hint="eastAsia" w:ascii="宋体" w:hAnsi="宋体" w:eastAsia="宋体" w:cs="宋体"/>
          <w:b/>
          <w:bCs/>
          <w:color w:val="auto"/>
          <w:sz w:val="30"/>
          <w:szCs w:val="30"/>
          <w:highlight w:val="none"/>
        </w:rPr>
        <w:br w:type="page"/>
      </w:r>
      <w:bookmarkStart w:id="147" w:name="_Toc3386"/>
      <w:bookmarkStart w:id="148" w:name="_Toc27470"/>
      <w:bookmarkStart w:id="149" w:name="_Toc1542"/>
      <w:bookmarkStart w:id="150" w:name="_Toc3253"/>
      <w:r>
        <w:rPr>
          <w:rFonts w:hint="eastAsia" w:ascii="宋体" w:hAnsi="宋体" w:eastAsia="宋体" w:cs="宋体"/>
          <w:b/>
          <w:bCs/>
          <w:color w:val="auto"/>
          <w:sz w:val="30"/>
          <w:szCs w:val="30"/>
          <w:highlight w:val="none"/>
        </w:rPr>
        <w:t>五、陕西省政府采购供应商拒绝政府采购领域商业贿赂承诺书</w:t>
      </w:r>
      <w:bookmarkEnd w:id="145"/>
      <w:bookmarkEnd w:id="146"/>
      <w:bookmarkEnd w:id="147"/>
      <w:bookmarkEnd w:id="148"/>
      <w:bookmarkEnd w:id="149"/>
      <w:bookmarkEnd w:id="150"/>
    </w:p>
    <w:p w14:paraId="1C8F8C46">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14:paraId="5D35E097">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14:paraId="220FE68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14:paraId="39545C79">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14:paraId="18CDF653">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14:paraId="5DFF3C3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14:paraId="7D9261F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14:paraId="350A7C9E">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14:paraId="1243DAD1">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14:paraId="677E7BF2">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14:paraId="2F52EC61">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14:paraId="3D95F50C">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14:paraId="752A8DCD">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14:paraId="4340EB0F">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14:paraId="4966B65F">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14:paraId="2B724EB9">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FCBBE76">
      <w:pPr>
        <w:jc w:val="center"/>
        <w:outlineLvl w:val="1"/>
        <w:rPr>
          <w:rFonts w:hint="eastAsia" w:ascii="宋体" w:hAnsi="宋体" w:eastAsia="宋体" w:cs="宋体"/>
          <w:color w:val="auto"/>
          <w:highlight w:val="none"/>
          <w:shd w:val="clear" w:color="auto" w:fill="FFFFFF"/>
        </w:rPr>
      </w:pPr>
      <w:bookmarkStart w:id="151" w:name="_Toc403077657"/>
      <w:bookmarkStart w:id="152" w:name="_Toc363474034"/>
      <w:r>
        <w:rPr>
          <w:rFonts w:hint="eastAsia" w:ascii="宋体" w:hAnsi="宋体" w:eastAsia="宋体" w:cs="宋体"/>
          <w:b/>
          <w:bCs/>
          <w:color w:val="auto"/>
          <w:sz w:val="30"/>
          <w:szCs w:val="30"/>
          <w:highlight w:val="none"/>
        </w:rPr>
        <w:br w:type="page"/>
      </w:r>
      <w:bookmarkStart w:id="153" w:name="_Toc32016"/>
      <w:bookmarkStart w:id="154" w:name="_Toc7842"/>
      <w:bookmarkStart w:id="155" w:name="_Toc29285"/>
      <w:bookmarkStart w:id="156" w:name="_Toc6273"/>
      <w:r>
        <w:rPr>
          <w:rFonts w:hint="eastAsia" w:ascii="宋体" w:hAnsi="宋体" w:eastAsia="宋体" w:cs="宋体"/>
          <w:b/>
          <w:bCs/>
          <w:color w:val="auto"/>
          <w:sz w:val="30"/>
          <w:szCs w:val="30"/>
          <w:highlight w:val="none"/>
        </w:rPr>
        <w:t>六、特定资格证明文件</w:t>
      </w:r>
      <w:bookmarkEnd w:id="151"/>
      <w:bookmarkEnd w:id="152"/>
      <w:bookmarkEnd w:id="153"/>
      <w:bookmarkEnd w:id="154"/>
      <w:bookmarkEnd w:id="155"/>
      <w:bookmarkEnd w:id="156"/>
    </w:p>
    <w:p w14:paraId="5BAD0109">
      <w:pPr>
        <w:spacing w:line="56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554C351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bookmarkStart w:id="157" w:name="_Toc23859"/>
      <w:bookmarkStart w:id="158" w:name="_Toc19114"/>
      <w:bookmarkStart w:id="159" w:name="_Toc6853"/>
      <w:bookmarkStart w:id="160" w:name="_Toc12717"/>
      <w:r>
        <w:rPr>
          <w:rFonts w:hint="eastAsia" w:ascii="宋体" w:hAnsi="宋体" w:eastAsia="宋体" w:cs="宋体"/>
          <w:color w:val="auto"/>
          <w:sz w:val="24"/>
          <w:szCs w:val="24"/>
          <w:highlight w:val="none"/>
        </w:rPr>
        <w:t>1、提供合格有效的法人或者其他组织的营业执照等证明文件，自然人的身份证明；</w:t>
      </w:r>
    </w:p>
    <w:p w14:paraId="4FC4DDA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2、提供法定代表人授权书（附法定代表人、被授权人身份证复印件）及被授权人身份证原件（法定代表人直接参加磋商，须提供法定代表人身份证明及身份证原件）；</w:t>
      </w:r>
    </w:p>
    <w:p w14:paraId="6C1110B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1F0C344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4、税收缴纳证明：提供磋商截止日前一年内已缴纳的至少一个月的纳税证明或完税证明（任意税种），依法免税的单位应提供相关证明材料；</w:t>
      </w:r>
    </w:p>
    <w:p w14:paraId="4F9C969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C82B9B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6、供应商须具备医疗器械经营许可证或医疗器械备案凭证；</w:t>
      </w:r>
    </w:p>
    <w:p w14:paraId="7DA885B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7、提供具有履行本合同所必需的设备和专业技术能力的说明及承诺书；</w:t>
      </w:r>
    </w:p>
    <w:p w14:paraId="7733D61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8、供应商应通过“信用中国”网站(www.creditchina.gov.cn)、中国政府采购网(www.ccgp.gov.cn)查询相关主体信用记录；</w:t>
      </w:r>
    </w:p>
    <w:p w14:paraId="0960FE5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9、参加政府采购活动前3年内，在经营活动中没有重大违法记录的书面声明；</w:t>
      </w:r>
    </w:p>
    <w:p w14:paraId="03CA8DA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10、供应商须提供中小企业声明函；</w:t>
      </w:r>
    </w:p>
    <w:p w14:paraId="7FBF69C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11、本项目不接受联合体磋商。</w:t>
      </w:r>
    </w:p>
    <w:p w14:paraId="5721B825">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BCE9B0F">
      <w:pPr>
        <w:jc w:val="center"/>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七、其它</w:t>
      </w:r>
      <w:bookmarkEnd w:id="157"/>
      <w:bookmarkEnd w:id="158"/>
      <w:bookmarkEnd w:id="159"/>
      <w:bookmarkEnd w:id="160"/>
    </w:p>
    <w:p w14:paraId="6F68331A">
      <w:pPr>
        <w:pStyle w:val="11"/>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1、磋商保证金缴纳凭证或保函；</w:t>
      </w:r>
    </w:p>
    <w:p w14:paraId="557757DA">
      <w:pPr>
        <w:jc w:val="center"/>
        <w:rPr>
          <w:rFonts w:hAnsi="宋体" w:cs="宋体"/>
          <w:b/>
          <w:bCs/>
          <w:color w:val="auto"/>
          <w:sz w:val="32"/>
          <w:szCs w:val="32"/>
          <w:highlight w:val="none"/>
          <w:shd w:val="clear" w:color="auto" w:fill="FFFFFF"/>
        </w:rPr>
      </w:pPr>
      <w:r>
        <w:rPr>
          <w:rFonts w:hint="eastAsia" w:hAnsi="宋体" w:cs="宋体"/>
          <w:b/>
          <w:bCs/>
          <w:color w:val="auto"/>
          <w:sz w:val="32"/>
          <w:szCs w:val="32"/>
          <w:highlight w:val="none"/>
          <w:shd w:val="clear" w:color="auto" w:fill="FFFFFF"/>
          <w:lang w:val="en-US" w:eastAsia="zh-CN"/>
        </w:rPr>
        <w:t>保证金缴纳凭证或保函</w:t>
      </w:r>
    </w:p>
    <w:tbl>
      <w:tblPr>
        <w:tblStyle w:val="22"/>
        <w:tblW w:w="8700" w:type="dxa"/>
        <w:tblInd w:w="96" w:type="dxa"/>
        <w:tblLayout w:type="fixed"/>
        <w:tblCellMar>
          <w:top w:w="0" w:type="dxa"/>
          <w:left w:w="108" w:type="dxa"/>
          <w:bottom w:w="0" w:type="dxa"/>
          <w:right w:w="108" w:type="dxa"/>
        </w:tblCellMar>
      </w:tblPr>
      <w:tblGrid>
        <w:gridCol w:w="2055"/>
        <w:gridCol w:w="6645"/>
      </w:tblGrid>
      <w:tr w14:paraId="18863D83">
        <w:tblPrEx>
          <w:tblCellMar>
            <w:top w:w="0" w:type="dxa"/>
            <w:left w:w="108" w:type="dxa"/>
            <w:bottom w:w="0" w:type="dxa"/>
            <w:right w:w="108" w:type="dxa"/>
          </w:tblCellMar>
        </w:tblPrEx>
        <w:trPr>
          <w:trHeight w:val="567"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E23E8">
            <w:pPr>
              <w:widowControl/>
              <w:jc w:val="center"/>
              <w:textAlignment w:val="center"/>
              <w:rPr>
                <w:rFonts w:hAnsi="宋体" w:cs="宋体"/>
                <w:color w:val="auto"/>
                <w:sz w:val="24"/>
                <w:szCs w:val="24"/>
                <w:highlight w:val="none"/>
              </w:rPr>
            </w:pPr>
            <w:r>
              <w:rPr>
                <w:rFonts w:hint="eastAsia" w:hAnsi="宋体" w:cs="宋体"/>
                <w:color w:val="auto"/>
                <w:sz w:val="24"/>
                <w:szCs w:val="24"/>
                <w:highlight w:val="none"/>
                <w:lang w:val="en-US" w:eastAsia="zh-CN" w:bidi="ar"/>
              </w:rPr>
              <w:t>磋商</w:t>
            </w:r>
            <w:r>
              <w:rPr>
                <w:rFonts w:hint="eastAsia" w:hAnsi="宋体" w:cs="宋体"/>
                <w:color w:val="auto"/>
                <w:sz w:val="24"/>
                <w:szCs w:val="24"/>
                <w:highlight w:val="none"/>
                <w:lang w:bidi="ar"/>
              </w:rPr>
              <w:t>保证金</w:t>
            </w:r>
          </w:p>
        </w:tc>
      </w:tr>
      <w:tr w14:paraId="5F45F741">
        <w:tblPrEx>
          <w:tblCellMar>
            <w:top w:w="0" w:type="dxa"/>
            <w:left w:w="108" w:type="dxa"/>
            <w:bottom w:w="0" w:type="dxa"/>
            <w:right w:w="108" w:type="dxa"/>
          </w:tblCellMar>
        </w:tblPrEx>
        <w:trPr>
          <w:trHeight w:val="567"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DF4C">
            <w:pPr>
              <w:widowControl/>
              <w:jc w:val="left"/>
              <w:textAlignment w:val="center"/>
              <w:rPr>
                <w:rFonts w:hAnsi="宋体" w:cs="宋体"/>
                <w:color w:val="auto"/>
                <w:sz w:val="24"/>
                <w:szCs w:val="24"/>
                <w:highlight w:val="none"/>
                <w:lang w:bidi="ar"/>
              </w:rPr>
            </w:pPr>
            <w:r>
              <w:rPr>
                <w:rFonts w:hint="eastAsia" w:hAnsi="宋体" w:cs="宋体"/>
                <w:color w:val="auto"/>
                <w:sz w:val="24"/>
                <w:szCs w:val="24"/>
                <w:highlight w:val="none"/>
                <w:lang w:bidi="ar"/>
              </w:rPr>
              <w:t>项目名称：</w:t>
            </w:r>
          </w:p>
        </w:tc>
      </w:tr>
      <w:tr w14:paraId="45276652">
        <w:tblPrEx>
          <w:tblCellMar>
            <w:top w:w="0" w:type="dxa"/>
            <w:left w:w="108" w:type="dxa"/>
            <w:bottom w:w="0" w:type="dxa"/>
            <w:right w:w="108" w:type="dxa"/>
          </w:tblCellMar>
        </w:tblPrEx>
        <w:trPr>
          <w:trHeight w:val="567"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9C3D">
            <w:pPr>
              <w:widowControl/>
              <w:jc w:val="left"/>
              <w:textAlignment w:val="center"/>
              <w:rPr>
                <w:rFonts w:hAnsi="宋体" w:cs="宋体"/>
                <w:color w:val="auto"/>
                <w:sz w:val="24"/>
                <w:szCs w:val="24"/>
                <w:highlight w:val="none"/>
                <w:lang w:bidi="ar"/>
              </w:rPr>
            </w:pPr>
            <w:r>
              <w:rPr>
                <w:rFonts w:hint="eastAsia" w:hAnsi="宋体" w:cs="宋体"/>
                <w:color w:val="auto"/>
                <w:sz w:val="24"/>
                <w:szCs w:val="24"/>
                <w:highlight w:val="none"/>
                <w:lang w:bidi="ar"/>
              </w:rPr>
              <w:t>项目编号：</w:t>
            </w:r>
          </w:p>
        </w:tc>
      </w:tr>
      <w:tr w14:paraId="32065B12">
        <w:tblPrEx>
          <w:tblCellMar>
            <w:top w:w="0" w:type="dxa"/>
            <w:left w:w="108" w:type="dxa"/>
            <w:bottom w:w="0" w:type="dxa"/>
            <w:right w:w="108" w:type="dxa"/>
          </w:tblCellMar>
        </w:tblPrEx>
        <w:trPr>
          <w:trHeight w:val="567"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214F">
            <w:pPr>
              <w:widowControl/>
              <w:jc w:val="center"/>
              <w:textAlignment w:val="center"/>
              <w:rPr>
                <w:rFonts w:hAnsi="宋体" w:cs="宋体"/>
                <w:color w:val="auto"/>
                <w:sz w:val="24"/>
                <w:szCs w:val="24"/>
                <w:highlight w:val="none"/>
              </w:rPr>
            </w:pPr>
            <w:r>
              <w:rPr>
                <w:rFonts w:hint="eastAsia" w:hAnsi="宋体" w:cs="宋体"/>
                <w:color w:val="auto"/>
                <w:sz w:val="24"/>
                <w:szCs w:val="24"/>
                <w:highlight w:val="none"/>
                <w:lang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FD03">
            <w:pPr>
              <w:rPr>
                <w:rFonts w:hAnsi="宋体" w:cs="宋体"/>
                <w:color w:val="auto"/>
                <w:sz w:val="24"/>
                <w:szCs w:val="24"/>
                <w:highlight w:val="none"/>
              </w:rPr>
            </w:pPr>
          </w:p>
        </w:tc>
      </w:tr>
      <w:tr w14:paraId="3EECFF70">
        <w:tblPrEx>
          <w:tblCellMar>
            <w:top w:w="0" w:type="dxa"/>
            <w:left w:w="108" w:type="dxa"/>
            <w:bottom w:w="0" w:type="dxa"/>
            <w:right w:w="108" w:type="dxa"/>
          </w:tblCellMar>
        </w:tblPrEx>
        <w:trPr>
          <w:trHeight w:val="567"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F2E">
            <w:pPr>
              <w:widowControl/>
              <w:jc w:val="center"/>
              <w:textAlignment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bidi="ar"/>
              </w:rPr>
              <w:t>账户名称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6C8">
            <w:pPr>
              <w:rPr>
                <w:rFonts w:hAnsi="宋体" w:cs="宋体"/>
                <w:color w:val="auto"/>
                <w:sz w:val="24"/>
                <w:szCs w:val="24"/>
                <w:highlight w:val="none"/>
              </w:rPr>
            </w:pPr>
          </w:p>
        </w:tc>
      </w:tr>
      <w:tr w14:paraId="4022983B">
        <w:tblPrEx>
          <w:tblCellMar>
            <w:top w:w="0" w:type="dxa"/>
            <w:left w:w="108" w:type="dxa"/>
            <w:bottom w:w="0" w:type="dxa"/>
            <w:right w:w="108" w:type="dxa"/>
          </w:tblCellMar>
        </w:tblPrEx>
        <w:trPr>
          <w:trHeight w:val="567"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EB9F">
            <w:pPr>
              <w:widowControl/>
              <w:jc w:val="center"/>
              <w:textAlignment w:val="center"/>
              <w:rPr>
                <w:rFonts w:hAnsi="宋体" w:cs="宋体"/>
                <w:color w:val="auto"/>
                <w:sz w:val="24"/>
                <w:szCs w:val="24"/>
                <w:highlight w:val="none"/>
              </w:rPr>
            </w:pPr>
            <w:r>
              <w:rPr>
                <w:rFonts w:hint="eastAsia" w:hAnsi="宋体" w:cs="宋体"/>
                <w:color w:val="auto"/>
                <w:sz w:val="24"/>
                <w:szCs w:val="24"/>
                <w:highlight w:val="none"/>
                <w:lang w:bidi="ar"/>
              </w:rPr>
              <w:t>开户行</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E644">
            <w:pPr>
              <w:rPr>
                <w:rFonts w:hAnsi="宋体" w:cs="宋体"/>
                <w:color w:val="auto"/>
                <w:sz w:val="24"/>
                <w:szCs w:val="24"/>
                <w:highlight w:val="none"/>
              </w:rPr>
            </w:pPr>
          </w:p>
        </w:tc>
      </w:tr>
      <w:tr w14:paraId="4E9DA0FB">
        <w:tblPrEx>
          <w:tblCellMar>
            <w:top w:w="0" w:type="dxa"/>
            <w:left w:w="108" w:type="dxa"/>
            <w:bottom w:w="0" w:type="dxa"/>
            <w:right w:w="108" w:type="dxa"/>
          </w:tblCellMar>
        </w:tblPrEx>
        <w:trPr>
          <w:trHeight w:val="567"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682">
            <w:pPr>
              <w:widowControl/>
              <w:jc w:val="center"/>
              <w:textAlignment w:val="center"/>
              <w:rPr>
                <w:rFonts w:hint="eastAsia" w:hAnsi="宋体" w:eastAsia="宋体" w:cs="宋体"/>
                <w:color w:val="auto"/>
                <w:sz w:val="24"/>
                <w:szCs w:val="24"/>
                <w:highlight w:val="none"/>
                <w:lang w:val="en-US" w:eastAsia="zh-CN" w:bidi="ar"/>
              </w:rPr>
            </w:pPr>
            <w:r>
              <w:rPr>
                <w:rFonts w:hint="eastAsia" w:hAnsi="宋体" w:cs="宋体"/>
                <w:color w:val="auto"/>
                <w:sz w:val="24"/>
                <w:szCs w:val="24"/>
                <w:highlight w:val="none"/>
                <w:lang w:val="en-US" w:eastAsia="zh-CN" w:bidi="ar"/>
              </w:rPr>
              <w:t>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6678">
            <w:pPr>
              <w:rPr>
                <w:rFonts w:hAnsi="宋体" w:cs="宋体"/>
                <w:color w:val="auto"/>
                <w:sz w:val="24"/>
                <w:szCs w:val="24"/>
                <w:highlight w:val="none"/>
              </w:rPr>
            </w:pPr>
          </w:p>
        </w:tc>
      </w:tr>
    </w:tbl>
    <w:p w14:paraId="7AE62794">
      <w:pPr>
        <w:rPr>
          <w:color w:val="auto"/>
          <w:sz w:val="24"/>
          <w:szCs w:val="24"/>
          <w:highlight w:val="none"/>
        </w:rPr>
      </w:pPr>
      <w:r>
        <w:rPr>
          <w:rFonts w:hint="eastAsia" w:hAnsi="宋体" w:cs="宋体"/>
          <w:color w:val="auto"/>
          <w:sz w:val="24"/>
          <w:szCs w:val="24"/>
          <w:highlight w:val="none"/>
          <w:lang w:bidi="ar"/>
        </w:rPr>
        <w:t>附件：保证金缴纳凭证或保函</w:t>
      </w:r>
    </w:p>
    <w:p w14:paraId="30ED18DD">
      <w:pPr>
        <w:pStyle w:val="11"/>
        <w:outlineLvl w:val="9"/>
        <w:rPr>
          <w:rFonts w:hint="eastAsia" w:ascii="宋体" w:hAnsi="宋体" w:cs="宋体"/>
          <w:color w:val="auto"/>
          <w:sz w:val="24"/>
          <w:szCs w:val="24"/>
          <w:highlight w:val="none"/>
          <w:lang w:val="en-US" w:eastAsia="zh-CN"/>
        </w:rPr>
      </w:pPr>
    </w:p>
    <w:p w14:paraId="33441C67">
      <w:pPr>
        <w:pStyle w:val="11"/>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、依据竞争性磋商文件要求，供应商认为有必要说明的其他内容</w:t>
      </w:r>
      <w:r>
        <w:rPr>
          <w:rFonts w:hint="eastAsia" w:ascii="宋体" w:hAnsi="宋体" w:cs="宋体"/>
          <w:color w:val="auto"/>
          <w:sz w:val="24"/>
          <w:szCs w:val="24"/>
          <w:highlight w:val="none"/>
          <w:lang w:eastAsia="zh-CN"/>
        </w:rPr>
        <w:t>；</w:t>
      </w:r>
    </w:p>
    <w:p w14:paraId="2DD41041">
      <w:pPr>
        <w:pStyle w:val="11"/>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、其他可以证明供应商实力的文件。</w:t>
      </w:r>
    </w:p>
    <w:p w14:paraId="0E75B80F">
      <w:pPr>
        <w:spacing w:beforeLines="50" w:afterLines="50" w:line="500" w:lineRule="exact"/>
        <w:outlineLvl w:val="2"/>
        <w:rPr>
          <w:rFonts w:hint="eastAsia" w:ascii="宋体" w:hAnsi="宋体" w:eastAsia="宋体" w:cs="宋体"/>
          <w:b/>
          <w:color w:val="auto"/>
          <w:sz w:val="28"/>
          <w:szCs w:val="28"/>
          <w:highlight w:val="none"/>
        </w:rPr>
      </w:pPr>
      <w:r>
        <w:rPr>
          <w:rFonts w:hint="eastAsia" w:ascii="宋体" w:hAnsi="宋体" w:eastAsia="宋体" w:cs="宋体"/>
          <w:color w:val="auto"/>
          <w:szCs w:val="24"/>
          <w:highlight w:val="none"/>
        </w:rPr>
        <w:br w:type="page"/>
      </w:r>
      <w:bookmarkStart w:id="161" w:name="_Toc6055"/>
      <w:bookmarkStart w:id="162" w:name="_Toc17513"/>
      <w:bookmarkStart w:id="163" w:name="_Toc29387"/>
      <w:r>
        <w:rPr>
          <w:rFonts w:hint="eastAsia" w:ascii="宋体" w:hAnsi="宋体" w:eastAsia="宋体" w:cs="宋体"/>
          <w:b/>
          <w:color w:val="auto"/>
          <w:sz w:val="28"/>
          <w:szCs w:val="28"/>
          <w:highlight w:val="none"/>
        </w:rPr>
        <w:t>附件1：法定代表人身份证明/法定代表人授权书</w:t>
      </w:r>
      <w:bookmarkEnd w:id="161"/>
      <w:bookmarkEnd w:id="162"/>
      <w:bookmarkEnd w:id="163"/>
    </w:p>
    <w:p w14:paraId="0F8AE7B9">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7AEEB234">
      <w:pPr>
        <w:pStyle w:val="11"/>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1383656C">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4828A8B">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3353BF78">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09F734F5">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0EEAE3D">
      <w:pPr>
        <w:autoSpaceDE w:val="0"/>
        <w:autoSpaceDN w:val="0"/>
        <w:adjustRightInd w:val="0"/>
        <w:snapToGrid w:val="0"/>
        <w:spacing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081FC26A">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2361C97F">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468A306A">
      <w:pPr>
        <w:autoSpaceDE w:val="0"/>
        <w:autoSpaceDN w:val="0"/>
        <w:adjustRightInd w:val="0"/>
        <w:snapToGrid w:val="0"/>
        <w:spacing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F87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1DFE796">
            <w:pPr>
              <w:snapToGrid w:val="0"/>
              <w:spacing w:line="480" w:lineRule="auto"/>
              <w:jc w:val="center"/>
              <w:rPr>
                <w:rFonts w:hint="eastAsia" w:ascii="宋体" w:hAnsi="宋体" w:eastAsia="宋体" w:cs="宋体"/>
                <w:color w:val="auto"/>
                <w:szCs w:val="21"/>
                <w:highlight w:val="none"/>
              </w:rPr>
            </w:pPr>
          </w:p>
          <w:p w14:paraId="293F1802">
            <w:pPr>
              <w:snapToGrid w:val="0"/>
              <w:spacing w:line="480" w:lineRule="auto"/>
              <w:jc w:val="center"/>
              <w:rPr>
                <w:rFonts w:hint="eastAsia" w:ascii="宋体" w:hAnsi="宋体" w:eastAsia="宋体" w:cs="宋体"/>
                <w:color w:val="auto"/>
                <w:szCs w:val="21"/>
                <w:highlight w:val="none"/>
              </w:rPr>
            </w:pPr>
          </w:p>
          <w:p w14:paraId="151ABE02">
            <w:pPr>
              <w:autoSpaceDE w:val="0"/>
              <w:autoSpaceDN w:val="0"/>
              <w:adjustRightInd w:val="0"/>
              <w:snapToGrid w:val="0"/>
              <w:spacing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2E6BBD4D">
            <w:pPr>
              <w:pStyle w:val="11"/>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64EAAE06">
            <w:pPr>
              <w:snapToGrid w:val="0"/>
              <w:spacing w:line="480" w:lineRule="auto"/>
              <w:jc w:val="center"/>
              <w:rPr>
                <w:rFonts w:hint="eastAsia" w:ascii="宋体" w:hAnsi="宋体" w:eastAsia="宋体" w:cs="宋体"/>
                <w:color w:val="auto"/>
                <w:szCs w:val="21"/>
                <w:highlight w:val="none"/>
              </w:rPr>
            </w:pPr>
          </w:p>
          <w:p w14:paraId="5E7FE25F">
            <w:pPr>
              <w:snapToGrid w:val="0"/>
              <w:spacing w:line="480" w:lineRule="auto"/>
              <w:jc w:val="center"/>
              <w:rPr>
                <w:rFonts w:hint="eastAsia" w:ascii="宋体" w:hAnsi="宋体" w:eastAsia="宋体" w:cs="宋体"/>
                <w:color w:val="auto"/>
                <w:szCs w:val="21"/>
                <w:highlight w:val="none"/>
              </w:rPr>
            </w:pPr>
          </w:p>
        </w:tc>
      </w:tr>
    </w:tbl>
    <w:p w14:paraId="4B913033">
      <w:pPr>
        <w:snapToGrid w:val="0"/>
        <w:spacing w:line="480" w:lineRule="auto"/>
        <w:rPr>
          <w:rFonts w:hint="eastAsia" w:ascii="宋体" w:hAnsi="宋体" w:eastAsia="宋体" w:cs="宋体"/>
          <w:color w:val="auto"/>
          <w:szCs w:val="21"/>
          <w:highlight w:val="none"/>
        </w:rPr>
      </w:pPr>
    </w:p>
    <w:p w14:paraId="1A3EFDDC">
      <w:pPr>
        <w:snapToGrid w:val="0"/>
        <w:rPr>
          <w:rFonts w:hint="eastAsia" w:ascii="宋体" w:hAnsi="宋体" w:eastAsia="宋体" w:cs="宋体"/>
          <w:color w:val="auto"/>
          <w:szCs w:val="21"/>
          <w:highlight w:val="none"/>
        </w:rPr>
      </w:pPr>
    </w:p>
    <w:p w14:paraId="20FE1739">
      <w:pPr>
        <w:snapToGrid w:val="0"/>
        <w:rPr>
          <w:rFonts w:hint="eastAsia" w:ascii="宋体" w:hAnsi="宋体" w:eastAsia="宋体" w:cs="宋体"/>
          <w:color w:val="auto"/>
          <w:szCs w:val="21"/>
          <w:highlight w:val="none"/>
        </w:rPr>
      </w:pPr>
    </w:p>
    <w:p w14:paraId="42B98CC8">
      <w:pPr>
        <w:snapToGrid w:val="0"/>
        <w:rPr>
          <w:rFonts w:hint="eastAsia" w:ascii="宋体" w:hAnsi="宋体" w:eastAsia="宋体" w:cs="宋体"/>
          <w:color w:val="auto"/>
          <w:szCs w:val="21"/>
          <w:highlight w:val="none"/>
        </w:rPr>
      </w:pPr>
    </w:p>
    <w:p w14:paraId="0E7D58C6">
      <w:pPr>
        <w:snapToGrid w:val="0"/>
        <w:rPr>
          <w:rFonts w:hint="eastAsia" w:ascii="宋体" w:hAnsi="宋体" w:eastAsia="宋体" w:cs="宋体"/>
          <w:color w:val="auto"/>
          <w:szCs w:val="21"/>
          <w:highlight w:val="none"/>
        </w:rPr>
      </w:pPr>
    </w:p>
    <w:p w14:paraId="2CBA091C">
      <w:pPr>
        <w:adjustRightInd w:val="0"/>
        <w:snapToGrid w:val="0"/>
        <w:spacing w:line="360" w:lineRule="auto"/>
        <w:rPr>
          <w:rFonts w:hint="eastAsia" w:ascii="宋体" w:hAnsi="宋体" w:eastAsia="宋体" w:cs="宋体"/>
          <w:color w:val="auto"/>
          <w:highlight w:val="none"/>
        </w:rPr>
      </w:pPr>
    </w:p>
    <w:p w14:paraId="1D66DAFD">
      <w:pPr>
        <w:adjustRightInd w:val="0"/>
        <w:snapToGrid w:val="0"/>
        <w:spacing w:line="360" w:lineRule="auto"/>
        <w:ind w:right="420"/>
        <w:rPr>
          <w:rFonts w:hint="eastAsia" w:ascii="宋体" w:hAnsi="宋体" w:eastAsia="宋体" w:cs="宋体"/>
          <w:color w:val="auto"/>
          <w:highlight w:val="none"/>
        </w:rPr>
      </w:pPr>
    </w:p>
    <w:p w14:paraId="50FE2205">
      <w:pPr>
        <w:adjustRightInd w:val="0"/>
        <w:snapToGrid w:val="0"/>
        <w:spacing w:line="360" w:lineRule="auto"/>
        <w:ind w:right="420"/>
        <w:rPr>
          <w:rFonts w:hint="eastAsia" w:ascii="宋体" w:hAnsi="宋体" w:eastAsia="宋体" w:cs="宋体"/>
          <w:color w:val="auto"/>
          <w:highlight w:val="none"/>
        </w:rPr>
      </w:pPr>
    </w:p>
    <w:p w14:paraId="1A38A22A">
      <w:pPr>
        <w:adjustRightInd w:val="0"/>
        <w:snapToGrid w:val="0"/>
        <w:spacing w:line="360" w:lineRule="auto"/>
        <w:ind w:right="420"/>
        <w:rPr>
          <w:rFonts w:hint="eastAsia" w:ascii="宋体" w:hAnsi="宋体" w:eastAsia="宋体" w:cs="宋体"/>
          <w:color w:val="auto"/>
          <w:highlight w:val="none"/>
        </w:rPr>
      </w:pPr>
    </w:p>
    <w:p w14:paraId="21B7F105">
      <w:pPr>
        <w:adjustRightInd w:val="0"/>
        <w:snapToGrid w:val="0"/>
        <w:spacing w:line="360" w:lineRule="auto"/>
        <w:ind w:right="420"/>
        <w:rPr>
          <w:rFonts w:hint="eastAsia" w:ascii="宋体" w:hAnsi="宋体" w:eastAsia="宋体" w:cs="宋体"/>
          <w:color w:val="auto"/>
          <w:highlight w:val="none"/>
        </w:rPr>
      </w:pPr>
    </w:p>
    <w:p w14:paraId="58081088">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14:paraId="74633BF1">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B7AF1F9">
      <w:pPr>
        <w:pStyle w:val="11"/>
        <w:rPr>
          <w:rFonts w:hint="eastAsia" w:ascii="宋体" w:hAnsi="宋体" w:eastAsia="宋体" w:cs="宋体"/>
          <w:color w:val="auto"/>
          <w:highlight w:val="none"/>
        </w:rPr>
      </w:pPr>
    </w:p>
    <w:p w14:paraId="686251E6">
      <w:pPr>
        <w:spacing w:line="360" w:lineRule="auto"/>
        <w:jc w:val="left"/>
        <w:rPr>
          <w:rFonts w:hint="eastAsia" w:ascii="宋体" w:hAnsi="宋体" w:eastAsia="宋体" w:cs="宋体"/>
          <w:color w:val="auto"/>
          <w:spacing w:val="4"/>
          <w:szCs w:val="24"/>
          <w:highlight w:val="none"/>
        </w:rPr>
      </w:pPr>
    </w:p>
    <w:p w14:paraId="599CE58E">
      <w:pPr>
        <w:keepNext/>
        <w:spacing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14:paraId="78B3E6D2">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r>
        <w:rPr>
          <w:rFonts w:hint="eastAsia" w:ascii="宋体" w:hAnsi="宋体" w:eastAsia="宋体" w:cs="宋体"/>
          <w:color w:val="auto"/>
          <w:spacing w:val="4"/>
          <w:szCs w:val="24"/>
          <w:highlight w:val="none"/>
          <w:u w:val="single"/>
        </w:rPr>
        <w:t xml:space="preserve"> </w:t>
      </w:r>
    </w:p>
    <w:p w14:paraId="609C6556">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项目的磋商、签约等具体工作，并签署全部有关的文件、协议及合同。</w:t>
      </w:r>
    </w:p>
    <w:p w14:paraId="3450962F">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5C13A503">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773F3E9D">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69945513">
      <w:pPr>
        <w:spacing w:line="360" w:lineRule="auto"/>
        <w:ind w:firstLine="496" w:firstLineChars="200"/>
        <w:jc w:val="left"/>
        <w:rPr>
          <w:rFonts w:hint="eastAsia" w:ascii="宋体" w:hAnsi="宋体" w:eastAsia="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113B3E4B">
        <w:tblPrEx>
          <w:tblCellMar>
            <w:top w:w="0" w:type="dxa"/>
            <w:left w:w="108" w:type="dxa"/>
            <w:bottom w:w="0" w:type="dxa"/>
            <w:right w:w="108" w:type="dxa"/>
          </w:tblCellMar>
        </w:tblPrEx>
        <w:trPr>
          <w:trHeight w:val="600" w:hRule="atLeast"/>
        </w:trPr>
        <w:tc>
          <w:tcPr>
            <w:tcW w:w="4200" w:type="dxa"/>
            <w:noWrap w:val="0"/>
            <w:vAlign w:val="top"/>
          </w:tcPr>
          <w:p w14:paraId="7E66C3F0">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5639B450">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14:paraId="32DCA75E">
        <w:tblPrEx>
          <w:tblCellMar>
            <w:top w:w="0" w:type="dxa"/>
            <w:left w:w="108" w:type="dxa"/>
            <w:bottom w:w="0" w:type="dxa"/>
            <w:right w:w="108" w:type="dxa"/>
          </w:tblCellMar>
        </w:tblPrEx>
        <w:trPr>
          <w:trHeight w:val="600" w:hRule="atLeast"/>
        </w:trPr>
        <w:tc>
          <w:tcPr>
            <w:tcW w:w="4200" w:type="dxa"/>
            <w:noWrap w:val="0"/>
            <w:vAlign w:val="top"/>
          </w:tcPr>
          <w:p w14:paraId="6683BDF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62DBFCBF">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4C1F9BE9">
        <w:tblPrEx>
          <w:tblCellMar>
            <w:top w:w="0" w:type="dxa"/>
            <w:left w:w="108" w:type="dxa"/>
            <w:bottom w:w="0" w:type="dxa"/>
            <w:right w:w="108" w:type="dxa"/>
          </w:tblCellMar>
        </w:tblPrEx>
        <w:trPr>
          <w:trHeight w:val="600" w:hRule="atLeast"/>
        </w:trPr>
        <w:tc>
          <w:tcPr>
            <w:tcW w:w="4200" w:type="dxa"/>
            <w:noWrap w:val="0"/>
            <w:vAlign w:val="top"/>
          </w:tcPr>
          <w:p w14:paraId="0B5AA40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31E3CEAC">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000D046E">
        <w:tblPrEx>
          <w:tblCellMar>
            <w:top w:w="0" w:type="dxa"/>
            <w:left w:w="108" w:type="dxa"/>
            <w:bottom w:w="0" w:type="dxa"/>
            <w:right w:w="108" w:type="dxa"/>
          </w:tblCellMar>
        </w:tblPrEx>
        <w:trPr>
          <w:trHeight w:val="600" w:hRule="atLeast"/>
        </w:trPr>
        <w:tc>
          <w:tcPr>
            <w:tcW w:w="4200" w:type="dxa"/>
            <w:noWrap w:val="0"/>
            <w:vAlign w:val="top"/>
          </w:tcPr>
          <w:p w14:paraId="7D952D02">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1E7331C9">
            <w:pPr>
              <w:spacing w:line="360" w:lineRule="auto"/>
              <w:jc w:val="left"/>
              <w:rPr>
                <w:rFonts w:hint="eastAsia" w:ascii="宋体" w:hAnsi="宋体" w:eastAsia="宋体" w:cs="宋体"/>
                <w:color w:val="auto"/>
                <w:spacing w:val="4"/>
                <w:szCs w:val="24"/>
                <w:highlight w:val="none"/>
              </w:rPr>
            </w:pPr>
          </w:p>
        </w:tc>
      </w:tr>
    </w:tbl>
    <w:p w14:paraId="2E8D92F2">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14:paraId="00475E89">
      <w:pPr>
        <w:spacing w:line="360" w:lineRule="auto"/>
        <w:rPr>
          <w:rFonts w:hint="eastAsia" w:ascii="宋体" w:hAnsi="宋体" w:eastAsia="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C5AB2E3">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25DE9F6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1568D97D">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0BD2D435">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5D81AAD9">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5E1B40F2">
      <w:pPr>
        <w:spacing w:line="360" w:lineRule="auto"/>
        <w:ind w:firstLine="510"/>
        <w:rPr>
          <w:rFonts w:hint="eastAsia" w:ascii="宋体" w:hAnsi="宋体" w:eastAsia="宋体" w:cs="宋体"/>
          <w:color w:val="auto"/>
          <w:spacing w:val="4"/>
          <w:szCs w:val="24"/>
          <w:highlight w:val="none"/>
        </w:rPr>
      </w:pPr>
    </w:p>
    <w:p w14:paraId="5D0A88CC">
      <w:pPr>
        <w:spacing w:beforeLines="50"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14:paraId="2483D0BA">
      <w:pPr>
        <w:spacing w:beforeLines="50"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p>
    <w:p w14:paraId="209D31A4">
      <w:pPr>
        <w:rPr>
          <w:rFonts w:hint="eastAsia" w:hAnsi="宋体" w:cs="宋体"/>
          <w:color w:val="auto"/>
          <w:spacing w:val="4"/>
          <w:szCs w:val="30"/>
          <w:highlight w:val="none"/>
        </w:rPr>
      </w:pPr>
      <w:r>
        <w:rPr>
          <w:rFonts w:hint="eastAsia" w:ascii="宋体" w:hAnsi="宋体" w:eastAsia="宋体" w:cs="宋体"/>
          <w:b/>
          <w:color w:val="auto"/>
          <w:sz w:val="28"/>
          <w:szCs w:val="28"/>
          <w:highlight w:val="none"/>
          <w:lang w:val="en-US" w:eastAsia="zh-CN"/>
        </w:rPr>
        <w:br w:type="page"/>
      </w:r>
      <w:bookmarkStart w:id="164" w:name="_Toc17295"/>
      <w:bookmarkStart w:id="165" w:name="_Toc11767"/>
    </w:p>
    <w:p w14:paraId="62962F22">
      <w:pPr>
        <w:widowControl/>
        <w:spacing w:line="360" w:lineRule="auto"/>
        <w:ind w:left="1" w:firstLine="281" w:firstLineChars="100"/>
        <w:rPr>
          <w:rFonts w:hint="eastAsia" w:ascii="宋体" w:hAnsi="宋体" w:eastAsia="宋体" w:cs="宋体"/>
          <w:b/>
          <w:color w:val="auto"/>
          <w:kern w:val="0"/>
          <w:sz w:val="28"/>
          <w:szCs w:val="28"/>
          <w:highlight w:val="none"/>
        </w:rPr>
      </w:pPr>
    </w:p>
    <w:p w14:paraId="0F554326">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7986516A">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3A5C1CA0">
      <w:pPr>
        <w:pStyle w:val="21"/>
        <w:wordWrap w:val="0"/>
        <w:spacing w:beforeAutospacing="0" w:afterAutospacing="0" w:line="560" w:lineRule="exact"/>
        <w:rPr>
          <w:rFonts w:hint="eastAsia" w:ascii="宋体" w:hAnsi="宋体" w:eastAsia="宋体" w:cs="宋体"/>
          <w:color w:val="auto"/>
          <w:highlight w:val="none"/>
          <w:u w:val="single"/>
          <w:shd w:val="clear" w:color="auto" w:fill="FFFFFF"/>
        </w:rPr>
      </w:pPr>
    </w:p>
    <w:p w14:paraId="3D2A792B">
      <w:pPr>
        <w:pStyle w:val="21"/>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4BC5C4EC">
      <w:pPr>
        <w:pStyle w:val="21"/>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）的供应商，在此郑重声明：</w:t>
      </w:r>
    </w:p>
    <w:p w14:paraId="51F33E5C">
      <w:pPr>
        <w:pStyle w:val="21"/>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812D2A0">
      <w:pPr>
        <w:pStyle w:val="21"/>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如有不实，我方将无条件地退出本项目的采购活动，并遵照《</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highlight w:val="none"/>
          <w:shd w:val="clear" w:color="auto" w:fill="FFFFFF"/>
        </w:rPr>
        <w:t xml:space="preserve">政府采购法》有关“提供虚假材料的规定”接受处罚。 </w:t>
      </w:r>
    </w:p>
    <w:p w14:paraId="66055011">
      <w:pPr>
        <w:pStyle w:val="21"/>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360E60C7">
      <w:pPr>
        <w:pStyle w:val="21"/>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21A30F36">
      <w:pPr>
        <w:spacing w:line="480" w:lineRule="auto"/>
        <w:ind w:firstLine="3360" w:firstLineChars="1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CC5777">
      <w:pPr>
        <w:pStyle w:val="33"/>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FB4AC8">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9D21221">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14:paraId="7FF0E271">
      <w:pPr>
        <w:pStyle w:val="8"/>
        <w:rPr>
          <w:rFonts w:hint="eastAsia"/>
          <w:color w:val="auto"/>
          <w:highlight w:val="none"/>
        </w:rPr>
      </w:pPr>
    </w:p>
    <w:p w14:paraId="251BFF4A">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77CCB4C8">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151E7DE6">
      <w:pPr>
        <w:bidi w:val="0"/>
        <w:rPr>
          <w:rFonts w:hint="eastAsia"/>
          <w:color w:val="auto"/>
          <w:highlight w:val="none"/>
        </w:rPr>
      </w:pPr>
    </w:p>
    <w:p w14:paraId="60DA9422">
      <w:pPr>
        <w:pStyle w:val="15"/>
        <w:adjustRightInd w:val="0"/>
        <w:snapToGrid w:val="0"/>
        <w:spacing w:line="720" w:lineRule="exact"/>
        <w:jc w:val="center"/>
        <w:rPr>
          <w:rFonts w:hint="eastAsia" w:ascii="宋体" w:hAnsi="宋体" w:eastAsia="宋体" w:cs="宋体"/>
          <w:b/>
          <w:color w:val="auto"/>
          <w:sz w:val="28"/>
          <w:szCs w:val="28"/>
          <w:highlight w:val="none"/>
        </w:rPr>
      </w:pPr>
    </w:p>
    <w:p w14:paraId="06BD8514">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220D3BD3">
      <w:pPr>
        <w:pStyle w:val="15"/>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20EE343B">
      <w:pPr>
        <w:pStyle w:val="15"/>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7B314D74">
      <w:pPr>
        <w:pStyle w:val="15"/>
        <w:adjustRightInd w:val="0"/>
        <w:snapToGrid w:val="0"/>
        <w:spacing w:line="720" w:lineRule="exact"/>
        <w:rPr>
          <w:rFonts w:hint="eastAsia" w:ascii="宋体" w:hAnsi="宋体" w:eastAsia="宋体" w:cs="宋体"/>
          <w:color w:val="auto"/>
          <w:spacing w:val="4"/>
          <w:sz w:val="24"/>
          <w:szCs w:val="24"/>
          <w:highlight w:val="none"/>
        </w:rPr>
      </w:pPr>
    </w:p>
    <w:p w14:paraId="2988780B">
      <w:pPr>
        <w:pStyle w:val="15"/>
        <w:adjustRightInd w:val="0"/>
        <w:snapToGrid w:val="0"/>
        <w:spacing w:line="720" w:lineRule="exact"/>
        <w:rPr>
          <w:rFonts w:hint="eastAsia" w:ascii="宋体" w:hAnsi="宋体" w:eastAsia="宋体" w:cs="宋体"/>
          <w:color w:val="auto"/>
          <w:spacing w:val="4"/>
          <w:sz w:val="24"/>
          <w:szCs w:val="24"/>
          <w:highlight w:val="none"/>
        </w:rPr>
      </w:pPr>
    </w:p>
    <w:p w14:paraId="19DEDBA7">
      <w:pPr>
        <w:pStyle w:val="15"/>
        <w:adjustRightInd w:val="0"/>
        <w:snapToGrid w:val="0"/>
        <w:spacing w:line="720" w:lineRule="exact"/>
        <w:rPr>
          <w:rFonts w:hint="eastAsia" w:ascii="宋体" w:hAnsi="宋体" w:eastAsia="宋体" w:cs="宋体"/>
          <w:color w:val="auto"/>
          <w:spacing w:val="4"/>
          <w:sz w:val="24"/>
          <w:szCs w:val="24"/>
          <w:highlight w:val="none"/>
        </w:rPr>
      </w:pPr>
    </w:p>
    <w:p w14:paraId="161E395D">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640F024">
      <w:pPr>
        <w:pStyle w:val="33"/>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CFE644">
      <w:pPr>
        <w:rPr>
          <w:rFonts w:hint="eastAsia" w:hAnsi="宋体" w:cs="宋体"/>
          <w:color w:val="auto"/>
          <w:spacing w:val="4"/>
          <w:szCs w:val="30"/>
          <w:highlight w:val="none"/>
        </w:rPr>
      </w:pPr>
      <w:r>
        <w:rPr>
          <w:rFonts w:hint="eastAsia" w:hAnsi="宋体" w:cs="宋体"/>
          <w:color w:val="auto"/>
          <w:spacing w:val="4"/>
          <w:szCs w:val="30"/>
          <w:highlight w:val="none"/>
        </w:rPr>
        <w:br w:type="page"/>
      </w:r>
    </w:p>
    <w:p w14:paraId="3E7DE12F">
      <w:pPr>
        <w:spacing w:before="100" w:beforeAutospacing="1" w:afterLines="50" w:line="360" w:lineRule="auto"/>
        <w:jc w:val="left"/>
        <w:outlineLvl w:val="2"/>
        <w:rPr>
          <w:rFonts w:hint="eastAsia" w:ascii="宋体" w:hAnsi="宋体" w:eastAsia="宋体" w:cs="宋体"/>
          <w:b/>
          <w:color w:val="auto"/>
          <w:sz w:val="28"/>
          <w:szCs w:val="28"/>
          <w:highlight w:val="none"/>
          <w:lang w:val="en-US" w:eastAsia="zh-CN"/>
        </w:rPr>
      </w:pPr>
      <w:bookmarkStart w:id="166" w:name="_Toc29482"/>
      <w:r>
        <w:rPr>
          <w:rFonts w:hint="eastAsia" w:ascii="宋体" w:hAnsi="宋体" w:eastAsia="宋体" w:cs="宋体"/>
          <w:b/>
          <w:color w:val="auto"/>
          <w:sz w:val="28"/>
          <w:szCs w:val="28"/>
          <w:highlight w:val="none"/>
          <w:lang w:val="en-US" w:eastAsia="zh-CN"/>
        </w:rPr>
        <w:t>附件2：中小企业声明函</w:t>
      </w:r>
      <w:bookmarkEnd w:id="164"/>
      <w:bookmarkEnd w:id="165"/>
      <w:bookmarkEnd w:id="166"/>
    </w:p>
    <w:p w14:paraId="4B48C970">
      <w:pPr>
        <w:spacing w:before="156" w:beforeLines="50" w:after="156" w:afterLines="50" w:line="360" w:lineRule="auto"/>
        <w:jc w:val="center"/>
        <w:rPr>
          <w:rFonts w:hint="eastAsia" w:hAnsi="宋体" w:cs="宋体"/>
          <w:b/>
          <w:color w:val="auto"/>
          <w:sz w:val="28"/>
          <w:szCs w:val="28"/>
          <w:highlight w:val="none"/>
        </w:rPr>
      </w:pPr>
      <w:bookmarkStart w:id="167" w:name="_Toc13836"/>
    </w:p>
    <w:p w14:paraId="4EB69C64">
      <w:pPr>
        <w:spacing w:before="156" w:beforeLines="50" w:after="156" w:afterLines="50" w:line="360" w:lineRule="auto"/>
        <w:jc w:val="center"/>
        <w:rPr>
          <w:rFonts w:hint="eastAsia" w:hAnsi="宋体" w:cs="宋体"/>
          <w:color w:val="auto"/>
          <w:szCs w:val="24"/>
          <w:highlight w:val="none"/>
        </w:rPr>
      </w:pPr>
      <w:r>
        <w:rPr>
          <w:rFonts w:hint="eastAsia" w:hAnsi="宋体" w:cs="宋体"/>
          <w:b/>
          <w:color w:val="auto"/>
          <w:sz w:val="28"/>
          <w:szCs w:val="28"/>
          <w:highlight w:val="none"/>
        </w:rPr>
        <w:t>中小企业声明函</w:t>
      </w:r>
    </w:p>
    <w:p w14:paraId="648EFE81">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69FB2E5E">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370D1514">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D0C3E30">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rPr>
        <w:t>……</w:t>
      </w:r>
    </w:p>
    <w:p w14:paraId="770ACAAA">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61C02598">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D831244">
      <w:pPr>
        <w:tabs>
          <w:tab w:val="left" w:pos="1620"/>
          <w:tab w:val="left" w:pos="1800"/>
        </w:tabs>
        <w:spacing w:line="500" w:lineRule="exact"/>
        <w:rPr>
          <w:rFonts w:hint="eastAsia" w:hAnsi="宋体" w:cs="宋体"/>
          <w:color w:val="auto"/>
          <w:szCs w:val="24"/>
          <w:highlight w:val="none"/>
        </w:rPr>
      </w:pPr>
    </w:p>
    <w:p w14:paraId="3CF0CBC1">
      <w:pPr>
        <w:tabs>
          <w:tab w:val="left" w:pos="1620"/>
          <w:tab w:val="left" w:pos="1800"/>
        </w:tabs>
        <w:spacing w:line="500" w:lineRule="exact"/>
        <w:rPr>
          <w:rFonts w:hint="eastAsia" w:hAnsi="宋体" w:cs="宋体"/>
          <w:color w:val="auto"/>
          <w:szCs w:val="24"/>
          <w:highlight w:val="none"/>
        </w:rPr>
      </w:pPr>
    </w:p>
    <w:p w14:paraId="5B06BA73">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企业名称（盖章）：</w:t>
      </w:r>
    </w:p>
    <w:p w14:paraId="2F39D90E">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日期：</w:t>
      </w:r>
    </w:p>
    <w:p w14:paraId="061FD426">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167"/>
    <w:p w14:paraId="3CFE0DDE">
      <w:pPr>
        <w:spacing w:before="100" w:beforeAutospacing="1" w:afterLines="50" w:line="360" w:lineRule="auto"/>
        <w:outlineLvl w:val="2"/>
        <w:rPr>
          <w:rFonts w:hint="eastAsia" w:ascii="宋体" w:hAnsi="宋体" w:eastAsia="宋体" w:cs="宋体"/>
          <w:b/>
          <w:bCs/>
          <w:color w:val="auto"/>
          <w:spacing w:val="6"/>
          <w:sz w:val="30"/>
          <w:szCs w:val="30"/>
          <w:highlight w:val="none"/>
          <w:lang w:eastAsia="zh-CN"/>
        </w:rPr>
      </w:pPr>
      <w:bookmarkStart w:id="168" w:name="_Toc11235"/>
      <w:bookmarkStart w:id="169" w:name="_Toc11066"/>
      <w:bookmarkStart w:id="170" w:name="_Toc22425"/>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3</w:t>
      </w:r>
      <w:r>
        <w:rPr>
          <w:rFonts w:hint="eastAsia" w:ascii="宋体" w:hAnsi="宋体" w:eastAsia="宋体" w:cs="宋体"/>
          <w:b/>
          <w:bCs/>
          <w:color w:val="auto"/>
          <w:spacing w:val="6"/>
          <w:sz w:val="30"/>
          <w:szCs w:val="30"/>
          <w:highlight w:val="none"/>
        </w:rPr>
        <w:t>：残疾人福利性单位声明函</w:t>
      </w:r>
      <w:r>
        <w:rPr>
          <w:rFonts w:hint="eastAsia" w:ascii="宋体" w:hAnsi="宋体" w:eastAsia="宋体" w:cs="宋体"/>
          <w:b/>
          <w:bCs/>
          <w:color w:val="auto"/>
          <w:spacing w:val="6"/>
          <w:sz w:val="30"/>
          <w:szCs w:val="30"/>
          <w:highlight w:val="none"/>
          <w:lang w:eastAsia="zh-CN"/>
        </w:rPr>
        <w:t>（</w:t>
      </w:r>
      <w:r>
        <w:rPr>
          <w:rFonts w:hint="eastAsia" w:ascii="宋体" w:hAnsi="宋体" w:eastAsia="宋体" w:cs="宋体"/>
          <w:b/>
          <w:bCs/>
          <w:color w:val="auto"/>
          <w:spacing w:val="6"/>
          <w:sz w:val="30"/>
          <w:szCs w:val="30"/>
          <w:highlight w:val="none"/>
          <w:lang w:val="en-US" w:eastAsia="zh-CN"/>
        </w:rPr>
        <w:t>如有</w:t>
      </w:r>
      <w:r>
        <w:rPr>
          <w:rFonts w:hint="eastAsia" w:ascii="宋体" w:hAnsi="宋体" w:eastAsia="宋体" w:cs="宋体"/>
          <w:b/>
          <w:bCs/>
          <w:color w:val="auto"/>
          <w:spacing w:val="6"/>
          <w:sz w:val="30"/>
          <w:szCs w:val="30"/>
          <w:highlight w:val="none"/>
          <w:lang w:eastAsia="zh-CN"/>
        </w:rPr>
        <w:t>）</w:t>
      </w:r>
      <w:bookmarkEnd w:id="168"/>
      <w:bookmarkEnd w:id="169"/>
      <w:bookmarkEnd w:id="170"/>
    </w:p>
    <w:p w14:paraId="0CCA8B83">
      <w:pPr>
        <w:spacing w:line="588" w:lineRule="exact"/>
        <w:jc w:val="center"/>
        <w:outlineLvl w:val="9"/>
        <w:rPr>
          <w:rFonts w:hint="eastAsia" w:ascii="宋体" w:hAnsi="宋体" w:eastAsia="宋体" w:cs="宋体"/>
          <w:b/>
          <w:color w:val="auto"/>
          <w:spacing w:val="6"/>
          <w:sz w:val="32"/>
          <w:szCs w:val="32"/>
          <w:highlight w:val="none"/>
        </w:rPr>
      </w:pPr>
      <w:bookmarkStart w:id="171" w:name="OLE_LINK13"/>
      <w:bookmarkStart w:id="172" w:name="OLE_LINK14"/>
      <w:r>
        <w:rPr>
          <w:rFonts w:hint="eastAsia" w:ascii="宋体" w:hAnsi="宋体" w:eastAsia="宋体" w:cs="宋体"/>
          <w:b/>
          <w:color w:val="auto"/>
          <w:spacing w:val="6"/>
          <w:sz w:val="32"/>
          <w:szCs w:val="32"/>
          <w:highlight w:val="none"/>
        </w:rPr>
        <w:t>残疾人福利性单位声明函</w:t>
      </w:r>
    </w:p>
    <w:bookmarkEnd w:id="171"/>
    <w:bookmarkEnd w:id="172"/>
    <w:p w14:paraId="485EF9EE">
      <w:pPr>
        <w:spacing w:line="588" w:lineRule="exact"/>
        <w:rPr>
          <w:rFonts w:hint="eastAsia" w:ascii="宋体" w:hAnsi="宋体" w:eastAsia="宋体" w:cs="宋体"/>
          <w:b/>
          <w:color w:val="auto"/>
          <w:spacing w:val="6"/>
          <w:sz w:val="30"/>
          <w:szCs w:val="30"/>
          <w:highlight w:val="none"/>
        </w:rPr>
      </w:pPr>
    </w:p>
    <w:p w14:paraId="19265A7C">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7E715E">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1F44752C">
      <w:pPr>
        <w:spacing w:line="588" w:lineRule="exact"/>
        <w:ind w:firstLine="504" w:firstLineChars="200"/>
        <w:rPr>
          <w:rFonts w:hint="eastAsia" w:ascii="宋体" w:hAnsi="宋体" w:eastAsia="宋体" w:cs="宋体"/>
          <w:color w:val="auto"/>
          <w:spacing w:val="6"/>
          <w:szCs w:val="24"/>
          <w:highlight w:val="none"/>
        </w:rPr>
      </w:pPr>
    </w:p>
    <w:p w14:paraId="55F2584F">
      <w:pPr>
        <w:spacing w:line="588" w:lineRule="exact"/>
        <w:ind w:firstLine="504" w:firstLineChars="200"/>
        <w:rPr>
          <w:rFonts w:hint="eastAsia" w:ascii="宋体" w:hAnsi="宋体" w:eastAsia="宋体" w:cs="宋体"/>
          <w:color w:val="auto"/>
          <w:spacing w:val="6"/>
          <w:szCs w:val="24"/>
          <w:highlight w:val="none"/>
        </w:rPr>
      </w:pPr>
    </w:p>
    <w:p w14:paraId="46809EC3">
      <w:pPr>
        <w:spacing w:line="588" w:lineRule="exact"/>
        <w:ind w:firstLine="504" w:firstLineChars="200"/>
        <w:rPr>
          <w:rFonts w:hint="eastAsia" w:ascii="宋体" w:hAnsi="宋体" w:eastAsia="宋体" w:cs="宋体"/>
          <w:color w:val="auto"/>
          <w:spacing w:val="6"/>
          <w:szCs w:val="24"/>
          <w:highlight w:val="none"/>
        </w:rPr>
      </w:pPr>
    </w:p>
    <w:p w14:paraId="133569E8">
      <w:pPr>
        <w:spacing w:line="588" w:lineRule="exact"/>
        <w:ind w:firstLine="504" w:firstLineChars="200"/>
        <w:rPr>
          <w:rFonts w:hint="eastAsia" w:ascii="宋体" w:hAnsi="宋体" w:eastAsia="宋体" w:cs="宋体"/>
          <w:color w:val="auto"/>
          <w:spacing w:val="6"/>
          <w:szCs w:val="24"/>
          <w:highlight w:val="none"/>
        </w:rPr>
      </w:pPr>
    </w:p>
    <w:p w14:paraId="48222B31">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1440CE6D">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70D21767">
      <w:pPr>
        <w:spacing w:line="360" w:lineRule="auto"/>
        <w:outlineLvl w:val="2"/>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173" w:name="_Toc2139"/>
      <w:bookmarkStart w:id="174" w:name="_Toc2119"/>
      <w:bookmarkStart w:id="175" w:name="_Toc29109"/>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：质疑函范本</w:t>
      </w:r>
      <w:bookmarkEnd w:id="173"/>
      <w:bookmarkEnd w:id="174"/>
      <w:bookmarkEnd w:id="175"/>
    </w:p>
    <w:p w14:paraId="57D86945">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15DCFEBC">
      <w:pPr>
        <w:adjustRightInd w:val="0"/>
        <w:snapToGrid w:val="0"/>
        <w:spacing w:beforeLines="100"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56285AA">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A986382">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ECCC0A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C1C7BD1">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3FA4E17">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602A2C9">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1019FAE">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46323E2">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317A450">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A94CA7A">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5CE6AB8">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757BC4C3">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037D19E8">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AA3DC3B">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254C6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B2D7562">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A5389F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BAA3FA3">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67BD01F">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C47F3F7">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58E3894">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B92749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CC089BF">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4B712B4">
      <w:pPr>
        <w:jc w:val="center"/>
        <w:rPr>
          <w:rFonts w:hint="eastAsia" w:ascii="宋体" w:hAnsi="宋体" w:eastAsia="宋体" w:cs="宋体"/>
          <w:b/>
          <w:color w:val="auto"/>
          <w:sz w:val="44"/>
          <w:szCs w:val="44"/>
          <w:highlight w:val="none"/>
        </w:rPr>
      </w:pPr>
    </w:p>
    <w:p w14:paraId="060B6020">
      <w:pPr>
        <w:jc w:val="center"/>
        <w:rPr>
          <w:rFonts w:hint="eastAsia" w:ascii="宋体" w:hAnsi="宋体" w:eastAsia="宋体" w:cs="宋体"/>
          <w:b/>
          <w:color w:val="auto"/>
          <w:sz w:val="44"/>
          <w:szCs w:val="44"/>
          <w:highlight w:val="none"/>
        </w:rPr>
      </w:pPr>
    </w:p>
    <w:p w14:paraId="510BC9D4">
      <w:pPr>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14CD301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54DD4ED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C480F6A">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DEF07DA">
      <w:pPr>
        <w:tabs>
          <w:tab w:val="left" w:pos="6510"/>
        </w:tabs>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A49DFB9">
      <w:pPr>
        <w:tabs>
          <w:tab w:val="left" w:pos="6510"/>
        </w:tabs>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8D64EE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CC47A2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77FB48A1">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66CB0A5">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52D3CF2">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CE6F853">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15E647B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A75393E">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A886037">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278FEC6">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E121DF8">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0F86A548">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0E4EA0B2">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E4E8F3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431A247F">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2CD6A42E">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74110DC9">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6110CF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11840AE">
      <w:pPr>
        <w:ind w:firstLine="480" w:firstLineChars="200"/>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57436DE3">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09BF93A">
      <w:pPr>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66D2D37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63CD405F">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3AEBD659">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9507E48">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582357D">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5654F10">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6AC1B5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4D93AFF1">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9400C59">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6BBB896C">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A36226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089BAD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6E8B135">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1"/>
          <w:szCs w:val="21"/>
          <w:highlight w:val="none"/>
        </w:rPr>
        <w:t xml:space="preserve">                  </w:t>
      </w:r>
    </w:p>
    <w:p w14:paraId="4E4FEE0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169856CC">
      <w:pPr>
        <w:tabs>
          <w:tab w:val="left" w:pos="7839"/>
        </w:tabs>
        <w:rPr>
          <w:color w:val="auto"/>
          <w:highlight w:val="none"/>
        </w:rPr>
      </w:pPr>
      <w:r>
        <w:rPr>
          <w:rFonts w:hint="eastAsia" w:ascii="宋体" w:hAnsi="宋体" w:eastAsia="宋体" w:cs="宋体"/>
          <w:color w:val="auto"/>
          <w:szCs w:val="24"/>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E400">
    <w:pPr>
      <w:pStyle w:val="16"/>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E0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097E">
    <w:pPr>
      <w:pStyle w:val="16"/>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51EA23A">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651EA23A">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F2F0">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F45CEA4">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2F45CEA4">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FBFD">
    <w:pPr>
      <w:tabs>
        <w:tab w:val="left" w:pos="5646"/>
      </w:tabs>
      <w:rPr>
        <w:sz w:val="18"/>
        <w:szCs w:val="18"/>
      </w:rPr>
    </w:pPr>
  </w:p>
  <w:p w14:paraId="449B0F2A">
    <w:pPr>
      <w:pStyle w:val="16"/>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4585157">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4585157">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91E7">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6DB3B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06DB3B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1C">
    <w:pPr>
      <w:spacing w:line="500" w:lineRule="exact"/>
      <w:ind w:left="1530" w:hanging="1530" w:hangingChars="850"/>
      <w:jc w:val="left"/>
      <w:rPr>
        <w:rFonts w:hAnsi="宋体" w:cs="宋体"/>
        <w:sz w:val="22"/>
        <w:szCs w:val="22"/>
      </w:rPr>
    </w:pPr>
    <w:r>
      <w:rPr>
        <w:rFonts w:hint="eastAsia" w:hAnsi="宋体"/>
        <w:bCs/>
        <w:sz w:val="18"/>
        <w:szCs w:val="18"/>
        <w:u w:val="single"/>
        <w:lang w:eastAsia="zh-CN"/>
      </w:rPr>
      <w:t>核磁共振维保服务采购项目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2F2E">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246C">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D302C"/>
    <w:multiLevelType w:val="singleLevel"/>
    <w:tmpl w:val="949D302C"/>
    <w:lvl w:ilvl="0" w:tentative="0">
      <w:start w:val="1"/>
      <w:numFmt w:val="decimal"/>
      <w:lvlText w:val="%1."/>
      <w:lvlJc w:val="left"/>
      <w:pPr>
        <w:ind w:left="425" w:hanging="425"/>
      </w:pPr>
      <w:rPr>
        <w:rFonts w:hint="default"/>
      </w:rPr>
    </w:lvl>
  </w:abstractNum>
  <w:abstractNum w:abstractNumId="1">
    <w:nsid w:val="98BA116E"/>
    <w:multiLevelType w:val="singleLevel"/>
    <w:tmpl w:val="98BA116E"/>
    <w:lvl w:ilvl="0" w:tentative="0">
      <w:start w:val="1"/>
      <w:numFmt w:val="decimal"/>
      <w:lvlText w:val="%1."/>
      <w:lvlJc w:val="left"/>
      <w:pPr>
        <w:ind w:left="425" w:hanging="425"/>
      </w:pPr>
      <w:rPr>
        <w:rFonts w:hint="default"/>
      </w:rPr>
    </w:lvl>
  </w:abstractNum>
  <w:abstractNum w:abstractNumId="2">
    <w:nsid w:val="A77DED93"/>
    <w:multiLevelType w:val="singleLevel"/>
    <w:tmpl w:val="A77DED93"/>
    <w:lvl w:ilvl="0" w:tentative="0">
      <w:start w:val="1"/>
      <w:numFmt w:val="decimal"/>
      <w:lvlText w:val="%1."/>
      <w:lvlJc w:val="left"/>
      <w:pPr>
        <w:ind w:left="425" w:hanging="425"/>
      </w:pPr>
      <w:rPr>
        <w:rFonts w:hint="default"/>
      </w:rPr>
    </w:lvl>
  </w:abstractNum>
  <w:abstractNum w:abstractNumId="3">
    <w:nsid w:val="C822FBB9"/>
    <w:multiLevelType w:val="singleLevel"/>
    <w:tmpl w:val="C822FBB9"/>
    <w:lvl w:ilvl="0" w:tentative="0">
      <w:start w:val="1"/>
      <w:numFmt w:val="decimal"/>
      <w:lvlText w:val="%1."/>
      <w:lvlJc w:val="left"/>
      <w:pPr>
        <w:ind w:left="425" w:hanging="425"/>
      </w:pPr>
      <w:rPr>
        <w:rFonts w:hint="default"/>
      </w:rPr>
    </w:lvl>
  </w:abstractNum>
  <w:abstractNum w:abstractNumId="4">
    <w:nsid w:val="DE9AF1A2"/>
    <w:multiLevelType w:val="singleLevel"/>
    <w:tmpl w:val="DE9AF1A2"/>
    <w:lvl w:ilvl="0" w:tentative="0">
      <w:start w:val="1"/>
      <w:numFmt w:val="chineseCounting"/>
      <w:suff w:val="nothing"/>
      <w:lvlText w:val="%1、"/>
      <w:lvlJc w:val="left"/>
      <w:pPr>
        <w:ind w:left="120" w:firstLine="0"/>
      </w:pPr>
      <w:rPr>
        <w:rFonts w:hint="eastAsia"/>
      </w:rPr>
    </w:lvl>
  </w:abstractNum>
  <w:abstractNum w:abstractNumId="5">
    <w:nsid w:val="1231AB52"/>
    <w:multiLevelType w:val="multilevel"/>
    <w:tmpl w:val="1231AB5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1D565E01"/>
    <w:multiLevelType w:val="singleLevel"/>
    <w:tmpl w:val="1D565E01"/>
    <w:lvl w:ilvl="0" w:tentative="0">
      <w:start w:val="1"/>
      <w:numFmt w:val="decimal"/>
      <w:lvlText w:val="%1."/>
      <w:lvlJc w:val="left"/>
      <w:pPr>
        <w:ind w:left="425" w:hanging="425"/>
      </w:pPr>
      <w:rPr>
        <w:rFonts w:hint="default"/>
      </w:rPr>
    </w:lvl>
  </w:abstractNum>
  <w:abstractNum w:abstractNumId="7">
    <w:nsid w:val="3345DCC0"/>
    <w:multiLevelType w:val="singleLevel"/>
    <w:tmpl w:val="3345DCC0"/>
    <w:lvl w:ilvl="0" w:tentative="0">
      <w:start w:val="1"/>
      <w:numFmt w:val="decimal"/>
      <w:suff w:val="nothing"/>
      <w:lvlText w:val="%1）"/>
      <w:lvlJc w:val="left"/>
    </w:lvl>
  </w:abstractNum>
  <w:abstractNum w:abstractNumId="8">
    <w:nsid w:val="33CEC18F"/>
    <w:multiLevelType w:val="singleLevel"/>
    <w:tmpl w:val="33CEC18F"/>
    <w:lvl w:ilvl="0" w:tentative="0">
      <w:start w:val="3"/>
      <w:numFmt w:val="chineseCounting"/>
      <w:suff w:val="space"/>
      <w:lvlText w:val="第%1章"/>
      <w:lvlJc w:val="left"/>
      <w:rPr>
        <w:rFonts w:hint="eastAsia"/>
      </w:rPr>
    </w:lvl>
  </w:abstractNum>
  <w:abstractNum w:abstractNumId="9">
    <w:nsid w:val="3E58C8B8"/>
    <w:multiLevelType w:val="singleLevel"/>
    <w:tmpl w:val="3E58C8B8"/>
    <w:lvl w:ilvl="0" w:tentative="0">
      <w:start w:val="1"/>
      <w:numFmt w:val="decimal"/>
      <w:lvlText w:val="%1."/>
      <w:lvlJc w:val="left"/>
      <w:pPr>
        <w:ind w:left="425" w:hanging="425"/>
      </w:pPr>
      <w:rPr>
        <w:rFonts w:hint="default"/>
      </w:rPr>
    </w:lvl>
  </w:abstractNum>
  <w:abstractNum w:abstractNumId="10">
    <w:nsid w:val="46015522"/>
    <w:multiLevelType w:val="singleLevel"/>
    <w:tmpl w:val="46015522"/>
    <w:lvl w:ilvl="0" w:tentative="0">
      <w:start w:val="1"/>
      <w:numFmt w:val="decimal"/>
      <w:lvlText w:val="%1."/>
      <w:lvlJc w:val="left"/>
      <w:pPr>
        <w:ind w:left="425" w:hanging="425"/>
      </w:pPr>
      <w:rPr>
        <w:rFonts w:hint="default"/>
      </w:rPr>
    </w:lvl>
  </w:abstractNum>
  <w:abstractNum w:abstractNumId="11">
    <w:nsid w:val="523015E3"/>
    <w:multiLevelType w:val="singleLevel"/>
    <w:tmpl w:val="523015E3"/>
    <w:lvl w:ilvl="0" w:tentative="0">
      <w:start w:val="1"/>
      <w:numFmt w:val="decimal"/>
      <w:lvlText w:val="%1."/>
      <w:lvlJc w:val="left"/>
      <w:pPr>
        <w:ind w:left="425" w:hanging="425"/>
      </w:pPr>
      <w:rPr>
        <w:rFonts w:hint="default"/>
      </w:rPr>
    </w:lvl>
  </w:abstractNum>
  <w:abstractNum w:abstractNumId="12">
    <w:nsid w:val="590049E8"/>
    <w:multiLevelType w:val="singleLevel"/>
    <w:tmpl w:val="590049E8"/>
    <w:lvl w:ilvl="0" w:tentative="0">
      <w:start w:val="30"/>
      <w:numFmt w:val="decimal"/>
      <w:suff w:val="nothing"/>
      <w:lvlText w:val="%1."/>
      <w:lvlJc w:val="left"/>
    </w:lvl>
  </w:abstractNum>
  <w:abstractNum w:abstractNumId="13">
    <w:nsid w:val="59B2460E"/>
    <w:multiLevelType w:val="singleLevel"/>
    <w:tmpl w:val="59B2460E"/>
    <w:lvl w:ilvl="0" w:tentative="0">
      <w:start w:val="2"/>
      <w:numFmt w:val="decimal"/>
      <w:suff w:val="nothing"/>
      <w:lvlText w:val="%1."/>
      <w:lvlJc w:val="left"/>
    </w:lvl>
  </w:abstractNum>
  <w:abstractNum w:abstractNumId="14">
    <w:nsid w:val="59CF0981"/>
    <w:multiLevelType w:val="singleLevel"/>
    <w:tmpl w:val="59CF0981"/>
    <w:lvl w:ilvl="0" w:tentative="0">
      <w:start w:val="1"/>
      <w:numFmt w:val="decimal"/>
      <w:suff w:val="nothing"/>
      <w:lvlText w:val="%1、"/>
      <w:lvlJc w:val="left"/>
    </w:lvl>
  </w:abstractNum>
  <w:num w:numId="1">
    <w:abstractNumId w:val="5"/>
  </w:num>
  <w:num w:numId="2">
    <w:abstractNumId w:val="13"/>
  </w:num>
  <w:num w:numId="3">
    <w:abstractNumId w:val="12"/>
  </w:num>
  <w:num w:numId="4">
    <w:abstractNumId w:val="8"/>
  </w:num>
  <w:num w:numId="5">
    <w:abstractNumId w:val="14"/>
  </w:num>
  <w:num w:numId="6">
    <w:abstractNumId w:val="4"/>
  </w:num>
  <w:num w:numId="7">
    <w:abstractNumId w:val="6"/>
  </w:num>
  <w:num w:numId="8">
    <w:abstractNumId w:val="0"/>
  </w:num>
  <w:num w:numId="9">
    <w:abstractNumId w:val="11"/>
  </w:num>
  <w:num w:numId="10">
    <w:abstractNumId w:val="1"/>
  </w:num>
  <w:num w:numId="11">
    <w:abstractNumId w:val="2"/>
  </w:num>
  <w:num w:numId="12">
    <w:abstractNumId w:val="9"/>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0013724"/>
    <w:rsid w:val="00B2566F"/>
    <w:rsid w:val="00B550D2"/>
    <w:rsid w:val="01491172"/>
    <w:rsid w:val="02922C89"/>
    <w:rsid w:val="029F3C4D"/>
    <w:rsid w:val="02EA0A37"/>
    <w:rsid w:val="02F4124E"/>
    <w:rsid w:val="03441F04"/>
    <w:rsid w:val="054F4610"/>
    <w:rsid w:val="05663F59"/>
    <w:rsid w:val="05CD6CAF"/>
    <w:rsid w:val="06E0229C"/>
    <w:rsid w:val="07C02047"/>
    <w:rsid w:val="07EC2E3C"/>
    <w:rsid w:val="09B2505D"/>
    <w:rsid w:val="09D52678"/>
    <w:rsid w:val="09F00295"/>
    <w:rsid w:val="0A562F0A"/>
    <w:rsid w:val="0A782632"/>
    <w:rsid w:val="0A7B73F3"/>
    <w:rsid w:val="0A925138"/>
    <w:rsid w:val="0AA2100F"/>
    <w:rsid w:val="0B2608DC"/>
    <w:rsid w:val="0CB75121"/>
    <w:rsid w:val="0D1C5846"/>
    <w:rsid w:val="0D3E1E47"/>
    <w:rsid w:val="0D9B0342"/>
    <w:rsid w:val="0EB837FD"/>
    <w:rsid w:val="0EC42C1D"/>
    <w:rsid w:val="0FCB77DB"/>
    <w:rsid w:val="10C03B1A"/>
    <w:rsid w:val="11800151"/>
    <w:rsid w:val="11933EF1"/>
    <w:rsid w:val="124E6541"/>
    <w:rsid w:val="13055EFC"/>
    <w:rsid w:val="13456830"/>
    <w:rsid w:val="134955BD"/>
    <w:rsid w:val="14BF112D"/>
    <w:rsid w:val="14FF19C2"/>
    <w:rsid w:val="15337178"/>
    <w:rsid w:val="172133A3"/>
    <w:rsid w:val="177C13BA"/>
    <w:rsid w:val="18F66DF6"/>
    <w:rsid w:val="199F2680"/>
    <w:rsid w:val="19CA465F"/>
    <w:rsid w:val="1A7F74B5"/>
    <w:rsid w:val="1AC36357"/>
    <w:rsid w:val="1BAE4D2B"/>
    <w:rsid w:val="1BF20D44"/>
    <w:rsid w:val="1C5A3A10"/>
    <w:rsid w:val="1DC343F8"/>
    <w:rsid w:val="1F126C7C"/>
    <w:rsid w:val="1F512138"/>
    <w:rsid w:val="20530343"/>
    <w:rsid w:val="21210A4D"/>
    <w:rsid w:val="248B0E8F"/>
    <w:rsid w:val="24CF27BD"/>
    <w:rsid w:val="24D93136"/>
    <w:rsid w:val="2587194A"/>
    <w:rsid w:val="260B61B0"/>
    <w:rsid w:val="26450D58"/>
    <w:rsid w:val="26926505"/>
    <w:rsid w:val="272C1927"/>
    <w:rsid w:val="27914470"/>
    <w:rsid w:val="289A5B44"/>
    <w:rsid w:val="28BC1F5F"/>
    <w:rsid w:val="29CE5AA6"/>
    <w:rsid w:val="2AAB2147"/>
    <w:rsid w:val="2B7D76AF"/>
    <w:rsid w:val="2D5213E0"/>
    <w:rsid w:val="2DA83DCF"/>
    <w:rsid w:val="2E754E9F"/>
    <w:rsid w:val="2EBB4D79"/>
    <w:rsid w:val="2F02634B"/>
    <w:rsid w:val="2F106B60"/>
    <w:rsid w:val="2F9B28CE"/>
    <w:rsid w:val="30CE282F"/>
    <w:rsid w:val="30E43FCF"/>
    <w:rsid w:val="35E13004"/>
    <w:rsid w:val="365E3952"/>
    <w:rsid w:val="36D3701B"/>
    <w:rsid w:val="36E25286"/>
    <w:rsid w:val="389A5336"/>
    <w:rsid w:val="3A064C79"/>
    <w:rsid w:val="3AD061AD"/>
    <w:rsid w:val="3AF06488"/>
    <w:rsid w:val="3B663A4F"/>
    <w:rsid w:val="3BFD2FC2"/>
    <w:rsid w:val="3C1A1F32"/>
    <w:rsid w:val="3C7D53DE"/>
    <w:rsid w:val="3CC93785"/>
    <w:rsid w:val="3D641535"/>
    <w:rsid w:val="3E6A27C9"/>
    <w:rsid w:val="3E7C700F"/>
    <w:rsid w:val="3F161F71"/>
    <w:rsid w:val="41571F94"/>
    <w:rsid w:val="423F22BF"/>
    <w:rsid w:val="424566C9"/>
    <w:rsid w:val="42B37C55"/>
    <w:rsid w:val="42D40179"/>
    <w:rsid w:val="43CA157C"/>
    <w:rsid w:val="462F7E0C"/>
    <w:rsid w:val="46472A10"/>
    <w:rsid w:val="46910CC1"/>
    <w:rsid w:val="47095F17"/>
    <w:rsid w:val="474B6530"/>
    <w:rsid w:val="480C73AC"/>
    <w:rsid w:val="49BD79B3"/>
    <w:rsid w:val="4AB4263E"/>
    <w:rsid w:val="4AEE3DA2"/>
    <w:rsid w:val="4B8E2E8F"/>
    <w:rsid w:val="4CD9638C"/>
    <w:rsid w:val="4D3038E5"/>
    <w:rsid w:val="4D596375"/>
    <w:rsid w:val="4DE7175A"/>
    <w:rsid w:val="4E496E3E"/>
    <w:rsid w:val="4E914C57"/>
    <w:rsid w:val="4FB37368"/>
    <w:rsid w:val="51121E6C"/>
    <w:rsid w:val="528D20F2"/>
    <w:rsid w:val="52927B75"/>
    <w:rsid w:val="52C917DE"/>
    <w:rsid w:val="535661BA"/>
    <w:rsid w:val="54201323"/>
    <w:rsid w:val="54730063"/>
    <w:rsid w:val="5502352F"/>
    <w:rsid w:val="55115B0E"/>
    <w:rsid w:val="55911EF9"/>
    <w:rsid w:val="5624613D"/>
    <w:rsid w:val="57111EE8"/>
    <w:rsid w:val="573A4076"/>
    <w:rsid w:val="58150BC0"/>
    <w:rsid w:val="59361347"/>
    <w:rsid w:val="595A2602"/>
    <w:rsid w:val="59A66EED"/>
    <w:rsid w:val="5A197E8B"/>
    <w:rsid w:val="5BCF552A"/>
    <w:rsid w:val="5CD96503"/>
    <w:rsid w:val="5CEE378D"/>
    <w:rsid w:val="5D5905FD"/>
    <w:rsid w:val="5D822C5A"/>
    <w:rsid w:val="5E421FD0"/>
    <w:rsid w:val="5F1C7961"/>
    <w:rsid w:val="5F993E84"/>
    <w:rsid w:val="5FBC7B73"/>
    <w:rsid w:val="60637039"/>
    <w:rsid w:val="61397DAE"/>
    <w:rsid w:val="62EB24E4"/>
    <w:rsid w:val="63FE3BFA"/>
    <w:rsid w:val="64F8164D"/>
    <w:rsid w:val="650D11FA"/>
    <w:rsid w:val="6524051E"/>
    <w:rsid w:val="65F04E4D"/>
    <w:rsid w:val="665D1ED0"/>
    <w:rsid w:val="679B47E6"/>
    <w:rsid w:val="67AB0CEB"/>
    <w:rsid w:val="684626D0"/>
    <w:rsid w:val="68A6624A"/>
    <w:rsid w:val="69BE6EA2"/>
    <w:rsid w:val="69DE533E"/>
    <w:rsid w:val="69FA676D"/>
    <w:rsid w:val="6A3A0CC7"/>
    <w:rsid w:val="6ACB47D4"/>
    <w:rsid w:val="6B3E7FD6"/>
    <w:rsid w:val="6B697849"/>
    <w:rsid w:val="6BD0008B"/>
    <w:rsid w:val="6C705F6D"/>
    <w:rsid w:val="6CC938CF"/>
    <w:rsid w:val="6D156D8B"/>
    <w:rsid w:val="6E0D55C8"/>
    <w:rsid w:val="6EB52E2B"/>
    <w:rsid w:val="6F995F63"/>
    <w:rsid w:val="700370F8"/>
    <w:rsid w:val="70406237"/>
    <w:rsid w:val="73682C4F"/>
    <w:rsid w:val="73C848E1"/>
    <w:rsid w:val="74DD1E01"/>
    <w:rsid w:val="75102D70"/>
    <w:rsid w:val="75CD391D"/>
    <w:rsid w:val="76047015"/>
    <w:rsid w:val="76E06023"/>
    <w:rsid w:val="76EC4D8A"/>
    <w:rsid w:val="775E5C88"/>
    <w:rsid w:val="781B5927"/>
    <w:rsid w:val="78206D73"/>
    <w:rsid w:val="784B5870"/>
    <w:rsid w:val="7A52762D"/>
    <w:rsid w:val="7CC0084B"/>
    <w:rsid w:val="7CDC740A"/>
    <w:rsid w:val="7D4B288D"/>
    <w:rsid w:val="7D7F7E70"/>
    <w:rsid w:val="7E0044A2"/>
    <w:rsid w:val="7E2D16FC"/>
    <w:rsid w:val="7E7C1CD8"/>
    <w:rsid w:val="7EC54E07"/>
    <w:rsid w:val="7EE12CFA"/>
    <w:rsid w:val="7F0B6033"/>
    <w:rsid w:val="7F954211"/>
    <w:rsid w:val="7FB86678"/>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0"/>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0"/>
    <w:pPr>
      <w:keepNext/>
      <w:keepLines/>
      <w:widowControl w:val="0"/>
      <w:numPr>
        <w:ilvl w:val="2"/>
        <w:numId w:val="1"/>
      </w:numPr>
      <w:autoSpaceDE w:val="0"/>
      <w:autoSpaceDN w:val="0"/>
      <w:spacing w:before="260" w:after="260" w:line="413" w:lineRule="auto"/>
      <w:outlineLvl w:val="2"/>
    </w:pPr>
    <w:rPr>
      <w:rFonts w:ascii="Times New Roman" w:hAnsi="Times New Roman" w:eastAsia="宋体" w:cs="Times New Roman"/>
      <w:b/>
      <w:sz w:val="30"/>
      <w:szCs w:val="24"/>
      <w:lang w:val="zh-CN" w:eastAsia="zh-CN" w:bidi="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next w:val="1"/>
    <w:unhideWhenUsed/>
    <w:qFormat/>
    <w:uiPriority w:val="0"/>
    <w:pPr>
      <w:keepNext/>
      <w:keepLines/>
      <w:widowControl w:val="0"/>
      <w:numPr>
        <w:ilvl w:val="4"/>
        <w:numId w:val="1"/>
      </w:numPr>
      <w:autoSpaceDE w:val="0"/>
      <w:autoSpaceDN w:val="0"/>
      <w:spacing w:line="360" w:lineRule="auto"/>
      <w:outlineLvl w:val="4"/>
    </w:pPr>
    <w:rPr>
      <w:rFonts w:ascii="Arial" w:hAnsi="Arial" w:eastAsia="宋体" w:cs="Times New Roman"/>
      <w:b/>
      <w:sz w:val="28"/>
      <w:szCs w:val="22"/>
      <w:lang w:val="zh-CN" w:eastAsia="zh-CN" w:bidi="zh-CN"/>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spacing w:line="300" w:lineRule="auto"/>
      <w:ind w:firstLine="420" w:firstLineChars="200"/>
    </w:pPr>
    <w:rPr>
      <w:rFonts w:ascii="Calibri"/>
      <w:kern w:val="2"/>
      <w:sz w:val="21"/>
      <w:szCs w:val="24"/>
    </w:rPr>
  </w:style>
  <w:style w:type="paragraph" w:styleId="9">
    <w:name w:val="annotation text"/>
    <w:basedOn w:val="1"/>
    <w:qFormat/>
    <w:uiPriority w:val="0"/>
    <w:pPr>
      <w:jc w:val="left"/>
    </w:p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w:basedOn w:val="1"/>
    <w:next w:val="1"/>
    <w:qFormat/>
    <w:uiPriority w:val="0"/>
    <w:pPr>
      <w:spacing w:after="120"/>
    </w:pPr>
    <w:rPr>
      <w:rFonts w:ascii="Calibri"/>
      <w:kern w:val="2"/>
      <w:sz w:val="21"/>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0"/>
    <w:pPr>
      <w:ind w:left="840" w:leftChars="400"/>
    </w:pPr>
  </w:style>
  <w:style w:type="paragraph" w:styleId="15">
    <w:name w:val="Plain Text"/>
    <w:basedOn w:val="1"/>
    <w:qFormat/>
    <w:uiPriority w:val="0"/>
    <w:rPr>
      <w:rFonts w:hAnsi="Courier New"/>
      <w:kern w:val="2"/>
      <w:sz w:val="21"/>
    </w:rPr>
  </w:style>
  <w:style w:type="paragraph" w:styleId="16">
    <w:name w:val="footer"/>
    <w:basedOn w:val="1"/>
    <w:qFormat/>
    <w:uiPriority w:val="99"/>
    <w:pPr>
      <w:tabs>
        <w:tab w:val="center" w:pos="4153"/>
        <w:tab w:val="right" w:pos="8306"/>
      </w:tabs>
      <w:snapToGrid w:val="0"/>
      <w:jc w:val="left"/>
    </w:pPr>
    <w:rPr>
      <w:rFonts w:ascii="Calibri"/>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paragraph" w:customStyle="1" w:styleId="26">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27">
    <w:name w:val="MessageHeader"/>
    <w:basedOn w:val="1"/>
    <w:next w:val="28"/>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8">
    <w:name w:val="BodyText"/>
    <w:basedOn w:val="1"/>
    <w:next w:val="1"/>
    <w:qFormat/>
    <w:uiPriority w:val="0"/>
    <w:pPr>
      <w:jc w:val="center"/>
      <w:textAlignment w:val="baseline"/>
    </w:pPr>
  </w:style>
  <w:style w:type="paragraph" w:customStyle="1" w:styleId="29">
    <w:name w:val="List Paragraph"/>
    <w:basedOn w:val="1"/>
    <w:qFormat/>
    <w:uiPriority w:val="34"/>
    <w:pPr>
      <w:ind w:firstLine="420" w:firstLineChars="200"/>
    </w:pPr>
  </w:style>
  <w:style w:type="character" w:customStyle="1" w:styleId="30">
    <w:name w:val="标题 1 字符"/>
    <w:link w:val="2"/>
    <w:qFormat/>
    <w:uiPriority w:val="0"/>
    <w:rPr>
      <w:rFonts w:ascii="仿宋_GB2312" w:hAnsi="宋体" w:eastAsia="仿宋_GB2312"/>
      <w:b/>
      <w:kern w:val="2"/>
      <w:sz w:val="32"/>
    </w:rPr>
  </w:style>
  <w:style w:type="paragraph" w:customStyle="1" w:styleId="31">
    <w:name w:val="表格文字中"/>
    <w:basedOn w:val="1"/>
    <w:qFormat/>
    <w:uiPriority w:val="0"/>
    <w:pPr>
      <w:adjustRightInd w:val="0"/>
      <w:snapToGrid w:val="0"/>
      <w:ind w:left="22" w:leftChars="8"/>
      <w:jc w:val="center"/>
    </w:pPr>
    <w:rPr>
      <w:kern w:val="0"/>
      <w:szCs w:val="24"/>
    </w:rPr>
  </w:style>
  <w:style w:type="paragraph" w:customStyle="1" w:styleId="32">
    <w:name w:val="Char1"/>
    <w:basedOn w:val="1"/>
    <w:qFormat/>
    <w:uiPriority w:val="0"/>
    <w:pPr>
      <w:tabs>
        <w:tab w:val="left" w:pos="360"/>
      </w:tabs>
      <w:ind w:left="360" w:hanging="360" w:hangingChars="200"/>
    </w:pPr>
    <w:rPr>
      <w:sz w:val="24"/>
      <w:szCs w:val="24"/>
    </w:rPr>
  </w:style>
  <w:style w:type="paragraph" w:customStyle="1" w:styleId="33">
    <w:name w:val="列出段落11"/>
    <w:basedOn w:val="1"/>
    <w:qFormat/>
    <w:uiPriority w:val="34"/>
    <w:pPr>
      <w:ind w:firstLine="420" w:firstLineChars="200"/>
    </w:pPr>
    <w:rPr>
      <w:rFonts w:ascii="Calibri" w:hAnsi="Calibri"/>
      <w:szCs w:val="22"/>
    </w:rPr>
  </w:style>
  <w:style w:type="paragraph" w:customStyle="1" w:styleId="34">
    <w:name w:val="列出段落1"/>
    <w:basedOn w:val="1"/>
    <w:qFormat/>
    <w:uiPriority w:val="34"/>
    <w:pPr>
      <w:ind w:firstLine="420" w:firstLineChars="200"/>
    </w:pPr>
    <w:rPr>
      <w:rFonts w:ascii="Calibri" w:hAnsi="Calibri" w:cs="黑体"/>
      <w:szCs w:val="22"/>
    </w:rPr>
  </w:style>
  <w:style w:type="paragraph" w:customStyle="1" w:styleId="35">
    <w:name w:val="正文_0_0_0"/>
    <w:qFormat/>
    <w:uiPriority w:val="0"/>
    <w:pPr>
      <w:widowControl w:val="0"/>
      <w:jc w:val="both"/>
    </w:pPr>
    <w:rPr>
      <w:rFonts w:ascii="Calibri" w:hAnsi="Calibri" w:eastAsia="宋体" w:cs="Times New Roman"/>
      <w:sz w:val="21"/>
      <w:szCs w:val="22"/>
      <w:lang w:val="en-US" w:eastAsia="zh-CN" w:bidi="ar-SA"/>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16114</Words>
  <Characters>17497</Characters>
  <Lines>0</Lines>
  <Paragraphs>0</Paragraphs>
  <TotalTime>0</TotalTime>
  <ScaleCrop>false</ScaleCrop>
  <LinksUpToDate>false</LinksUpToDate>
  <CharactersWithSpaces>17639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dcterms:modified xsi:type="dcterms:W3CDTF">2025-12-19T07:16:20Z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009A2FC465DC455CAEB1387063BF26FA_13</vt:lpwstr>
  </property>
  <property fmtid="{D5CDD505-2E9C-101B-9397-08002B2CF9AE}" pid="4" name="KSOTemplateDocerSaveRecord">
    <vt:lpwstr>eyJoZGlkIjoiOTMxMjYxMTc2YmNmM2ZiYzM3MzRiYzBiMTAxOWMxMDciLCJ1c2VySWQiOiIxNTU5MDg0MTUyIn0=</vt:lpwstr>
  </property>
</Properties>
</file>