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EBAE8">
      <w:pPr>
        <w:pStyle w:val="4"/>
        <w:jc w:val="center"/>
        <w:rPr>
          <w:rFonts w:hint="eastAsia" w:ascii="宋体" w:hAnsi="宋体" w:eastAsia="宋体" w:cs="宋体"/>
          <w:sz w:val="21"/>
          <w:lang w:val="en-US" w:eastAsia="zh-CN"/>
        </w:rPr>
      </w:pPr>
      <w:r>
        <w:rPr>
          <w:rFonts w:hint="eastAsia" w:ascii="宋体" w:hAnsi="宋体" w:eastAsia="宋体" w:cs="宋体"/>
          <w:sz w:val="21"/>
          <w:lang w:val="en-US" w:eastAsia="zh-CN"/>
        </w:rPr>
        <w:t>采购需求</w:t>
      </w:r>
      <w:bookmarkStart w:id="0" w:name="_GoBack"/>
      <w:bookmarkEnd w:id="0"/>
    </w:p>
    <w:p w14:paraId="1C37997B">
      <w:pPr>
        <w:pStyle w:val="4"/>
      </w:pPr>
      <w:r>
        <w:rPr>
          <w:rFonts w:ascii="宋体" w:hAnsi="宋体" w:eastAsia="宋体" w:cs="宋体"/>
          <w:sz w:val="21"/>
        </w:rPr>
        <w:t>一、采购内容</w:t>
      </w:r>
    </w:p>
    <w:p w14:paraId="0BD12DF9">
      <w:pPr>
        <w:pStyle w:val="4"/>
        <w:rPr>
          <w:rFonts w:hint="eastAsia"/>
          <w:highlight w:val="none"/>
          <w:lang w:val="en-US" w:eastAsia="zh-CN"/>
        </w:rPr>
      </w:pPr>
      <w:r>
        <w:rPr>
          <w:rFonts w:ascii="宋体" w:hAnsi="宋体" w:eastAsia="宋体" w:cs="宋体"/>
          <w:sz w:val="21"/>
        </w:rPr>
        <w:t>根据《</w:t>
      </w:r>
      <w:r>
        <w:rPr>
          <w:rFonts w:ascii="宋体" w:hAnsi="宋体" w:eastAsia="宋体" w:cs="宋体"/>
          <w:sz w:val="21"/>
          <w:highlight w:val="none"/>
        </w:rPr>
        <w:t>陕西省财政厅关于做好陕西财政云推广工作通知》（陕财办【2019】72号)要求，为确保曲江新区在财政云预算管理一体化系统中预算管理、国库支付、会计核算（单位会计核算、总会计核算）、账户管理等系统上线后，能更加及时有效的解决曲江新区财政及预算单位在运行中出现的各类问题，</w:t>
      </w:r>
      <w:r>
        <w:rPr>
          <w:rFonts w:hint="eastAsia"/>
          <w:highlight w:val="none"/>
          <w:lang w:val="en-US" w:eastAsia="zh-CN"/>
        </w:rPr>
        <w:t>由曲江新区管理委员会财政金融局为中心端向区域内各预算单位开通以太专线用于数据传输，原有线路数量32条，新建设4条线路（包含线路施工、设备安装调试、设备一年维保）。</w:t>
      </w:r>
    </w:p>
    <w:p w14:paraId="226B2AC1">
      <w:pPr>
        <w:pStyle w:val="4"/>
        <w:rPr>
          <w:rFonts w:hint="eastAsia"/>
          <w:highlight w:val="none"/>
          <w:lang w:val="en-US" w:eastAsia="zh-CN"/>
        </w:rPr>
      </w:pPr>
    </w:p>
    <w:p w14:paraId="4CED8EC5">
      <w:pPr>
        <w:pStyle w:val="4"/>
        <w:rPr>
          <w:rFonts w:hint="eastAsia"/>
          <w:highlight w:val="none"/>
          <w:lang w:val="en-US" w:eastAsia="zh-CN"/>
        </w:rPr>
      </w:pPr>
    </w:p>
    <w:tbl>
      <w:tblPr>
        <w:tblStyle w:val="2"/>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38"/>
        <w:gridCol w:w="2417"/>
        <w:gridCol w:w="1107"/>
        <w:gridCol w:w="1383"/>
        <w:gridCol w:w="1666"/>
      </w:tblGrid>
      <w:tr w14:paraId="6ACFB3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1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CA6BA5">
            <w:pPr>
              <w:pStyle w:val="4"/>
              <w:rPr>
                <w:highlight w:val="none"/>
              </w:rPr>
            </w:pPr>
            <w:r>
              <w:rPr>
                <w:rFonts w:ascii="宋体" w:hAnsi="宋体" w:eastAsia="宋体" w:cs="宋体"/>
                <w:sz w:val="21"/>
                <w:highlight w:val="none"/>
              </w:rPr>
              <w:t>名称</w:t>
            </w:r>
          </w:p>
        </w:tc>
        <w:tc>
          <w:tcPr>
            <w:tcW w:w="141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DA9F9D1">
            <w:pPr>
              <w:pStyle w:val="4"/>
              <w:rPr>
                <w:highlight w:val="none"/>
              </w:rPr>
            </w:pPr>
            <w:r>
              <w:rPr>
                <w:rFonts w:ascii="宋体" w:hAnsi="宋体" w:eastAsia="宋体" w:cs="宋体"/>
                <w:sz w:val="21"/>
                <w:highlight w:val="none"/>
              </w:rPr>
              <w:t>业务规格</w:t>
            </w:r>
          </w:p>
        </w:tc>
        <w:tc>
          <w:tcPr>
            <w:tcW w:w="650"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ED38E0">
            <w:pPr>
              <w:pStyle w:val="4"/>
              <w:rPr>
                <w:highlight w:val="none"/>
              </w:rPr>
            </w:pPr>
            <w:r>
              <w:rPr>
                <w:rFonts w:ascii="宋体" w:hAnsi="宋体" w:eastAsia="宋体" w:cs="宋体"/>
                <w:sz w:val="21"/>
                <w:highlight w:val="none"/>
              </w:rPr>
              <w:t>数量</w:t>
            </w:r>
          </w:p>
        </w:tc>
        <w:tc>
          <w:tcPr>
            <w:tcW w:w="81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D7C41A">
            <w:pPr>
              <w:pStyle w:val="4"/>
              <w:rPr>
                <w:highlight w:val="none"/>
              </w:rPr>
            </w:pPr>
            <w:r>
              <w:rPr>
                <w:rFonts w:ascii="宋体" w:hAnsi="宋体" w:eastAsia="宋体" w:cs="宋体"/>
                <w:sz w:val="21"/>
                <w:highlight w:val="none"/>
              </w:rPr>
              <w:t>带宽</w:t>
            </w:r>
          </w:p>
        </w:tc>
        <w:tc>
          <w:tcPr>
            <w:tcW w:w="97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369909">
            <w:pPr>
              <w:pStyle w:val="4"/>
              <w:rPr>
                <w:highlight w:val="none"/>
              </w:rPr>
            </w:pPr>
            <w:r>
              <w:rPr>
                <w:rFonts w:ascii="宋体" w:hAnsi="宋体" w:eastAsia="宋体" w:cs="宋体"/>
                <w:sz w:val="21"/>
                <w:highlight w:val="none"/>
              </w:rPr>
              <w:t>接口规格要求</w:t>
            </w:r>
          </w:p>
        </w:tc>
      </w:tr>
      <w:tr w14:paraId="7305F0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44317">
            <w:pPr>
              <w:pStyle w:val="4"/>
              <w:rPr>
                <w:highlight w:val="none"/>
              </w:rPr>
            </w:pPr>
            <w:r>
              <w:rPr>
                <w:rFonts w:ascii="宋体" w:hAnsi="宋体" w:eastAsia="宋体" w:cs="宋体"/>
                <w:sz w:val="21"/>
                <w:highlight w:val="none"/>
              </w:rPr>
              <w:t>IPRAN组网电路</w:t>
            </w:r>
          </w:p>
        </w:tc>
        <w:tc>
          <w:tcPr>
            <w:tcW w:w="1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1C2D7C">
            <w:pPr>
              <w:pStyle w:val="4"/>
              <w:rPr>
                <w:highlight w:val="none"/>
              </w:rPr>
            </w:pPr>
            <w:r>
              <w:rPr>
                <w:rFonts w:ascii="宋体" w:hAnsi="宋体" w:eastAsia="宋体" w:cs="宋体"/>
                <w:sz w:val="21"/>
                <w:highlight w:val="none"/>
              </w:rPr>
              <w:t>接入节点分别建立“端－端”全程加密数字传输链路，各接入节点机房全部以光纤接入为基础的数字电路</w:t>
            </w:r>
          </w:p>
        </w:tc>
        <w:tc>
          <w:tcPr>
            <w:tcW w:w="6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AE947C">
            <w:pPr>
              <w:pStyle w:val="4"/>
              <w:rPr>
                <w:highlight w:val="none"/>
              </w:rPr>
            </w:pPr>
            <w:r>
              <w:rPr>
                <w:rFonts w:ascii="宋体" w:hAnsi="宋体" w:eastAsia="宋体" w:cs="宋体"/>
                <w:sz w:val="21"/>
                <w:highlight w:val="none"/>
              </w:rPr>
              <w:t>36条</w:t>
            </w:r>
          </w:p>
        </w:tc>
        <w:tc>
          <w:tcPr>
            <w:tcW w:w="81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8A3400">
            <w:pPr>
              <w:pStyle w:val="4"/>
              <w:rPr>
                <w:highlight w:val="none"/>
              </w:rPr>
            </w:pPr>
            <w:r>
              <w:rPr>
                <w:rFonts w:ascii="宋体" w:hAnsi="宋体" w:eastAsia="宋体" w:cs="宋体"/>
                <w:sz w:val="21"/>
                <w:highlight w:val="none"/>
              </w:rPr>
              <w:t>10M</w:t>
            </w:r>
          </w:p>
        </w:tc>
        <w:tc>
          <w:tcPr>
            <w:tcW w:w="978"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2A2FBD">
            <w:pPr>
              <w:pStyle w:val="4"/>
              <w:rPr>
                <w:highlight w:val="none"/>
              </w:rPr>
            </w:pPr>
            <w:r>
              <w:rPr>
                <w:rFonts w:ascii="宋体" w:hAnsi="宋体" w:eastAsia="宋体" w:cs="宋体"/>
                <w:sz w:val="21"/>
                <w:highlight w:val="none"/>
              </w:rPr>
              <w:t>以太网 RJ45 接口/</w:t>
            </w:r>
          </w:p>
          <w:p w14:paraId="727F7957">
            <w:pPr>
              <w:pStyle w:val="4"/>
              <w:rPr>
                <w:highlight w:val="none"/>
              </w:rPr>
            </w:pPr>
            <w:r>
              <w:rPr>
                <w:rFonts w:ascii="宋体" w:hAnsi="宋体" w:eastAsia="宋体" w:cs="宋体"/>
                <w:sz w:val="21"/>
                <w:highlight w:val="none"/>
              </w:rPr>
              <w:t>GE接口</w:t>
            </w:r>
          </w:p>
        </w:tc>
      </w:tr>
    </w:tbl>
    <w:p w14:paraId="691AFE65">
      <w:pPr>
        <w:pStyle w:val="4"/>
        <w:rPr>
          <w:highlight w:val="none"/>
        </w:rPr>
      </w:pPr>
      <w:r>
        <w:rPr>
          <w:highlight w:val="none"/>
        </w:rPr>
        <w:t xml:space="preserve"> </w:t>
      </w:r>
    </w:p>
    <w:p w14:paraId="57FE1FC7">
      <w:pPr>
        <w:pStyle w:val="4"/>
        <w:rPr>
          <w:highlight w:val="none"/>
        </w:rPr>
      </w:pPr>
      <w:r>
        <w:rPr>
          <w:rFonts w:ascii="宋体" w:hAnsi="宋体" w:eastAsia="宋体" w:cs="宋体"/>
          <w:sz w:val="21"/>
          <w:highlight w:val="none"/>
        </w:rPr>
        <w:t>二、服务要求</w:t>
      </w:r>
    </w:p>
    <w:p w14:paraId="604CF3D9">
      <w:pPr>
        <w:pStyle w:val="4"/>
        <w:rPr>
          <w:highlight w:val="none"/>
        </w:rPr>
      </w:pPr>
      <w:r>
        <w:rPr>
          <w:rFonts w:ascii="宋体" w:hAnsi="宋体" w:eastAsia="宋体" w:cs="宋体"/>
          <w:sz w:val="21"/>
          <w:highlight w:val="none"/>
        </w:rPr>
        <w:t>2.1总体要求</w:t>
      </w:r>
    </w:p>
    <w:p w14:paraId="1127D4A2">
      <w:pPr>
        <w:pStyle w:val="4"/>
        <w:rPr>
          <w:highlight w:val="none"/>
        </w:rPr>
      </w:pPr>
      <w:r>
        <w:rPr>
          <w:rFonts w:ascii="宋体" w:hAnsi="宋体" w:eastAsia="宋体" w:cs="宋体"/>
          <w:sz w:val="21"/>
          <w:highlight w:val="none"/>
        </w:rPr>
        <w:t>（1）严格遵守《中华人民共和国电信条例》，按照电路服务质量要求，保障电路畅通，线路的信号衰减、干扰、接口等符合国际、国家和行业标准。</w:t>
      </w:r>
    </w:p>
    <w:p w14:paraId="43998757">
      <w:pPr>
        <w:pStyle w:val="4"/>
        <w:rPr>
          <w:highlight w:val="none"/>
        </w:rPr>
      </w:pPr>
      <w:r>
        <w:rPr>
          <w:rFonts w:ascii="宋体" w:hAnsi="宋体" w:eastAsia="宋体" w:cs="宋体"/>
          <w:sz w:val="21"/>
          <w:highlight w:val="none"/>
        </w:rPr>
        <w:t>（2）售后服务需提供网络监测服务、故障处理服务、每月网络运行报告服务、割接调试服务、一站式受理业务和故障申告服务。</w:t>
      </w:r>
    </w:p>
    <w:p w14:paraId="3C5EDED9">
      <w:pPr>
        <w:pStyle w:val="4"/>
        <w:rPr>
          <w:highlight w:val="none"/>
        </w:rPr>
      </w:pPr>
      <w:r>
        <w:rPr>
          <w:rFonts w:ascii="宋体" w:hAnsi="宋体" w:eastAsia="宋体" w:cs="宋体"/>
          <w:sz w:val="21"/>
          <w:highlight w:val="none"/>
        </w:rPr>
        <w:t>（3）供应商施工、网络割接等原因影响租用线路正常使用的，供应商应当提前通知采购人，并尽快消除故障，恢复通信线路。</w:t>
      </w:r>
    </w:p>
    <w:p w14:paraId="16D8AAA1">
      <w:pPr>
        <w:pStyle w:val="4"/>
        <w:rPr>
          <w:highlight w:val="none"/>
        </w:rPr>
      </w:pPr>
      <w:r>
        <w:rPr>
          <w:rFonts w:ascii="宋体" w:hAnsi="宋体" w:eastAsia="宋体" w:cs="宋体"/>
          <w:sz w:val="21"/>
          <w:highlight w:val="none"/>
        </w:rPr>
        <w:t>（4）供应商应按采购人要求提供最新的线路资料。</w:t>
      </w:r>
    </w:p>
    <w:p w14:paraId="66F66407">
      <w:pPr>
        <w:pStyle w:val="4"/>
        <w:rPr>
          <w:highlight w:val="none"/>
        </w:rPr>
      </w:pPr>
      <w:r>
        <w:rPr>
          <w:rFonts w:ascii="宋体" w:hAnsi="宋体" w:eastAsia="宋体" w:cs="宋体"/>
          <w:sz w:val="21"/>
          <w:highlight w:val="none"/>
        </w:rPr>
        <w:t>2.2技术要求</w:t>
      </w:r>
    </w:p>
    <w:p w14:paraId="426DFE2D">
      <w:pPr>
        <w:pStyle w:val="4"/>
      </w:pPr>
      <w:r>
        <w:rPr>
          <w:rFonts w:ascii="宋体" w:hAnsi="宋体" w:eastAsia="宋体" w:cs="宋体"/>
          <w:sz w:val="21"/>
        </w:rPr>
        <w:t>（1）满足中心端双路由保护接入，保护倒换时间不大于50ms。</w:t>
      </w:r>
    </w:p>
    <w:p w14:paraId="454C021D">
      <w:pPr>
        <w:pStyle w:val="4"/>
      </w:pPr>
      <w:r>
        <w:rPr>
          <w:rFonts w:ascii="宋体" w:hAnsi="宋体" w:eastAsia="宋体" w:cs="宋体"/>
          <w:sz w:val="21"/>
        </w:rPr>
        <w:t>（2）传输汇聚设备至各分支点位的传输设备时延≤25ms/1000km。</w:t>
      </w:r>
    </w:p>
    <w:p w14:paraId="2112C2D7">
      <w:pPr>
        <w:pStyle w:val="4"/>
      </w:pPr>
      <w:r>
        <w:rPr>
          <w:rFonts w:ascii="宋体" w:hAnsi="宋体" w:eastAsia="宋体" w:cs="宋体"/>
          <w:sz w:val="21"/>
        </w:rPr>
        <w:t>（3）误码率指标：平均误码率≤1*10-7。</w:t>
      </w:r>
    </w:p>
    <w:p w14:paraId="793B7C5E">
      <w:pPr>
        <w:pStyle w:val="4"/>
      </w:pPr>
      <w:r>
        <w:rPr>
          <w:rFonts w:ascii="宋体" w:hAnsi="宋体" w:eastAsia="宋体" w:cs="宋体"/>
          <w:sz w:val="21"/>
        </w:rPr>
        <w:t>（4）所提供的光缆为单模光缆1.31μM的损耗不超过0.4db/KM，多模光缆 1.55μM的损耗不超过0.3db/KM。所提供的出口链路衰减不超过16db。</w:t>
      </w:r>
    </w:p>
    <w:p w14:paraId="271128CA">
      <w:pPr>
        <w:pStyle w:val="4"/>
      </w:pPr>
      <w:r>
        <w:rPr>
          <w:rFonts w:ascii="宋体" w:hAnsi="宋体" w:eastAsia="宋体" w:cs="宋体"/>
          <w:sz w:val="21"/>
        </w:rPr>
        <w:t>（5）根据需求提供电口以及光口，支持SFP、SFP+等灵活接口模块类型。</w:t>
      </w:r>
    </w:p>
    <w:p w14:paraId="4E87FBBB">
      <w:pPr>
        <w:pStyle w:val="4"/>
      </w:pPr>
      <w:r>
        <w:rPr>
          <w:rFonts w:ascii="宋体" w:hAnsi="宋体" w:eastAsia="宋体" w:cs="宋体"/>
          <w:sz w:val="21"/>
        </w:rPr>
        <w:t>（6）提供组网电路安全加密传输能力，保障数据安全传输。</w:t>
      </w:r>
    </w:p>
    <w:p w14:paraId="3481D778">
      <w:pPr>
        <w:pStyle w:val="4"/>
        <w:rPr>
          <w:rFonts w:ascii="宋体" w:hAnsi="宋体" w:eastAsia="宋体" w:cs="宋体"/>
          <w:sz w:val="21"/>
        </w:rPr>
      </w:pPr>
      <w:r>
        <w:rPr>
          <w:rFonts w:ascii="宋体" w:hAnsi="宋体" w:eastAsia="宋体" w:cs="宋体"/>
          <w:sz w:val="21"/>
        </w:rPr>
        <w:t>（7）提供7*24小时不间断通信保障，配置专属客户工程师，负责日常售后服务工作的一点接应和线路故障处理。故障出现时响应时间≤30min，赶到现场时间≤2h，故障接通网络时间≤4h。</w:t>
      </w:r>
    </w:p>
    <w:p w14:paraId="08277E6E">
      <w:pPr>
        <w:pStyle w:val="4"/>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2.3人员要求</w:t>
      </w:r>
    </w:p>
    <w:p w14:paraId="207C7C4C">
      <w:r>
        <w:rPr>
          <w:rFonts w:hint="eastAsia" w:ascii="宋体" w:hAnsi="宋体" w:eastAsia="宋体" w:cs="宋体"/>
          <w:color w:val="auto"/>
          <w:sz w:val="21"/>
          <w:highlight w:val="none"/>
          <w:lang w:val="en-US" w:eastAsia="zh-CN"/>
        </w:rPr>
        <w:t>针对本项目提供专业的服务团队，团队人员经验丰富，满足项目实施要求。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1E6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2025-12-29T07:52:37Z</dcterms:created>
  <dc:creator>Administrator</dc:creator>
  <cp:lastModifiedBy>jillian</cp:lastModifiedBy>
  <dcterms:modified xsi:type="dcterms:W3CDTF">2025-12-29T07:52:49Z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eyJoZGlkIjoiOWNkODk0Yzk4YThhZTUxYjE4YjI3ZGQ1ZWZmMWIzMGUiLCJ1c2VySWQiOiI0MjM4MzIyNzIifQ==</vt:lpwstr>
  </property>
  <property fmtid="{D5CDD505-2E9C-101B-9397-08002B2CF9AE}" pid="4" name="ICV">
    <vt:lpwstr>05269795F4A5456E8B6CE9D5012D4A21_12</vt:lpwstr>
  </property>
</Properties>
</file>