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BBE7D">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一、项目概况</w:t>
      </w:r>
      <w:r>
        <w:rPr>
          <w:rFonts w:hint="eastAsia" w:ascii="仿宋" w:hAnsi="仿宋" w:eastAsia="仿宋" w:cs="仿宋"/>
          <w:sz w:val="24"/>
          <w:szCs w:val="24"/>
          <w:highlight w:val="none"/>
        </w:rPr>
        <w:t>：本次采购项目为西安市长安区市场监督管理局食堂食材采购及配送服务</w:t>
      </w:r>
    </w:p>
    <w:p w14:paraId="30EC0C31">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二、服务人数</w:t>
      </w:r>
      <w:r>
        <w:rPr>
          <w:rFonts w:hint="eastAsia" w:ascii="仿宋" w:hAnsi="仿宋" w:eastAsia="仿宋" w:cs="仿宋"/>
          <w:sz w:val="24"/>
          <w:szCs w:val="24"/>
          <w:highlight w:val="none"/>
        </w:rPr>
        <w:t>：约320人（以实际就餐人数为准）。</w:t>
      </w:r>
    </w:p>
    <w:p w14:paraId="0F1005B0">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三、合同价款</w:t>
      </w:r>
      <w:r>
        <w:rPr>
          <w:rFonts w:hint="eastAsia" w:ascii="仿宋" w:hAnsi="仿宋" w:eastAsia="仿宋" w:cs="仿宋"/>
          <w:sz w:val="24"/>
          <w:szCs w:val="24"/>
          <w:highlight w:val="none"/>
        </w:rPr>
        <w:t>：据实结算，不超过采购最高限价。</w:t>
      </w:r>
    </w:p>
    <w:p w14:paraId="64BBB874">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四、工作目标</w:t>
      </w:r>
      <w:r>
        <w:rPr>
          <w:rFonts w:hint="eastAsia" w:ascii="仿宋" w:hAnsi="仿宋" w:eastAsia="仿宋" w:cs="仿宋"/>
          <w:sz w:val="24"/>
          <w:szCs w:val="24"/>
          <w:highlight w:val="none"/>
        </w:rPr>
        <w:t>：为了进一步强化西安市长安区市场监督管理局及相关派出机构食堂食品原料采购管理，促进食堂的规范化管理，确保就餐人员的安全、营养、健康。</w:t>
      </w:r>
    </w:p>
    <w:p w14:paraId="3A25E9BE">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五、配送原则与范围</w:t>
      </w:r>
      <w:r>
        <w:rPr>
          <w:rFonts w:hint="eastAsia" w:ascii="仿宋" w:hAnsi="仿宋" w:eastAsia="仿宋" w:cs="仿宋"/>
          <w:sz w:val="24"/>
          <w:szCs w:val="24"/>
          <w:highlight w:val="none"/>
        </w:rPr>
        <w:t>：西安市长安区市场监督管理局食材采购遵循公开透明、公平竞争、公正平等、诚实信用的原则，并严格执行采购索证索票等溯源管理制度。</w:t>
      </w:r>
    </w:p>
    <w:p w14:paraId="51600367">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六、配送品种、标准及价格</w:t>
      </w:r>
    </w:p>
    <w:p w14:paraId="41531AEE">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（一）品种</w:t>
      </w:r>
    </w:p>
    <w:p w14:paraId="5DEC6FB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1.预包装类：成品粮（大米、小麦粉或面粉）、成品食用油、调味品、副食干货、乳制品（仅限发酵乳、巴氏杀菌乳、灭菌乳、调制乳）；</w:t>
      </w:r>
    </w:p>
    <w:p w14:paraId="7EBC4F2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2.生鲜食品类：冷鲜畜禽肉、鲜蛋、水产品（活虾、草鱼、鲫鱼等）；</w:t>
      </w:r>
    </w:p>
    <w:p w14:paraId="082E7F0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蔬菜类：根类（萝卜、根芹菜、藜科菜等）、甘蓝类（结球甘蓝、羽衣甘蓝、栀子甘蓝和芥蓝等）、芥菜类（芥类、茎芥类、叶芥菜和子芥菜等）、薯芋类（马铃薯、菊芋、芋、姜、山药等）、茄果类（番茄、茄子、辣椒、甜椒等）、葱蒜类（韭菜、洋葱、葱、大蒜、韭菜等）、瓜类（南瓜、笋瓜、西葫芦、冬瓜和黄瓜等）、豆类（菜豆、红花菜豆、豇豆等）、绿叶蔬菜（菠菜、茼蒿、叶菜、芹菜、芫荽等）、白菜类（大白菜、菜薹和苔菜等）、水生蔬菜（莲藕、海带、紫菜等）、多年生蔬菜（黄花菜、百合等）、多年生草本蔬菜、木本蔬菜（竹笋、香椿、枸杞等）、食用菌类（双孢蘑菇、香菇、木耳、银耳等）；</w:t>
      </w:r>
    </w:p>
    <w:p w14:paraId="2D3108E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水果类：梨果类（苹果、枇杷、山楂、梨等）、核果类（樱桃、水蜜桃、油桃、蟠桃等）、柑果类（橘子、砂糖橘、橙子、柠檬、柚子、金橘、葡萄柚等）、浆果类（葡萄、提子、蓝莓、蔓越莓、猕猴桃等）、瓜类（哈密瓜、香瓜、西瓜、甜瓜、脆瓜、羊角蜜等）、其他水果（香蕉、菠萝等）；</w:t>
      </w:r>
    </w:p>
    <w:p w14:paraId="48889EF4">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5.豆制品：豆腐、豆腐干、面筋、豆腐皮等。</w:t>
      </w:r>
    </w:p>
    <w:p w14:paraId="24179DAE">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（二）品种标准：</w:t>
      </w:r>
    </w:p>
    <w:p w14:paraId="498654A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1.1蔬菜类</w:t>
      </w:r>
    </w:p>
    <w:p w14:paraId="36EDA4C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证新鲜，果实要整洁，成熟度良好，无裂果及空洞现象，茄果不能有裂蒂及果皮变硬现象，无虫害，无疤点，无断裂，无腐烂、异味，不带泥土，无明显机械伤，农药残留不超标。允许葱、青蒜类保留干净须根，葱、蒜、韭菜不带老叶，蒜头、洋葱去根去枯叶，可食部分新鲜幼嫩，无腐烂、异味。</w:t>
      </w:r>
    </w:p>
    <w:p w14:paraId="69A0FAB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1.2细菜类</w:t>
      </w:r>
    </w:p>
    <w:p w14:paraId="612CD762">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芽苗幼嫩，不带豆壳杂质，新鲜，不浸水，无腐烂、异味。无虫咬、发芽、发霉现象，表皮细致光滑，肉质脆嫩致密新鲜，无腐烂、裂痕、糠心、异味，不带泥沙，不带茎叶和须根。</w:t>
      </w:r>
    </w:p>
    <w:p w14:paraId="50BE6C0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1.3叶菜类</w:t>
      </w:r>
    </w:p>
    <w:p w14:paraId="246C3B55">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无虫咬、发芽、发霉现象，表皮细致光滑，肉质脆嫩致密新鲜，无腐烂、裂痕、糠心、异味，不带泥沙，不带茎叶和须根。</w:t>
      </w:r>
    </w:p>
    <w:p w14:paraId="34C2AB8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1.4菌菇类</w:t>
      </w:r>
    </w:p>
    <w:p w14:paraId="6072E55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保证新鲜，外形正常，肉质鲜嫩形态好，色泽正常；叶梗光滑幼嫩，茎基部削平，无枯黄叶、病叶、泥土、明显机械伤和病虫害伤，无烧心焦边、腐烂等现象。</w:t>
      </w:r>
    </w:p>
    <w:p w14:paraId="01DAF58E">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1.5净菜类</w:t>
      </w:r>
    </w:p>
    <w:p w14:paraId="2CE2FD7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保证新鲜，外形正常，肉质鲜嫩形态好，色泽正常；②叶梗光滑幼嫩，茎基部削平，无枯黄叶、病叶、泥土、明显机械伤和病虫害伤，无烧心焦边、腐烂等现象；③无抽苔（菜心除外）、无异味，结球叶菜要结球适度，花椰菜应新鲜洁白，不带叶鼓、无畸形花；④无明显浸水现象；⑤农药残留不超标。</w:t>
      </w:r>
    </w:p>
    <w:p w14:paraId="5FCD97AE">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1.6豆制品类</w:t>
      </w:r>
    </w:p>
    <w:p w14:paraId="285C564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豆腐呈均匀的乳白色或淡黄色，稍有光泽，块形完整，软硬适度，富有一定的弹性，质地细嫩，结构均匀，无杂质，具有豆腐特有的香味，取样品品尝时口感细腻鲜嫩，味道纯正清香。</w:t>
      </w:r>
    </w:p>
    <w:p w14:paraId="42EB0E3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1.7牛羊肉类</w:t>
      </w:r>
    </w:p>
    <w:p w14:paraId="2023478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①保证新鲜，肌肉有光泽，色泽鲜红或深红；脂肪呈乳白色或黄色；②外表微干有风干膜，不粘手；③具有鲜牛羊肉正常气味；④牛肉、羊肉含水量检测值分别低于77%、78%。</w:t>
      </w:r>
    </w:p>
    <w:p w14:paraId="56C8228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1.8大肉类</w:t>
      </w:r>
    </w:p>
    <w:p w14:paraId="53F7B6C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保证新鲜，色泽鲜艳，无注水，表面有一层微干的薄膜，瘦肉新切面稍湿润，呈淡玫瑰色或淡红色；②触摸有弹性，不粘手，指压不留陷窝；③外表干净，皮毛清理干净，无异味，根据需要进行了改刀和加工；④含水量检测值低于77%。</w:t>
      </w:r>
    </w:p>
    <w:p w14:paraId="31DF96B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1.9鲜鸡鸭类</w:t>
      </w:r>
    </w:p>
    <w:p w14:paraId="0E36ED52">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①保证新鲜，杜绝注水禽类；②体表色泽洁白，肉质紧密，角膜有弹性，不粘手，指压不留陷窝；③具有该禽类所固有的气味，无其他异味;④腔内无杂物。</w:t>
      </w:r>
    </w:p>
    <w:p w14:paraId="307DC3F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1.10水产海鲜类</w:t>
      </w:r>
    </w:p>
    <w:p w14:paraId="2005B61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鱼眼突出，角膜清晰透明；②体表面色泽鲜明，鳞完整或稍有花鳞，鳞片紧粘皮上不易剥落，有透明粘液；③鳃鲜红，鳃丝鲜红或紫红，鳃盖禁闭易揭开，肉质坚实，有弹性，骨肉不分离；④淡水鱼实行活鱼供应，具有鲜鱼固有的鲜明色泽，粘液透明；⑤具有鲜鱼虾的正常腥味，无异臭味。</w:t>
      </w:r>
    </w:p>
    <w:p w14:paraId="40F4ADB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1.11冻货类</w:t>
      </w:r>
    </w:p>
    <w:p w14:paraId="6609905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外表颜色比冷却肉鲜明，在表面切开处为浅玫红色至灰色，用手或热刀触之，立即显示鲜红色。肉坚硬，像冰一样，敲击有响声。化冻时，有肉的正常味，略潮，没有熟肉味。</w:t>
      </w:r>
    </w:p>
    <w:p w14:paraId="5211957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1.12蛋品类</w:t>
      </w:r>
    </w:p>
    <w:p w14:paraId="1DAD66F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证新鲜，蛋壳清洁完整，色泽鲜明，无破损、裂纹，无霉斑，灯光透视时，整个蛋呈桔黄色至橙红色，蛋黄不见或略见阴影，没有霉味、酸味，臭味等不良气味，打开后蛋黄凸起、完整、有韧性，蛋白澄清、透明、稀稠分明，无异味。</w:t>
      </w:r>
    </w:p>
    <w:p w14:paraId="0A14159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1.13面食类</w:t>
      </w:r>
    </w:p>
    <w:p w14:paraId="3D109B5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外形完整，大小均匀，适中，无缺损，无脱皮掉皮现象，不收缩，同一包装内造型应一致，无酸味及异味，表面不应有油印及菜屑，斑点等有影响感观的物体存在，馅料实物与标识应一致。</w:t>
      </w:r>
    </w:p>
    <w:p w14:paraId="1E567ED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1.14米面油杂粮类</w:t>
      </w:r>
    </w:p>
    <w:p w14:paraId="6297249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米、面、油脂品必须是国内主流品牌，正规厂家生产的产品并可溯源；②包装物上的商品名称、厂址、规格、型号、生产日期、质保期等信息与内容物相符，标示清晰，批次号清楚等；③所供米、面、油脂品商品成分必须符合国家粮食食品标准，须是经食品卫生检验检疫合格的安全卫生标准的。</w:t>
      </w:r>
    </w:p>
    <w:p w14:paraId="0519123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1.15奶制品类</w:t>
      </w:r>
    </w:p>
    <w:p w14:paraId="35FB883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品牌袋装奶，距出厂日期10天以内且按照厂家要求保存条件储存未超出保质期，色泽乳白，有纯奶的鲜香味。</w:t>
      </w:r>
    </w:p>
    <w:p w14:paraId="0B2D336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1.16水果类</w:t>
      </w:r>
    </w:p>
    <w:p w14:paraId="094D15F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产品新鲜，有水果应有的颜色；发育充分，无刀伤，无腐烂部位，无农药气味，无臭味；农药残留不超标；成箱包装的品相大小保持一致。</w:t>
      </w:r>
    </w:p>
    <w:p w14:paraId="3A64A26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1.17副食类</w:t>
      </w:r>
    </w:p>
    <w:p w14:paraId="3B66A574">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无霉变和虫蛀鼠咬现象；②无臭味，货品新鲜，色泽正常；③无“三无”产品，货品在保质期以内，外包装清洁卫生、无破损，包装上的商品名称、厂址、规格、生产日期、质保期等信息与内容物相符，标示清晰，批次号清楚等；④经食品检验检疫合格，调料成分符合国家卫生标准。</w:t>
      </w:r>
    </w:p>
    <w:p w14:paraId="54CE96F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1.18酱菜类</w:t>
      </w:r>
    </w:p>
    <w:p w14:paraId="30B2B46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肉质嫩，成熟度适中，无腐烂、异味，无明显机械伤，不带泥土和杂质，不干瘪，不黑心。</w:t>
      </w:r>
    </w:p>
    <w:p w14:paraId="781FEE5E">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1.19调味类</w:t>
      </w:r>
    </w:p>
    <w:p w14:paraId="5033208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无霉变和虫蛀鼠咬现象；②无臭味，货品新鲜，色泽正常；③无“三无”产品，货品在保质期以内，外包装清洁卫生、无破损，包装上的商品名称、厂址、规格、生产日期、质保期等信息与内容物相符，标示清晰，批次号清楚等；④经食品检验检疫合格，调料成分符合国家卫生标准。</w:t>
      </w:r>
    </w:p>
    <w:p w14:paraId="29F42D7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1.20干货干果类</w:t>
      </w:r>
    </w:p>
    <w:p w14:paraId="164D3B3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保证新鲜，果实要整洁，成熟度良好，无裂果及空洞现象，茄果不能有裂蒂及果皮变硬现象，无虫害，无疤点，无断裂，无腐烂、异味，不带泥土，无明显机械伤，农药残留不超标。</w:t>
      </w:r>
    </w:p>
    <w:p w14:paraId="542D2745">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1.21其他产品类</w:t>
      </w:r>
    </w:p>
    <w:p w14:paraId="36592BF4">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虫咬、发芽、发霉现象，表皮细致光滑，肉质脆嫩致密新鲜，无腐烂、裂痕、糠心、异味，不带泥沙，不带茎叶和须根。盆、盘、碗、筷、抹布、餐巾纸、快餐盒等其它就餐用品须符合国家及铁路对相关物品的质量、环保、技术和卫生要求。不得供应“三无”产品、残次品。</w:t>
      </w:r>
    </w:p>
    <w:p w14:paraId="2CBE2A4A">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（三）服务要求：</w:t>
      </w:r>
    </w:p>
    <w:p w14:paraId="6B0764E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1.除不可抗力因素外，所有餐料，供应商必须确保按时、按质、足额供应到采购人指定的地点，同时不得出现断供、晚供等现象，确保现场生产需要。</w:t>
      </w:r>
    </w:p>
    <w:p w14:paraId="19A9095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2.供应商供应的各种常规蔬菜品种不得低于100种。供应的各种常规蔬菜质量要求确保新鲜、干净，无霉、黄、烂等现象。</w:t>
      </w:r>
    </w:p>
    <w:p w14:paraId="2A08E852">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应商必须认真执行国家《食品安全法》和卫生部门的有关规定，严格执行各项政策、经营法规，自觉接受甲方的指导、管理与考核。采购、加工、配送等经营活动要保证食品卫生安全，符合食品卫生规定，配送的蔬菜必须保证净菜送达，严禁配送有腐烂变质的菜蔬。</w:t>
      </w:r>
    </w:p>
    <w:p w14:paraId="4B95EDF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4.供应商负责其生产、经营人员的招录、调配和管理，执行国家《劳动合同法》并与之签订劳动合同协议。其生产经营人员、用工关系与甲方无关。</w:t>
      </w:r>
    </w:p>
    <w:p w14:paraId="1D14D12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5.配送服务要求：</w:t>
      </w:r>
    </w:p>
    <w:p w14:paraId="5DA4131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①供应商需具备24小时补货及供货能力。如遇特殊情况或有应急抢险任务时，需多次供货的，应按照要求及时将所需餐料配送到位。日常配送要求，下单时间：前一天17：00之前，配送时间：下单后次日早8:00前。</w:t>
      </w:r>
    </w:p>
    <w:p w14:paraId="6BBA4F7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配送地址：供应商应根据采购人要求，分别配送至西安市长安区市场监督管理局（西安市长安区樊川路7号）食堂、韦曲市场监管所（新华街106号）食堂、郭杜市场监管所（郭杜北街12号）食堂、滦镇市场监管所（滦镇东街20号）食堂、鸣犊市场监管所（鸣犊街道92号）、杜曲市场监管所（杜曲东街179号）食堂、引镇市场监管所（鸿翔西街36号）食堂、子午市场监管所（子午北街9号）食堂、大兆市场监管所（大兆东街15号）食堂、太乙宫市场监管所（太乙正街55号）食堂、王曲市场监管所（王曲村军警路甲子18号东南方向100米）食堂、五台市场监管所（五台街道步行街中段）食堂。</w:t>
      </w:r>
    </w:p>
    <w:p w14:paraId="267CC979">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③配送方式：由中标企业负责实施统一配送。</w:t>
      </w:r>
    </w:p>
    <w:p w14:paraId="1C5ABDD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④配送要求：</w:t>
      </w:r>
    </w:p>
    <w:p w14:paraId="56CFBD9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1）供应商必须具备符合食品安全要求及满足配送需要的仓储、交通运输等设施设备，确保食品原料的安全储存和安全运输。</w:t>
      </w:r>
    </w:p>
    <w:p w14:paraId="6F377AEF">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2）供应商提供的食品原料必须是符合国家或行业食品质量安全标准的食品，配送价格不高于当地市场价。</w:t>
      </w:r>
    </w:p>
    <w:p w14:paraId="5FD5A9A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3）供应商运送产品的车辆应为专用封闭式，车辆内部结构应平整、便于清洁，配送冷冻、冷藏食品的车辆应有必要的储存设备（保温盒加冰块，冰块用食品级保鲜膜与食品隔开）。</w:t>
      </w:r>
    </w:p>
    <w:p w14:paraId="393A1B9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4）肉、禽、蔬菜、水果等食品必须当日配送，其余食品原料可视实际需求酌情配送，但必须确保食品新鲜、优质、安全可靠。</w:t>
      </w:r>
    </w:p>
    <w:p w14:paraId="7661C7E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6.供应商应结合自身地域情况做好供应规划，不得因各种因素造成断供。造成断供影响甲方正常供餐的，责任由中标人承担。</w:t>
      </w:r>
    </w:p>
    <w:p w14:paraId="0081B93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7.供应商根据采购人要求将采购的主副食材定时送至指定地点。</w:t>
      </w:r>
    </w:p>
    <w:p w14:paraId="4797CD9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供应商配送的主副食材应当符合《中华人民共和国产品质量法》和《中华人民共和国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霉变、生虫、污秽不洁、混有异物或者其他感官性状异常、含有毒有害物质或者被有毒有害物质污染，可能对人体健康有害的食品。</w:t>
      </w:r>
    </w:p>
    <w:p w14:paraId="70D5199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9.不得提供假冒、伪劣、过期或者不符合规定包装、卫生标准的食品。</w:t>
      </w:r>
    </w:p>
    <w:p w14:paraId="717F571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10.不得提供来历不明、不能提供相应产品标签的散装食品。</w:t>
      </w:r>
    </w:p>
    <w:p w14:paraId="40B0AFE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当天送达的主副食材，在检查过程中发现存在变质腐败、油脂酸败、霉变、生虫、污秽不洁、混有异物或者其他感官性状异常、含有毒有害物质或者被有毒有害物质污染，可能对人体健康有害的物品，供应商必须在当天及时更换，如有造成的损失由供应商承担。</w:t>
      </w:r>
    </w:p>
    <w:p w14:paraId="3671C1D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供应商提供的物资必须达到国家规定的卫生安全标准，蔬菜、禽蛋、畜禽肉类等食品能够按有相应的质量检疫检验报告供采购人随时抽查，抽查发现供应商提供的报告与本批次物资不符时，采购人按本批物资量合同价值的3倍给予处罚。</w:t>
      </w:r>
    </w:p>
    <w:p w14:paraId="330E542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13.物资产品在送达采购人指定地点时保质期剩余时间应在三分之二以上。</w:t>
      </w:r>
    </w:p>
    <w:p w14:paraId="63EEC10C">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14.如因供应商提供的物资，因质量等问题而使采购人人员发生食物中毒事件的，供应商将承担相应的法律责任。</w:t>
      </w:r>
    </w:p>
    <w:p w14:paraId="7032C55B">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（四）工作要求</w:t>
      </w:r>
    </w:p>
    <w:p w14:paraId="1A53597D">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1.中标企业配送的食品原料，需提供相关产品合格证和检验、检疫报告书等材料。采购人将指派专人负责对食品原料的检查验收，对不符合食品安全要求的要坚决拒收。</w:t>
      </w:r>
    </w:p>
    <w:p w14:paraId="2B1C205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人须严格执行采购验收制度，确保验收食材、物料质量符合食品安全要求，杜绝不符合食品安全要求的食材、物料进入食堂。按照现行法律法规，对配送企业提供不合格产品或不按要求配送，影响正常供餐的，或因食品质量引发食品安全事故的、企业存在严重安全隐患整改不到位等情况的，终止配送合同，取消该企业的配送资格。同时如因供应商的原因，出现采购的食材引发安全事故，中标企业应当承担全部责任，并赔偿受害人因此造成的一切损失。</w:t>
      </w:r>
    </w:p>
    <w:p w14:paraId="50F8F156">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3.采购人定期将食品质量、食品价格、服务质量、合同执行情况、承诺兑现等情况纳入评议范围，每年对配送企业进行综合评议，作为续签合同和退出配送的重要依据。</w:t>
      </w:r>
      <w:bookmarkStart w:id="0" w:name="_GoBack"/>
      <w:bookmarkEnd w:id="0"/>
    </w:p>
    <w:p w14:paraId="1A91E968">
      <w:pPr>
        <w:pStyle w:val="2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七、商务要求</w:t>
      </w:r>
    </w:p>
    <w:p w14:paraId="1A15BE7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（1）供应商供应价格不得高于长安区大型市场供货价，采购人每月不定期不限次赴长安区大型市场（华润万家超市、永辉超市、惠欧超市</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、大、中型批发市场）考察供货价格，如果一次发现超实际供应价格供货将处以当月货款的10%罚款，二次发现将处以当月货款20%罚款，三次发现将终止合同。</w:t>
      </w:r>
    </w:p>
    <w:p w14:paraId="0F49CBF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应充分考虑物资实际生产成本，不得以低于成本价竞标。供应商不得以降低材料等级、简化工艺流程、降低制造标准为代价，任意压低投标报价。如果供应商的报价明显低于其他供应商报价，且供应商不能合理解释或者不能提供相关材料予以证明的，其投标将被否决。</w:t>
      </w:r>
    </w:p>
    <w:p w14:paraId="1F5B0D41">
      <w:pPr>
        <w:spacing w:line="360" w:lineRule="auto"/>
        <w:ind w:firstLine="482" w:firstLineChars="200"/>
        <w:rPr>
          <w:rFonts w:hint="eastAsia" w:ascii="仿宋" w:hAnsi="仿宋" w:cs="仿宋"/>
          <w:b/>
          <w:bCs/>
          <w:sz w:val="24"/>
          <w:szCs w:val="24"/>
          <w:highlight w:val="none"/>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1D7880"/>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BCE5E02"/>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9B4C2B"/>
    <w:rsid w:val="56E04626"/>
    <w:rsid w:val="57DC64E0"/>
    <w:rsid w:val="581A515D"/>
    <w:rsid w:val="584125D2"/>
    <w:rsid w:val="58AE1A31"/>
    <w:rsid w:val="58B053E8"/>
    <w:rsid w:val="58CB3CE0"/>
    <w:rsid w:val="595A5E33"/>
    <w:rsid w:val="59EA7F4F"/>
    <w:rsid w:val="5ADC54F0"/>
    <w:rsid w:val="5B4E3B9E"/>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Ascii" w:hAnsiTheme="minorAscii" w:cstheme="minorBidi"/>
      <w:kern w:val="2"/>
      <w:sz w:val="28"/>
      <w:szCs w:val="24"/>
      <w:lang w:val="en-US" w:eastAsia="zh-CN" w:bidi="ar-SA"/>
    </w:rPr>
  </w:style>
  <w:style w:type="paragraph" w:styleId="2">
    <w:name w:val="heading 1"/>
    <w:basedOn w:val="1"/>
    <w:next w:val="1"/>
    <w:link w:val="19"/>
    <w:qFormat/>
    <w:uiPriority w:val="0"/>
    <w:pPr>
      <w:keepNext/>
      <w:spacing w:line="360" w:lineRule="auto"/>
      <w:jc w:val="center"/>
      <w:outlineLvl w:val="0"/>
    </w:pPr>
    <w:rPr>
      <w:rFonts w:ascii="黑体" w:hAnsi="黑体" w:eastAsia="宋体" w:cs="Times New Roman"/>
      <w:b/>
      <w:sz w:val="36"/>
      <w:szCs w:val="24"/>
    </w:rPr>
  </w:style>
  <w:style w:type="paragraph" w:styleId="3">
    <w:name w:val="heading 2"/>
    <w:basedOn w:val="1"/>
    <w:next w:val="1"/>
    <w:link w:val="17"/>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4">
    <w:name w:val="heading 3"/>
    <w:basedOn w:val="1"/>
    <w:next w:val="1"/>
    <w:link w:val="18"/>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5">
    <w:name w:val="heading 4"/>
    <w:basedOn w:val="1"/>
    <w:next w:val="1"/>
    <w:link w:val="20"/>
    <w:semiHidden/>
    <w:unhideWhenUsed/>
    <w:qFormat/>
    <w:uiPriority w:val="0"/>
    <w:pPr>
      <w:spacing w:line="360" w:lineRule="auto"/>
      <w:jc w:val="both"/>
      <w:outlineLvl w:val="3"/>
    </w:pPr>
    <w:rPr>
      <w:rFonts w:ascii="仿宋" w:hAnsi="仿宋" w:cs="Arial"/>
      <w:b/>
      <w:snapToGrid w:val="0"/>
      <w:color w:val="000000"/>
      <w:szCs w:val="21"/>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Body Text"/>
    <w:basedOn w:val="1"/>
    <w:qFormat/>
    <w:uiPriority w:val="0"/>
    <w:pPr>
      <w:spacing w:after="120" w:afterLines="0" w:afterAutospacing="0"/>
    </w:pPr>
  </w:style>
  <w:style w:type="paragraph" w:styleId="14">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character" w:customStyle="1" w:styleId="17">
    <w:name w:val="标题 2 Char1"/>
    <w:link w:val="3"/>
    <w:qFormat/>
    <w:uiPriority w:val="0"/>
    <w:rPr>
      <w:rFonts w:ascii="Arial" w:hAnsi="Arial" w:eastAsia="宋体" w:cs="Times New Roman"/>
      <w:b/>
      <w:bCs/>
      <w:kern w:val="0"/>
      <w:sz w:val="36"/>
      <w:szCs w:val="22"/>
      <w:lang w:val="zh-CN" w:bidi="zh-CN"/>
    </w:rPr>
  </w:style>
  <w:style w:type="character" w:customStyle="1" w:styleId="18">
    <w:name w:val="标题 3 Char"/>
    <w:basedOn w:val="16"/>
    <w:link w:val="4"/>
    <w:qFormat/>
    <w:uiPriority w:val="0"/>
    <w:rPr>
      <w:rFonts w:ascii="Times New Roman" w:hAnsi="Times New Roman" w:eastAsia="宋体" w:cs="Times New Roman"/>
      <w:b/>
      <w:bCs/>
      <w:kern w:val="2"/>
      <w:sz w:val="32"/>
      <w:szCs w:val="32"/>
    </w:rPr>
  </w:style>
  <w:style w:type="character" w:customStyle="1" w:styleId="19">
    <w:name w:val="标题 1 Char"/>
    <w:basedOn w:val="16"/>
    <w:link w:val="2"/>
    <w:qFormat/>
    <w:uiPriority w:val="0"/>
    <w:rPr>
      <w:rFonts w:ascii="黑体" w:hAnsi="黑体" w:eastAsia="宋体" w:cs="Times New Roman"/>
      <w:b/>
      <w:kern w:val="2"/>
      <w:sz w:val="36"/>
      <w:szCs w:val="24"/>
    </w:rPr>
  </w:style>
  <w:style w:type="character" w:customStyle="1" w:styleId="20">
    <w:name w:val="标题 4 Char"/>
    <w:basedOn w:val="16"/>
    <w:link w:val="5"/>
    <w:qFormat/>
    <w:uiPriority w:val="0"/>
    <w:rPr>
      <w:rFonts w:ascii="宋体" w:hAnsi="宋体" w:eastAsia="宋体" w:cs="Arial"/>
      <w:b/>
      <w:snapToGrid w:val="0"/>
      <w:color w:val="000000"/>
      <w:kern w:val="0"/>
      <w:sz w:val="30"/>
      <w:szCs w:val="21"/>
      <w:u w:val="none"/>
      <w:lang w:val="zh-CN" w:bidi="zh-CN"/>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7</Pages>
  <Words>4979</Words>
  <Characters>5094</Characters>
  <Lines>0</Lines>
  <Paragraphs>0</Paragraphs>
  <TotalTime>0</TotalTime>
  <ScaleCrop>false</ScaleCrop>
  <LinksUpToDate>false</LinksUpToDate>
  <CharactersWithSpaces>5094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2025-12-29T09:41:03Z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