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E627E">
      <w:pPr>
        <w:widowControl w:val="0"/>
        <w:topLinePunct/>
        <w:jc w:val="center"/>
        <w:rPr>
          <w:rFonts w:eastAsia="宋体" w:cs="Tahoma"/>
          <w:sz w:val="44"/>
          <w:szCs w:val="44"/>
        </w:rPr>
      </w:pPr>
      <w:bookmarkStart w:id="40" w:name="_GoBack"/>
      <w:bookmarkEnd w:id="40"/>
    </w:p>
    <w:p w14:paraId="0E935C8B">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西安市消防救援支队鄠邑大队振兴北路消防救援站围墙修缮采购项目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XCZX2025-0189</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04AAC15F">
      <w:pPr>
        <w:widowControl w:val="0"/>
        <w:topLinePunct/>
        <w:spacing w:line="360" w:lineRule="auto"/>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常巧利" w:date="2025-12-30T17:20:35Z">
        <w:r>
          <w:rPr>
            <w:rFonts w:eastAsia="宋体" w:cs="Tahoma" w:asciiTheme="minorHAnsi" w:hAnsiTheme="minorHAnsi"/>
          </w:rPr>
          <w:t>2025年12月</w:t>
        </w:r>
      </w:ins>
      <w:ins w:id="1" w:author="admin" w:date="2025-12-15T09:25:00Z">
        <w:del w:id="2" w:author="常巧利" w:date="2025-12-30T17:20:35Z">
          <w:r>
            <w:rPr>
              <w:rFonts w:hint="eastAsia" w:eastAsia="宋体" w:cs="Tahoma" w:asciiTheme="minorHAnsi" w:hAnsiTheme="minorHAnsi"/>
            </w:rPr>
            <w:delText>2025年12月</w:delText>
          </w:r>
        </w:del>
      </w:ins>
      <w:del w:id="3" w:author="常巧利" w:date="2025-12-30T17:20:35Z">
        <w:r>
          <w:rPr>
            <w:rFonts w:hint="eastAsia" w:eastAsia="宋体" w:cs="Tahoma" w:asciiTheme="minorHAnsi" w:hAnsiTheme="minorHAnsi"/>
          </w:rPr>
          <w:delText>2025年12月</w:delText>
        </w:r>
      </w:del>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1FC0D83">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"_Toc212455737" </w:instrText>
      </w:r>
      <w:r>
        <w:fldChar w:fldCharType="separate"/>
      </w:r>
      <w:r>
        <w:rPr>
          <w:rStyle w:val="31"/>
          <w:rFonts w:hint="eastAsia"/>
        </w:rPr>
        <w:t>第一章　磋商邀请函</w:t>
      </w:r>
      <w:r>
        <w:tab/>
      </w:r>
      <w:r>
        <w:fldChar w:fldCharType="begin"/>
      </w:r>
      <w:r>
        <w:instrText xml:space="preserve"> PAGEREF _Toc212455737 \h </w:instrText>
      </w:r>
      <w:r>
        <w:fldChar w:fldCharType="separate"/>
      </w:r>
      <w:r>
        <w:t>1</w:t>
      </w:r>
      <w:r>
        <w:fldChar w:fldCharType="end"/>
      </w:r>
      <w:r>
        <w:fldChar w:fldCharType="end"/>
      </w:r>
    </w:p>
    <w:p w14:paraId="3D9F1C74">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"_Toc212455738" </w:instrText>
      </w:r>
      <w:r>
        <w:fldChar w:fldCharType="separate"/>
      </w:r>
      <w:r>
        <w:rPr>
          <w:rStyle w:val="31"/>
          <w:rFonts w:hint="eastAsia"/>
        </w:rPr>
        <w:t>第二章　供应商须知</w:t>
      </w:r>
      <w:r>
        <w:tab/>
      </w:r>
      <w:r>
        <w:fldChar w:fldCharType="begin"/>
      </w:r>
      <w:r>
        <w:instrText xml:space="preserve"> PAGEREF _Toc212455738 \h </w:instrText>
      </w:r>
      <w:r>
        <w:fldChar w:fldCharType="separate"/>
      </w:r>
      <w:r>
        <w:t>4</w:t>
      </w:r>
      <w:r>
        <w:fldChar w:fldCharType="end"/>
      </w:r>
      <w:r>
        <w:fldChar w:fldCharType="end"/>
      </w:r>
    </w:p>
    <w:p w14:paraId="1C135B06">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"_Toc212455739" </w:instrText>
      </w:r>
      <w:r>
        <w:fldChar w:fldCharType="separate"/>
      </w:r>
      <w:r>
        <w:rPr>
          <w:rStyle w:val="31"/>
          <w:rFonts w:hint="eastAsia"/>
        </w:rPr>
        <w:t>第三章　磋商内容及要求</w:t>
      </w:r>
      <w:r>
        <w:tab/>
      </w:r>
      <w:r>
        <w:t>31</w:t>
      </w:r>
      <w:r>
        <w:fldChar w:fldCharType="end"/>
      </w:r>
    </w:p>
    <w:p w14:paraId="2D97A73C">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"_Toc212455740" </w:instrText>
      </w:r>
      <w:r>
        <w:fldChar w:fldCharType="separate"/>
      </w:r>
      <w:r>
        <w:rPr>
          <w:rStyle w:val="31"/>
          <w:rFonts w:hint="eastAsia"/>
        </w:rPr>
        <w:t>第四章　合同草案条款</w:t>
      </w:r>
      <w:r>
        <w:tab/>
      </w:r>
      <w:r>
        <w:fldChar w:fldCharType="end"/>
      </w:r>
      <w:r>
        <w:t>34</w:t>
      </w:r>
    </w:p>
    <w:p w14:paraId="078A24DC">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"_Toc212455742" </w:instrText>
      </w:r>
      <w:r>
        <w:fldChar w:fldCharType="separate"/>
      </w:r>
      <w:r>
        <w:rPr>
          <w:rStyle w:val="31"/>
          <w:rFonts w:hint="eastAsia"/>
        </w:rPr>
        <w:t>第五章　响应文件构成及格式</w:t>
      </w:r>
      <w:r>
        <w:tab/>
      </w:r>
      <w:r>
        <w:t>42</w:t>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2455737"/>
      <w:r>
        <w:rPr>
          <w:rFonts w:hint="eastAsia"/>
        </w:rPr>
        <w:t>第一章　磋商邀请函</w:t>
      </w:r>
      <w:bookmarkEnd w:id="0"/>
    </w:p>
    <w:p w14:paraId="60831BB5">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西安市消防救援支队鄠邑大队振兴北路消防救援站围墙修缮采购项目</w:t>
      </w:r>
      <w:r>
        <w:rPr>
          <w:rFonts w:hint="eastAsia"/>
        </w:rPr>
        <w:t>进行竞争性磋商，欢迎符合资格条件的、有能力提供本项目所需货物、服务或</w:t>
      </w:r>
      <w:r>
        <w:t>工程</w:t>
      </w:r>
      <w:r>
        <w:rPr>
          <w:rFonts w:hint="eastAsia"/>
        </w:rPr>
        <w:t>的供应商参加磋商。</w:t>
      </w:r>
    </w:p>
    <w:p w14:paraId="66BF635C">
      <w:pPr>
        <w:widowControl w:val="0"/>
        <w:topLinePunct/>
        <w:ind w:firstLine="480" w:firstLineChars="200"/>
        <w:jc w:val="both"/>
        <w:rPr>
          <w:b/>
        </w:rPr>
      </w:pPr>
      <w:r>
        <w:rPr>
          <w:rFonts w:hint="eastAsia"/>
          <w:b/>
        </w:rPr>
        <w:t>一、项目基本信息：</w:t>
      </w:r>
    </w:p>
    <w:p w14:paraId="5753BB01">
      <w:pPr>
        <w:widowControl w:val="0"/>
        <w:topLinePunct/>
        <w:ind w:firstLine="480" w:firstLineChars="200"/>
        <w:jc w:val="both"/>
      </w:pPr>
      <w:r>
        <w:t>项目</w:t>
      </w:r>
      <w:r>
        <w:rPr>
          <w:rFonts w:hint="eastAsia"/>
        </w:rPr>
        <w:t>名称：</w:t>
      </w:r>
      <w:r>
        <w:rPr>
          <w:rFonts w:hint="eastAsia"/>
          <w:color w:val="C00000"/>
        </w:rPr>
        <w:t>西安市消防救援支队鄠邑大队振兴北路消防救援站围墙修缮采购项目</w:t>
      </w:r>
    </w:p>
    <w:p w14:paraId="4239F57F">
      <w:pPr>
        <w:widowControl w:val="0"/>
        <w:topLinePunct/>
        <w:ind w:firstLine="480" w:firstLineChars="200"/>
        <w:jc w:val="both"/>
      </w:pPr>
      <w:r>
        <w:rPr>
          <w:rFonts w:hint="eastAsia"/>
        </w:rPr>
        <w:t>项目编号：</w:t>
      </w:r>
      <w:r>
        <w:rPr>
          <w:rFonts w:hint="eastAsia"/>
          <w:color w:val="C00000"/>
        </w:rPr>
        <w:t>XCZX2025-0189</w:t>
      </w:r>
    </w:p>
    <w:p w14:paraId="448BE4B3">
      <w:pPr>
        <w:widowControl w:val="0"/>
        <w:topLinePunct/>
        <w:ind w:firstLine="480" w:firstLineChars="200"/>
        <w:jc w:val="both"/>
        <w:rPr>
          <w:color w:val="C00000"/>
        </w:rPr>
      </w:pPr>
      <w:r>
        <w:t>备案编号：</w:t>
      </w:r>
      <w:r>
        <w:rPr>
          <w:rFonts w:hint="eastAsia"/>
          <w:color w:val="C00000"/>
        </w:rPr>
        <w:t>ZCBN-西安市-2025-05694</w:t>
      </w:r>
    </w:p>
    <w:p w14:paraId="45D17F85">
      <w:pPr>
        <w:widowControl w:val="0"/>
        <w:topLinePunct/>
        <w:ind w:firstLine="480" w:firstLineChars="200"/>
        <w:jc w:val="both"/>
      </w:pPr>
      <w:r>
        <w:rPr>
          <w:rFonts w:hint="eastAsia"/>
          <w:b/>
        </w:rPr>
        <w:t>二、项目性质：</w:t>
      </w:r>
      <w:r>
        <w:rPr>
          <w:rFonts w:hint="eastAsia"/>
          <w:color w:val="C00000"/>
        </w:rPr>
        <w:t>专门面向中小企业的采购项目</w:t>
      </w:r>
    </w:p>
    <w:p w14:paraId="1115D8A7">
      <w:pPr>
        <w:widowControl w:val="0"/>
        <w:topLinePunct/>
        <w:ind w:firstLine="480" w:firstLineChars="200"/>
        <w:jc w:val="both"/>
        <w:rPr>
          <w:color w:val="C00000"/>
        </w:rPr>
      </w:pPr>
      <w:r>
        <w:rPr>
          <w:rFonts w:hint="eastAsia"/>
          <w:b/>
        </w:rPr>
        <w:t>三、采购预算：</w:t>
      </w:r>
      <w:r>
        <w:rPr>
          <w:rFonts w:hint="eastAsia"/>
          <w:color w:val="C00000"/>
        </w:rPr>
        <w:t>〈</w:t>
      </w:r>
      <w:bookmarkStart w:id="1" w:name="OLE_LINK1"/>
      <w:bookmarkStart w:id="2" w:name="OLE_LINK2"/>
      <w:r>
        <w:rPr>
          <w:color w:val="C00000"/>
        </w:rPr>
        <w:t>684467.02</w:t>
      </w:r>
      <w:bookmarkEnd w:id="1"/>
      <w:bookmarkEnd w:id="2"/>
      <w:r>
        <w:rPr>
          <w:color w:val="C00000"/>
        </w:rPr>
        <w:t>元</w:t>
      </w:r>
      <w:r>
        <w:rPr>
          <w:rFonts w:hint="eastAsia"/>
          <w:color w:val="C00000"/>
        </w:rPr>
        <w:t>〉（最高限价〈</w:t>
      </w:r>
      <w:r>
        <w:rPr>
          <w:color w:val="C00000"/>
        </w:rPr>
        <w:t>684467.02</w:t>
      </w:r>
      <w:r>
        <w:rPr>
          <w:rFonts w:hint="eastAsia"/>
          <w:color w:val="C00000"/>
        </w:rPr>
        <w:t>元〉）</w:t>
      </w:r>
    </w:p>
    <w:p w14:paraId="0E252F26">
      <w:pPr>
        <w:widowControl w:val="0"/>
        <w:topLinePunct/>
        <w:ind w:firstLine="480" w:firstLineChars="200"/>
        <w:jc w:val="both"/>
        <w:rPr>
          <w:b/>
        </w:rPr>
      </w:pPr>
      <w:r>
        <w:rPr>
          <w:b/>
        </w:rPr>
        <w:t>四、采购</w:t>
      </w:r>
      <w:r>
        <w:rPr>
          <w:rFonts w:hint="eastAsia"/>
          <w:b/>
        </w:rPr>
        <w:t>内容和要求：</w:t>
      </w:r>
    </w:p>
    <w:p w14:paraId="438E8C49">
      <w:pPr>
        <w:widowControl w:val="0"/>
        <w:topLinePunct/>
        <w:ind w:firstLine="480" w:firstLineChars="200"/>
        <w:jc w:val="both"/>
        <w:rPr>
          <w:color w:val="C00000"/>
        </w:rPr>
      </w:pPr>
      <w:r>
        <w:rPr>
          <w:rFonts w:hint="eastAsia"/>
          <w:color w:val="C00000"/>
        </w:rPr>
        <w:t>西安市消防救援支队鄠邑大队振兴北路消防救援站围墙修缮采购项目</w:t>
      </w:r>
    </w:p>
    <w:p w14:paraId="4EA8B14C">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rPr>
          <w:rFonts w:hint="eastAsia"/>
          <w:u w:val="single"/>
        </w:rPr>
        <w:t>_</w:t>
      </w:r>
      <w:r>
        <w:rPr>
          <w:u w:val="single"/>
        </w:rPr>
        <w:t>12_</w:t>
      </w:r>
      <w:r>
        <w:rPr>
          <w:rFonts w:hint="eastAsia"/>
        </w:rPr>
        <w:t>月</w:t>
      </w:r>
      <w:r>
        <w:rPr>
          <w:rFonts w:hint="eastAsia"/>
          <w:u w:val="single"/>
        </w:rPr>
        <w:t>_</w:t>
      </w:r>
      <w:r>
        <w:rPr>
          <w:u w:val="single"/>
        </w:rPr>
        <w:t>26_</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12</w:t>
      </w:r>
      <w:r>
        <w:rPr>
          <w:rFonts w:hint="eastAsia"/>
        </w:rPr>
        <w:t>月_</w:t>
      </w:r>
      <w:r>
        <w:rPr>
          <w:u w:val="single"/>
        </w:rPr>
        <w:t>26</w:t>
      </w:r>
      <w:r>
        <w:rPr>
          <w:rFonts w:hint="eastAsia"/>
        </w:rPr>
        <w:t>日10:3</w:t>
      </w:r>
      <w:r>
        <w:t>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rFonts w:hint="eastAsia"/>
          <w:u w:val="single"/>
        </w:rPr>
        <w:t>_</w:t>
      </w:r>
      <w:r>
        <w:rPr>
          <w:u w:val="single"/>
        </w:rPr>
        <w:t>5_</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1F5EC254">
      <w:pPr>
        <w:widowControl w:val="0"/>
        <w:topLinePunct/>
        <w:ind w:left="480" w:leftChars="200"/>
        <w:jc w:val="both"/>
      </w:pPr>
      <w:r>
        <w:rPr>
          <w:rFonts w:hint="eastAsia"/>
        </w:rPr>
        <w:t>1．采购人：西安市消防救援支队</w:t>
      </w:r>
      <w:r>
        <w:rPr>
          <w:rFonts w:hint="eastAsia"/>
        </w:rPr>
        <w:cr/>
      </w:r>
      <w:r>
        <w:rPr>
          <w:rFonts w:hint="eastAsia"/>
        </w:rPr>
        <w:t>地址：西安市雁塔区科技七路10号</w:t>
      </w:r>
      <w:r>
        <w:rPr>
          <w:rFonts w:hint="eastAsia"/>
        </w:rPr>
        <w:cr/>
      </w:r>
      <w:r>
        <w:rPr>
          <w:rFonts w:hint="eastAsia"/>
        </w:rPr>
        <w:t>联系人：贺老师</w:t>
      </w:r>
      <w:r>
        <w:rPr>
          <w:rFonts w:hint="eastAsia"/>
        </w:rPr>
        <w:cr/>
      </w:r>
      <w:r>
        <w:rPr>
          <w:rFonts w:hint="eastAsia"/>
        </w:rPr>
        <w:t>联系电话：</w:t>
      </w:r>
      <w:bookmarkStart w:id="3" w:name="OLE_LINK14"/>
      <w:bookmarkStart w:id="4" w:name="OLE_LINK15"/>
      <w:r>
        <w:rPr>
          <w:rFonts w:hint="eastAsia"/>
        </w:rPr>
        <w:t>029-86750035</w:t>
      </w:r>
      <w:bookmarkEnd w:id="3"/>
      <w:bookmarkEnd w:id="4"/>
    </w:p>
    <w:p w14:paraId="1151CB43">
      <w:pPr>
        <w:widowControl w:val="0"/>
        <w:topLinePunct/>
        <w:ind w:left="480" w:leftChars="200"/>
        <w:jc w:val="both"/>
      </w:pPr>
      <w:r>
        <w:rPr>
          <w:rFonts w:hint="eastAsia"/>
        </w:rPr>
        <w:t>2．采购代理机构：西安市市级单位政府采购中心</w:t>
      </w:r>
    </w:p>
    <w:p w14:paraId="09EF8C67">
      <w:pPr>
        <w:widowControl w:val="0"/>
        <w:topLinePunct/>
        <w:ind w:firstLine="480" w:firstLineChars="200"/>
        <w:jc w:val="both"/>
      </w:pPr>
      <w:r>
        <w:rPr>
          <w:rFonts w:hint="eastAsia"/>
        </w:rPr>
        <w:t>地址：西安市未央区文景北路16号白桦林国际B座</w:t>
      </w:r>
    </w:p>
    <w:p w14:paraId="45EA14B3">
      <w:pPr>
        <w:widowControl w:val="0"/>
        <w:topLinePunct/>
        <w:ind w:firstLine="480" w:firstLineChars="200"/>
        <w:jc w:val="both"/>
      </w:pPr>
      <w:r>
        <w:rPr>
          <w:rFonts w:hint="eastAsia"/>
        </w:rPr>
        <w:t>总机：029-86510091/86510092/86510093</w:t>
      </w:r>
    </w:p>
    <w:p w14:paraId="4028E33B">
      <w:pPr>
        <w:widowControl w:val="0"/>
        <w:topLinePunct/>
        <w:ind w:firstLine="480" w:firstLineChars="200"/>
        <w:jc w:val="both"/>
      </w:pPr>
      <w:r>
        <w:rPr>
          <w:rFonts w:hint="eastAsia"/>
        </w:rPr>
        <w:t>标书联系人及分机号：徐老师（</w:t>
      </w:r>
      <w:r>
        <w:t>80813</w:t>
      </w:r>
      <w:r>
        <w:rPr>
          <w:rFonts w:hint="eastAsia"/>
        </w:rPr>
        <w:t>）</w:t>
      </w:r>
    </w:p>
    <w:p w14:paraId="4ED7171F">
      <w:pPr>
        <w:widowControl w:val="0"/>
        <w:topLinePunct/>
        <w:ind w:firstLine="480" w:firstLineChars="200"/>
        <w:jc w:val="both"/>
      </w:pPr>
      <w:r>
        <w:rPr>
          <w:rFonts w:hint="eastAsia"/>
        </w:rPr>
        <w:t>开标联系人及分机号：李老师（</w:t>
      </w:r>
      <w:r>
        <w:t>80758</w:t>
      </w:r>
      <w:r>
        <w:rPr>
          <w:rFonts w:hint="eastAsia"/>
        </w:rPr>
        <w:t>）</w:t>
      </w:r>
    </w:p>
    <w:p w14:paraId="15604915">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5" w:name="_Toc533363262"/>
      <w:bookmarkStart w:id="6" w:name="_Toc445407251"/>
      <w:bookmarkStart w:id="7" w:name="_Toc212455738"/>
      <w:bookmarkStart w:id="8" w:name="_Toc498349068"/>
      <w:bookmarkStart w:id="9" w:name="_Toc533363235"/>
      <w:bookmarkStart w:id="10" w:name="_Toc97563329"/>
      <w:bookmarkStart w:id="11" w:name="_Toc534656409"/>
      <w:bookmarkStart w:id="12" w:name="_Toc534656414"/>
      <w:r>
        <w:t>第二章</w:t>
      </w:r>
      <w:r>
        <w:rPr>
          <w:rFonts w:hint="eastAsia"/>
        </w:rPr>
        <w:t>　</w:t>
      </w:r>
      <w:r>
        <w:t>供应商须知</w:t>
      </w:r>
      <w:bookmarkEnd w:id="5"/>
      <w:bookmarkEnd w:id="6"/>
      <w:bookmarkEnd w:id="7"/>
      <w:bookmarkEnd w:id="8"/>
      <w:bookmarkEnd w:id="9"/>
      <w:bookmarkEnd w:id="10"/>
      <w:bookmarkEnd w:id="11"/>
      <w:bookmarkEnd w:id="12"/>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西安市消防救援支队鄠邑大队振兴北路消防救援站围墙修缮采购项目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XCZX2025-0189</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color w:val="C00000"/>
              </w:rPr>
              <w:t>684467.02</w:t>
            </w:r>
            <w:r>
              <w:rPr>
                <w:rFonts w:hint="eastAsia" w:ascii="Calibri" w:hAnsi="宋体" w:eastAsia="宋体" w:cstheme="minorHAnsi"/>
                <w:sz w:val="21"/>
              </w:rPr>
              <w:t>元（最高限价</w:t>
            </w:r>
            <w:r>
              <w:rPr>
                <w:color w:val="C00000"/>
              </w:rPr>
              <w:t>684467.02</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w:t>
            </w:r>
            <w:r>
              <w:rPr>
                <w:rFonts w:hint="eastAsia" w:ascii="Calibri" w:hAnsi="宋体" w:eastAsia="宋体" w:cstheme="minorHAnsi"/>
                <w:sz w:val="21"/>
                <w:u w:val="single"/>
              </w:rPr>
              <w:t>_</w:t>
            </w:r>
            <w:r>
              <w:rPr>
                <w:rFonts w:ascii="Calibri" w:hAnsi="宋体" w:eastAsia="宋体" w:cstheme="minorHAnsi"/>
                <w:sz w:val="21"/>
                <w:u w:val="single"/>
              </w:rPr>
              <w:t>3</w:t>
            </w:r>
            <w:r>
              <w:rPr>
                <w:rFonts w:hint="eastAsia" w:ascii="Calibri" w:hAnsi="宋体" w:eastAsia="宋体" w:cstheme="minorHAnsi"/>
                <w:sz w:val="21"/>
                <w:u w:val="single"/>
              </w:rPr>
              <w:t>_</w:t>
            </w:r>
            <w:r>
              <w:rPr>
                <w:rFonts w:hint="eastAsia" w:ascii="Calibri" w:hAnsi="宋体" w:eastAsia="宋体" w:cstheme="minorHAnsi"/>
                <w:sz w:val="21"/>
              </w:rPr>
              <w:t>%</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建筑业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07719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1B7BC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467CE32">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3D5E0C49">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5C0A283B">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0CB645D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2025年12月</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23</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日 上午9:00</w:t>
            </w:r>
          </w:p>
          <w:p w14:paraId="47A2EE60">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西安市</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鄠邑</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区</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五竹街道丰二东路振兴北路消防救援站</w:t>
            </w:r>
          </w:p>
          <w:p w14:paraId="509FB07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王老师</w:t>
            </w:r>
          </w:p>
          <w:p w14:paraId="1941AC09">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18791968285</w:t>
            </w:r>
          </w:p>
        </w:tc>
      </w:tr>
    </w:tbl>
    <w:p w14:paraId="3DC0236E"/>
    <w:p w14:paraId="44152FC5">
      <w:pPr>
        <w:rPr>
          <w:rFonts w:ascii="Calibri" w:hAnsi="Calibri" w:eastAsia="黑体" w:cstheme="majorBidi"/>
          <w:bCs/>
          <w:iCs/>
          <w:kern w:val="32"/>
          <w:sz w:val="28"/>
          <w:szCs w:val="28"/>
        </w:rPr>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3" w:name="OLE_LINK10"/>
      <w:bookmarkStart w:id="14" w:name="OLE_LINK9"/>
      <w:r>
        <w:rPr>
          <w:rFonts w:hint="eastAsia"/>
          <w:color w:val="C00000"/>
        </w:rPr>
        <w:t>采购文件公告期限届满之日</w:t>
      </w:r>
      <w:bookmarkEnd w:id="13"/>
      <w:bookmarkEnd w:id="14"/>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磋商活动的所有文件、资料、函电文字均使用简体中文，确需提交用其他语言形成的资料，必须翻译成简体中文，如有差异，以简体中文为准。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1AFAE165">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1"/>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1"/>
        <w:ind w:firstLine="480"/>
      </w:pPr>
      <w:r>
        <w:rPr>
          <w:rFonts w:hint="eastAsia"/>
        </w:rPr>
        <w:t>1．不同供应商的响应文件由同一单位或者个人编制的；</w:t>
      </w:r>
    </w:p>
    <w:p w14:paraId="680072CC">
      <w:pPr>
        <w:pStyle w:val="81"/>
        <w:ind w:firstLine="480"/>
      </w:pPr>
      <w:r>
        <w:rPr>
          <w:rFonts w:hint="eastAsia"/>
        </w:rPr>
        <w:t>2．不同供应商委托同一单位或者个人办理磋商事宜的；</w:t>
      </w:r>
    </w:p>
    <w:p w14:paraId="7440E1B6">
      <w:pPr>
        <w:pStyle w:val="81"/>
        <w:ind w:firstLine="480"/>
      </w:pPr>
      <w:r>
        <w:rPr>
          <w:rFonts w:hint="eastAsia"/>
        </w:rPr>
        <w:t>3．不同供应商的响应文件载明的项目管理成员或者联系人员为同一人的；</w:t>
      </w:r>
    </w:p>
    <w:p w14:paraId="781FE8A4">
      <w:pPr>
        <w:pStyle w:val="81"/>
        <w:ind w:firstLine="480"/>
      </w:pPr>
      <w:r>
        <w:rPr>
          <w:rFonts w:hint="eastAsia"/>
        </w:rPr>
        <w:t>4．不同供应商的响应文件异常一致或者报价呈规律性差异的；</w:t>
      </w:r>
    </w:p>
    <w:p w14:paraId="3D0E3CF0">
      <w:pPr>
        <w:pStyle w:val="81"/>
        <w:ind w:firstLine="480"/>
      </w:pPr>
      <w:r>
        <w:rPr>
          <w:rFonts w:hint="eastAsia"/>
        </w:rPr>
        <w:t>5．不同供应商的响应文件相互混编或混装的。</w:t>
      </w:r>
    </w:p>
    <w:p w14:paraId="147CE1F7">
      <w:pPr>
        <w:pStyle w:val="3"/>
      </w:pPr>
      <w:r>
        <w:rPr>
          <w:rFonts w:hint="eastAsia"/>
        </w:rPr>
        <w:t>五</w:t>
      </w:r>
      <w:r>
        <w:t>、开启</w:t>
      </w:r>
    </w:p>
    <w:p w14:paraId="7E9B778B">
      <w:pPr>
        <w:pStyle w:val="81"/>
        <w:ind w:firstLine="480"/>
      </w:pPr>
      <w:r>
        <w:rPr>
          <w:rFonts w:hint="eastAsia"/>
        </w:rPr>
        <w:t>开启工作由采购代理机构组织实施，整个过程受同级政府采购监管部门的监督、管理。</w:t>
      </w:r>
    </w:p>
    <w:p w14:paraId="5994D3AC">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554DB15D">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1"/>
        <w:ind w:firstLine="480"/>
        <w:rPr>
          <w:color w:val="auto"/>
        </w:rPr>
      </w:pPr>
      <w:r>
        <w:rPr>
          <w:rFonts w:hint="eastAsia"/>
          <w:color w:val="auto"/>
        </w:rPr>
        <w:t>（3）上传</w:t>
      </w:r>
      <w:r>
        <w:rPr>
          <w:color w:val="auto"/>
        </w:rPr>
        <w:t>的电子响应文件无法正常打开的；</w:t>
      </w:r>
    </w:p>
    <w:p w14:paraId="5875F9E0">
      <w:pPr>
        <w:pStyle w:val="81"/>
        <w:ind w:firstLine="480"/>
        <w:rPr>
          <w:color w:val="auto"/>
        </w:rPr>
      </w:pPr>
      <w:r>
        <w:rPr>
          <w:rFonts w:hint="eastAsia"/>
          <w:color w:val="auto"/>
        </w:rPr>
        <w:t>（4）</w:t>
      </w:r>
      <w:r>
        <w:rPr>
          <w:color w:val="auto"/>
        </w:rPr>
        <w:t>政府采购法律法规规定的其他无效情形。</w:t>
      </w:r>
    </w:p>
    <w:p w14:paraId="76C6C5F6">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1"/>
        <w:ind w:firstLine="480"/>
      </w:pPr>
      <w:r>
        <w:rPr>
          <w:rFonts w:hint="eastAsia"/>
        </w:rPr>
        <w:t>磋商文件经确认后，磋商小组对响应文件中的供应商资格证明文件进行审查（其中供应商信用记录审查由采购人进行）。</w:t>
      </w:r>
    </w:p>
    <w:p w14:paraId="415E7DA6">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1"/>
        <w:ind w:firstLine="480"/>
      </w:pPr>
      <w:r>
        <w:rPr>
          <w:rFonts w:hint="eastAsia"/>
        </w:rPr>
        <w:t>（1）不具备磋商文件中规定的资格要求的；</w:t>
      </w:r>
    </w:p>
    <w:p w14:paraId="679D2DFA">
      <w:pPr>
        <w:pStyle w:val="81"/>
        <w:ind w:firstLine="480"/>
      </w:pPr>
      <w:r>
        <w:rPr>
          <w:rFonts w:hint="eastAsia"/>
        </w:rPr>
        <w:t>（2）未按磋商文件要求提供资格证明文件，或资格证明文件未按磋商文件要求签字、盖章的；</w:t>
      </w:r>
    </w:p>
    <w:p w14:paraId="13F9BBCC">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1"/>
        <w:ind w:firstLine="480"/>
      </w:pPr>
      <w:r>
        <w:rPr>
          <w:rFonts w:hint="eastAsia"/>
        </w:rPr>
        <w:t>（4）法律法规规定的其他无效情形。</w:t>
      </w:r>
    </w:p>
    <w:p w14:paraId="17B8864D">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年度经审计的财务会计报告（成立时间至提交响应文件截止时间不足一年的可提供成立后任意时段的资产负债表）；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bookmarkStart w:id="15" w:name="OLE_LINK16"/>
            <w:bookmarkStart w:id="16" w:name="OLE_LINK17"/>
            <w:r>
              <w:rPr>
                <w:rFonts w:hint="eastAsia" w:ascii="Calibri" w:hAnsi="宋体" w:eastAsia="宋体" w:cstheme="minorHAnsi"/>
                <w:bCs/>
                <w:sz w:val="21"/>
              </w:rPr>
              <w:t>无重大违法记录声明</w:t>
            </w:r>
            <w:bookmarkEnd w:id="15"/>
            <w:bookmarkEnd w:id="16"/>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bookmarkStart w:id="17" w:name="_Hlk216442631"/>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安全生产许可证</w:t>
            </w:r>
          </w:p>
        </w:tc>
        <w:tc>
          <w:tcPr>
            <w:tcW w:w="5846" w:type="dxa"/>
            <w:vAlign w:val="center"/>
          </w:tcPr>
          <w:p w14:paraId="185812BF">
            <w:pPr>
              <w:spacing w:line="400" w:lineRule="exact"/>
              <w:jc w:val="both"/>
              <w:rPr>
                <w:rFonts w:ascii="Calibri" w:hAnsi="宋体" w:eastAsia="宋体" w:cstheme="minorHAnsi"/>
                <w:bCs/>
                <w:color w:val="C00000"/>
                <w:sz w:val="21"/>
              </w:rPr>
            </w:pPr>
            <w:bookmarkStart w:id="18" w:name="OLE_LINK6"/>
            <w:bookmarkStart w:id="19" w:name="OLE_LINK7"/>
            <w:r>
              <w:rPr>
                <w:rFonts w:hint="eastAsia" w:ascii="Calibri" w:hAnsi="宋体" w:eastAsia="宋体" w:cstheme="minorHAnsi"/>
                <w:bCs/>
                <w:color w:val="C00000"/>
                <w:sz w:val="21"/>
              </w:rPr>
              <w:t>具有有效的安全生产许可证。</w:t>
            </w:r>
            <w:bookmarkEnd w:id="18"/>
            <w:bookmarkEnd w:id="19"/>
          </w:p>
        </w:tc>
      </w:tr>
      <w:tr w14:paraId="1BFB1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3AAFE7CB">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095C3BC1">
            <w:pPr>
              <w:spacing w:line="400" w:lineRule="exact"/>
              <w:jc w:val="both"/>
              <w:rPr>
                <w:rFonts w:ascii="Calibri" w:hAnsi="宋体" w:eastAsia="宋体" w:cstheme="minorHAnsi"/>
                <w:bCs/>
                <w:color w:val="C00000"/>
                <w:sz w:val="21"/>
              </w:rPr>
            </w:pPr>
            <w:bookmarkStart w:id="20" w:name="OLE_LINK8"/>
            <w:r>
              <w:rPr>
                <w:rFonts w:hint="eastAsia" w:ascii="Calibri" w:hAnsi="宋体" w:eastAsia="宋体" w:cstheme="minorHAnsi"/>
                <w:bCs/>
                <w:color w:val="C00000"/>
                <w:sz w:val="21"/>
              </w:rPr>
              <w:t>建筑工程施工总承包资质</w:t>
            </w:r>
            <w:bookmarkEnd w:id="20"/>
          </w:p>
        </w:tc>
        <w:tc>
          <w:tcPr>
            <w:tcW w:w="5846" w:type="dxa"/>
            <w:vAlign w:val="center"/>
          </w:tcPr>
          <w:p w14:paraId="326D08E5">
            <w:pPr>
              <w:spacing w:line="400" w:lineRule="exact"/>
              <w:jc w:val="both"/>
              <w:rPr>
                <w:rFonts w:ascii="Calibri" w:hAnsi="宋体" w:eastAsia="宋体" w:cstheme="minorHAnsi"/>
                <w:bCs/>
                <w:color w:val="C00000"/>
                <w:sz w:val="21"/>
              </w:rPr>
            </w:pPr>
            <w:bookmarkStart w:id="21" w:name="OLE_LINK11"/>
            <w:r>
              <w:rPr>
                <w:rFonts w:hint="eastAsia" w:ascii="Calibri" w:hAnsi="宋体" w:eastAsia="宋体" w:cstheme="minorHAnsi"/>
                <w:bCs/>
                <w:color w:val="C00000"/>
                <w:sz w:val="21"/>
              </w:rPr>
              <w:t>具备建设行政主管部门颁发的建筑工程施工总承包三级及以上资质。</w:t>
            </w:r>
            <w:bookmarkEnd w:id="21"/>
          </w:p>
        </w:tc>
      </w:tr>
      <w:tr w14:paraId="79EA0F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F702524">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5C4D91A5">
            <w:pPr>
              <w:spacing w:line="400" w:lineRule="exact"/>
              <w:jc w:val="both"/>
              <w:rPr>
                <w:rFonts w:ascii="Calibri" w:hAnsi="宋体" w:eastAsia="宋体" w:cstheme="minorHAnsi"/>
                <w:bCs/>
                <w:color w:val="C00000"/>
                <w:sz w:val="21"/>
              </w:rPr>
            </w:pPr>
            <w:bookmarkStart w:id="22" w:name="OLE_LINK12"/>
            <w:bookmarkStart w:id="23" w:name="OLE_LINK13"/>
            <w:r>
              <w:rPr>
                <w:rFonts w:hint="eastAsia" w:ascii="Calibri" w:hAnsi="宋体" w:eastAsia="宋体" w:cstheme="minorHAnsi"/>
                <w:bCs/>
                <w:color w:val="C00000"/>
                <w:sz w:val="21"/>
              </w:rPr>
              <w:t>项目经理</w:t>
            </w:r>
            <w:bookmarkEnd w:id="22"/>
            <w:bookmarkEnd w:id="23"/>
          </w:p>
        </w:tc>
        <w:tc>
          <w:tcPr>
            <w:tcW w:w="5846" w:type="dxa"/>
            <w:vAlign w:val="center"/>
          </w:tcPr>
          <w:p w14:paraId="26D9504B">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拟派项目经理具备建设行政主管部门颁发的建筑工程专业二级或以上注册建造师执业资格以及有效的安全生产考核合格证（建安B证），在本单位注册且无在建项目。</w:t>
            </w:r>
          </w:p>
        </w:tc>
      </w:tr>
      <w:bookmarkEnd w:id="17"/>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bookmarkStart w:id="24" w:name="OLE_LINK20"/>
            <w:r>
              <w:rPr>
                <w:rFonts w:ascii="Calibri" w:hAnsi="宋体" w:eastAsia="宋体" w:cstheme="minorHAnsi"/>
                <w:bCs/>
                <w:sz w:val="21"/>
                <w:szCs w:val="21"/>
              </w:rPr>
              <w:t>响应文件组成</w:t>
            </w:r>
            <w:bookmarkEnd w:id="24"/>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5CC9CFE5">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1E9F6B67">
      <w:pPr>
        <w:keepNext/>
        <w:spacing w:before="230" w:beforeLines="50" w:after="230" w:afterLines="50"/>
        <w:jc w:val="center"/>
        <w:outlineLvl w:val="3"/>
        <w:rPr>
          <w:rFonts w:ascii="黑体" w:hAnsi="黑体" w:eastAsia="黑体" w:cstheme="minorHAnsi"/>
          <w:color w:val="1F4E79"/>
          <w:sz w:val="32"/>
          <w:szCs w:val="32"/>
        </w:rPr>
      </w:pPr>
      <w:bookmarkStart w:id="25" w:name="OLE_LINK3"/>
      <w:bookmarkStart w:id="26" w:name="OLE_LINK4"/>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093"/>
        <w:gridCol w:w="1134"/>
      </w:tblGrid>
      <w:tr w14:paraId="38DBB1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vAlign w:val="center"/>
          </w:tcPr>
          <w:p w14:paraId="64E81838">
            <w:pPr>
              <w:spacing w:line="400" w:lineRule="exact"/>
              <w:jc w:val="center"/>
              <w:rPr>
                <w:rFonts w:ascii="Calibri" w:hAnsi="宋体" w:eastAsia="宋体" w:cs="Calibri"/>
                <w:b/>
                <w:bCs/>
                <w:sz w:val="21"/>
                <w:szCs w:val="21"/>
              </w:rPr>
            </w:pPr>
            <w:r>
              <w:rPr>
                <w:rFonts w:ascii="Calibri" w:hAnsi="宋体" w:eastAsia="宋体" w:cs="Calibri"/>
                <w:b/>
                <w:bCs/>
                <w:sz w:val="21"/>
                <w:szCs w:val="21"/>
              </w:rPr>
              <w:t>项别</w:t>
            </w:r>
          </w:p>
        </w:tc>
        <w:tc>
          <w:tcPr>
            <w:tcW w:w="1500" w:type="dxa"/>
            <w:gridSpan w:val="2"/>
            <w:tcBorders>
              <w:top w:val="single" w:color="auto" w:sz="12" w:space="0"/>
              <w:bottom w:val="single" w:color="auto" w:sz="2" w:space="0"/>
            </w:tcBorders>
            <w:shd w:val="clear" w:color="auto" w:fill="F1F1F1"/>
            <w:vAlign w:val="center"/>
          </w:tcPr>
          <w:p w14:paraId="36F61953">
            <w:pPr>
              <w:spacing w:line="400" w:lineRule="exact"/>
              <w:jc w:val="center"/>
              <w:rPr>
                <w:rFonts w:ascii="Calibri" w:hAnsi="宋体" w:eastAsia="宋体" w:cs="Calibri"/>
                <w:b/>
                <w:bCs/>
                <w:sz w:val="21"/>
                <w:szCs w:val="21"/>
              </w:rPr>
            </w:pPr>
            <w:r>
              <w:rPr>
                <w:rFonts w:ascii="Calibri" w:hAnsi="宋体" w:eastAsia="宋体" w:cs="Calibri"/>
                <w:b/>
                <w:bCs/>
                <w:sz w:val="21"/>
                <w:szCs w:val="21"/>
              </w:rPr>
              <w:t>总分值</w:t>
            </w:r>
          </w:p>
        </w:tc>
        <w:tc>
          <w:tcPr>
            <w:tcW w:w="6093" w:type="dxa"/>
            <w:vMerge w:val="restart"/>
            <w:tcBorders>
              <w:top w:val="single" w:color="auto" w:sz="12" w:space="0"/>
              <w:bottom w:val="single" w:color="auto" w:sz="2" w:space="0"/>
            </w:tcBorders>
            <w:shd w:val="clear" w:color="auto" w:fill="F1F1F1"/>
            <w:vAlign w:val="center"/>
          </w:tcPr>
          <w:p w14:paraId="1A365E18">
            <w:pPr>
              <w:spacing w:line="400" w:lineRule="exact"/>
              <w:ind w:firstLine="422"/>
              <w:jc w:val="center"/>
              <w:rPr>
                <w:rFonts w:ascii="Calibri" w:hAnsi="宋体" w:eastAsia="宋体" w:cs="Calibri"/>
                <w:b/>
                <w:bCs/>
                <w:sz w:val="21"/>
                <w:szCs w:val="21"/>
              </w:rPr>
            </w:pPr>
            <w:r>
              <w:rPr>
                <w:rFonts w:hint="eastAsia" w:ascii="Calibri" w:hAnsi="宋体" w:eastAsia="宋体" w:cs="Calibri"/>
                <w:b/>
                <w:bCs/>
                <w:sz w:val="21"/>
                <w:szCs w:val="21"/>
              </w:rPr>
              <w:t>评审要素</w:t>
            </w:r>
          </w:p>
        </w:tc>
        <w:tc>
          <w:tcPr>
            <w:tcW w:w="1134" w:type="dxa"/>
            <w:vMerge w:val="restart"/>
            <w:tcBorders>
              <w:top w:val="single" w:color="auto" w:sz="12" w:space="0"/>
              <w:bottom w:val="single" w:color="auto" w:sz="2" w:space="0"/>
            </w:tcBorders>
            <w:shd w:val="clear" w:color="auto" w:fill="F1F1F1"/>
            <w:vAlign w:val="center"/>
          </w:tcPr>
          <w:p w14:paraId="32C48980">
            <w:pPr>
              <w:spacing w:line="400" w:lineRule="exact"/>
              <w:jc w:val="center"/>
              <w:rPr>
                <w:rFonts w:ascii="Calibri" w:hAnsi="宋体" w:eastAsia="宋体" w:cs="Calibri"/>
                <w:b/>
                <w:bCs/>
                <w:sz w:val="21"/>
                <w:szCs w:val="21"/>
              </w:rPr>
            </w:pPr>
            <w:r>
              <w:rPr>
                <w:rFonts w:ascii="Calibri" w:hAnsi="宋体" w:eastAsia="宋体" w:cs="Calibri"/>
                <w:b/>
                <w:bCs/>
                <w:sz w:val="21"/>
                <w:szCs w:val="21"/>
              </w:rPr>
              <w:t>备注</w:t>
            </w:r>
          </w:p>
        </w:tc>
      </w:tr>
      <w:tr w14:paraId="6E560C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vAlign w:val="center"/>
          </w:tcPr>
          <w:p w14:paraId="5F39C420">
            <w:pPr>
              <w:spacing w:line="400" w:lineRule="exact"/>
              <w:jc w:val="center"/>
              <w:rPr>
                <w:rFonts w:ascii="Calibri" w:hAnsi="宋体" w:eastAsia="宋体" w:cs="Calibri"/>
                <w:bCs/>
                <w:sz w:val="21"/>
                <w:szCs w:val="21"/>
              </w:rPr>
            </w:pPr>
          </w:p>
        </w:tc>
        <w:tc>
          <w:tcPr>
            <w:tcW w:w="640" w:type="dxa"/>
            <w:tcBorders>
              <w:top w:val="single" w:color="auto" w:sz="2" w:space="0"/>
              <w:bottom w:val="single" w:color="auto" w:sz="2" w:space="0"/>
            </w:tcBorders>
            <w:shd w:val="clear" w:color="auto" w:fill="F1F1F1"/>
            <w:vAlign w:val="center"/>
          </w:tcPr>
          <w:p w14:paraId="4625F5A3">
            <w:pPr>
              <w:spacing w:line="400" w:lineRule="exact"/>
              <w:jc w:val="center"/>
              <w:rPr>
                <w:rFonts w:ascii="Calibri" w:hAnsi="宋体" w:eastAsia="宋体" w:cs="Calibri"/>
                <w:b/>
                <w:bCs/>
                <w:sz w:val="21"/>
                <w:szCs w:val="21"/>
              </w:rPr>
            </w:pPr>
            <w:r>
              <w:rPr>
                <w:rFonts w:ascii="Calibri" w:hAnsi="宋体" w:eastAsia="宋体" w:cs="Calibri"/>
                <w:b/>
                <w:bCs/>
                <w:sz w:val="21"/>
                <w:szCs w:val="21"/>
              </w:rPr>
              <w:t>100</w:t>
            </w:r>
          </w:p>
        </w:tc>
        <w:tc>
          <w:tcPr>
            <w:tcW w:w="860" w:type="dxa"/>
            <w:tcBorders>
              <w:top w:val="single" w:color="auto" w:sz="2" w:space="0"/>
              <w:bottom w:val="single" w:color="auto" w:sz="2" w:space="0"/>
            </w:tcBorders>
            <w:shd w:val="clear" w:color="auto" w:fill="F1F1F1"/>
            <w:vAlign w:val="center"/>
          </w:tcPr>
          <w:p w14:paraId="394D4B47">
            <w:pPr>
              <w:spacing w:line="400" w:lineRule="exact"/>
              <w:jc w:val="center"/>
              <w:rPr>
                <w:rFonts w:ascii="Calibri" w:hAnsi="宋体" w:eastAsia="宋体" w:cs="Calibri"/>
                <w:b/>
                <w:bCs/>
                <w:sz w:val="21"/>
                <w:szCs w:val="21"/>
              </w:rPr>
            </w:pPr>
            <w:r>
              <w:rPr>
                <w:rFonts w:ascii="Calibri" w:hAnsi="宋体" w:eastAsia="宋体" w:cs="Calibri"/>
                <w:b/>
                <w:bCs/>
                <w:sz w:val="21"/>
                <w:szCs w:val="21"/>
              </w:rPr>
              <w:t>分项最高分值</w:t>
            </w:r>
          </w:p>
        </w:tc>
        <w:tc>
          <w:tcPr>
            <w:tcW w:w="6093" w:type="dxa"/>
            <w:vMerge w:val="continue"/>
            <w:tcBorders>
              <w:top w:val="single" w:color="auto" w:sz="2" w:space="0"/>
              <w:bottom w:val="single" w:color="auto" w:sz="2" w:space="0"/>
            </w:tcBorders>
            <w:shd w:val="clear" w:color="auto" w:fill="F1F1F1"/>
            <w:vAlign w:val="center"/>
          </w:tcPr>
          <w:p w14:paraId="654DAD32">
            <w:pPr>
              <w:spacing w:line="400" w:lineRule="exact"/>
              <w:ind w:firstLine="420"/>
              <w:jc w:val="center"/>
              <w:rPr>
                <w:rFonts w:ascii="Calibri" w:hAnsi="宋体" w:eastAsia="宋体" w:cs="Calibri"/>
                <w:bCs/>
                <w:sz w:val="21"/>
                <w:szCs w:val="21"/>
              </w:rPr>
            </w:pPr>
          </w:p>
        </w:tc>
        <w:tc>
          <w:tcPr>
            <w:tcW w:w="1134" w:type="dxa"/>
            <w:vMerge w:val="continue"/>
            <w:tcBorders>
              <w:top w:val="single" w:color="auto" w:sz="2" w:space="0"/>
              <w:bottom w:val="single" w:color="auto" w:sz="2" w:space="0"/>
            </w:tcBorders>
            <w:shd w:val="clear" w:color="auto" w:fill="F1F1F1"/>
            <w:vAlign w:val="center"/>
          </w:tcPr>
          <w:p w14:paraId="6FFA3F29">
            <w:pPr>
              <w:spacing w:line="400" w:lineRule="exact"/>
              <w:jc w:val="center"/>
              <w:rPr>
                <w:rFonts w:ascii="Calibri" w:hAnsi="宋体" w:eastAsia="宋体" w:cs="Calibri"/>
                <w:bCs/>
                <w:sz w:val="21"/>
                <w:szCs w:val="21"/>
              </w:rPr>
            </w:pPr>
          </w:p>
        </w:tc>
      </w:tr>
      <w:tr w14:paraId="24FB96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vAlign w:val="center"/>
          </w:tcPr>
          <w:p w14:paraId="762DF111">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vAlign w:val="center"/>
          </w:tcPr>
          <w:p w14:paraId="5B860EE3">
            <w:pPr>
              <w:spacing w:line="400" w:lineRule="exact"/>
              <w:jc w:val="center"/>
              <w:rPr>
                <w:rFonts w:ascii="Calibri" w:hAnsi="宋体" w:eastAsia="宋体" w:cs="宋体"/>
                <w:bCs/>
                <w:sz w:val="21"/>
                <w:szCs w:val="21"/>
              </w:rPr>
            </w:pPr>
            <w:r>
              <w:rPr>
                <w:rFonts w:hint="eastAsia" w:ascii="Calibri" w:hAnsi="宋体" w:eastAsia="宋体" w:cs="宋体"/>
                <w:bCs/>
                <w:sz w:val="21"/>
                <w:szCs w:val="21"/>
              </w:rPr>
              <w:t>30</w:t>
            </w:r>
          </w:p>
        </w:tc>
        <w:tc>
          <w:tcPr>
            <w:tcW w:w="860" w:type="dxa"/>
            <w:vAlign w:val="center"/>
          </w:tcPr>
          <w:p w14:paraId="40F60217">
            <w:pPr>
              <w:spacing w:line="400" w:lineRule="exact"/>
              <w:jc w:val="center"/>
              <w:rPr>
                <w:rFonts w:ascii="Calibri" w:hAnsi="宋体" w:eastAsia="宋体" w:cs="宋体"/>
                <w:bCs/>
                <w:sz w:val="21"/>
                <w:szCs w:val="21"/>
              </w:rPr>
            </w:pPr>
            <w:r>
              <w:rPr>
                <w:rFonts w:hint="eastAsia" w:ascii="Calibri" w:hAnsi="宋体" w:eastAsia="宋体" w:cs="宋体"/>
                <w:bCs/>
                <w:sz w:val="21"/>
                <w:szCs w:val="21"/>
              </w:rPr>
              <w:t>30</w:t>
            </w:r>
          </w:p>
        </w:tc>
        <w:tc>
          <w:tcPr>
            <w:tcW w:w="6093" w:type="dxa"/>
            <w:tcBorders>
              <w:top w:val="single" w:color="auto" w:sz="2" w:space="0"/>
            </w:tcBorders>
            <w:vAlign w:val="center"/>
          </w:tcPr>
          <w:p w14:paraId="38BB0E36">
            <w:pPr>
              <w:tabs>
                <w:tab w:val="left" w:pos="547"/>
              </w:tabs>
              <w:spacing w:line="400" w:lineRule="exact"/>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满足磋商文件要求且最后报价最低的供应商的价格为磋商基准价得30分，其他各供应商的最后报价得分按下列公式计算：（磋商基准价/最后磋商报价）×30％×100。</w:t>
            </w:r>
          </w:p>
        </w:tc>
        <w:tc>
          <w:tcPr>
            <w:tcW w:w="1134" w:type="dxa"/>
            <w:tcBorders>
              <w:top w:val="single" w:color="auto" w:sz="2" w:space="0"/>
            </w:tcBorders>
            <w:vAlign w:val="center"/>
          </w:tcPr>
          <w:p w14:paraId="7B1D0FFF">
            <w:pPr>
              <w:spacing w:line="400" w:lineRule="exact"/>
              <w:jc w:val="center"/>
              <w:rPr>
                <w:rFonts w:ascii="Calibri" w:hAnsi="宋体" w:eastAsia="宋体" w:cs="宋体"/>
                <w:bCs/>
                <w:color w:val="FF0000"/>
                <w:sz w:val="21"/>
                <w:szCs w:val="21"/>
              </w:rPr>
            </w:pPr>
          </w:p>
        </w:tc>
      </w:tr>
      <w:tr w14:paraId="04CB79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vAlign w:val="center"/>
          </w:tcPr>
          <w:p w14:paraId="62C6F045">
            <w:pPr>
              <w:spacing w:line="400" w:lineRule="exact"/>
              <w:jc w:val="center"/>
              <w:rPr>
                <w:rFonts w:ascii="Calibri" w:hAnsi="宋体" w:eastAsia="宋体" w:cs="宋体"/>
                <w:b/>
                <w:sz w:val="21"/>
                <w:szCs w:val="21"/>
              </w:rPr>
            </w:pPr>
            <w:r>
              <w:rPr>
                <w:rFonts w:hint="eastAsia" w:ascii="Calibri" w:hAnsi="宋体" w:eastAsia="宋体" w:cs="宋体"/>
                <w:b/>
                <w:sz w:val="21"/>
                <w:szCs w:val="21"/>
              </w:rPr>
              <w:t>技术/服务</w:t>
            </w:r>
            <w:r>
              <w:rPr>
                <w:rFonts w:ascii="Calibri" w:hAnsi="宋体" w:eastAsia="宋体" w:cs="宋体"/>
                <w:b/>
                <w:sz w:val="21"/>
                <w:szCs w:val="21"/>
              </w:rPr>
              <w:t>方案</w:t>
            </w:r>
          </w:p>
        </w:tc>
        <w:tc>
          <w:tcPr>
            <w:tcW w:w="640" w:type="dxa"/>
            <w:tcBorders>
              <w:top w:val="single" w:color="auto" w:sz="2" w:space="0"/>
            </w:tcBorders>
            <w:vAlign w:val="center"/>
          </w:tcPr>
          <w:p w14:paraId="04FC8001">
            <w:pPr>
              <w:spacing w:line="400" w:lineRule="exact"/>
              <w:jc w:val="center"/>
              <w:rPr>
                <w:rFonts w:ascii="Calibri" w:hAnsi="宋体" w:eastAsia="宋体" w:cs="宋体"/>
                <w:bCs/>
                <w:sz w:val="21"/>
                <w:szCs w:val="21"/>
              </w:rPr>
            </w:pPr>
            <w:r>
              <w:rPr>
                <w:rFonts w:hint="eastAsia" w:ascii="Calibri" w:hAnsi="宋体" w:eastAsia="宋体" w:cs="宋体"/>
                <w:bCs/>
                <w:sz w:val="21"/>
                <w:szCs w:val="21"/>
              </w:rPr>
              <w:t>39</w:t>
            </w:r>
          </w:p>
        </w:tc>
        <w:tc>
          <w:tcPr>
            <w:tcW w:w="860" w:type="dxa"/>
            <w:vAlign w:val="center"/>
          </w:tcPr>
          <w:p w14:paraId="65C76048">
            <w:pPr>
              <w:spacing w:line="400" w:lineRule="exact"/>
              <w:jc w:val="center"/>
              <w:rPr>
                <w:rFonts w:ascii="Calibri" w:hAnsi="宋体" w:eastAsia="宋体" w:cs="宋体"/>
                <w:bCs/>
                <w:sz w:val="21"/>
                <w:szCs w:val="21"/>
              </w:rPr>
            </w:pPr>
            <w:r>
              <w:rPr>
                <w:rFonts w:hint="eastAsia" w:ascii="Calibri" w:hAnsi="宋体" w:eastAsia="宋体" w:cs="宋体"/>
                <w:bCs/>
                <w:sz w:val="21"/>
                <w:szCs w:val="21"/>
              </w:rPr>
              <w:t>39</w:t>
            </w:r>
          </w:p>
        </w:tc>
        <w:tc>
          <w:tcPr>
            <w:tcW w:w="6093" w:type="dxa"/>
            <w:tcBorders>
              <w:top w:val="single" w:color="auto" w:sz="2" w:space="0"/>
            </w:tcBorders>
          </w:tcPr>
          <w:p w14:paraId="5D12010B">
            <w:pPr>
              <w:widowControl w:val="0"/>
              <w:spacing w:line="320" w:lineRule="exact"/>
              <w:jc w:val="both"/>
              <w:rPr>
                <w:rFonts w:ascii="宋体" w:hAnsi="宋体" w:eastAsia="宋体" w:cs="仿宋"/>
                <w:b/>
                <w:color w:val="FF0000"/>
                <w:kern w:val="2"/>
                <w:sz w:val="21"/>
                <w:szCs w:val="21"/>
              </w:rPr>
            </w:pPr>
            <w:bookmarkStart w:id="27" w:name="OLE_LINK22"/>
            <w:bookmarkStart w:id="28" w:name="OLE_LINK23"/>
            <w:r>
              <w:rPr>
                <w:rFonts w:hint="eastAsia" w:ascii="宋体" w:hAnsi="宋体" w:eastAsia="宋体" w:cs="仿宋"/>
                <w:b/>
                <w:color w:val="FF0000"/>
                <w:kern w:val="2"/>
                <w:sz w:val="21"/>
                <w:szCs w:val="21"/>
              </w:rPr>
              <w:t>施工组织方案</w:t>
            </w:r>
            <w:bookmarkEnd w:id="27"/>
            <w:bookmarkEnd w:id="28"/>
            <w:r>
              <w:rPr>
                <w:rFonts w:hint="eastAsia" w:ascii="宋体" w:hAnsi="宋体" w:eastAsia="宋体" w:cs="仿宋"/>
                <w:b/>
                <w:color w:val="FF0000"/>
                <w:kern w:val="2"/>
                <w:sz w:val="21"/>
                <w:szCs w:val="21"/>
              </w:rPr>
              <w:t>：</w:t>
            </w:r>
          </w:p>
          <w:p w14:paraId="16BEDF63">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一、评审内容</w:t>
            </w:r>
          </w:p>
          <w:p w14:paraId="338C8B05">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供应商针对本项目编制完善的施工组织方案，内容包含：</w:t>
            </w:r>
          </w:p>
          <w:p w14:paraId="31BDFF2E">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①施工部署；</w:t>
            </w:r>
          </w:p>
          <w:p w14:paraId="60F362AC">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②施工总进度计划；</w:t>
            </w:r>
          </w:p>
          <w:p w14:paraId="741D4DF4">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③质量技术措施；</w:t>
            </w:r>
          </w:p>
          <w:p w14:paraId="234471F1">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④安全技术措施；</w:t>
            </w:r>
          </w:p>
          <w:p w14:paraId="13D3FE66">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⑤环境保护措施；</w:t>
            </w:r>
          </w:p>
          <w:p w14:paraId="46D34C59">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⑥主要管理措施；</w:t>
            </w:r>
          </w:p>
          <w:p w14:paraId="3324BC23">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⑦紧急情况应急措施；</w:t>
            </w:r>
          </w:p>
          <w:p w14:paraId="23526156">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⑧资源配置计划；</w:t>
            </w:r>
          </w:p>
          <w:p w14:paraId="2A6CD2D2">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⑨劳动力保障措施。</w:t>
            </w:r>
          </w:p>
          <w:p w14:paraId="2BE08D12">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二、评审标准</w:t>
            </w:r>
          </w:p>
          <w:p w14:paraId="6090A9A7">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1.完整性：方案必须全面，对评审内容中的各项要求有详细描述；</w:t>
            </w:r>
          </w:p>
          <w:p w14:paraId="28C95BC3">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2.可实施性：切合本项目实际情况，提出步骤清晰、合理的方案；</w:t>
            </w:r>
          </w:p>
          <w:p w14:paraId="4FD2177D">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3.针对性：方案能够紧扣项目实际情况，内容科学合理。</w:t>
            </w:r>
          </w:p>
          <w:p w14:paraId="49DBF379">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三、赋分标准</w:t>
            </w:r>
          </w:p>
          <w:p w14:paraId="1618335D">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①施工部署：</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3977386C">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②施工总进度计划：</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2DBC6592">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③质量技术措施：</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2F915FD1">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④安全技术措施：</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77159D3B">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⑤环境保护措施：</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133DC524">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⑥主要管理措施：</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43C0AE59">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⑦紧急情况应急措施：</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51ED75FB">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⑧资源配置计划：</w:t>
            </w:r>
            <w:r>
              <w:rPr>
                <w:rFonts w:hint="eastAsia" w:ascii="宋体" w:hAnsi="宋体" w:eastAsia="宋体" w:cs="华文仿宋"/>
                <w:sz w:val="21"/>
                <w:szCs w:val="21"/>
              </w:rPr>
              <w:t>每完全满足一个评审标准得1.5分，满分4.5分</w:t>
            </w:r>
            <w:r>
              <w:rPr>
                <w:rFonts w:hint="eastAsia" w:asciiTheme="minorEastAsia" w:hAnsiTheme="minorEastAsia"/>
                <w:sz w:val="21"/>
                <w:szCs w:val="21"/>
              </w:rPr>
              <w:t>；</w:t>
            </w:r>
          </w:p>
          <w:p w14:paraId="47951E86">
            <w:pPr>
              <w:tabs>
                <w:tab w:val="left" w:pos="547"/>
              </w:tabs>
              <w:spacing w:line="400" w:lineRule="exact"/>
              <w:jc w:val="both"/>
              <w:rPr>
                <w:rFonts w:ascii="Calibri" w:hAnsi="宋体" w:eastAsia="宋体" w:cs="宋体"/>
                <w:sz w:val="21"/>
                <w:szCs w:val="21"/>
              </w:rPr>
            </w:pPr>
            <w:r>
              <w:rPr>
                <w:rFonts w:hint="eastAsia" w:ascii="宋体" w:hAnsi="宋体" w:eastAsia="宋体" w:cs="仿宋"/>
                <w:kern w:val="2"/>
                <w:sz w:val="21"/>
                <w:szCs w:val="21"/>
              </w:rPr>
              <w:t>⑨劳动力保障措施：</w:t>
            </w:r>
            <w:r>
              <w:rPr>
                <w:rFonts w:hint="eastAsia" w:ascii="宋体" w:hAnsi="宋体" w:eastAsia="宋体" w:cs="华文仿宋"/>
                <w:sz w:val="21"/>
                <w:szCs w:val="21"/>
              </w:rPr>
              <w:t>每完全满足一个评审标准得1分，满分3分</w:t>
            </w:r>
            <w:r>
              <w:rPr>
                <w:rFonts w:hint="eastAsia" w:asciiTheme="minorEastAsia" w:hAnsiTheme="minorEastAsia"/>
                <w:sz w:val="21"/>
                <w:szCs w:val="21"/>
              </w:rPr>
              <w:t>。</w:t>
            </w:r>
          </w:p>
        </w:tc>
        <w:tc>
          <w:tcPr>
            <w:tcW w:w="1134" w:type="dxa"/>
            <w:tcBorders>
              <w:top w:val="single" w:color="auto" w:sz="2" w:space="0"/>
            </w:tcBorders>
            <w:vAlign w:val="center"/>
          </w:tcPr>
          <w:p w14:paraId="3EC0C828">
            <w:pPr>
              <w:spacing w:line="400" w:lineRule="exact"/>
              <w:jc w:val="center"/>
              <w:rPr>
                <w:rFonts w:ascii="Calibri" w:hAnsi="宋体" w:eastAsia="宋体" w:cs="宋体"/>
                <w:bCs/>
                <w:color w:val="FF0000"/>
                <w:sz w:val="21"/>
                <w:szCs w:val="21"/>
              </w:rPr>
            </w:pPr>
          </w:p>
        </w:tc>
      </w:tr>
      <w:tr w14:paraId="32B091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vAlign w:val="center"/>
          </w:tcPr>
          <w:p w14:paraId="0CFA5A58">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vAlign w:val="center"/>
          </w:tcPr>
          <w:p w14:paraId="7B6898BD">
            <w:pPr>
              <w:spacing w:line="400" w:lineRule="exact"/>
              <w:jc w:val="center"/>
              <w:rPr>
                <w:rFonts w:ascii="Calibri" w:hAnsi="宋体" w:eastAsia="宋体" w:cs="宋体"/>
                <w:bCs/>
                <w:sz w:val="21"/>
                <w:szCs w:val="21"/>
              </w:rPr>
            </w:pPr>
            <w:r>
              <w:rPr>
                <w:rFonts w:hint="eastAsia" w:ascii="Calibri" w:hAnsi="宋体" w:eastAsia="宋体" w:cs="宋体"/>
                <w:bCs/>
                <w:sz w:val="21"/>
                <w:szCs w:val="21"/>
              </w:rPr>
              <w:t>31</w:t>
            </w:r>
          </w:p>
        </w:tc>
        <w:tc>
          <w:tcPr>
            <w:tcW w:w="860" w:type="dxa"/>
            <w:vAlign w:val="center"/>
          </w:tcPr>
          <w:p w14:paraId="76B88264">
            <w:pPr>
              <w:spacing w:line="400" w:lineRule="exact"/>
              <w:jc w:val="center"/>
              <w:rPr>
                <w:rFonts w:ascii="Calibri" w:hAnsi="宋体" w:eastAsia="宋体" w:cs="宋体"/>
                <w:bCs/>
                <w:sz w:val="21"/>
                <w:szCs w:val="21"/>
              </w:rPr>
            </w:pPr>
            <w:r>
              <w:rPr>
                <w:rFonts w:hint="eastAsia" w:ascii="Calibri" w:hAnsi="宋体" w:eastAsia="宋体" w:cs="宋体"/>
                <w:bCs/>
                <w:sz w:val="21"/>
                <w:szCs w:val="21"/>
              </w:rPr>
              <w:t>10</w:t>
            </w:r>
          </w:p>
        </w:tc>
        <w:tc>
          <w:tcPr>
            <w:tcW w:w="6093" w:type="dxa"/>
            <w:tcBorders>
              <w:top w:val="single" w:color="auto" w:sz="2" w:space="0"/>
            </w:tcBorders>
            <w:vAlign w:val="center"/>
          </w:tcPr>
          <w:p w14:paraId="1F6F40B9">
            <w:pPr>
              <w:widowControl w:val="0"/>
              <w:spacing w:line="320" w:lineRule="exact"/>
              <w:jc w:val="both"/>
              <w:rPr>
                <w:rFonts w:ascii="宋体" w:hAnsi="宋体" w:eastAsia="宋体" w:cs="仿宋"/>
                <w:b/>
                <w:bCs/>
                <w:color w:val="FF0000"/>
                <w:kern w:val="2"/>
                <w:sz w:val="21"/>
                <w:szCs w:val="21"/>
              </w:rPr>
            </w:pPr>
            <w:r>
              <w:rPr>
                <w:rFonts w:hint="eastAsia" w:ascii="宋体" w:hAnsi="宋体" w:eastAsia="宋体" w:cs="仿宋"/>
                <w:b/>
                <w:bCs/>
                <w:color w:val="FF0000"/>
                <w:kern w:val="2"/>
                <w:sz w:val="21"/>
                <w:szCs w:val="21"/>
              </w:rPr>
              <w:t>主材性能：</w:t>
            </w:r>
          </w:p>
          <w:p w14:paraId="0A12BF91">
            <w:pPr>
              <w:widowControl w:val="0"/>
              <w:spacing w:line="320" w:lineRule="exact"/>
              <w:jc w:val="both"/>
              <w:rPr>
                <w:rFonts w:ascii="宋体" w:hAnsi="宋体" w:eastAsia="宋体" w:cs="仿宋"/>
                <w:b/>
                <w:bCs/>
                <w:kern w:val="2"/>
                <w:sz w:val="21"/>
                <w:szCs w:val="21"/>
              </w:rPr>
            </w:pPr>
            <w:r>
              <w:rPr>
                <w:rFonts w:hint="eastAsia" w:ascii="宋体" w:hAnsi="宋体" w:eastAsia="宋体" w:cs="仿宋"/>
                <w:b/>
                <w:bCs/>
                <w:kern w:val="2"/>
                <w:sz w:val="21"/>
                <w:szCs w:val="21"/>
              </w:rPr>
              <w:t>一、评审内容：</w:t>
            </w:r>
          </w:p>
          <w:p w14:paraId="0C4BE6A9">
            <w:pPr>
              <w:widowControl w:val="0"/>
              <w:spacing w:line="320" w:lineRule="exact"/>
              <w:ind w:firstLine="210" w:firstLineChars="100"/>
              <w:jc w:val="both"/>
              <w:rPr>
                <w:rFonts w:ascii="宋体" w:hAnsi="宋体" w:eastAsia="宋体" w:cs="仿宋"/>
                <w:kern w:val="2"/>
                <w:sz w:val="21"/>
                <w:szCs w:val="21"/>
              </w:rPr>
            </w:pPr>
            <w:r>
              <w:rPr>
                <w:rFonts w:hint="eastAsia" w:ascii="宋体" w:hAnsi="宋体" w:eastAsia="宋体" w:cs="仿宋"/>
                <w:kern w:val="2"/>
                <w:sz w:val="21"/>
                <w:szCs w:val="21"/>
              </w:rPr>
              <w:t>针对本项目的主材清单内容进行评审。（清单内容包括但不限于材料名称、品牌、规格、材质等关键</w:t>
            </w:r>
            <w:r>
              <w:rPr>
                <w:rFonts w:ascii="宋体" w:hAnsi="宋体" w:eastAsia="宋体" w:cs="仿宋"/>
                <w:kern w:val="2"/>
                <w:sz w:val="21"/>
                <w:szCs w:val="21"/>
              </w:rPr>
              <w:t>信息</w:t>
            </w:r>
            <w:r>
              <w:rPr>
                <w:rFonts w:hint="eastAsia" w:ascii="宋体" w:hAnsi="宋体" w:eastAsia="宋体" w:cs="仿宋"/>
                <w:kern w:val="2"/>
                <w:sz w:val="21"/>
                <w:szCs w:val="21"/>
              </w:rPr>
              <w:t>）</w:t>
            </w:r>
          </w:p>
          <w:p w14:paraId="56DC91B9">
            <w:pPr>
              <w:widowControl w:val="0"/>
              <w:spacing w:line="320" w:lineRule="exact"/>
              <w:jc w:val="both"/>
              <w:rPr>
                <w:rFonts w:ascii="宋体" w:hAnsi="宋体" w:eastAsia="宋体" w:cs="仿宋"/>
                <w:b/>
                <w:bCs/>
                <w:kern w:val="2"/>
                <w:sz w:val="21"/>
                <w:szCs w:val="21"/>
              </w:rPr>
            </w:pPr>
            <w:r>
              <w:rPr>
                <w:rFonts w:hint="eastAsia" w:ascii="宋体" w:hAnsi="宋体" w:eastAsia="宋体" w:cs="仿宋"/>
                <w:b/>
                <w:bCs/>
                <w:kern w:val="2"/>
                <w:sz w:val="21"/>
                <w:szCs w:val="21"/>
              </w:rPr>
              <w:t>二、评审及赋分标准：</w:t>
            </w:r>
          </w:p>
          <w:p w14:paraId="66CF461D">
            <w:pPr>
              <w:tabs>
                <w:tab w:val="left" w:pos="547"/>
              </w:tabs>
              <w:spacing w:line="400" w:lineRule="exact"/>
              <w:ind w:firstLine="315" w:firstLineChars="150"/>
              <w:jc w:val="both"/>
              <w:rPr>
                <w:rFonts w:ascii="宋体" w:hAnsi="宋体" w:eastAsia="宋体" w:cs="仿宋"/>
                <w:kern w:val="2"/>
                <w:sz w:val="21"/>
                <w:szCs w:val="21"/>
              </w:rPr>
            </w:pPr>
            <w:r>
              <w:rPr>
                <w:rFonts w:hint="eastAsia" w:ascii="宋体" w:hAnsi="宋体" w:eastAsia="宋体" w:cs="仿宋"/>
                <w:kern w:val="2"/>
                <w:sz w:val="21"/>
                <w:szCs w:val="21"/>
              </w:rPr>
              <w:t>清单内容完整（包括但不限于材料名称、品牌、规格、材质等关键</w:t>
            </w:r>
            <w:r>
              <w:rPr>
                <w:rFonts w:ascii="宋体" w:hAnsi="宋体" w:eastAsia="宋体" w:cs="仿宋"/>
                <w:kern w:val="2"/>
                <w:sz w:val="21"/>
                <w:szCs w:val="21"/>
              </w:rPr>
              <w:t>信息</w:t>
            </w:r>
            <w:r>
              <w:rPr>
                <w:rFonts w:hint="eastAsia" w:ascii="宋体" w:hAnsi="宋体" w:eastAsia="宋体" w:cs="仿宋"/>
                <w:kern w:val="2"/>
                <w:sz w:val="21"/>
                <w:szCs w:val="21"/>
              </w:rPr>
              <w:t>），主材质量、工艺优良，安全可靠性高，完全匹配项目需求，得10分；</w:t>
            </w:r>
          </w:p>
          <w:p w14:paraId="38C1B38E">
            <w:pPr>
              <w:tabs>
                <w:tab w:val="left" w:pos="547"/>
              </w:tabs>
              <w:spacing w:line="400" w:lineRule="exact"/>
              <w:ind w:firstLine="315" w:firstLineChars="150"/>
              <w:jc w:val="both"/>
              <w:rPr>
                <w:rFonts w:ascii="宋体" w:hAnsi="宋体" w:eastAsia="宋体" w:cs="仿宋"/>
                <w:kern w:val="2"/>
                <w:sz w:val="21"/>
                <w:szCs w:val="21"/>
              </w:rPr>
            </w:pPr>
            <w:r>
              <w:rPr>
                <w:rFonts w:hint="eastAsia" w:ascii="宋体" w:hAnsi="宋体" w:eastAsia="宋体" w:cs="仿宋"/>
                <w:kern w:val="2"/>
                <w:sz w:val="21"/>
                <w:szCs w:val="21"/>
              </w:rPr>
              <w:t>清单</w:t>
            </w:r>
            <w:r>
              <w:rPr>
                <w:rFonts w:ascii="宋体" w:hAnsi="宋体" w:eastAsia="宋体" w:cs="仿宋"/>
                <w:kern w:val="2"/>
                <w:sz w:val="21"/>
                <w:szCs w:val="21"/>
              </w:rPr>
              <w:t>内容基本完整，主材质量</w:t>
            </w:r>
            <w:r>
              <w:rPr>
                <w:rFonts w:hint="eastAsia" w:ascii="宋体" w:hAnsi="宋体" w:eastAsia="宋体" w:cs="仿宋"/>
                <w:kern w:val="2"/>
                <w:sz w:val="21"/>
                <w:szCs w:val="21"/>
              </w:rPr>
              <w:t>、</w:t>
            </w:r>
            <w:r>
              <w:rPr>
                <w:rFonts w:ascii="宋体" w:hAnsi="宋体" w:eastAsia="宋体" w:cs="仿宋"/>
                <w:kern w:val="2"/>
                <w:sz w:val="21"/>
                <w:szCs w:val="21"/>
              </w:rPr>
              <w:t>工艺达标，安全可靠性较好，</w:t>
            </w:r>
            <w:r>
              <w:rPr>
                <w:rFonts w:hint="eastAsia" w:ascii="宋体" w:hAnsi="宋体" w:eastAsia="宋体" w:cs="仿宋"/>
                <w:kern w:val="2"/>
                <w:sz w:val="21"/>
                <w:szCs w:val="21"/>
              </w:rPr>
              <w:t>达到</w:t>
            </w:r>
            <w:r>
              <w:rPr>
                <w:rFonts w:ascii="宋体" w:hAnsi="宋体" w:eastAsia="宋体" w:cs="仿宋"/>
                <w:kern w:val="2"/>
                <w:sz w:val="21"/>
                <w:szCs w:val="21"/>
              </w:rPr>
              <w:t>符合项目需求</w:t>
            </w:r>
            <w:r>
              <w:rPr>
                <w:rFonts w:hint="eastAsia" w:ascii="宋体" w:hAnsi="宋体" w:eastAsia="宋体" w:cs="仿宋"/>
                <w:kern w:val="2"/>
                <w:sz w:val="21"/>
                <w:szCs w:val="21"/>
              </w:rPr>
              <w:t>标准</w:t>
            </w:r>
            <w:r>
              <w:rPr>
                <w:rFonts w:ascii="宋体" w:hAnsi="宋体" w:eastAsia="宋体" w:cs="仿宋"/>
                <w:kern w:val="2"/>
                <w:sz w:val="21"/>
                <w:szCs w:val="21"/>
              </w:rPr>
              <w:t>，得</w:t>
            </w:r>
            <w:r>
              <w:rPr>
                <w:rFonts w:hint="eastAsia" w:ascii="宋体" w:hAnsi="宋体" w:eastAsia="宋体" w:cs="仿宋"/>
                <w:kern w:val="2"/>
                <w:sz w:val="21"/>
                <w:szCs w:val="21"/>
              </w:rPr>
              <w:t>5分；</w:t>
            </w:r>
          </w:p>
          <w:p w14:paraId="7A123370">
            <w:pPr>
              <w:tabs>
                <w:tab w:val="left" w:pos="547"/>
              </w:tabs>
              <w:spacing w:line="400" w:lineRule="exact"/>
              <w:ind w:firstLine="315" w:firstLineChars="150"/>
              <w:jc w:val="both"/>
              <w:rPr>
                <w:rFonts w:ascii="Calibri" w:hAnsi="宋体" w:eastAsia="宋体" w:cs="宋体"/>
                <w:sz w:val="21"/>
                <w:szCs w:val="21"/>
              </w:rPr>
            </w:pPr>
            <w:r>
              <w:rPr>
                <w:rFonts w:hint="eastAsia" w:ascii="宋体" w:hAnsi="宋体" w:eastAsia="宋体" w:cs="仿宋"/>
                <w:kern w:val="2"/>
                <w:sz w:val="21"/>
                <w:szCs w:val="21"/>
              </w:rPr>
              <w:t>未提供清单，或清单</w:t>
            </w:r>
            <w:r>
              <w:rPr>
                <w:rFonts w:ascii="宋体" w:hAnsi="宋体" w:eastAsia="宋体" w:cs="仿宋"/>
                <w:kern w:val="2"/>
                <w:sz w:val="21"/>
                <w:szCs w:val="21"/>
              </w:rPr>
              <w:t>内容</w:t>
            </w:r>
            <w:r>
              <w:rPr>
                <w:rFonts w:hint="eastAsia" w:ascii="宋体" w:hAnsi="宋体" w:eastAsia="宋体" w:cs="仿宋"/>
                <w:kern w:val="2"/>
                <w:sz w:val="21"/>
                <w:szCs w:val="21"/>
              </w:rPr>
              <w:t>部分</w:t>
            </w:r>
            <w:r>
              <w:rPr>
                <w:rFonts w:ascii="宋体" w:hAnsi="宋体" w:eastAsia="宋体" w:cs="仿宋"/>
                <w:kern w:val="2"/>
                <w:sz w:val="21"/>
                <w:szCs w:val="21"/>
              </w:rPr>
              <w:t>缺失，主材质量</w:t>
            </w:r>
            <w:r>
              <w:rPr>
                <w:rFonts w:hint="eastAsia" w:ascii="宋体" w:hAnsi="宋体" w:eastAsia="宋体" w:cs="仿宋"/>
                <w:kern w:val="2"/>
                <w:sz w:val="21"/>
                <w:szCs w:val="21"/>
              </w:rPr>
              <w:t>、</w:t>
            </w:r>
            <w:r>
              <w:rPr>
                <w:rFonts w:ascii="宋体" w:hAnsi="宋体" w:eastAsia="宋体" w:cs="仿宋"/>
                <w:kern w:val="2"/>
                <w:sz w:val="21"/>
                <w:szCs w:val="21"/>
              </w:rPr>
              <w:t>工艺不达标，</w:t>
            </w:r>
            <w:r>
              <w:rPr>
                <w:rFonts w:hint="eastAsia" w:ascii="宋体" w:hAnsi="宋体" w:eastAsia="宋体" w:cs="仿宋"/>
                <w:kern w:val="2"/>
                <w:sz w:val="21"/>
                <w:szCs w:val="21"/>
              </w:rPr>
              <w:t>安全</w:t>
            </w:r>
            <w:r>
              <w:rPr>
                <w:rFonts w:ascii="宋体" w:hAnsi="宋体" w:eastAsia="宋体" w:cs="仿宋"/>
                <w:kern w:val="2"/>
                <w:sz w:val="21"/>
                <w:szCs w:val="21"/>
              </w:rPr>
              <w:t>可靠性不高</w:t>
            </w:r>
            <w:r>
              <w:rPr>
                <w:rFonts w:hint="eastAsia" w:ascii="宋体" w:hAnsi="宋体" w:eastAsia="宋体" w:cs="仿宋"/>
                <w:kern w:val="2"/>
                <w:sz w:val="21"/>
                <w:szCs w:val="21"/>
              </w:rPr>
              <w:t>，不能满足项目需求标准</w:t>
            </w:r>
            <w:r>
              <w:rPr>
                <w:rFonts w:ascii="宋体" w:hAnsi="宋体" w:eastAsia="宋体" w:cs="仿宋"/>
                <w:kern w:val="2"/>
                <w:sz w:val="21"/>
                <w:szCs w:val="21"/>
              </w:rPr>
              <w:t>，</w:t>
            </w:r>
            <w:r>
              <w:rPr>
                <w:rFonts w:hint="eastAsia" w:ascii="宋体" w:hAnsi="宋体" w:eastAsia="宋体" w:cs="仿宋"/>
                <w:kern w:val="2"/>
                <w:sz w:val="21"/>
                <w:szCs w:val="21"/>
              </w:rPr>
              <w:t xml:space="preserve">不得分。 </w:t>
            </w:r>
          </w:p>
        </w:tc>
        <w:tc>
          <w:tcPr>
            <w:tcW w:w="1134" w:type="dxa"/>
            <w:vAlign w:val="center"/>
          </w:tcPr>
          <w:p w14:paraId="274C3C43">
            <w:pPr>
              <w:spacing w:line="400" w:lineRule="exact"/>
              <w:jc w:val="center"/>
              <w:rPr>
                <w:rFonts w:ascii="Calibri" w:hAnsi="宋体" w:eastAsia="宋体" w:cs="宋体"/>
                <w:bCs/>
                <w:color w:val="FF0000"/>
                <w:sz w:val="21"/>
                <w:szCs w:val="21"/>
              </w:rPr>
            </w:pPr>
          </w:p>
        </w:tc>
      </w:tr>
      <w:tr w14:paraId="622A8C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vAlign w:val="center"/>
          </w:tcPr>
          <w:p w14:paraId="3AC91B68">
            <w:pPr>
              <w:spacing w:line="400" w:lineRule="exact"/>
              <w:jc w:val="center"/>
              <w:rPr>
                <w:rFonts w:ascii="Calibri" w:hAnsi="宋体" w:eastAsia="宋体" w:cs="宋体"/>
                <w:b/>
                <w:sz w:val="21"/>
                <w:szCs w:val="21"/>
              </w:rPr>
            </w:pPr>
            <w:bookmarkStart w:id="29" w:name="_Hlk212021011"/>
          </w:p>
        </w:tc>
        <w:tc>
          <w:tcPr>
            <w:tcW w:w="640" w:type="dxa"/>
            <w:vMerge w:val="continue"/>
            <w:vAlign w:val="center"/>
          </w:tcPr>
          <w:p w14:paraId="502D3FD2">
            <w:pPr>
              <w:spacing w:line="400" w:lineRule="exact"/>
              <w:jc w:val="center"/>
              <w:rPr>
                <w:rFonts w:ascii="Calibri" w:hAnsi="宋体" w:eastAsia="宋体" w:cs="宋体"/>
                <w:bCs/>
                <w:sz w:val="21"/>
                <w:szCs w:val="21"/>
              </w:rPr>
            </w:pPr>
          </w:p>
        </w:tc>
        <w:tc>
          <w:tcPr>
            <w:tcW w:w="860" w:type="dxa"/>
            <w:vAlign w:val="center"/>
          </w:tcPr>
          <w:p w14:paraId="72F6295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12</w:t>
            </w:r>
          </w:p>
        </w:tc>
        <w:tc>
          <w:tcPr>
            <w:tcW w:w="6093" w:type="dxa"/>
            <w:tcBorders>
              <w:top w:val="single" w:color="auto" w:sz="2" w:space="0"/>
            </w:tcBorders>
            <w:vAlign w:val="center"/>
          </w:tcPr>
          <w:p w14:paraId="689DB8F6">
            <w:pPr>
              <w:widowControl w:val="0"/>
              <w:spacing w:line="320" w:lineRule="exact"/>
              <w:jc w:val="both"/>
              <w:rPr>
                <w:rFonts w:ascii="宋体" w:hAnsi="宋体" w:eastAsia="宋体" w:cs="仿宋"/>
                <w:b/>
                <w:bCs/>
                <w:color w:val="FF0000"/>
                <w:kern w:val="2"/>
                <w:sz w:val="21"/>
                <w:szCs w:val="21"/>
              </w:rPr>
            </w:pPr>
            <w:r>
              <w:rPr>
                <w:rFonts w:hint="eastAsia" w:ascii="宋体" w:hAnsi="宋体" w:eastAsia="宋体" w:cs="仿宋"/>
                <w:b/>
                <w:bCs/>
                <w:color w:val="FF0000"/>
                <w:kern w:val="2"/>
                <w:sz w:val="21"/>
                <w:szCs w:val="21"/>
              </w:rPr>
              <w:t>验收与售后：</w:t>
            </w:r>
          </w:p>
          <w:p w14:paraId="05CDB007">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一、评审内容：</w:t>
            </w:r>
          </w:p>
          <w:p w14:paraId="3EE6BD48">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结合本项目的实际，供应商应依据国家相关规定提出工程验收保修方案，内容包含：</w:t>
            </w:r>
          </w:p>
          <w:p w14:paraId="34F84A99">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①验收方案；</w:t>
            </w:r>
          </w:p>
          <w:p w14:paraId="3452A873">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②维修措施；</w:t>
            </w:r>
          </w:p>
          <w:p w14:paraId="62150796">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③保修责任及保修承诺；</w:t>
            </w:r>
          </w:p>
          <w:p w14:paraId="5BD0EE17">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④响应时间。</w:t>
            </w:r>
          </w:p>
          <w:p w14:paraId="794AD812">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二、评审标准：</w:t>
            </w:r>
          </w:p>
          <w:p w14:paraId="47502413">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1.完整性：内容必须全面，对评审内容中的各项要求有详细描述；</w:t>
            </w:r>
          </w:p>
          <w:p w14:paraId="6884B85A">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2.落实性：切合项目具体情况，提出责任明确、要求具体的方案；</w:t>
            </w:r>
          </w:p>
          <w:p w14:paraId="46A15187">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3.针对性：内容能够紧扣项目实际情况，内容科学合理。</w:t>
            </w:r>
          </w:p>
          <w:p w14:paraId="35C1730C">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三、赋分标准</w:t>
            </w:r>
          </w:p>
          <w:p w14:paraId="59676661">
            <w:pPr>
              <w:widowControl w:val="0"/>
              <w:spacing w:line="320" w:lineRule="exact"/>
              <w:jc w:val="both"/>
              <w:rPr>
                <w:rFonts w:asciiTheme="minorEastAsia" w:hAnsiTheme="minorEastAsia"/>
                <w:sz w:val="21"/>
                <w:szCs w:val="21"/>
              </w:rPr>
            </w:pPr>
            <w:r>
              <w:rPr>
                <w:rFonts w:hint="eastAsia" w:ascii="宋体" w:hAnsi="宋体" w:eastAsia="宋体" w:cs="仿宋"/>
                <w:kern w:val="2"/>
                <w:sz w:val="21"/>
                <w:szCs w:val="21"/>
              </w:rPr>
              <w:t>①验收方案：</w:t>
            </w:r>
            <w:bookmarkStart w:id="30" w:name="OLE_LINK37"/>
            <w:bookmarkStart w:id="31" w:name="OLE_LINK38"/>
            <w:r>
              <w:rPr>
                <w:rFonts w:ascii="宋体" w:hAnsi="宋体" w:eastAsia="宋体" w:cs="华文仿宋"/>
                <w:sz w:val="21"/>
                <w:szCs w:val="21"/>
              </w:rPr>
              <w:t>每完全满足一个评审标准得1分，满分3分</w:t>
            </w:r>
            <w:bookmarkEnd w:id="30"/>
            <w:bookmarkEnd w:id="31"/>
            <w:r>
              <w:rPr>
                <w:rFonts w:hint="eastAsia" w:asciiTheme="minorEastAsia" w:hAnsiTheme="minorEastAsia"/>
                <w:sz w:val="21"/>
                <w:szCs w:val="21"/>
              </w:rPr>
              <w:t>；</w:t>
            </w:r>
          </w:p>
          <w:p w14:paraId="6ECF7AF7">
            <w:pPr>
              <w:widowControl w:val="0"/>
              <w:spacing w:line="320" w:lineRule="exact"/>
              <w:jc w:val="both"/>
              <w:rPr>
                <w:rFonts w:asciiTheme="minorEastAsia" w:hAnsiTheme="minorEastAsia"/>
                <w:sz w:val="21"/>
                <w:szCs w:val="21"/>
              </w:rPr>
            </w:pPr>
            <w:r>
              <w:rPr>
                <w:rFonts w:hint="eastAsia" w:ascii="宋体" w:hAnsi="宋体" w:eastAsia="宋体" w:cs="仿宋"/>
                <w:kern w:val="2"/>
                <w:sz w:val="21"/>
                <w:szCs w:val="21"/>
              </w:rPr>
              <w:t>②维修措施：</w:t>
            </w:r>
            <w:r>
              <w:rPr>
                <w:rFonts w:ascii="宋体" w:hAnsi="宋体" w:eastAsia="宋体" w:cs="华文仿宋"/>
                <w:sz w:val="21"/>
                <w:szCs w:val="21"/>
              </w:rPr>
              <w:t>每完全满足一个评审标准得1分，满分3分</w:t>
            </w:r>
            <w:r>
              <w:rPr>
                <w:rFonts w:hint="eastAsia" w:asciiTheme="minorEastAsia" w:hAnsiTheme="minorEastAsia"/>
                <w:sz w:val="21"/>
                <w:szCs w:val="21"/>
              </w:rPr>
              <w:t>；</w:t>
            </w:r>
          </w:p>
          <w:p w14:paraId="28AD4CDE">
            <w:pPr>
              <w:widowControl w:val="0"/>
              <w:spacing w:line="320" w:lineRule="exact"/>
              <w:jc w:val="both"/>
              <w:rPr>
                <w:rFonts w:asciiTheme="minorEastAsia" w:hAnsiTheme="minorEastAsia"/>
                <w:sz w:val="21"/>
                <w:szCs w:val="21"/>
              </w:rPr>
            </w:pPr>
            <w:r>
              <w:rPr>
                <w:rFonts w:hint="eastAsia" w:ascii="宋体" w:hAnsi="宋体" w:eastAsia="宋体" w:cs="仿宋"/>
                <w:kern w:val="2"/>
                <w:sz w:val="21"/>
                <w:szCs w:val="21"/>
              </w:rPr>
              <w:t>③保修责任及保修承诺：</w:t>
            </w:r>
            <w:r>
              <w:rPr>
                <w:rFonts w:ascii="宋体" w:hAnsi="宋体" w:eastAsia="宋体" w:cs="华文仿宋"/>
                <w:sz w:val="21"/>
                <w:szCs w:val="21"/>
              </w:rPr>
              <w:t>每完全满足一个评审标准得1分，满分3分</w:t>
            </w:r>
            <w:r>
              <w:rPr>
                <w:rFonts w:hint="eastAsia" w:asciiTheme="minorEastAsia" w:hAnsiTheme="minorEastAsia"/>
                <w:sz w:val="21"/>
                <w:szCs w:val="21"/>
              </w:rPr>
              <w:t>；</w:t>
            </w:r>
          </w:p>
          <w:p w14:paraId="1B6AB34C">
            <w:pPr>
              <w:widowControl w:val="0"/>
              <w:spacing w:line="320" w:lineRule="exact"/>
              <w:jc w:val="both"/>
              <w:rPr>
                <w:rFonts w:ascii="宋体" w:hAnsi="宋体" w:eastAsia="宋体" w:cs="仿宋"/>
                <w:b/>
                <w:bCs/>
                <w:kern w:val="2"/>
                <w:sz w:val="21"/>
                <w:szCs w:val="21"/>
              </w:rPr>
            </w:pPr>
            <w:r>
              <w:rPr>
                <w:rFonts w:hint="eastAsia" w:ascii="宋体" w:hAnsi="宋体" w:eastAsia="宋体" w:cs="仿宋"/>
                <w:kern w:val="2"/>
                <w:sz w:val="21"/>
                <w:szCs w:val="21"/>
              </w:rPr>
              <w:t>④响应时间：</w:t>
            </w:r>
            <w:r>
              <w:rPr>
                <w:rFonts w:ascii="宋体" w:hAnsi="宋体" w:eastAsia="宋体" w:cs="华文仿宋"/>
                <w:sz w:val="21"/>
                <w:szCs w:val="21"/>
              </w:rPr>
              <w:t>每完全满足一个评审标准得1分，满分3分</w:t>
            </w:r>
            <w:r>
              <w:rPr>
                <w:rFonts w:hint="eastAsia" w:asciiTheme="minorEastAsia" w:hAnsiTheme="minorEastAsia"/>
                <w:sz w:val="21"/>
                <w:szCs w:val="21"/>
              </w:rPr>
              <w:t>。</w:t>
            </w:r>
          </w:p>
        </w:tc>
        <w:tc>
          <w:tcPr>
            <w:tcW w:w="1134" w:type="dxa"/>
            <w:vAlign w:val="center"/>
          </w:tcPr>
          <w:p w14:paraId="676D2B7F">
            <w:pPr>
              <w:spacing w:line="400" w:lineRule="exact"/>
              <w:jc w:val="center"/>
              <w:rPr>
                <w:rFonts w:ascii="Calibri" w:hAnsi="宋体" w:eastAsia="宋体" w:cs="宋体"/>
                <w:bCs/>
                <w:color w:val="FF0000"/>
                <w:sz w:val="21"/>
                <w:szCs w:val="21"/>
              </w:rPr>
            </w:pPr>
          </w:p>
        </w:tc>
      </w:tr>
      <w:bookmarkEnd w:id="29"/>
      <w:tr w14:paraId="34383D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vAlign w:val="center"/>
          </w:tcPr>
          <w:p w14:paraId="155D7494">
            <w:pPr>
              <w:spacing w:line="400" w:lineRule="exact"/>
              <w:jc w:val="center"/>
              <w:rPr>
                <w:rFonts w:ascii="Calibri" w:hAnsi="宋体" w:eastAsia="宋体" w:cs="宋体"/>
                <w:b/>
                <w:sz w:val="21"/>
                <w:szCs w:val="21"/>
              </w:rPr>
            </w:pPr>
          </w:p>
        </w:tc>
        <w:tc>
          <w:tcPr>
            <w:tcW w:w="640" w:type="dxa"/>
            <w:vMerge w:val="continue"/>
            <w:vAlign w:val="center"/>
          </w:tcPr>
          <w:p w14:paraId="3D4E1653">
            <w:pPr>
              <w:spacing w:line="400" w:lineRule="exact"/>
              <w:jc w:val="center"/>
              <w:rPr>
                <w:rFonts w:ascii="Calibri" w:hAnsi="宋体" w:eastAsia="宋体" w:cs="宋体"/>
                <w:bCs/>
                <w:sz w:val="21"/>
                <w:szCs w:val="21"/>
              </w:rPr>
            </w:pPr>
          </w:p>
        </w:tc>
        <w:tc>
          <w:tcPr>
            <w:tcW w:w="860" w:type="dxa"/>
            <w:vAlign w:val="center"/>
          </w:tcPr>
          <w:p w14:paraId="77BB4FB5">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093" w:type="dxa"/>
            <w:tcBorders>
              <w:top w:val="single" w:color="auto" w:sz="2" w:space="0"/>
            </w:tcBorders>
          </w:tcPr>
          <w:p w14:paraId="67EDBF9F">
            <w:pPr>
              <w:widowControl w:val="0"/>
              <w:spacing w:line="320" w:lineRule="exact"/>
              <w:jc w:val="both"/>
              <w:rPr>
                <w:rFonts w:ascii="宋体" w:hAnsi="宋体" w:eastAsia="宋体" w:cs="仿宋"/>
                <w:b/>
                <w:color w:val="FF0000"/>
                <w:kern w:val="2"/>
                <w:sz w:val="21"/>
                <w:szCs w:val="21"/>
              </w:rPr>
            </w:pPr>
            <w:r>
              <w:rPr>
                <w:rFonts w:hint="eastAsia" w:ascii="宋体" w:hAnsi="宋体" w:eastAsia="宋体" w:cs="仿宋"/>
                <w:b/>
                <w:color w:val="FF0000"/>
                <w:kern w:val="2"/>
                <w:sz w:val="21"/>
                <w:szCs w:val="21"/>
              </w:rPr>
              <w:t>项目部人员团队组成：</w:t>
            </w:r>
          </w:p>
          <w:p w14:paraId="26DD341E">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一、评审内容：</w:t>
            </w:r>
          </w:p>
          <w:p w14:paraId="0F253852">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项目部人员组成及架构。</w:t>
            </w:r>
          </w:p>
          <w:p w14:paraId="21EE57F7">
            <w:pPr>
              <w:widowControl w:val="0"/>
              <w:spacing w:line="320" w:lineRule="exact"/>
              <w:jc w:val="both"/>
              <w:rPr>
                <w:rFonts w:ascii="宋体" w:hAnsi="宋体" w:eastAsia="宋体" w:cs="仿宋"/>
                <w:kern w:val="2"/>
                <w:sz w:val="21"/>
                <w:szCs w:val="21"/>
              </w:rPr>
            </w:pPr>
            <w:r>
              <w:rPr>
                <w:rFonts w:hint="eastAsia" w:ascii="宋体" w:hAnsi="宋体" w:eastAsia="宋体" w:cs="仿宋"/>
                <w:b/>
                <w:kern w:val="2"/>
                <w:sz w:val="21"/>
                <w:szCs w:val="21"/>
              </w:rPr>
              <w:t>二、评审标准：</w:t>
            </w:r>
          </w:p>
          <w:p w14:paraId="4FB15EB8">
            <w:pPr>
              <w:widowControl w:val="0"/>
              <w:spacing w:line="320" w:lineRule="exact"/>
              <w:jc w:val="both"/>
              <w:rPr>
                <w:rFonts w:ascii="宋体" w:hAnsi="宋体" w:eastAsia="宋体" w:cs="仿宋"/>
                <w:kern w:val="2"/>
                <w:sz w:val="21"/>
                <w:szCs w:val="21"/>
              </w:rPr>
            </w:pPr>
            <w:r>
              <w:rPr>
                <w:rFonts w:hint="eastAsia" w:ascii="宋体" w:hAnsi="宋体" w:eastAsia="宋体" w:cs="仿宋"/>
                <w:kern w:val="2"/>
                <w:sz w:val="21"/>
                <w:szCs w:val="21"/>
              </w:rPr>
              <w:t>1、完整性：组织机构的运行配备完善、各岗位人员分工明确合理。</w:t>
            </w:r>
            <w:r>
              <w:rPr>
                <w:rFonts w:hint="eastAsia" w:ascii="宋体" w:hAnsi="宋体" w:eastAsia="宋体" w:cs="仿宋"/>
                <w:kern w:val="2"/>
                <w:sz w:val="21"/>
                <w:szCs w:val="21"/>
              </w:rPr>
              <w:cr/>
            </w:r>
            <w:r>
              <w:rPr>
                <w:rFonts w:hint="eastAsia" w:ascii="宋体" w:hAnsi="宋体" w:eastAsia="宋体" w:cs="仿宋"/>
                <w:kern w:val="2"/>
                <w:sz w:val="21"/>
                <w:szCs w:val="21"/>
              </w:rPr>
              <w:t>2、针对性：人员数量充足，人员资格/年龄等符合采购需求。</w:t>
            </w:r>
            <w:r>
              <w:rPr>
                <w:rFonts w:hint="eastAsia" w:ascii="宋体" w:hAnsi="宋体" w:eastAsia="宋体" w:cs="仿宋"/>
                <w:kern w:val="2"/>
                <w:sz w:val="21"/>
                <w:szCs w:val="21"/>
              </w:rPr>
              <w:cr/>
            </w:r>
            <w:r>
              <w:rPr>
                <w:rFonts w:hint="eastAsia" w:ascii="宋体" w:hAnsi="宋体" w:eastAsia="宋体" w:cs="仿宋"/>
                <w:kern w:val="2"/>
                <w:sz w:val="21"/>
                <w:szCs w:val="21"/>
              </w:rPr>
              <w:t>3、专业性：人员相关岗位经验丰富，切合本项目实际情况。</w:t>
            </w:r>
          </w:p>
          <w:p w14:paraId="628B9754">
            <w:pPr>
              <w:widowControl w:val="0"/>
              <w:spacing w:line="320" w:lineRule="exact"/>
              <w:jc w:val="both"/>
              <w:rPr>
                <w:rFonts w:ascii="宋体" w:hAnsi="宋体" w:eastAsia="宋体" w:cs="仿宋"/>
                <w:b/>
                <w:kern w:val="2"/>
                <w:sz w:val="21"/>
                <w:szCs w:val="21"/>
              </w:rPr>
            </w:pPr>
            <w:r>
              <w:rPr>
                <w:rFonts w:hint="eastAsia" w:ascii="宋体" w:hAnsi="宋体" w:eastAsia="宋体" w:cs="仿宋"/>
                <w:b/>
                <w:kern w:val="2"/>
                <w:sz w:val="21"/>
                <w:szCs w:val="21"/>
              </w:rPr>
              <w:t>三、赋分标准：</w:t>
            </w:r>
          </w:p>
          <w:p w14:paraId="20394D3B">
            <w:pPr>
              <w:widowControl w:val="0"/>
              <w:spacing w:line="320" w:lineRule="exact"/>
              <w:jc w:val="both"/>
              <w:rPr>
                <w:rFonts w:ascii="宋体" w:hAnsi="宋体" w:eastAsia="宋体" w:cs="仿宋"/>
                <w:b/>
                <w:bCs/>
                <w:kern w:val="2"/>
                <w:sz w:val="21"/>
                <w:szCs w:val="21"/>
              </w:rPr>
            </w:pPr>
            <w:r>
              <w:rPr>
                <w:rFonts w:hint="eastAsia" w:cs="宋体"/>
                <w:sz w:val="21"/>
                <w:szCs w:val="21"/>
              </w:rPr>
              <w:t>每完全满足一项评审标准得</w:t>
            </w:r>
            <w:r>
              <w:rPr>
                <w:rFonts w:cs="宋体"/>
                <w:sz w:val="21"/>
                <w:szCs w:val="21"/>
              </w:rPr>
              <w:t>1</w:t>
            </w:r>
            <w:r>
              <w:rPr>
                <w:rFonts w:hint="eastAsia" w:cs="宋体"/>
                <w:sz w:val="21"/>
                <w:szCs w:val="21"/>
              </w:rPr>
              <w:t>分，满分</w:t>
            </w:r>
            <w:r>
              <w:rPr>
                <w:rFonts w:cs="宋体"/>
                <w:sz w:val="21"/>
                <w:szCs w:val="21"/>
              </w:rPr>
              <w:t>3</w:t>
            </w:r>
            <w:r>
              <w:rPr>
                <w:rFonts w:hint="eastAsia" w:cs="宋体"/>
                <w:sz w:val="21"/>
                <w:szCs w:val="21"/>
              </w:rPr>
              <w:t>分。</w:t>
            </w:r>
          </w:p>
        </w:tc>
        <w:tc>
          <w:tcPr>
            <w:tcW w:w="1134" w:type="dxa"/>
            <w:vAlign w:val="center"/>
          </w:tcPr>
          <w:p w14:paraId="5154907F">
            <w:pPr>
              <w:spacing w:line="400" w:lineRule="exact"/>
              <w:jc w:val="center"/>
              <w:rPr>
                <w:rFonts w:ascii="Calibri" w:hAnsi="宋体" w:eastAsia="宋体" w:cs="宋体"/>
                <w:bCs/>
                <w:color w:val="FF0000"/>
                <w:sz w:val="21"/>
                <w:szCs w:val="21"/>
              </w:rPr>
            </w:pPr>
          </w:p>
        </w:tc>
      </w:tr>
      <w:tr w14:paraId="0C8DF9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vAlign w:val="center"/>
          </w:tcPr>
          <w:p w14:paraId="6C9FA172">
            <w:pPr>
              <w:spacing w:line="400" w:lineRule="exact"/>
              <w:jc w:val="center"/>
              <w:rPr>
                <w:rFonts w:ascii="Calibri" w:hAnsi="宋体" w:eastAsia="宋体" w:cs="宋体"/>
                <w:bCs/>
                <w:sz w:val="21"/>
                <w:szCs w:val="21"/>
              </w:rPr>
            </w:pPr>
          </w:p>
        </w:tc>
        <w:tc>
          <w:tcPr>
            <w:tcW w:w="640" w:type="dxa"/>
            <w:vMerge w:val="continue"/>
            <w:vAlign w:val="center"/>
          </w:tcPr>
          <w:p w14:paraId="43017937">
            <w:pPr>
              <w:spacing w:line="400" w:lineRule="exact"/>
              <w:jc w:val="center"/>
              <w:rPr>
                <w:rFonts w:ascii="Calibri" w:hAnsi="宋体" w:eastAsia="宋体" w:cs="宋体"/>
                <w:bCs/>
                <w:sz w:val="21"/>
                <w:szCs w:val="21"/>
              </w:rPr>
            </w:pPr>
          </w:p>
        </w:tc>
        <w:tc>
          <w:tcPr>
            <w:tcW w:w="860" w:type="dxa"/>
            <w:vAlign w:val="center"/>
          </w:tcPr>
          <w:p w14:paraId="2A9414EA">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093" w:type="dxa"/>
            <w:vAlign w:val="center"/>
          </w:tcPr>
          <w:p w14:paraId="0DF317FF">
            <w:pPr>
              <w:widowControl w:val="0"/>
              <w:spacing w:line="320" w:lineRule="exact"/>
              <w:rPr>
                <w:rFonts w:ascii="宋体" w:hAnsi="宋体" w:eastAsia="宋体" w:cs="仿宋"/>
                <w:b/>
                <w:color w:val="FF0000"/>
                <w:kern w:val="2"/>
                <w:sz w:val="21"/>
                <w:szCs w:val="21"/>
              </w:rPr>
            </w:pPr>
            <w:r>
              <w:rPr>
                <w:rFonts w:hint="eastAsia" w:ascii="宋体" w:hAnsi="宋体" w:eastAsia="宋体" w:cs="仿宋"/>
                <w:b/>
                <w:color w:val="FF0000"/>
                <w:kern w:val="2"/>
                <w:sz w:val="21"/>
                <w:szCs w:val="21"/>
              </w:rPr>
              <w:t>业绩：</w:t>
            </w:r>
          </w:p>
          <w:p w14:paraId="41EC53F3">
            <w:pPr>
              <w:tabs>
                <w:tab w:val="left" w:pos="547"/>
              </w:tabs>
              <w:spacing w:line="320" w:lineRule="exact"/>
              <w:jc w:val="both"/>
              <w:rPr>
                <w:rFonts w:hAnsi="宋体"/>
                <w:kern w:val="2"/>
                <w:sz w:val="21"/>
                <w:szCs w:val="21"/>
              </w:rPr>
            </w:pPr>
            <w:bookmarkStart w:id="32" w:name="OLE_LINK24"/>
            <w:r>
              <w:rPr>
                <w:rFonts w:hint="eastAsia" w:hAnsi="宋体"/>
                <w:kern w:val="2"/>
                <w:sz w:val="21"/>
                <w:szCs w:val="21"/>
              </w:rPr>
              <w:t>提供2022年1月1日（以合同签订时间为准）以来的类似施工项目业绩（以</w:t>
            </w:r>
            <w:r>
              <w:rPr>
                <w:rFonts w:hAnsi="宋体"/>
                <w:kern w:val="2"/>
                <w:sz w:val="21"/>
                <w:szCs w:val="21"/>
              </w:rPr>
              <w:t>合同关键页</w:t>
            </w:r>
            <w:r>
              <w:rPr>
                <w:rFonts w:hint="eastAsia" w:hAnsi="宋体"/>
                <w:kern w:val="2"/>
                <w:sz w:val="21"/>
                <w:szCs w:val="21"/>
              </w:rPr>
              <w:t>的</w:t>
            </w:r>
            <w:r>
              <w:rPr>
                <w:rFonts w:hAnsi="宋体"/>
                <w:kern w:val="2"/>
                <w:sz w:val="21"/>
                <w:szCs w:val="21"/>
              </w:rPr>
              <w:t>扫描件为计分依据</w:t>
            </w:r>
            <w:r>
              <w:rPr>
                <w:rFonts w:hint="eastAsia" w:hAnsi="宋体"/>
                <w:kern w:val="2"/>
                <w:sz w:val="21"/>
                <w:szCs w:val="21"/>
              </w:rPr>
              <w:t>），每个有效业绩得</w:t>
            </w:r>
            <w:r>
              <w:rPr>
                <w:rFonts w:hAnsi="宋体"/>
                <w:kern w:val="2"/>
                <w:sz w:val="21"/>
                <w:szCs w:val="21"/>
              </w:rPr>
              <w:t>2</w:t>
            </w:r>
            <w:r>
              <w:rPr>
                <w:rFonts w:hint="eastAsia" w:hAnsi="宋体"/>
                <w:kern w:val="2"/>
                <w:sz w:val="21"/>
                <w:szCs w:val="21"/>
              </w:rPr>
              <w:t>分，满分6分。</w:t>
            </w:r>
          </w:p>
          <w:p w14:paraId="225D619A">
            <w:pPr>
              <w:tabs>
                <w:tab w:val="left" w:pos="547"/>
              </w:tabs>
              <w:spacing w:line="320" w:lineRule="exact"/>
              <w:jc w:val="both"/>
              <w:rPr>
                <w:rFonts w:ascii="宋体" w:hAnsi="宋体" w:eastAsia="宋体" w:cs="华文仿宋"/>
                <w:sz w:val="21"/>
                <w:szCs w:val="21"/>
              </w:rPr>
            </w:pPr>
            <w:r>
              <w:rPr>
                <w:rFonts w:ascii="宋体" w:hAnsi="宋体" w:eastAsia="宋体" w:cs="华文仿宋"/>
                <w:sz w:val="21"/>
                <w:szCs w:val="21"/>
              </w:rPr>
              <w:t>注：</w:t>
            </w:r>
            <w:r>
              <w:rPr>
                <w:rFonts w:hint="eastAsia" w:ascii="宋体" w:hAnsi="宋体" w:eastAsia="宋体" w:cs="华文仿宋"/>
                <w:sz w:val="21"/>
                <w:szCs w:val="21"/>
              </w:rPr>
              <w:t>1、合同关键页须包括首页、金额页、加盖甲乙双方公章或</w:t>
            </w:r>
            <w:r>
              <w:rPr>
                <w:rFonts w:ascii="宋体" w:hAnsi="宋体" w:eastAsia="宋体" w:cs="华文仿宋"/>
                <w:sz w:val="21"/>
                <w:szCs w:val="21"/>
              </w:rPr>
              <w:t>合同章</w:t>
            </w:r>
            <w:r>
              <w:rPr>
                <w:rFonts w:hint="eastAsia" w:ascii="宋体" w:hAnsi="宋体" w:eastAsia="宋体" w:cs="华文仿宋"/>
                <w:sz w:val="21"/>
                <w:szCs w:val="21"/>
              </w:rPr>
              <w:t>的合同关键页。</w:t>
            </w:r>
          </w:p>
          <w:p w14:paraId="73761FFE">
            <w:pPr>
              <w:tabs>
                <w:tab w:val="left" w:pos="547"/>
              </w:tabs>
              <w:spacing w:line="320" w:lineRule="exact"/>
              <w:jc w:val="both"/>
              <w:rPr>
                <w:rFonts w:ascii="Calibri" w:hAnsi="宋体" w:eastAsia="宋体"/>
                <w:sz w:val="21"/>
              </w:rPr>
            </w:pPr>
            <w:r>
              <w:rPr>
                <w:rFonts w:ascii="宋体" w:hAnsi="宋体" w:eastAsia="宋体" w:cs="华文仿宋"/>
                <w:sz w:val="21"/>
                <w:szCs w:val="21"/>
              </w:rPr>
              <w:t>2</w:t>
            </w:r>
            <w:r>
              <w:rPr>
                <w:rFonts w:hint="eastAsia" w:ascii="宋体" w:hAnsi="宋体" w:eastAsia="宋体" w:cs="华文仿宋"/>
                <w:sz w:val="21"/>
                <w:szCs w:val="21"/>
              </w:rPr>
              <w:t>、</w:t>
            </w:r>
            <w:r>
              <w:rPr>
                <w:rFonts w:ascii="宋体" w:hAnsi="宋体" w:eastAsia="宋体" w:cs="华文仿宋"/>
                <w:sz w:val="21"/>
                <w:szCs w:val="21"/>
              </w:rPr>
              <w:t>多</w:t>
            </w:r>
            <w:r>
              <w:rPr>
                <w:rFonts w:hint="eastAsia" w:ascii="宋体" w:hAnsi="宋体" w:eastAsia="宋体" w:cs="华文仿宋"/>
                <w:sz w:val="21"/>
                <w:szCs w:val="21"/>
              </w:rPr>
              <w:t>份</w:t>
            </w:r>
            <w:r>
              <w:rPr>
                <w:rFonts w:ascii="宋体" w:hAnsi="宋体" w:eastAsia="宋体" w:cs="华文仿宋"/>
                <w:sz w:val="21"/>
                <w:szCs w:val="21"/>
              </w:rPr>
              <w:t>业绩</w:t>
            </w:r>
            <w:r>
              <w:rPr>
                <w:rFonts w:hint="eastAsia" w:ascii="宋体" w:hAnsi="宋体" w:eastAsia="宋体" w:cs="华文仿宋"/>
                <w:sz w:val="21"/>
                <w:szCs w:val="21"/>
              </w:rPr>
              <w:t>为</w:t>
            </w:r>
            <w:r>
              <w:rPr>
                <w:rFonts w:ascii="宋体" w:hAnsi="宋体" w:eastAsia="宋体" w:cs="华文仿宋"/>
                <w:sz w:val="21"/>
                <w:szCs w:val="21"/>
              </w:rPr>
              <w:t>同一</w:t>
            </w:r>
            <w:r>
              <w:rPr>
                <w:rFonts w:hint="eastAsia" w:ascii="宋体" w:hAnsi="宋体" w:eastAsia="宋体" w:cs="华文仿宋"/>
                <w:sz w:val="21"/>
                <w:szCs w:val="21"/>
              </w:rPr>
              <w:t>采购人的</w:t>
            </w:r>
            <w:r>
              <w:rPr>
                <w:rFonts w:ascii="宋体" w:hAnsi="宋体" w:eastAsia="宋体" w:cs="华文仿宋"/>
                <w:sz w:val="21"/>
                <w:szCs w:val="21"/>
              </w:rPr>
              <w:t>分值</w:t>
            </w:r>
            <w:r>
              <w:rPr>
                <w:rFonts w:hint="eastAsia" w:ascii="宋体" w:hAnsi="宋体" w:eastAsia="宋体" w:cs="华文仿宋"/>
                <w:sz w:val="21"/>
                <w:szCs w:val="21"/>
              </w:rPr>
              <w:t>不累计</w:t>
            </w:r>
            <w:r>
              <w:rPr>
                <w:rFonts w:ascii="宋体" w:hAnsi="宋体" w:eastAsia="宋体" w:cs="华文仿宋"/>
                <w:sz w:val="21"/>
                <w:szCs w:val="21"/>
              </w:rPr>
              <w:t>，仅按一份业绩计分。</w:t>
            </w:r>
            <w:bookmarkEnd w:id="32"/>
          </w:p>
        </w:tc>
        <w:tc>
          <w:tcPr>
            <w:tcW w:w="1134" w:type="dxa"/>
            <w:vAlign w:val="center"/>
          </w:tcPr>
          <w:p w14:paraId="15B64551">
            <w:pPr>
              <w:spacing w:line="400" w:lineRule="exact"/>
              <w:jc w:val="center"/>
              <w:rPr>
                <w:rFonts w:ascii="Calibri" w:hAnsi="宋体" w:eastAsia="宋体" w:cs="宋体"/>
                <w:bCs/>
                <w:color w:val="FF0000"/>
                <w:sz w:val="21"/>
                <w:szCs w:val="21"/>
              </w:rPr>
            </w:pPr>
          </w:p>
        </w:tc>
      </w:tr>
      <w:tr w14:paraId="73DE2A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Align w:val="center"/>
          </w:tcPr>
          <w:p w14:paraId="3DACBC12">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vAlign w:val="center"/>
          </w:tcPr>
          <w:p w14:paraId="26B7CA71">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磋商小组成员必须按照本评审要素据实打分，各类数字计算均按“四舍五入”保留小数点后两位。</w:t>
            </w:r>
          </w:p>
        </w:tc>
      </w:tr>
    </w:tbl>
    <w:p w14:paraId="5E16FD7D">
      <w:pPr>
        <w:pStyle w:val="81"/>
        <w:ind w:firstLine="240" w:firstLineChars="100"/>
        <w:rPr>
          <w:b/>
        </w:rPr>
      </w:pPr>
      <w:r>
        <w:rPr>
          <w:b/>
        </w:rPr>
        <w:t>（七）推荐成交候选人并编写评审报告</w:t>
      </w:r>
    </w:p>
    <w:p w14:paraId="441B310C">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1"/>
        <w:ind w:firstLine="480"/>
      </w:pPr>
      <w:r>
        <w:rPr>
          <w:rFonts w:hint="eastAsia"/>
        </w:rPr>
        <w:t>1</w:t>
      </w:r>
      <w:r>
        <w:rPr>
          <w:rFonts w:hint="eastAsia"/>
          <w:color w:val="auto"/>
        </w:rPr>
        <w:t>．</w:t>
      </w:r>
      <w:r>
        <w:t>采购代理机构在评审工作结束后2个工作日内，将评审报告送采购人确认。</w:t>
      </w:r>
    </w:p>
    <w:p w14:paraId="4224D80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67B80D74">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1"/>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1"/>
        <w:ind w:firstLine="480"/>
        <w:rPr>
          <w:color w:val="auto"/>
        </w:rPr>
      </w:pPr>
      <w:r>
        <w:rPr>
          <w:rFonts w:hint="eastAsia"/>
        </w:rPr>
        <w:t>1</w:t>
      </w:r>
      <w:r>
        <w:rPr>
          <w:rFonts w:hint="eastAsia"/>
          <w:color w:val="auto"/>
        </w:rPr>
        <w:t>．采购人与成交供应商应当根据合同的约定依法履行合同义务。</w:t>
      </w:r>
    </w:p>
    <w:p w14:paraId="29751297">
      <w:pPr>
        <w:pStyle w:val="81"/>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1"/>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1"/>
        <w:ind w:firstLine="480"/>
      </w:pPr>
      <w:r>
        <w:rPr>
          <w:rFonts w:hint="eastAsia"/>
        </w:rPr>
        <w:t>（1）因情况变化，不再符合规定的竞争性磋商采购方式适用情形的；</w:t>
      </w:r>
    </w:p>
    <w:p w14:paraId="0FA6E2DE">
      <w:pPr>
        <w:pStyle w:val="81"/>
        <w:ind w:firstLine="480"/>
      </w:pPr>
      <w:r>
        <w:rPr>
          <w:rFonts w:hint="eastAsia"/>
        </w:rPr>
        <w:t>（2）出现影响采购公正的违法、违规行为的；</w:t>
      </w:r>
    </w:p>
    <w:p w14:paraId="119AEF1E">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7D960403">
      <w:pPr>
        <w:pStyle w:val="2"/>
        <w:numPr>
          <w:ilvl w:val="0"/>
          <w:numId w:val="0"/>
        </w:numPr>
        <w:spacing w:before="230" w:after="230"/>
      </w:pPr>
      <w:r>
        <w:rPr>
          <w:rFonts w:hint="eastAsia"/>
        </w:rPr>
        <w:t>第三章　磋商内容及要求</w:t>
      </w:r>
    </w:p>
    <w:p w14:paraId="7F24F23A">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476DA71C">
      <w:pPr>
        <w:pStyle w:val="3"/>
        <w:jc w:val="both"/>
      </w:pPr>
      <w:r>
        <w:rPr>
          <w:rFonts w:hint="eastAsia"/>
        </w:rPr>
        <w:t>一、项目概况</w:t>
      </w:r>
    </w:p>
    <w:p w14:paraId="54B0C9BE">
      <w:pPr>
        <w:ind w:firstLine="480" w:firstLineChars="200"/>
        <w:jc w:val="both"/>
      </w:pPr>
      <w:r>
        <w:rPr>
          <w:rFonts w:hint="eastAsia"/>
        </w:rPr>
        <w:t>鄠邑区消防救援大队振兴路消防救援站院落围墙建设项目，本工程位于鄠邑区消防救援大队振兴路消防救援站,包含围墙拆除及新建、花池新建；拆除围墙180m，新建围墙216.2m，新建花池围墙46m。</w:t>
      </w:r>
    </w:p>
    <w:p w14:paraId="1D385F6F">
      <w:pPr>
        <w:pStyle w:val="3"/>
        <w:jc w:val="both"/>
      </w:pPr>
      <w:r>
        <w:rPr>
          <w:rFonts w:hint="eastAsia"/>
        </w:rPr>
        <w:t>二、</w:t>
      </w:r>
      <w:r>
        <w:rPr>
          <w:rFonts w:hint="eastAsia" w:hAnsi="华文仿宋"/>
          <w:sz w:val="30"/>
          <w:szCs w:val="30"/>
        </w:rPr>
        <w:t>工程内容</w:t>
      </w:r>
    </w:p>
    <w:p w14:paraId="336A739F">
      <w:pPr>
        <w:pStyle w:val="81"/>
        <w:ind w:firstLine="480"/>
      </w:pPr>
      <w:r>
        <w:rPr>
          <w:rFonts w:hint="eastAsia"/>
        </w:rPr>
        <w:t>（一）工程内容：</w:t>
      </w:r>
    </w:p>
    <w:p w14:paraId="535CACF7">
      <w:pPr>
        <w:pStyle w:val="81"/>
        <w:ind w:firstLine="480"/>
        <w:outlineLvl w:val="2"/>
        <w:rPr>
          <w:b/>
        </w:rPr>
      </w:pPr>
      <w:r>
        <w:rPr>
          <w:rFonts w:hint="eastAsia" w:asciiTheme="minorEastAsia" w:hAnsiTheme="minorEastAsia"/>
        </w:rPr>
        <w:t>项目分为围墙和花池两部分,分别进行拆除、基础、砌墙、装修等进行施工。基础开挖至-1.500深，宽800。 基础做法采用300厚3：7灰土夯实、200厚500入地砖混加130厚的370入地砖混。围墙采用240红砖砌筑、墙顶采用成品树脂瓦，柱子采用C25混凝土浇筑。花池22㎡，采用120*240*60红砖砌筑、顶面采用120*240*60红砖压顶，面层采用瓷砖贴面。围墙垛子每5m设置柱子。每12m 设置伸缩缝两侧各配150mm宽玻璃四网格布，墙面采用水泥抹灰和涂料。围墙表面绘制宣传标语、图画等进行装饰。</w:t>
      </w:r>
    </w:p>
    <w:p w14:paraId="2813B27C">
      <w:pPr>
        <w:pStyle w:val="81"/>
        <w:ind w:firstLine="480"/>
        <w:outlineLvl w:val="2"/>
        <w:rPr>
          <w:rFonts w:ascii="Calibri Light"/>
        </w:rPr>
      </w:pPr>
      <w:r>
        <w:rPr>
          <w:rFonts w:hint="eastAsia"/>
        </w:rPr>
        <w:t>（二）计划工期：</w:t>
      </w:r>
      <w:r>
        <w:rPr>
          <w:rFonts w:hint="eastAsia" w:ascii="Calibri Light"/>
        </w:rPr>
        <w:t>自进场之日起</w:t>
      </w:r>
      <w:r>
        <w:rPr>
          <w:rFonts w:ascii="Calibri Light"/>
          <w:u w:val="single"/>
        </w:rPr>
        <w:t>60</w:t>
      </w:r>
      <w:r>
        <w:rPr>
          <w:rFonts w:hint="eastAsia" w:ascii="Calibri Light"/>
        </w:rPr>
        <w:t>个日历日内竣工。</w:t>
      </w:r>
    </w:p>
    <w:p w14:paraId="73B7DE41">
      <w:pPr>
        <w:pStyle w:val="81"/>
        <w:ind w:firstLine="480"/>
        <w:rPr>
          <w:b/>
        </w:rPr>
      </w:pPr>
      <w:r>
        <w:rPr>
          <w:rFonts w:hint="eastAsia"/>
        </w:rPr>
        <w:t>（三）质保期：自工程竣工验收合格之日起</w:t>
      </w:r>
      <w:r>
        <w:rPr>
          <w:rFonts w:hint="eastAsia"/>
          <w:u w:val="single"/>
        </w:rPr>
        <w:t xml:space="preserve"> 1</w:t>
      </w:r>
      <w:r>
        <w:rPr>
          <w:u w:val="single"/>
        </w:rPr>
        <w:t xml:space="preserve"> </w:t>
      </w:r>
      <w:r>
        <w:rPr>
          <w:rFonts w:hint="eastAsia"/>
        </w:rPr>
        <w:t>年。</w:t>
      </w:r>
    </w:p>
    <w:p w14:paraId="409A795A">
      <w:pPr>
        <w:pStyle w:val="3"/>
        <w:jc w:val="both"/>
      </w:pPr>
      <w:r>
        <w:t>三、</w:t>
      </w:r>
      <w:r>
        <w:rPr>
          <w:rFonts w:hint="eastAsia"/>
        </w:rPr>
        <w:t>技术（服务）要求</w:t>
      </w:r>
    </w:p>
    <w:p w14:paraId="390075B6">
      <w:pPr>
        <w:pStyle w:val="81"/>
        <w:ind w:firstLine="482"/>
        <w:outlineLvl w:val="2"/>
        <w:rPr>
          <w:b/>
        </w:rPr>
      </w:pPr>
      <w:r>
        <w:rPr>
          <w:rFonts w:hint="eastAsia"/>
          <w:b/>
        </w:rPr>
        <w:t>（一）技术要求</w:t>
      </w:r>
    </w:p>
    <w:p w14:paraId="0FD2F514">
      <w:pPr>
        <w:ind w:firstLine="480" w:firstLineChars="200"/>
        <w:rPr>
          <w:rFonts w:asciiTheme="minorEastAsia" w:hAnsiTheme="minorEastAsia"/>
        </w:rPr>
      </w:pPr>
      <w:r>
        <w:rPr>
          <w:rFonts w:hint="eastAsia" w:asciiTheme="minorEastAsia" w:hAnsiTheme="minorEastAsia"/>
        </w:rPr>
        <w:t>1</w:t>
      </w:r>
      <w:r>
        <w:rPr>
          <w:rFonts w:asciiTheme="minorEastAsia" w:hAnsiTheme="minorEastAsia"/>
        </w:rPr>
        <w:t>.</w:t>
      </w:r>
      <w:r>
        <w:rPr>
          <w:rFonts w:hint="eastAsia" w:asciiTheme="minorEastAsia" w:hAnsiTheme="minorEastAsia"/>
        </w:rPr>
        <w:t>在施工期间，成交供应商必须注意院内人员安全，加强安全措施，并对施工人员进行安全教育。施工人员必须持证上岗。因采购人工作的特殊性，要求成交供应商在施工中做到封闭性施工。</w:t>
      </w:r>
    </w:p>
    <w:p w14:paraId="7DDB00F6">
      <w:pPr>
        <w:pStyle w:val="81"/>
        <w:ind w:firstLine="480"/>
        <w:rPr>
          <w:b/>
        </w:rPr>
      </w:pPr>
      <w:r>
        <w:rPr>
          <w:rFonts w:hint="eastAsia" w:asciiTheme="minorEastAsia" w:hAnsiTheme="minorEastAsia"/>
        </w:rPr>
        <w:t>2</w:t>
      </w:r>
      <w:r>
        <w:rPr>
          <w:rFonts w:asciiTheme="minorEastAsia" w:hAnsiTheme="minorEastAsia"/>
        </w:rPr>
        <w:t>.</w:t>
      </w:r>
      <w:r>
        <w:rPr>
          <w:rFonts w:hint="eastAsia" w:asciiTheme="minorEastAsia" w:hAnsiTheme="minorEastAsia"/>
        </w:rPr>
        <w:t>成交供应商不履行保修义务或者拖延履行保修义务的，采购人将上报建设工程主管部门按照相关法律、条例、规定，对成交供应商责令整改，处罚款，并依法赔偿损失。</w:t>
      </w:r>
      <w:r>
        <w:rPr>
          <w:rFonts w:hint="eastAsia" w:asciiTheme="minorEastAsia" w:hAnsiTheme="minorEastAsia"/>
        </w:rPr>
        <w:cr/>
      </w:r>
      <w:r>
        <w:rPr>
          <w:rFonts w:asciiTheme="minorEastAsia" w:hAnsiTheme="minorEastAsia"/>
        </w:rPr>
        <w:t xml:space="preserve">    </w:t>
      </w:r>
      <w:r>
        <w:rPr>
          <w:rFonts w:hint="eastAsia" w:asciiTheme="minorEastAsia" w:hAnsiTheme="minorEastAsia"/>
        </w:rPr>
        <w:t>3.本项目工程质量要求为合格，符合现行施工及验收规范要求。成交供应商未按照相关规范执行导致工程质量存在问题的，应负责返工修理，直至合格，并依法赔偿损失。</w:t>
      </w:r>
      <w:r>
        <w:rPr>
          <w:rFonts w:hint="eastAsia" w:asciiTheme="minorEastAsia" w:hAnsiTheme="minorEastAsia"/>
        </w:rPr>
        <w:cr/>
      </w:r>
      <w:r>
        <w:rPr>
          <w:rFonts w:asciiTheme="minorEastAsia" w:hAnsiTheme="minorEastAsia"/>
        </w:rPr>
        <w:t xml:space="preserve">    </w:t>
      </w:r>
      <w:r>
        <w:rPr>
          <w:rFonts w:hint="eastAsia" w:asciiTheme="minorEastAsia" w:hAnsiTheme="minorEastAsia"/>
        </w:rPr>
        <w:t>4</w:t>
      </w:r>
      <w:r>
        <w:rPr>
          <w:rFonts w:asciiTheme="minorEastAsia" w:hAnsiTheme="minorEastAsia"/>
        </w:rPr>
        <w:t>.</w:t>
      </w:r>
      <w:r>
        <w:rPr>
          <w:rFonts w:hint="eastAsia" w:asciiTheme="minorEastAsia" w:hAnsiTheme="minorEastAsia"/>
        </w:rPr>
        <w:t>当成交供应商出现情节严重的违法、违规行为，由采购人上报建设工程主管部门按照相关法律、条例、规定，对供应商责令停业整顿，降低资质等级或吊销资质证书。</w:t>
      </w:r>
    </w:p>
    <w:p w14:paraId="012E3F66">
      <w:pPr>
        <w:pStyle w:val="81"/>
        <w:ind w:firstLine="482"/>
        <w:outlineLvl w:val="2"/>
        <w:rPr>
          <w:b/>
        </w:rPr>
      </w:pPr>
      <w:r>
        <w:rPr>
          <w:rFonts w:hint="eastAsia"/>
          <w:b/>
        </w:rPr>
        <w:t>（二）质量</w:t>
      </w:r>
      <w:r>
        <w:rPr>
          <w:b/>
        </w:rPr>
        <w:t>要求</w:t>
      </w:r>
    </w:p>
    <w:p w14:paraId="2F72D830">
      <w:pPr>
        <w:pStyle w:val="81"/>
        <w:ind w:firstLine="480"/>
        <w:outlineLvl w:val="2"/>
      </w:pPr>
      <w:r>
        <w:rPr>
          <w:rFonts w:hint="eastAsia"/>
        </w:rPr>
        <w:t>1、工程质量应当达到“合格”质量标准，质量标准的评定以国家或行业的质量检验评定标准为依据。</w:t>
      </w:r>
    </w:p>
    <w:p w14:paraId="00FF9EE6">
      <w:pPr>
        <w:ind w:firstLine="480" w:firstLineChars="200"/>
      </w:pPr>
      <w:r>
        <w:rPr>
          <w:rFonts w:hint="eastAsia"/>
        </w:rPr>
        <w:t>2、工程施工应按国家现行标准和相应的行业技术规范执行，标准和技术规范应为合同签订日为止最新公布发行的标准和技术规范。</w:t>
      </w:r>
    </w:p>
    <w:p w14:paraId="1BA2839E">
      <w:pPr>
        <w:ind w:firstLine="480" w:firstLineChars="200"/>
        <w:rPr>
          <w:rFonts w:asciiTheme="minorEastAsia" w:hAnsiTheme="minorEastAsia" w:cstheme="majorBidi"/>
          <w:bCs/>
          <w:iCs/>
          <w:kern w:val="32"/>
        </w:rPr>
      </w:pPr>
      <w:r>
        <w:rPr>
          <w:rFonts w:hint="eastAsia" w:asciiTheme="minorEastAsia" w:hAnsiTheme="minorEastAsia"/>
        </w:rPr>
        <w:t>3</w:t>
      </w:r>
      <w:r>
        <w:rPr>
          <w:rFonts w:asciiTheme="minorEastAsia" w:hAnsiTheme="minorEastAsia"/>
        </w:rPr>
        <w:t>、</w:t>
      </w:r>
      <w:r>
        <w:rPr>
          <w:rFonts w:hint="eastAsia" w:asciiTheme="minorEastAsia" w:hAnsiTheme="minorEastAsia" w:cstheme="majorBidi"/>
          <w:bCs/>
          <w:iCs/>
          <w:kern w:val="32"/>
        </w:rPr>
        <w:t>符合国家《建筑装饰装修工程质量验收标准》（GB50210-2018）、《建筑工程施工质量验收统一标准》（GB 50300）合格标准。</w:t>
      </w:r>
    </w:p>
    <w:p w14:paraId="6F9B74AD">
      <w:pPr>
        <w:pStyle w:val="3"/>
        <w:jc w:val="both"/>
      </w:pPr>
      <w:r>
        <w:rPr>
          <w:rFonts w:hint="eastAsia"/>
        </w:rPr>
        <w:t>四、工程量清单和</w:t>
      </w:r>
      <w:r>
        <w:t>计价依据</w:t>
      </w:r>
    </w:p>
    <w:p w14:paraId="02DB2849">
      <w:pPr>
        <w:pStyle w:val="40"/>
        <w:ind w:firstLine="480" w:firstLineChars="200"/>
        <w:rPr>
          <w:rFonts w:asciiTheme="minorHAnsi" w:hAnsiTheme="minorHAnsi" w:eastAsiaTheme="majorEastAsia" w:cstheme="minorHAnsi"/>
          <w:b/>
          <w:color w:val="000000"/>
          <w:kern w:val="24"/>
          <w:sz w:val="24"/>
          <w:szCs w:val="24"/>
        </w:rPr>
      </w:pPr>
      <w:r>
        <w:rPr>
          <w:rFonts w:hint="eastAsia" w:asciiTheme="minorHAnsi" w:hAnsiTheme="minorHAnsi" w:eastAsiaTheme="majorEastAsia" w:cstheme="minorHAnsi"/>
          <w:b/>
          <w:color w:val="000000"/>
          <w:kern w:val="24"/>
          <w:sz w:val="24"/>
          <w:szCs w:val="24"/>
        </w:rPr>
        <w:t>（一）工程量清单说明</w:t>
      </w:r>
    </w:p>
    <w:p w14:paraId="2CA5354A">
      <w:pPr>
        <w:pStyle w:val="40"/>
        <w:ind w:firstLine="480" w:firstLineChars="200"/>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本工程量清单是根据项目实际情况及相关工程量清单的计算规则编制，应与磋商文件中要求一起阅读和理解，为磋商报价的共同基础。</w:t>
      </w:r>
    </w:p>
    <w:p w14:paraId="367F5B65">
      <w:pPr>
        <w:pStyle w:val="81"/>
        <w:ind w:firstLine="480"/>
        <w:rPr>
          <w:rFonts w:asciiTheme="minorHAnsi" w:hAnsiTheme="minorHAnsi" w:eastAsiaTheme="majorEastAsia"/>
        </w:rPr>
      </w:pPr>
      <w:r>
        <w:rPr>
          <w:rFonts w:hint="eastAsia" w:asciiTheme="minorHAnsi" w:hAnsiTheme="minorHAnsi" w:eastAsiaTheme="majorEastAsia"/>
        </w:rPr>
        <w:t>供应商可</w:t>
      </w:r>
      <w:r>
        <w:rPr>
          <w:rFonts w:asciiTheme="minorHAnsi" w:hAnsiTheme="minorHAnsi" w:eastAsiaTheme="majorEastAsia"/>
        </w:rPr>
        <w:t>在</w:t>
      </w:r>
      <w:r>
        <w:rPr>
          <w:rFonts w:hint="eastAsia" w:asciiTheme="minorHAnsi" w:hAnsiTheme="minorHAnsi" w:eastAsiaTheme="majorEastAsia"/>
        </w:rPr>
        <w:t>下载磋商文件（</w:t>
      </w:r>
      <w:r>
        <w:rPr>
          <w:rFonts w:asciiTheme="minorHAnsi" w:hAnsiTheme="minorHAnsi" w:eastAsiaTheme="majorEastAsia"/>
        </w:rPr>
        <w:t>*.sxszf）后，点击“招标文件的其他材料”查看</w:t>
      </w:r>
      <w:r>
        <w:rPr>
          <w:rFonts w:hint="eastAsia" w:asciiTheme="minorHAnsi" w:hAnsiTheme="minorHAnsi" w:eastAsiaTheme="majorEastAsia"/>
        </w:rPr>
        <w:t>并下载工程量清单（</w:t>
      </w:r>
      <w:r>
        <w:rPr>
          <w:rFonts w:asciiTheme="minorHAnsi" w:hAnsiTheme="minorHAnsi" w:eastAsiaTheme="majorEastAsia"/>
        </w:rPr>
        <w:t>*. pdf/. xlsx</w:t>
      </w:r>
      <w:r>
        <w:rPr>
          <w:rFonts w:hint="eastAsia" w:asciiTheme="minorHAnsi" w:hAnsiTheme="minorHAnsi" w:eastAsiaTheme="majorEastAsia"/>
        </w:rPr>
        <w:t>）</w:t>
      </w:r>
      <w:r>
        <w:rPr>
          <w:rFonts w:asciiTheme="minorHAnsi" w:hAnsiTheme="minorHAnsi" w:eastAsiaTheme="majorEastAsia"/>
        </w:rPr>
        <w:t>。</w:t>
      </w:r>
    </w:p>
    <w:p w14:paraId="58FA1746">
      <w:pPr>
        <w:pStyle w:val="40"/>
        <w:ind w:firstLine="480" w:firstLineChars="200"/>
        <w:rPr>
          <w:rFonts w:asciiTheme="minorHAnsi" w:hAnsiTheme="minorHAnsi" w:eastAsiaTheme="majorEastAsia" w:cstheme="minorHAnsi"/>
          <w:b/>
          <w:color w:val="000000"/>
          <w:kern w:val="24"/>
          <w:sz w:val="24"/>
          <w:szCs w:val="24"/>
        </w:rPr>
      </w:pPr>
      <w:r>
        <w:rPr>
          <w:rFonts w:hint="eastAsia" w:asciiTheme="minorHAnsi" w:hAnsiTheme="minorHAnsi" w:eastAsiaTheme="majorEastAsia" w:cstheme="minorHAnsi"/>
          <w:b/>
          <w:color w:val="000000"/>
          <w:kern w:val="24"/>
          <w:sz w:val="24"/>
          <w:szCs w:val="24"/>
        </w:rPr>
        <w:t>（二）磋商报价说明</w:t>
      </w:r>
    </w:p>
    <w:p w14:paraId="2F2587B8">
      <w:pPr>
        <w:pStyle w:val="40"/>
        <w:ind w:firstLine="480" w:firstLineChars="200"/>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1. 工程量清单中的每一子目须填入单价或价格，且只允许有一个报价。</w:t>
      </w:r>
    </w:p>
    <w:p w14:paraId="04749B2C">
      <w:pPr>
        <w:pStyle w:val="40"/>
        <w:ind w:firstLine="480" w:firstLineChars="200"/>
        <w:rPr>
          <w:rFonts w:asciiTheme="minorHAnsi" w:hAnsiTheme="minorHAnsi" w:eastAsiaTheme="majorEastAsia" w:cstheme="minorHAnsi"/>
          <w:color w:val="000000"/>
          <w:kern w:val="24"/>
          <w:sz w:val="24"/>
          <w:szCs w:val="24"/>
        </w:rPr>
      </w:pPr>
      <w:r>
        <w:rPr>
          <w:rFonts w:asciiTheme="minorHAnsi" w:hAnsiTheme="minorHAnsi" w:eastAsiaTheme="majorEastAsia" w:cstheme="minorHAnsi"/>
          <w:color w:val="000000"/>
          <w:kern w:val="24"/>
          <w:sz w:val="24"/>
          <w:szCs w:val="24"/>
        </w:rPr>
        <w:t xml:space="preserve">2. </w:t>
      </w:r>
      <w:r>
        <w:rPr>
          <w:rFonts w:hint="eastAsia" w:asciiTheme="minorHAnsi" w:hAnsiTheme="minorHAnsi" w:eastAsiaTheme="majorEastAsia" w:cstheme="minorHAnsi"/>
          <w:color w:val="000000"/>
          <w:kern w:val="24"/>
          <w:sz w:val="24"/>
          <w:szCs w:val="24"/>
        </w:rPr>
        <w:t>工程量清单成交价的单价或金额，应包括所需的人工费、材料和施工机具使用费和企业管理费、利润、施工措施费、安全保护设施费用、平整场地费用、环境保护设施设备费用等所有费用以及一定范围内的风险费用等。</w:t>
      </w:r>
    </w:p>
    <w:p w14:paraId="0D5BBC8A">
      <w:pPr>
        <w:pStyle w:val="40"/>
        <w:ind w:firstLine="480" w:firstLineChars="200"/>
        <w:rPr>
          <w:rFonts w:asciiTheme="minorHAnsi" w:hAnsiTheme="minorHAnsi" w:eastAsiaTheme="majorEastAsia" w:cstheme="minorHAnsi"/>
          <w:color w:val="000000"/>
          <w:kern w:val="24"/>
          <w:sz w:val="24"/>
          <w:szCs w:val="24"/>
        </w:rPr>
      </w:pPr>
      <w:r>
        <w:rPr>
          <w:rFonts w:asciiTheme="minorHAnsi" w:hAnsiTheme="minorHAnsi" w:eastAsiaTheme="majorEastAsia" w:cstheme="minorHAnsi"/>
          <w:color w:val="000000"/>
          <w:kern w:val="24"/>
          <w:sz w:val="24"/>
          <w:szCs w:val="24"/>
        </w:rPr>
        <w:t xml:space="preserve">3. </w:t>
      </w:r>
      <w:r>
        <w:rPr>
          <w:rFonts w:hint="eastAsia" w:asciiTheme="minorHAnsi" w:hAnsiTheme="minorHAnsi" w:eastAsiaTheme="majorEastAsia" w:cstheme="minorHAnsi"/>
          <w:color w:val="000000"/>
          <w:kern w:val="24"/>
          <w:sz w:val="24"/>
          <w:szCs w:val="24"/>
        </w:rPr>
        <w:t>工程量清单中没有填入单价或价格的子目，其费用视为已分摊在工程量清单中其他相关子目的单价或价格之中。</w:t>
      </w:r>
    </w:p>
    <w:p w14:paraId="72D85F03">
      <w:pPr>
        <w:pStyle w:val="40"/>
        <w:ind w:firstLine="480" w:firstLineChars="200"/>
        <w:rPr>
          <w:rFonts w:asciiTheme="minorHAnsi" w:hAnsiTheme="minorHAnsi" w:eastAsiaTheme="majorEastAsia" w:cstheme="minorHAnsi"/>
          <w:b/>
          <w:color w:val="000000"/>
          <w:kern w:val="24"/>
          <w:sz w:val="24"/>
          <w:szCs w:val="24"/>
        </w:rPr>
      </w:pPr>
      <w:r>
        <w:rPr>
          <w:rFonts w:hint="eastAsia" w:asciiTheme="minorHAnsi" w:hAnsiTheme="minorHAnsi" w:eastAsiaTheme="majorEastAsia" w:cstheme="minorHAnsi"/>
          <w:b/>
          <w:color w:val="000000"/>
          <w:kern w:val="24"/>
          <w:sz w:val="24"/>
          <w:szCs w:val="24"/>
        </w:rPr>
        <w:t>（三）计价依据</w:t>
      </w:r>
    </w:p>
    <w:p w14:paraId="164B0A57">
      <w:pPr>
        <w:pStyle w:val="40"/>
        <w:ind w:left="480" w:left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本项目的计价方式为“清单计价”，计价依据：</w:t>
      </w:r>
      <w:r>
        <w:rPr>
          <w:rFonts w:hint="eastAsia" w:asciiTheme="minorHAnsi" w:hAnsiTheme="minorHAnsi" w:eastAsiaTheme="majorEastAsia" w:cstheme="minorHAnsi"/>
          <w:color w:val="000000"/>
          <w:kern w:val="24"/>
          <w:sz w:val="24"/>
          <w:szCs w:val="24"/>
        </w:rPr>
        <w:cr/>
      </w:r>
      <w:r>
        <w:rPr>
          <w:rFonts w:hint="eastAsia" w:asciiTheme="minorHAnsi" w:hAnsiTheme="minorHAnsi" w:eastAsiaTheme="majorEastAsia" w:cstheme="minorHAnsi"/>
          <w:color w:val="000000"/>
          <w:kern w:val="24"/>
          <w:sz w:val="24"/>
          <w:szCs w:val="24"/>
        </w:rPr>
        <w:t>1</w:t>
      </w:r>
      <w:r>
        <w:rPr>
          <w:rFonts w:asciiTheme="minorHAnsi" w:hAnsiTheme="minorHAnsi" w:eastAsiaTheme="majorEastAsia" w:cstheme="minorHAnsi"/>
          <w:color w:val="000000"/>
          <w:kern w:val="24"/>
          <w:sz w:val="24"/>
          <w:szCs w:val="24"/>
        </w:rPr>
        <w:t xml:space="preserve">. </w:t>
      </w:r>
      <w:r>
        <w:rPr>
          <w:rFonts w:hint="eastAsia" w:asciiTheme="minorHAnsi" w:hAnsiTheme="minorHAnsi" w:eastAsiaTheme="majorEastAsia" w:cstheme="minorHAnsi"/>
          <w:color w:val="000000"/>
          <w:kern w:val="24"/>
          <w:sz w:val="24"/>
          <w:szCs w:val="24"/>
        </w:rPr>
        <w:t>陕西省《建设工程工程量清单计价标准》DB61/T5126-2025</w:t>
      </w:r>
      <w:r>
        <w:rPr>
          <w:rFonts w:hint="eastAsia" w:asciiTheme="minorHAnsi" w:hAnsiTheme="minorHAnsi" w:eastAsiaTheme="majorEastAsia" w:cstheme="minorHAnsi"/>
          <w:color w:val="000000"/>
          <w:kern w:val="24"/>
          <w:sz w:val="24"/>
          <w:szCs w:val="24"/>
        </w:rPr>
        <w:cr/>
      </w:r>
      <w:r>
        <w:rPr>
          <w:rFonts w:hint="eastAsia" w:asciiTheme="minorHAnsi" w:hAnsiTheme="minorHAnsi" w:eastAsiaTheme="majorEastAsia" w:cstheme="minorHAnsi"/>
          <w:color w:val="000000"/>
          <w:kern w:val="24"/>
          <w:sz w:val="24"/>
          <w:szCs w:val="24"/>
        </w:rPr>
        <w:t>2</w:t>
      </w:r>
      <w:r>
        <w:rPr>
          <w:rFonts w:asciiTheme="minorHAnsi" w:hAnsiTheme="minorHAnsi" w:eastAsiaTheme="majorEastAsia" w:cstheme="minorHAnsi"/>
          <w:color w:val="000000"/>
          <w:kern w:val="24"/>
          <w:sz w:val="24"/>
          <w:szCs w:val="24"/>
        </w:rPr>
        <w:t xml:space="preserve">. </w:t>
      </w:r>
      <w:r>
        <w:rPr>
          <w:rFonts w:hint="eastAsia" w:asciiTheme="minorHAnsi" w:hAnsiTheme="minorHAnsi" w:eastAsiaTheme="majorEastAsia" w:cstheme="minorHAnsi"/>
          <w:color w:val="000000"/>
          <w:kern w:val="24"/>
          <w:sz w:val="24"/>
          <w:szCs w:val="24"/>
        </w:rPr>
        <w:t>《陕西省建设工程费用规则》（2025），其中包含：</w:t>
      </w:r>
    </w:p>
    <w:p w14:paraId="57D87628">
      <w:pPr>
        <w:pStyle w:val="40"/>
        <w:ind w:firstLine="480" w:firstLine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《陕西省建设工程费用规则》</w:t>
      </w:r>
    </w:p>
    <w:p w14:paraId="2639D278">
      <w:pPr>
        <w:pStyle w:val="40"/>
        <w:ind w:firstLine="480" w:firstLine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《陕西省房屋建筑与装饰工程基价表》</w:t>
      </w:r>
    </w:p>
    <w:p w14:paraId="134C1BB0">
      <w:pPr>
        <w:pStyle w:val="40"/>
        <w:ind w:firstLine="480" w:firstLine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《陕西省通用安装工程基价表》</w:t>
      </w:r>
    </w:p>
    <w:p w14:paraId="69CEFD76">
      <w:pPr>
        <w:pStyle w:val="40"/>
        <w:ind w:firstLine="480" w:firstLine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《陕西省房屋建筑与装饰工程消耗量定额》</w:t>
      </w:r>
    </w:p>
    <w:p w14:paraId="44DE7F7E">
      <w:pPr>
        <w:pStyle w:val="40"/>
        <w:ind w:firstLine="480" w:firstLine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《陕西省通用安装工程消耗量定额》</w:t>
      </w:r>
    </w:p>
    <w:p w14:paraId="26CDE6A2">
      <w:pPr>
        <w:pStyle w:val="40"/>
        <w:ind w:firstLine="480" w:firstLine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《陕西省建设工程施工机械台班费用定额》</w:t>
      </w:r>
    </w:p>
    <w:p w14:paraId="441590DF">
      <w:pPr>
        <w:pStyle w:val="40"/>
        <w:ind w:firstLine="480" w:firstLineChars="200"/>
        <w:jc w:val="both"/>
        <w:rPr>
          <w:rFonts w:asciiTheme="minorHAnsi" w:hAnsiTheme="minorHAnsi" w:eastAsiaTheme="majorEastAsia" w:cstheme="minorHAnsi"/>
          <w:color w:val="000000"/>
          <w:kern w:val="24"/>
          <w:sz w:val="24"/>
          <w:szCs w:val="24"/>
        </w:rPr>
      </w:pPr>
      <w:r>
        <w:rPr>
          <w:rFonts w:hint="eastAsia" w:asciiTheme="minorHAnsi" w:hAnsiTheme="minorHAnsi" w:eastAsiaTheme="majorEastAsia" w:cstheme="minorHAnsi"/>
          <w:color w:val="000000"/>
          <w:kern w:val="24"/>
          <w:sz w:val="24"/>
          <w:szCs w:val="24"/>
        </w:rPr>
        <w:t>《陕西省建设工程施工仪器仪表台班费用定额》</w:t>
      </w:r>
    </w:p>
    <w:p w14:paraId="5F585BAC">
      <w:pPr>
        <w:ind w:firstLine="480" w:firstLineChars="200"/>
        <w:rPr>
          <w:rFonts w:asciiTheme="minorEastAsia" w:hAnsiTheme="minorEastAsia"/>
        </w:rPr>
      </w:pPr>
      <w:r>
        <w:rPr>
          <w:rFonts w:hint="eastAsia" w:asciiTheme="minorEastAsia" w:hAnsiTheme="minorEastAsia"/>
        </w:rPr>
        <w:t>3</w:t>
      </w:r>
      <w:r>
        <w:rPr>
          <w:rFonts w:asciiTheme="minorEastAsia" w:hAnsiTheme="minorEastAsia"/>
        </w:rPr>
        <w:t>.</w:t>
      </w:r>
      <w:r>
        <w:rPr>
          <w:rFonts w:hint="eastAsia" w:asciiTheme="minorEastAsia" w:hAnsiTheme="minorEastAsia"/>
        </w:rPr>
        <w:t>扬尘治理专项措施费执行陕建发 [2017]270号《关于增加建设工程扬尘治理专项措施费及综合人工单价调整的通知》。</w:t>
      </w:r>
    </w:p>
    <w:p w14:paraId="5BC1B88A">
      <w:pPr>
        <w:ind w:firstLine="480" w:firstLineChars="200"/>
        <w:rPr>
          <w:rFonts w:asciiTheme="minorEastAsia" w:hAnsiTheme="minorEastAsia"/>
        </w:rPr>
      </w:pPr>
      <w:r>
        <w:rPr>
          <w:rFonts w:hint="eastAsia" w:asciiTheme="minorEastAsia" w:hAnsiTheme="minorEastAsia"/>
        </w:rPr>
        <w:t>4</w:t>
      </w:r>
      <w:r>
        <w:rPr>
          <w:rFonts w:asciiTheme="minorEastAsia" w:hAnsiTheme="minorEastAsia"/>
        </w:rPr>
        <w:t>.</w:t>
      </w:r>
      <w:r>
        <w:rPr>
          <w:rFonts w:hint="eastAsia" w:asciiTheme="minorEastAsia" w:hAnsiTheme="minorEastAsia"/>
        </w:rPr>
        <w:t>税率执行陕建发〔2019〕45号《关于调整我省建设工程计价依据的通知》。</w:t>
      </w:r>
    </w:p>
    <w:p w14:paraId="1E66C9D6">
      <w:pPr>
        <w:pStyle w:val="3"/>
        <w:jc w:val="both"/>
      </w:pPr>
      <w:r>
        <w:rPr>
          <w:rFonts w:hint="eastAsia"/>
        </w:rPr>
        <w:t>五、图纸</w:t>
      </w:r>
    </w:p>
    <w:p w14:paraId="7E3DA819">
      <w:pPr>
        <w:pStyle w:val="81"/>
        <w:ind w:firstLine="480"/>
      </w:pPr>
      <w:r>
        <w:rPr>
          <w:rFonts w:hint="eastAsia"/>
        </w:rPr>
        <w:t>供应商可在下载磋商文件（*.sxszf）后，点击“招标文件的其他材料”查看并下载图纸。</w:t>
      </w:r>
    </w:p>
    <w:p w14:paraId="11EBB6AB">
      <w:pPr>
        <w:pStyle w:val="3"/>
        <w:jc w:val="both"/>
      </w:pPr>
      <w:r>
        <w:t>六、</w:t>
      </w:r>
      <w:r>
        <w:rPr>
          <w:rFonts w:hint="eastAsia"/>
        </w:rPr>
        <w:t>其他说明</w:t>
      </w:r>
    </w:p>
    <w:p w14:paraId="1ACB7293">
      <w:pPr>
        <w:ind w:firstLine="360" w:firstLineChars="150"/>
      </w:pPr>
      <w:r>
        <w:rPr>
          <w:rFonts w:hint="eastAsia"/>
        </w:rPr>
        <w:t>（一）新建围墙按平面图、剖面图、备注计入预算；</w:t>
      </w:r>
    </w:p>
    <w:p w14:paraId="09F72A94">
      <w:pPr>
        <w:ind w:firstLine="360" w:firstLineChars="150"/>
      </w:pPr>
      <w:r>
        <w:rPr>
          <w:rFonts w:hint="eastAsia"/>
        </w:rPr>
        <w:t>（二）构造柱按不带马牙槎计入预算；</w:t>
      </w:r>
    </w:p>
    <w:p w14:paraId="6A291394">
      <w:pPr>
        <w:ind w:firstLine="360" w:firstLineChars="150"/>
      </w:pPr>
      <w:r>
        <w:rPr>
          <w:rFonts w:hint="eastAsia"/>
        </w:rPr>
        <w:t>（三）构造柱挖土0.33放坡计入预算；</w:t>
      </w:r>
    </w:p>
    <w:p w14:paraId="44E10E39">
      <w:pPr>
        <w:ind w:firstLine="360" w:firstLineChars="150"/>
      </w:pPr>
      <w:r>
        <w:rPr>
          <w:rFonts w:hint="eastAsia"/>
        </w:rPr>
        <w:t>（四）不同墙体交接处增加丝网格布两侧各150mm计入预算；</w:t>
      </w:r>
    </w:p>
    <w:p w14:paraId="08EB8B69">
      <w:pPr>
        <w:ind w:firstLine="360" w:firstLineChars="150"/>
      </w:pPr>
      <w:r>
        <w:rPr>
          <w:rFonts w:hint="eastAsia"/>
        </w:rPr>
        <w:t>（五）新建花池围墙按平面图、剖面图入预算。</w:t>
      </w:r>
    </w:p>
    <w:p w14:paraId="26A93C93">
      <w:pPr>
        <w:pStyle w:val="3"/>
        <w:jc w:val="both"/>
      </w:pPr>
      <w:r>
        <w:t>七</w:t>
      </w:r>
      <w:r>
        <w:rPr>
          <w:rFonts w:hint="eastAsia"/>
        </w:rPr>
        <w:t>、商务要求</w:t>
      </w:r>
    </w:p>
    <w:p w14:paraId="467FF4AF">
      <w:pPr>
        <w:ind w:firstLine="480" w:firstLineChars="200"/>
        <w:rPr>
          <w:rFonts w:asciiTheme="minorEastAsia" w:hAnsiTheme="minorEastAsia"/>
        </w:rPr>
        <w:sectPr>
          <w:footerReference r:id="rId13" w:type="default"/>
          <w:footerReference r:id="rId14" w:type="even"/>
          <w:pgSz w:w="11906" w:h="16838"/>
          <w:pgMar w:top="1418" w:right="1418" w:bottom="1418" w:left="1418" w:header="851" w:footer="992" w:gutter="0"/>
          <w:cols w:space="425" w:num="1"/>
          <w:docGrid w:type="linesAndChars" w:linePitch="460" w:charSpace="0"/>
        </w:sectPr>
      </w:pPr>
      <w:r>
        <w:rPr>
          <w:rFonts w:hint="eastAsia" w:asciiTheme="minorEastAsia" w:hAnsiTheme="minorEastAsia"/>
        </w:rPr>
        <w:t>款项结算：</w:t>
      </w:r>
      <w:r>
        <w:rPr>
          <w:rFonts w:hint="eastAsia" w:asciiTheme="minorEastAsia" w:hAnsiTheme="minorEastAsia"/>
          <w:kern w:val="2"/>
        </w:rPr>
        <w:t>合同签订后，10个工作日内支付合同金额的40%预付款；工程施工竣工验收合格，供应商按采购人需求提供竣工图纸并编制结算书，双方共同确认的结算金额后，采购人收到供应商正式发票，支付至结算金额的100%</w:t>
      </w:r>
      <w:r>
        <w:rPr>
          <w:rFonts w:hint="eastAsia" w:asciiTheme="minorEastAsia" w:hAnsiTheme="minorEastAsia"/>
        </w:rPr>
        <w:t>。</w:t>
      </w:r>
    </w:p>
    <w:p w14:paraId="43B4EFCB">
      <w:pPr>
        <w:pStyle w:val="2"/>
        <w:spacing w:before="230" w:after="230"/>
        <w:rPr>
          <w:color w:val="C00000"/>
        </w:rPr>
      </w:pPr>
      <w:bookmarkStart w:id="33" w:name="_Toc212455742"/>
      <w:r>
        <w:rPr>
          <w:rFonts w:hint="eastAsia"/>
        </w:rPr>
        <w:t>第四章　合同草案条款</w:t>
      </w:r>
    </w:p>
    <w:p w14:paraId="0F601E6F">
      <w:pPr>
        <w:jc w:val="center"/>
        <w:rPr>
          <w:color w:val="C00000"/>
        </w:rPr>
      </w:pPr>
      <w:r>
        <w:rPr>
          <w:color w:val="C00000"/>
        </w:rPr>
        <w:t>（本合同为中小企业预留合同）</w:t>
      </w:r>
    </w:p>
    <w:p w14:paraId="757C3A13">
      <w:pPr>
        <w:snapToGrid w:val="0"/>
        <w:spacing w:line="360" w:lineRule="auto"/>
        <w:ind w:firstLine="480" w:firstLineChars="200"/>
        <w:rPr>
          <w:rFonts w:ascii="宋体" w:hAnsi="宋体" w:eastAsia="宋体" w:cs="仿宋"/>
        </w:rPr>
      </w:pPr>
      <w:r>
        <w:rPr>
          <w:rFonts w:hint="eastAsia"/>
          <w:b/>
        </w:rPr>
        <w:t>甲方（采购人）：</w:t>
      </w:r>
      <w:r>
        <w:rPr>
          <w:rFonts w:hint="eastAsia"/>
          <w:u w:val="single"/>
        </w:rPr>
        <w:t>西安市消防救援支队</w:t>
      </w:r>
      <w:r>
        <w:rPr>
          <w:rFonts w:hint="eastAsia" w:ascii="宋体" w:hAnsi="宋体" w:eastAsia="宋体" w:cs="仿宋"/>
          <w:u w:val="single"/>
        </w:rPr>
        <w:t>鄠邑大队</w:t>
      </w:r>
    </w:p>
    <w:p w14:paraId="39CCDC1F">
      <w:pPr>
        <w:snapToGrid w:val="0"/>
        <w:spacing w:line="360" w:lineRule="auto"/>
        <w:ind w:firstLine="480" w:firstLineChars="200"/>
        <w:rPr>
          <w:rFonts w:ascii="宋体" w:hAnsi="宋体" w:eastAsia="宋体" w:cs="仿宋"/>
        </w:rPr>
      </w:pPr>
      <w:r>
        <w:rPr>
          <w:rFonts w:hint="eastAsia"/>
          <w:b/>
        </w:rPr>
        <w:t>地址：</w:t>
      </w:r>
      <w:r>
        <w:rPr>
          <w:rFonts w:hint="eastAsia" w:ascii="宋体" w:hAnsi="宋体" w:eastAsia="宋体" w:cs="仿宋"/>
          <w:u w:val="single"/>
        </w:rPr>
        <w:t>鄠邑区五竹街道丰二东路振兴北路消防救援站</w:t>
      </w:r>
    </w:p>
    <w:p w14:paraId="0325566D">
      <w:pPr>
        <w:snapToGrid w:val="0"/>
        <w:spacing w:line="360" w:lineRule="auto"/>
        <w:ind w:firstLine="480" w:firstLineChars="200"/>
        <w:rPr>
          <w:b/>
        </w:rPr>
      </w:pPr>
    </w:p>
    <w:p w14:paraId="4A7139D0">
      <w:pPr>
        <w:snapToGrid w:val="0"/>
        <w:spacing w:line="360" w:lineRule="auto"/>
        <w:ind w:firstLine="480" w:firstLineChars="200"/>
        <w:rPr>
          <w:b/>
        </w:rPr>
      </w:pPr>
      <w:r>
        <w:rPr>
          <w:rFonts w:hint="eastAsia"/>
          <w:b/>
        </w:rPr>
        <w:t>乙方（成交供应商）：</w:t>
      </w:r>
      <w:bookmarkStart w:id="34" w:name="OLE_LINK5"/>
      <w:r>
        <w:rPr>
          <w:rFonts w:hint="eastAsia"/>
          <w:b/>
          <w:u w:val="single"/>
        </w:rPr>
        <w:t xml:space="preserve">       </w:t>
      </w:r>
      <w:bookmarkStart w:id="35" w:name="OLE_LINK21"/>
      <w:r>
        <w:rPr>
          <w:rFonts w:hint="eastAsia"/>
          <w:b/>
          <w:u w:val="single"/>
        </w:rPr>
        <w:t xml:space="preserve">    </w:t>
      </w:r>
      <w:bookmarkEnd w:id="35"/>
      <w:r>
        <w:rPr>
          <w:rFonts w:hint="eastAsia"/>
          <w:b/>
          <w:u w:val="single"/>
        </w:rPr>
        <w:t xml:space="preserve">         </w:t>
      </w:r>
      <w:bookmarkEnd w:id="34"/>
      <w:r>
        <w:rPr>
          <w:rFonts w:hint="eastAsia"/>
          <w:b/>
        </w:rPr>
        <w:t xml:space="preserve">  </w:t>
      </w:r>
    </w:p>
    <w:p w14:paraId="74C3AC77">
      <w:pPr>
        <w:snapToGrid w:val="0"/>
        <w:spacing w:line="360" w:lineRule="auto"/>
        <w:ind w:firstLine="480" w:firstLineChars="200"/>
        <w:rPr>
          <w:b/>
        </w:rPr>
      </w:pPr>
      <w:r>
        <w:rPr>
          <w:rFonts w:hint="eastAsia"/>
          <w:b/>
        </w:rPr>
        <w:t xml:space="preserve">地址： </w:t>
      </w:r>
      <w:r>
        <w:rPr>
          <w:rFonts w:hint="eastAsia"/>
          <w:b/>
          <w:u w:val="single"/>
        </w:rPr>
        <w:t xml:space="preserve">                  </w:t>
      </w:r>
      <w:r>
        <w:rPr>
          <w:b/>
          <w:u w:val="single"/>
        </w:rPr>
        <w:t xml:space="preserve">             </w:t>
      </w:r>
      <w:r>
        <w:rPr>
          <w:rFonts w:hint="eastAsia"/>
          <w:b/>
          <w:u w:val="single"/>
        </w:rPr>
        <w:t xml:space="preserve">  </w:t>
      </w:r>
    </w:p>
    <w:p w14:paraId="11BC4227">
      <w:pPr>
        <w:snapToGrid w:val="0"/>
        <w:spacing w:line="360" w:lineRule="auto"/>
        <w:ind w:firstLine="480" w:firstLineChars="200"/>
      </w:pPr>
    </w:p>
    <w:p w14:paraId="7E427B73">
      <w:pPr>
        <w:snapToGrid w:val="0"/>
        <w:spacing w:line="360" w:lineRule="auto"/>
        <w:ind w:firstLine="480" w:firstLineChars="200"/>
      </w:pPr>
      <w:r>
        <w:rPr>
          <w:rFonts w:hint="eastAsia"/>
        </w:rPr>
        <w:t>依照《中华人民共和国民法典》及其它有关法律、法规、规章及规范性文件的规定，结合本装修工程的具体情况，甲、乙双方在平等、自愿、协商一致的基础上，就乙方承包甲方的西安市消防救援支队鄠邑大队振兴北路消防救援站围墙修缮采购项目有关事宜（以下简称“本项目”或“本工程”），达成如下合同：</w:t>
      </w:r>
    </w:p>
    <w:p w14:paraId="5786EE33">
      <w:pPr>
        <w:snapToGrid w:val="0"/>
        <w:spacing w:line="360" w:lineRule="auto"/>
        <w:ind w:firstLine="480" w:firstLineChars="200"/>
        <w:rPr>
          <w:rFonts w:ascii="宋体" w:hAnsi="宋体" w:eastAsia="宋体" w:cs="仿宋"/>
          <w:b/>
          <w:bCs/>
        </w:rPr>
      </w:pPr>
      <w:r>
        <w:rPr>
          <w:rFonts w:hint="eastAsia" w:ascii="宋体" w:hAnsi="宋体" w:eastAsia="宋体" w:cs="仿宋"/>
          <w:b/>
          <w:bCs/>
        </w:rPr>
        <w:t>第1条 工程概况</w:t>
      </w:r>
    </w:p>
    <w:p w14:paraId="6E6D0B71">
      <w:pPr>
        <w:snapToGrid w:val="0"/>
        <w:spacing w:line="360" w:lineRule="auto"/>
        <w:ind w:firstLine="480" w:firstLineChars="200"/>
        <w:rPr>
          <w:rFonts w:ascii="宋体" w:hAnsi="宋体" w:eastAsia="宋体" w:cs="仿宋"/>
        </w:rPr>
      </w:pPr>
      <w:r>
        <w:rPr>
          <w:rFonts w:hint="eastAsia" w:ascii="宋体" w:hAnsi="宋体" w:eastAsia="宋体" w:cs="仿宋"/>
        </w:rPr>
        <w:t>1.1 工程名称：</w:t>
      </w:r>
      <w:r>
        <w:rPr>
          <w:rFonts w:hint="eastAsia" w:ascii="宋体" w:hAnsi="宋体" w:eastAsia="宋体" w:cs="仿宋"/>
          <w:u w:val="single"/>
        </w:rPr>
        <w:t>西安市消防救援支队鄠邑大队振兴北路消防救援站围墙修缮采购项目</w:t>
      </w:r>
      <w:r>
        <w:rPr>
          <w:rFonts w:ascii="宋体" w:hAnsi="宋体" w:eastAsia="宋体" w:cs="仿宋"/>
          <w:u w:val="single"/>
        </w:rPr>
        <w:cr/>
      </w:r>
      <w:r>
        <w:rPr>
          <w:rFonts w:ascii="宋体" w:hAnsi="宋体" w:eastAsia="宋体" w:cs="仿宋"/>
        </w:rPr>
        <w:t xml:space="preserve">    </w:t>
      </w:r>
      <w:r>
        <w:rPr>
          <w:rFonts w:hint="eastAsia" w:ascii="宋体" w:hAnsi="宋体" w:eastAsia="宋体" w:cs="仿宋"/>
        </w:rPr>
        <w:t>1.2 工程地点：</w:t>
      </w:r>
      <w:r>
        <w:rPr>
          <w:rFonts w:hint="eastAsia" w:ascii="宋体" w:hAnsi="宋体" w:eastAsia="宋体" w:cs="仿宋"/>
          <w:b/>
          <w:u w:val="single"/>
        </w:rPr>
        <w:t xml:space="preserve">      </w:t>
      </w:r>
      <w:r>
        <w:rPr>
          <w:rFonts w:ascii="宋体" w:hAnsi="宋体" w:eastAsia="宋体" w:cs="仿宋"/>
          <w:b/>
          <w:u w:val="single"/>
        </w:rPr>
        <w:t xml:space="preserve">         </w:t>
      </w:r>
      <w:r>
        <w:rPr>
          <w:rFonts w:hint="eastAsia" w:ascii="宋体" w:hAnsi="宋体" w:eastAsia="宋体" w:cs="仿宋"/>
          <w:b/>
          <w:u w:val="single"/>
        </w:rPr>
        <w:t xml:space="preserve">  </w:t>
      </w:r>
    </w:p>
    <w:p w14:paraId="685CE3FC">
      <w:pPr>
        <w:snapToGrid w:val="0"/>
        <w:spacing w:line="360" w:lineRule="auto"/>
        <w:ind w:firstLine="480" w:firstLineChars="200"/>
        <w:rPr>
          <w:rFonts w:ascii="宋体" w:hAnsi="宋体" w:eastAsia="宋体" w:cs="仿宋"/>
        </w:rPr>
      </w:pPr>
      <w:r>
        <w:rPr>
          <w:rFonts w:hint="eastAsia" w:ascii="宋体" w:hAnsi="宋体" w:eastAsia="宋体" w:cs="仿宋"/>
        </w:rPr>
        <w:t xml:space="preserve">1.3 承包内容： 详见工程量清单 </w:t>
      </w:r>
    </w:p>
    <w:p w14:paraId="4EA33727">
      <w:pPr>
        <w:snapToGrid w:val="0"/>
        <w:spacing w:line="360" w:lineRule="auto"/>
        <w:ind w:firstLine="480" w:firstLineChars="200"/>
        <w:rPr>
          <w:rFonts w:ascii="宋体" w:hAnsi="宋体" w:eastAsia="宋体" w:cs="仿宋"/>
        </w:rPr>
      </w:pPr>
      <w:r>
        <w:rPr>
          <w:rFonts w:hint="eastAsia" w:ascii="宋体" w:hAnsi="宋体" w:eastAsia="宋体" w:cs="仿宋"/>
        </w:rPr>
        <w:t xml:space="preserve">1.4 合同价格形式：固定综合单价 </w:t>
      </w:r>
    </w:p>
    <w:p w14:paraId="6687AFA1">
      <w:pPr>
        <w:snapToGrid w:val="0"/>
        <w:spacing w:line="360" w:lineRule="auto"/>
        <w:ind w:firstLine="480" w:firstLineChars="200"/>
        <w:rPr>
          <w:rFonts w:ascii="宋体" w:hAnsi="宋体" w:eastAsia="宋体" w:cs="仿宋"/>
        </w:rPr>
      </w:pPr>
      <w:r>
        <w:rPr>
          <w:rFonts w:hint="eastAsia" w:ascii="宋体" w:hAnsi="宋体" w:eastAsia="宋体" w:cs="仿宋"/>
        </w:rPr>
        <w:t>1.5 工程期限:自开工之日起</w:t>
      </w:r>
      <w:r>
        <w:rPr>
          <w:rFonts w:hint="eastAsia" w:ascii="宋体" w:hAnsi="宋体" w:eastAsia="宋体" w:cs="仿宋"/>
          <w:u w:val="single"/>
        </w:rPr>
        <w:t xml:space="preserve">     </w:t>
      </w:r>
      <w:r>
        <w:rPr>
          <w:rFonts w:hint="eastAsia" w:ascii="宋体" w:hAnsi="宋体" w:eastAsia="宋体" w:cs="仿宋"/>
        </w:rPr>
        <w:t>日历天</w:t>
      </w:r>
    </w:p>
    <w:p w14:paraId="7E6992DE">
      <w:pPr>
        <w:snapToGrid w:val="0"/>
        <w:spacing w:line="360" w:lineRule="auto"/>
        <w:ind w:firstLine="480" w:firstLineChars="200"/>
        <w:rPr>
          <w:rFonts w:ascii="宋体" w:hAnsi="宋体" w:eastAsia="宋体" w:cs="仿宋"/>
        </w:rPr>
      </w:pPr>
      <w:r>
        <w:rPr>
          <w:rFonts w:hint="eastAsia" w:ascii="宋体" w:hAnsi="宋体" w:eastAsia="宋体" w:cs="仿宋"/>
        </w:rPr>
        <w:t>开工日期</w:t>
      </w:r>
      <w:r>
        <w:rPr>
          <w:rFonts w:hint="eastAsia" w:ascii="宋体" w:hAnsi="宋体" w:eastAsia="宋体" w:cs="仿宋"/>
          <w:b/>
          <w:u w:val="single"/>
        </w:rPr>
        <w:t xml:space="preserve">    </w:t>
      </w:r>
      <w:r>
        <w:rPr>
          <w:rFonts w:hint="eastAsia" w:ascii="宋体" w:hAnsi="宋体" w:eastAsia="宋体" w:cs="仿宋"/>
        </w:rPr>
        <w:t>年</w:t>
      </w:r>
      <w:r>
        <w:rPr>
          <w:rFonts w:hint="eastAsia" w:ascii="宋体" w:hAnsi="宋体" w:eastAsia="宋体" w:cs="仿宋"/>
          <w:b/>
          <w:u w:val="single"/>
        </w:rPr>
        <w:t xml:space="preserve">    </w:t>
      </w:r>
      <w:r>
        <w:rPr>
          <w:rFonts w:hint="eastAsia" w:ascii="宋体" w:hAnsi="宋体" w:eastAsia="宋体" w:cs="仿宋"/>
        </w:rPr>
        <w:t xml:space="preserve"> 月</w:t>
      </w:r>
      <w:r>
        <w:rPr>
          <w:rFonts w:hint="eastAsia" w:ascii="宋体" w:hAnsi="宋体" w:eastAsia="宋体" w:cs="仿宋"/>
          <w:b/>
          <w:u w:val="single"/>
        </w:rPr>
        <w:t xml:space="preserve">    </w:t>
      </w:r>
      <w:r>
        <w:rPr>
          <w:rFonts w:hint="eastAsia" w:ascii="宋体" w:hAnsi="宋体" w:eastAsia="宋体" w:cs="仿宋"/>
        </w:rPr>
        <w:t>日（暂定，实际以经甲方书面确认的开工报告日期为准）</w:t>
      </w:r>
    </w:p>
    <w:p w14:paraId="3334579E">
      <w:pPr>
        <w:snapToGrid w:val="0"/>
        <w:spacing w:line="360" w:lineRule="auto"/>
        <w:ind w:firstLine="480" w:firstLineChars="200"/>
        <w:rPr>
          <w:rFonts w:ascii="宋体" w:hAnsi="宋体" w:eastAsia="宋体" w:cs="仿宋"/>
        </w:rPr>
      </w:pPr>
      <w:r>
        <w:rPr>
          <w:rFonts w:hint="eastAsia" w:ascii="宋体" w:hAnsi="宋体" w:eastAsia="宋体" w:cs="仿宋"/>
        </w:rPr>
        <w:t>竣工日期</w:t>
      </w:r>
      <w:r>
        <w:rPr>
          <w:rFonts w:hint="eastAsia" w:ascii="宋体" w:hAnsi="宋体" w:eastAsia="宋体" w:cs="仿宋"/>
          <w:b/>
          <w:u w:val="single"/>
        </w:rPr>
        <w:t xml:space="preserve">    </w:t>
      </w:r>
      <w:r>
        <w:rPr>
          <w:rFonts w:hint="eastAsia" w:ascii="宋体" w:hAnsi="宋体" w:eastAsia="宋体" w:cs="仿宋"/>
        </w:rPr>
        <w:t xml:space="preserve"> 年</w:t>
      </w:r>
      <w:r>
        <w:rPr>
          <w:rFonts w:hint="eastAsia" w:ascii="宋体" w:hAnsi="宋体" w:eastAsia="宋体" w:cs="仿宋"/>
          <w:b/>
          <w:u w:val="single"/>
        </w:rPr>
        <w:t xml:space="preserve">    </w:t>
      </w:r>
      <w:r>
        <w:rPr>
          <w:rFonts w:hint="eastAsia" w:ascii="宋体" w:hAnsi="宋体" w:eastAsia="宋体" w:cs="仿宋"/>
        </w:rPr>
        <w:t xml:space="preserve"> 月</w:t>
      </w:r>
      <w:r>
        <w:rPr>
          <w:rFonts w:hint="eastAsia" w:ascii="宋体" w:hAnsi="宋体" w:eastAsia="宋体" w:cs="仿宋"/>
          <w:b/>
          <w:u w:val="single"/>
        </w:rPr>
        <w:t xml:space="preserve">    </w:t>
      </w:r>
      <w:r>
        <w:rPr>
          <w:rFonts w:hint="eastAsia" w:ascii="宋体" w:hAnsi="宋体" w:eastAsia="宋体" w:cs="仿宋"/>
        </w:rPr>
        <w:t>日；（暂定，实际以经甲方书面确认的竣工报告日期为准）</w:t>
      </w:r>
    </w:p>
    <w:p w14:paraId="7A1223BC">
      <w:pPr>
        <w:snapToGrid w:val="0"/>
        <w:spacing w:line="360" w:lineRule="auto"/>
        <w:ind w:firstLine="480" w:firstLineChars="200"/>
        <w:rPr>
          <w:rFonts w:ascii="宋体" w:hAnsi="宋体" w:eastAsia="宋体" w:cs="仿宋"/>
        </w:rPr>
      </w:pPr>
      <w:r>
        <w:rPr>
          <w:rFonts w:hint="eastAsia" w:ascii="宋体" w:hAnsi="宋体" w:eastAsia="宋体" w:cs="仿宋"/>
        </w:rPr>
        <w:t>工期总日历天数与根据前述计划开竣工日期计算的工期天数不一致的，以工期总日历天数为准。</w:t>
      </w:r>
    </w:p>
    <w:p w14:paraId="24F1CD3F">
      <w:pPr>
        <w:snapToGrid w:val="0"/>
        <w:spacing w:line="360" w:lineRule="auto"/>
        <w:ind w:firstLine="480" w:firstLineChars="200"/>
        <w:rPr>
          <w:rFonts w:ascii="宋体" w:hAnsi="宋体" w:eastAsia="宋体" w:cs="仿宋"/>
        </w:rPr>
      </w:pPr>
      <w:r>
        <w:rPr>
          <w:rFonts w:hint="eastAsia" w:ascii="宋体" w:hAnsi="宋体" w:eastAsia="宋体" w:cs="仿宋"/>
        </w:rPr>
        <w:t>1.6 合同价款：本工程合同价为（人民币</w:t>
      </w:r>
      <w:r>
        <w:rPr>
          <w:rFonts w:hint="eastAsia" w:ascii="宋体" w:hAnsi="宋体" w:eastAsia="宋体" w:cs="仿宋"/>
          <w:b/>
          <w:u w:val="single"/>
        </w:rPr>
        <w:t xml:space="preserve">    </w:t>
      </w:r>
      <w:r>
        <w:rPr>
          <w:rFonts w:hint="eastAsia" w:ascii="宋体" w:hAnsi="宋体" w:eastAsia="宋体" w:cs="仿宋"/>
        </w:rPr>
        <w:t>元，金额大写：人民币</w:t>
      </w:r>
      <w:r>
        <w:rPr>
          <w:rFonts w:hint="eastAsia" w:ascii="宋体" w:hAnsi="宋体" w:eastAsia="宋体" w:cs="仿宋"/>
          <w:b/>
          <w:u w:val="single"/>
        </w:rPr>
        <w:t xml:space="preserve">   </w:t>
      </w:r>
      <w:r>
        <w:rPr>
          <w:rFonts w:ascii="宋体" w:hAnsi="宋体" w:eastAsia="宋体" w:cs="仿宋"/>
          <w:b/>
          <w:u w:val="single"/>
        </w:rPr>
        <w:t xml:space="preserve">  </w:t>
      </w:r>
      <w:r>
        <w:rPr>
          <w:rFonts w:hint="eastAsia" w:ascii="宋体" w:hAnsi="宋体" w:eastAsia="宋体" w:cs="仿宋"/>
          <w:b/>
          <w:u w:val="single"/>
        </w:rPr>
        <w:t xml:space="preserve"> </w:t>
      </w:r>
      <w:r>
        <w:rPr>
          <w:rFonts w:hint="eastAsia" w:ascii="宋体" w:hAnsi="宋体" w:eastAsia="宋体" w:cs="仿宋"/>
        </w:rPr>
        <w:t>元整（含税）。合同价款是指本次服务内容所需的全部费用，包括完成采购内容所需的直接费、间接费、利润、税金及其他费用。</w:t>
      </w:r>
    </w:p>
    <w:p w14:paraId="6B5BBDBB">
      <w:pPr>
        <w:snapToGrid w:val="0"/>
        <w:spacing w:line="360" w:lineRule="auto"/>
        <w:ind w:firstLine="480" w:firstLineChars="200"/>
        <w:rPr>
          <w:rFonts w:ascii="宋体" w:hAnsi="宋体" w:eastAsia="宋体" w:cs="仿宋"/>
        </w:rPr>
      </w:pPr>
      <w:r>
        <w:rPr>
          <w:rFonts w:hint="eastAsia" w:ascii="宋体" w:hAnsi="宋体" w:eastAsia="宋体" w:cs="仿宋"/>
        </w:rPr>
        <w:t>1.7 本合同后附乙方在签订合同前需向甲方提供成交报价的组成明细（或工程量清单计价组成的报价明细）</w:t>
      </w:r>
    </w:p>
    <w:p w14:paraId="398A9297">
      <w:pPr>
        <w:snapToGrid w:val="0"/>
        <w:spacing w:line="360" w:lineRule="auto"/>
        <w:ind w:firstLine="480" w:firstLineChars="200"/>
        <w:rPr>
          <w:rFonts w:cs="仿宋" w:asciiTheme="minorEastAsia" w:hAnsiTheme="minorEastAsia"/>
        </w:rPr>
      </w:pPr>
      <w:r>
        <w:rPr>
          <w:rFonts w:hint="eastAsia" w:ascii="宋体" w:hAnsi="宋体" w:eastAsia="宋体" w:cs="仿宋"/>
        </w:rPr>
        <w:t>1.8</w:t>
      </w:r>
      <w:r>
        <w:rPr>
          <w:rFonts w:ascii="宋体" w:hAnsi="宋体" w:eastAsia="宋体" w:cs="仿宋"/>
        </w:rPr>
        <w:t xml:space="preserve"> </w:t>
      </w:r>
      <w:r>
        <w:rPr>
          <w:rFonts w:hint="eastAsia" w:ascii="宋体" w:hAnsi="宋体" w:eastAsia="宋体" w:cs="仿宋"/>
        </w:rPr>
        <w:t>组价依据：</w:t>
      </w:r>
    </w:p>
    <w:p w14:paraId="142674D0">
      <w:pPr>
        <w:pStyle w:val="81"/>
        <w:ind w:left="360" w:leftChars="150" w:firstLine="0" w:firstLineChars="0"/>
      </w:pPr>
      <w:r>
        <w:rPr>
          <w:rFonts w:hint="eastAsia"/>
        </w:rPr>
        <w:t>（1）陕西省《建设工程工程量清单计价标准》DB61/T5126-2025。</w:t>
      </w:r>
    </w:p>
    <w:p w14:paraId="225C0DC1">
      <w:pPr>
        <w:ind w:firstLine="360" w:firstLineChars="150"/>
        <w:rPr>
          <w:rFonts w:asciiTheme="minorEastAsia" w:hAnsiTheme="minorEastAsia"/>
        </w:rPr>
      </w:pPr>
      <w:r>
        <w:rPr>
          <w:rFonts w:hint="eastAsia" w:asciiTheme="minorEastAsia" w:hAnsiTheme="minorEastAsia"/>
        </w:rPr>
        <w:t>（2）《陕西省建设工程费用规则》（2025），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p>
    <w:p w14:paraId="408875D0">
      <w:pPr>
        <w:ind w:firstLine="360" w:firstLineChars="150"/>
        <w:rPr>
          <w:rFonts w:asciiTheme="minorEastAsia" w:hAnsiTheme="minorEastAsia"/>
        </w:rPr>
      </w:pPr>
      <w:r>
        <w:rPr>
          <w:rFonts w:hint="eastAsia" w:asciiTheme="minorEastAsia" w:hAnsiTheme="minorEastAsia"/>
        </w:rPr>
        <w:t>（3）扬尘治理专项措施费执行陕建发 [2017]270号《关于增加建设工程扬尘治理专项措施费及综合人工单价调整的通知》。</w:t>
      </w:r>
    </w:p>
    <w:p w14:paraId="4E1C7817">
      <w:pPr>
        <w:ind w:firstLine="360" w:firstLineChars="150"/>
        <w:rPr>
          <w:rFonts w:asciiTheme="minorEastAsia" w:hAnsiTheme="minorEastAsia"/>
        </w:rPr>
      </w:pPr>
      <w:r>
        <w:rPr>
          <w:rFonts w:hint="eastAsia" w:asciiTheme="minorEastAsia" w:hAnsiTheme="minorEastAsia"/>
        </w:rPr>
        <w:t>（4）税率执行陕建发〔2019〕45号《关于调整我省建设工程计价依据的通知》。</w:t>
      </w:r>
    </w:p>
    <w:p w14:paraId="3CC41DA1">
      <w:pPr>
        <w:snapToGrid w:val="0"/>
        <w:spacing w:line="360" w:lineRule="auto"/>
        <w:ind w:firstLine="360" w:firstLineChars="150"/>
        <w:rPr>
          <w:rFonts w:ascii="宋体" w:hAnsi="宋体" w:eastAsia="宋体" w:cs="仿宋"/>
        </w:rPr>
      </w:pPr>
      <w:r>
        <w:rPr>
          <w:rFonts w:hint="eastAsia" w:ascii="宋体" w:hAnsi="宋体" w:eastAsia="宋体" w:cs="仿宋"/>
        </w:rPr>
        <w:t>（</w:t>
      </w:r>
      <w:r>
        <w:rPr>
          <w:rFonts w:ascii="宋体" w:hAnsi="宋体" w:eastAsia="宋体" w:cs="仿宋"/>
        </w:rPr>
        <w:t>5</w:t>
      </w:r>
      <w:r>
        <w:rPr>
          <w:rFonts w:hint="eastAsia" w:ascii="宋体" w:hAnsi="宋体" w:eastAsia="宋体" w:cs="仿宋"/>
        </w:rPr>
        <w:t>）施工现场情况、工程特点及常规施工方案。</w:t>
      </w:r>
    </w:p>
    <w:p w14:paraId="4AB17CE2">
      <w:pPr>
        <w:snapToGrid w:val="0"/>
        <w:spacing w:line="360" w:lineRule="auto"/>
        <w:ind w:firstLine="360" w:firstLineChars="150"/>
        <w:rPr>
          <w:rFonts w:ascii="宋体" w:hAnsi="宋体" w:eastAsia="宋体" w:cs="仿宋"/>
        </w:rPr>
      </w:pPr>
      <w:r>
        <w:rPr>
          <w:rFonts w:hint="eastAsia" w:ascii="宋体" w:hAnsi="宋体" w:eastAsia="宋体" w:cs="仿宋"/>
        </w:rPr>
        <w:t>（</w:t>
      </w:r>
      <w:r>
        <w:rPr>
          <w:rFonts w:ascii="宋体" w:hAnsi="宋体" w:eastAsia="宋体" w:cs="仿宋"/>
        </w:rPr>
        <w:t>6</w:t>
      </w:r>
      <w:r>
        <w:rPr>
          <w:rFonts w:hint="eastAsia" w:ascii="宋体" w:hAnsi="宋体" w:eastAsia="宋体" w:cs="仿宋"/>
        </w:rPr>
        <w:t>）其他相关资料。</w:t>
      </w:r>
    </w:p>
    <w:p w14:paraId="1610CA50">
      <w:pPr>
        <w:snapToGrid w:val="0"/>
        <w:spacing w:line="360" w:lineRule="auto"/>
        <w:ind w:firstLine="480" w:firstLineChars="200"/>
        <w:rPr>
          <w:rFonts w:ascii="宋体" w:hAnsi="宋体" w:eastAsia="宋体" w:cs="仿宋"/>
          <w:b/>
          <w:bCs/>
        </w:rPr>
      </w:pPr>
      <w:r>
        <w:rPr>
          <w:rFonts w:hint="eastAsia" w:ascii="宋体" w:hAnsi="宋体" w:eastAsia="宋体" w:cs="仿宋"/>
          <w:b/>
          <w:bCs/>
        </w:rPr>
        <w:t>第2条 甲方工作</w:t>
      </w:r>
    </w:p>
    <w:p w14:paraId="1D2E1B3B">
      <w:pPr>
        <w:snapToGrid w:val="0"/>
        <w:spacing w:line="360" w:lineRule="auto"/>
        <w:ind w:firstLine="480" w:firstLineChars="200"/>
        <w:rPr>
          <w:rFonts w:ascii="宋体" w:hAnsi="宋体" w:eastAsia="宋体" w:cs="仿宋"/>
        </w:rPr>
      </w:pPr>
      <w:r>
        <w:rPr>
          <w:rFonts w:hint="eastAsia" w:ascii="宋体" w:hAnsi="宋体" w:eastAsia="宋体" w:cs="仿宋"/>
        </w:rPr>
        <w:t>2.1 开工前 1 天，甲方向乙方进行技术交底。</w:t>
      </w:r>
    </w:p>
    <w:p w14:paraId="0CD77ACE">
      <w:pPr>
        <w:snapToGrid w:val="0"/>
        <w:spacing w:line="360" w:lineRule="auto"/>
        <w:ind w:firstLine="480" w:firstLineChars="200"/>
        <w:rPr>
          <w:rFonts w:ascii="宋体" w:hAnsi="宋体" w:eastAsia="宋体" w:cs="仿宋"/>
        </w:rPr>
      </w:pPr>
      <w:r>
        <w:rPr>
          <w:rFonts w:hint="eastAsia" w:ascii="宋体" w:hAnsi="宋体" w:eastAsia="宋体" w:cs="仿宋"/>
        </w:rPr>
        <w:t>2.2 向乙方提供施工所需的场地，清除场地内影响乙方开工的障碍，提供乙方施工所需的水源、电源（一级箱以前含一级箱甲方负责，一级箱以后乙方负责）等设施，施工期间水费、电费由乙方负责。</w:t>
      </w:r>
    </w:p>
    <w:p w14:paraId="418EF88B">
      <w:pPr>
        <w:snapToGrid w:val="0"/>
        <w:spacing w:line="360" w:lineRule="auto"/>
        <w:ind w:firstLine="480" w:firstLineChars="200"/>
        <w:rPr>
          <w:rFonts w:ascii="宋体" w:hAnsi="宋体" w:eastAsia="宋体" w:cs="仿宋"/>
        </w:rPr>
      </w:pPr>
      <w:r>
        <w:rPr>
          <w:rFonts w:hint="eastAsia" w:ascii="宋体" w:hAnsi="宋体" w:eastAsia="宋体" w:cs="仿宋"/>
        </w:rPr>
        <w:t>2.3 协助乙方办理施工所涉及的各种申请、批件等手续，并提供一切便利条件。</w:t>
      </w:r>
    </w:p>
    <w:p w14:paraId="24E1BFD1">
      <w:pPr>
        <w:snapToGrid w:val="0"/>
        <w:spacing w:line="360" w:lineRule="auto"/>
        <w:ind w:firstLine="480" w:firstLineChars="200"/>
        <w:rPr>
          <w:rFonts w:ascii="宋体" w:hAnsi="宋体" w:eastAsia="宋体" w:cs="仿宋"/>
        </w:rPr>
      </w:pPr>
      <w:r>
        <w:rPr>
          <w:rFonts w:hint="eastAsia" w:ascii="宋体" w:hAnsi="宋体" w:eastAsia="宋体" w:cs="仿宋"/>
        </w:rPr>
        <w:t>2.4 指派</w:t>
      </w:r>
      <w:r>
        <w:rPr>
          <w:rFonts w:hint="eastAsia" w:ascii="宋体" w:hAnsi="宋体" w:eastAsia="宋体" w:cs="仿宋"/>
          <w:b/>
          <w:u w:val="single"/>
        </w:rPr>
        <w:t xml:space="preserve">    </w:t>
      </w:r>
      <w:r>
        <w:rPr>
          <w:rFonts w:hint="eastAsia" w:ascii="宋体" w:hAnsi="宋体" w:eastAsia="宋体" w:cs="仿宋"/>
        </w:rPr>
        <w:t>为甲方驻工地代表，对合同履行、工程质量、材料使用、工程进度进行监督，组织相关检查并配合竣工验收、办理变更、登记手续和其他事宜。</w:t>
      </w:r>
    </w:p>
    <w:p w14:paraId="03888E2B">
      <w:pPr>
        <w:snapToGrid w:val="0"/>
        <w:spacing w:line="360" w:lineRule="auto"/>
        <w:ind w:firstLine="480" w:firstLineChars="200"/>
        <w:rPr>
          <w:rFonts w:ascii="宋体" w:hAnsi="宋体" w:eastAsia="宋体" w:cs="仿宋"/>
          <w:b/>
          <w:bCs/>
        </w:rPr>
      </w:pPr>
      <w:r>
        <w:rPr>
          <w:rFonts w:hint="eastAsia" w:ascii="宋体" w:hAnsi="宋体" w:eastAsia="宋体" w:cs="仿宋"/>
          <w:b/>
          <w:bCs/>
        </w:rPr>
        <w:t>第3条 乙方工作</w:t>
      </w:r>
    </w:p>
    <w:p w14:paraId="28C2C7E9">
      <w:pPr>
        <w:snapToGrid w:val="0"/>
        <w:spacing w:line="360" w:lineRule="auto"/>
        <w:ind w:firstLine="480" w:firstLineChars="200"/>
        <w:rPr>
          <w:rFonts w:ascii="宋体" w:hAnsi="宋体" w:eastAsia="宋体" w:cs="仿宋"/>
        </w:rPr>
      </w:pPr>
      <w:r>
        <w:rPr>
          <w:rFonts w:hint="eastAsia" w:ascii="宋体" w:hAnsi="宋体" w:eastAsia="宋体" w:cs="仿宋"/>
        </w:rPr>
        <w:t>3.1严格执行施工规范、安全操作规程。防火安全规定、环境保护规定。严格按照图纸进行施工，做好各项质量检查纪录。施工过程中，如发生安全事故，由乙方负责承担全部费用及法律责任，与甲方无关。</w:t>
      </w:r>
    </w:p>
    <w:p w14:paraId="537C09A3">
      <w:pPr>
        <w:snapToGrid w:val="0"/>
        <w:spacing w:line="360" w:lineRule="auto"/>
        <w:ind w:firstLine="480" w:firstLineChars="200"/>
        <w:rPr>
          <w:rFonts w:ascii="宋体" w:hAnsi="宋体" w:eastAsia="宋体" w:cs="仿宋"/>
        </w:rPr>
      </w:pPr>
      <w:r>
        <w:rPr>
          <w:rFonts w:hint="eastAsia" w:ascii="宋体" w:hAnsi="宋体" w:eastAsia="宋体" w:cs="仿宋"/>
        </w:rPr>
        <w:t>3.2指派</w:t>
      </w:r>
      <w:r>
        <w:rPr>
          <w:rFonts w:hint="eastAsia" w:ascii="宋体" w:hAnsi="宋体" w:eastAsia="宋体" w:cs="仿宋"/>
          <w:b/>
          <w:u w:val="single"/>
        </w:rPr>
        <w:t xml:space="preserve">    </w:t>
      </w:r>
      <w:r>
        <w:rPr>
          <w:rFonts w:hint="eastAsia" w:ascii="宋体" w:hAnsi="宋体" w:eastAsia="宋体" w:cs="仿宋"/>
        </w:rPr>
        <w:t>为乙方项目经理，负责合同履行。按要求组织施工，保质、按期完成施工任务，解决由乙方负责的各项事宜。在施工过程中，如遇施工变更，工程量增减等情况，应及时与甲方沟通，按甲方要求进行调整。</w:t>
      </w:r>
    </w:p>
    <w:p w14:paraId="588AA3CE">
      <w:pPr>
        <w:snapToGrid w:val="0"/>
        <w:spacing w:line="360" w:lineRule="auto"/>
        <w:ind w:firstLine="480" w:firstLineChars="200"/>
        <w:rPr>
          <w:rFonts w:ascii="宋体" w:hAnsi="宋体" w:eastAsia="宋体" w:cs="仿宋"/>
        </w:rPr>
      </w:pPr>
      <w:r>
        <w:rPr>
          <w:rFonts w:hint="eastAsia" w:ascii="宋体" w:hAnsi="宋体" w:eastAsia="宋体" w:cs="仿宋"/>
        </w:rPr>
        <w:t>3.3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14:paraId="59BAFDC3">
      <w:pPr>
        <w:snapToGrid w:val="0"/>
        <w:spacing w:line="360" w:lineRule="auto"/>
        <w:ind w:firstLine="480" w:firstLineChars="200"/>
        <w:rPr>
          <w:rFonts w:ascii="宋体" w:hAnsi="宋体" w:eastAsia="宋体" w:cs="仿宋"/>
        </w:rPr>
      </w:pPr>
      <w:r>
        <w:rPr>
          <w:rFonts w:hint="eastAsia" w:ascii="宋体" w:hAnsi="宋体" w:eastAsia="宋体" w:cs="仿宋"/>
        </w:rPr>
        <w:t>3.4施工中未经甲方同意或有关部门批准，不得随意拆改原建筑物结构及各种设备管线。如确实需要拆改原建筑物结构或设备管线，需经甲方书面认可，如有需要同时负责到有关部门办理相应审批手续。</w:t>
      </w:r>
    </w:p>
    <w:p w14:paraId="75A5F934">
      <w:pPr>
        <w:snapToGrid w:val="0"/>
        <w:spacing w:line="360" w:lineRule="auto"/>
        <w:ind w:firstLine="480" w:firstLineChars="200"/>
        <w:rPr>
          <w:rFonts w:ascii="宋体" w:hAnsi="宋体" w:eastAsia="宋体" w:cs="仿宋"/>
        </w:rPr>
      </w:pPr>
      <w:r>
        <w:rPr>
          <w:rFonts w:hint="eastAsia" w:ascii="宋体" w:hAnsi="宋体" w:eastAsia="宋体" w:cs="仿宋"/>
        </w:rPr>
        <w:t>3.5保证施工现场的整洁，每项工程完工后负责清扫施工现场，施工垃圾集中到甲方指定地点。</w:t>
      </w:r>
    </w:p>
    <w:p w14:paraId="7B563826">
      <w:pPr>
        <w:snapToGrid w:val="0"/>
        <w:spacing w:line="360" w:lineRule="auto"/>
        <w:ind w:firstLine="480" w:firstLineChars="200"/>
        <w:rPr>
          <w:rFonts w:ascii="宋体" w:hAnsi="宋体" w:eastAsia="宋体" w:cs="仿宋"/>
          <w:b/>
          <w:bCs/>
        </w:rPr>
      </w:pPr>
      <w:r>
        <w:rPr>
          <w:rFonts w:hint="eastAsia" w:ascii="宋体" w:hAnsi="宋体" w:eastAsia="宋体" w:cs="仿宋"/>
          <w:b/>
          <w:bCs/>
        </w:rPr>
        <w:t>第4条  关于工期的约定</w:t>
      </w:r>
    </w:p>
    <w:p w14:paraId="35B4F82D">
      <w:pPr>
        <w:snapToGrid w:val="0"/>
        <w:spacing w:line="360" w:lineRule="auto"/>
        <w:ind w:firstLine="480" w:firstLineChars="200"/>
        <w:rPr>
          <w:rFonts w:ascii="宋体" w:hAnsi="宋体" w:eastAsia="宋体" w:cs="仿宋"/>
        </w:rPr>
      </w:pPr>
      <w:r>
        <w:rPr>
          <w:rFonts w:hint="eastAsia" w:ascii="宋体" w:hAnsi="宋体" w:eastAsia="宋体" w:cs="仿宋"/>
        </w:rPr>
        <w:t>4.1甲方要求比合同约定的工期提前竣工时，应双方协商一致，并制定赶工方案，乙方因赶工采取的措施费用由甲方承担。</w:t>
      </w:r>
    </w:p>
    <w:p w14:paraId="7AA19F40">
      <w:pPr>
        <w:snapToGrid w:val="0"/>
        <w:spacing w:line="360" w:lineRule="auto"/>
        <w:ind w:firstLine="480" w:firstLineChars="200"/>
        <w:rPr>
          <w:rFonts w:ascii="宋体" w:hAnsi="宋体" w:eastAsia="宋体" w:cs="仿宋"/>
        </w:rPr>
      </w:pPr>
      <w:r>
        <w:rPr>
          <w:rFonts w:hint="eastAsia" w:ascii="宋体" w:hAnsi="宋体" w:eastAsia="宋体" w:cs="仿宋"/>
        </w:rPr>
        <w:t>4.2因甲方未按约定完成工作，影响工期，工期顺延。</w:t>
      </w:r>
    </w:p>
    <w:p w14:paraId="25675057">
      <w:pPr>
        <w:snapToGrid w:val="0"/>
        <w:spacing w:line="360" w:lineRule="auto"/>
        <w:ind w:firstLine="480" w:firstLineChars="200"/>
        <w:rPr>
          <w:rFonts w:ascii="宋体" w:hAnsi="宋体" w:eastAsia="宋体" w:cs="仿宋"/>
        </w:rPr>
      </w:pPr>
      <w:r>
        <w:rPr>
          <w:rFonts w:hint="eastAsia" w:ascii="宋体" w:hAnsi="宋体" w:eastAsia="宋体" w:cs="仿宋"/>
        </w:rPr>
        <w:t>4.3因可归咎于乙方的责任，导致该工程不能按期开工或中途无故停工，影响工期，工期不顺延，乙方应承担因未能按期完成工作而产生的全部后果。</w:t>
      </w:r>
    </w:p>
    <w:p w14:paraId="0781D746">
      <w:pPr>
        <w:snapToGrid w:val="0"/>
        <w:spacing w:line="360" w:lineRule="auto"/>
        <w:ind w:firstLine="480" w:firstLineChars="200"/>
        <w:rPr>
          <w:rFonts w:ascii="宋体" w:hAnsi="宋体" w:eastAsia="宋体" w:cs="仿宋"/>
        </w:rPr>
      </w:pPr>
      <w:r>
        <w:rPr>
          <w:rFonts w:hint="eastAsia" w:ascii="宋体" w:hAnsi="宋体" w:eastAsia="宋体" w:cs="仿宋"/>
        </w:rPr>
        <w:t>4.4因设计变更或非乙方原因造成的停电、停水、停气及不可抗力因素影响，导致停工，工期相应顺延。</w:t>
      </w:r>
    </w:p>
    <w:p w14:paraId="1B2C5EB7">
      <w:pPr>
        <w:snapToGrid w:val="0"/>
        <w:spacing w:line="360" w:lineRule="auto"/>
        <w:ind w:firstLine="480" w:firstLineChars="200"/>
        <w:rPr>
          <w:rFonts w:ascii="宋体" w:hAnsi="宋体" w:eastAsia="宋体" w:cs="仿宋"/>
          <w:b/>
          <w:bCs/>
        </w:rPr>
      </w:pPr>
      <w:r>
        <w:rPr>
          <w:rFonts w:hint="eastAsia" w:ascii="宋体" w:hAnsi="宋体" w:eastAsia="宋体" w:cs="仿宋"/>
          <w:b/>
          <w:bCs/>
        </w:rPr>
        <w:t xml:space="preserve">第5条  工程变更 </w:t>
      </w:r>
    </w:p>
    <w:p w14:paraId="103A547F">
      <w:pPr>
        <w:snapToGrid w:val="0"/>
        <w:spacing w:line="360" w:lineRule="auto"/>
        <w:ind w:firstLine="480" w:firstLineChars="200"/>
        <w:rPr>
          <w:rFonts w:ascii="宋体" w:hAnsi="宋体" w:eastAsia="宋体" w:cs="仿宋"/>
        </w:rPr>
      </w:pPr>
      <w:r>
        <w:rPr>
          <w:rFonts w:hint="eastAsia" w:ascii="宋体" w:hAnsi="宋体" w:eastAsia="宋体" w:cs="仿宋"/>
        </w:rPr>
        <w:t>5.1 合同签订后，甲乙方中一方单方面要求解除合同，须按合同额的百分之五赔付对方违约金。</w:t>
      </w:r>
    </w:p>
    <w:p w14:paraId="28C84097">
      <w:pPr>
        <w:snapToGrid w:val="0"/>
        <w:spacing w:line="360" w:lineRule="auto"/>
        <w:ind w:firstLine="480" w:firstLineChars="200"/>
        <w:rPr>
          <w:rFonts w:ascii="宋体" w:hAnsi="宋体" w:eastAsia="宋体" w:cs="仿宋"/>
        </w:rPr>
      </w:pPr>
      <w:r>
        <w:rPr>
          <w:rFonts w:hint="eastAsia" w:ascii="宋体" w:hAnsi="宋体" w:eastAsia="宋体" w:cs="仿宋"/>
        </w:rPr>
        <w:t>5.2工程项目或施工方式如需变更，双方应协商一致，合同履行中的各项协商事宜、项目变更等均须由乙方与甲方共同商定并签订补充合同，补充合同为本合同的一部分。发生变更后，乙方按甲方代表的要求，进行下列对工程影响的变更：</w:t>
      </w:r>
    </w:p>
    <w:p w14:paraId="25629A07">
      <w:pPr>
        <w:snapToGrid w:val="0"/>
        <w:spacing w:line="360" w:lineRule="auto"/>
        <w:ind w:firstLine="480" w:firstLineChars="200"/>
        <w:rPr>
          <w:rFonts w:ascii="宋体" w:hAnsi="宋体" w:eastAsia="宋体" w:cs="仿宋"/>
        </w:rPr>
      </w:pPr>
      <w:r>
        <w:rPr>
          <w:rFonts w:hint="eastAsia" w:ascii="宋体" w:hAnsi="宋体" w:eastAsia="宋体" w:cs="仿宋"/>
        </w:rPr>
        <w:t>（1）更改有关工程的性质、质量、规格；</w:t>
      </w:r>
    </w:p>
    <w:p w14:paraId="52BBC8B9">
      <w:pPr>
        <w:snapToGrid w:val="0"/>
        <w:spacing w:line="360" w:lineRule="auto"/>
        <w:ind w:firstLine="480" w:firstLineChars="200"/>
        <w:rPr>
          <w:rFonts w:ascii="宋体" w:hAnsi="宋体" w:eastAsia="宋体" w:cs="仿宋"/>
        </w:rPr>
      </w:pPr>
      <w:r>
        <w:rPr>
          <w:rFonts w:hint="eastAsia" w:ascii="宋体" w:hAnsi="宋体" w:eastAsia="宋体" w:cs="仿宋"/>
        </w:rPr>
        <w:t>（2）更改有关部分的标高、基线、位置和尺寸；</w:t>
      </w:r>
    </w:p>
    <w:p w14:paraId="0910344E">
      <w:pPr>
        <w:snapToGrid w:val="0"/>
        <w:spacing w:line="360" w:lineRule="auto"/>
        <w:ind w:firstLine="480" w:firstLineChars="200"/>
        <w:rPr>
          <w:rFonts w:ascii="宋体" w:hAnsi="宋体" w:eastAsia="宋体" w:cs="仿宋"/>
        </w:rPr>
      </w:pPr>
      <w:r>
        <w:rPr>
          <w:rFonts w:hint="eastAsia" w:ascii="宋体" w:hAnsi="宋体" w:eastAsia="宋体" w:cs="仿宋"/>
        </w:rPr>
        <w:t>（3）更改已设计好的内容；</w:t>
      </w:r>
    </w:p>
    <w:p w14:paraId="4DB358AC">
      <w:pPr>
        <w:snapToGrid w:val="0"/>
        <w:spacing w:line="360" w:lineRule="auto"/>
        <w:ind w:firstLine="480" w:firstLineChars="200"/>
        <w:rPr>
          <w:rFonts w:ascii="宋体" w:hAnsi="宋体" w:eastAsia="宋体" w:cs="仿宋"/>
        </w:rPr>
      </w:pPr>
      <w:r>
        <w:rPr>
          <w:rFonts w:hint="eastAsia" w:ascii="宋体" w:hAnsi="宋体" w:eastAsia="宋体" w:cs="仿宋"/>
        </w:rPr>
        <w:t>（4）改变有关工程施工时间和顺序。</w:t>
      </w:r>
    </w:p>
    <w:p w14:paraId="745D8B22">
      <w:pPr>
        <w:snapToGrid w:val="0"/>
        <w:spacing w:line="360" w:lineRule="auto"/>
        <w:ind w:firstLine="480" w:firstLineChars="200"/>
        <w:rPr>
          <w:rFonts w:ascii="宋体" w:hAnsi="宋体" w:eastAsia="宋体" w:cs="仿宋"/>
        </w:rPr>
      </w:pPr>
      <w:r>
        <w:rPr>
          <w:rFonts w:hint="eastAsia" w:ascii="宋体" w:hAnsi="宋体" w:eastAsia="宋体" w:cs="仿宋"/>
        </w:rPr>
        <w:t>（5）合同预算清单项目外增减按预算清单单价执行，未见项由乙方按合同约定组价依据进行组价，所有主材需甲方进行认质认价，甲方审核确认后计入结算总价。</w:t>
      </w:r>
    </w:p>
    <w:p w14:paraId="43AF9096">
      <w:pPr>
        <w:snapToGrid w:val="0"/>
        <w:spacing w:line="360" w:lineRule="auto"/>
        <w:ind w:firstLine="480" w:firstLineChars="200"/>
        <w:rPr>
          <w:rFonts w:ascii="宋体" w:hAnsi="宋体" w:eastAsia="宋体" w:cs="仿宋"/>
          <w:b/>
          <w:bCs/>
        </w:rPr>
      </w:pPr>
      <w:r>
        <w:rPr>
          <w:rFonts w:hint="eastAsia" w:ascii="宋体" w:hAnsi="宋体" w:eastAsia="宋体" w:cs="仿宋"/>
          <w:b/>
          <w:bCs/>
        </w:rPr>
        <w:t>第6条 关于工程质量及验收的约定</w:t>
      </w:r>
    </w:p>
    <w:p w14:paraId="414AA06F">
      <w:pPr>
        <w:snapToGrid w:val="0"/>
        <w:spacing w:line="360" w:lineRule="auto"/>
        <w:ind w:firstLine="480" w:firstLineChars="200"/>
        <w:rPr>
          <w:rFonts w:ascii="宋体" w:hAnsi="宋体" w:eastAsia="宋体" w:cs="仿宋"/>
        </w:rPr>
      </w:pPr>
      <w:r>
        <w:rPr>
          <w:rFonts w:hint="eastAsia" w:ascii="宋体" w:hAnsi="宋体" w:eastAsia="宋体" w:cs="仿宋"/>
        </w:rPr>
        <w:t>6.1本工程以作法说明、设计变更和《建筑工程施工质量验收统一标准》等国家制订的施工及验收规范为质量评定验收标准。</w:t>
      </w:r>
    </w:p>
    <w:p w14:paraId="66F9A946">
      <w:pPr>
        <w:snapToGrid w:val="0"/>
        <w:spacing w:line="360" w:lineRule="auto"/>
        <w:ind w:firstLine="480" w:firstLineChars="200"/>
        <w:rPr>
          <w:rFonts w:ascii="宋体" w:hAnsi="宋体" w:eastAsia="宋体" w:cs="仿宋"/>
        </w:rPr>
      </w:pPr>
      <w:r>
        <w:rPr>
          <w:rFonts w:hint="eastAsia" w:ascii="宋体" w:hAnsi="宋体" w:eastAsia="宋体" w:cs="仿宋"/>
        </w:rPr>
        <w:t>6.2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12DFD24D">
      <w:pPr>
        <w:snapToGrid w:val="0"/>
        <w:spacing w:line="360" w:lineRule="auto"/>
        <w:ind w:firstLine="480" w:firstLineChars="200"/>
        <w:rPr>
          <w:rFonts w:ascii="宋体" w:hAnsi="宋体" w:eastAsia="宋体" w:cs="仿宋"/>
        </w:rPr>
      </w:pPr>
      <w:r>
        <w:rPr>
          <w:rFonts w:hint="eastAsia" w:ascii="宋体" w:hAnsi="宋体" w:eastAsia="宋体" w:cs="仿宋"/>
        </w:rPr>
        <w:t>6.3由于可归咎于乙方原因造成质量事故及损害，其返工费用及赔偿由乙方承担，工期不顺延。</w:t>
      </w:r>
    </w:p>
    <w:p w14:paraId="2F938EB8">
      <w:pPr>
        <w:snapToGrid w:val="0"/>
        <w:spacing w:line="360" w:lineRule="auto"/>
        <w:ind w:firstLine="480" w:firstLineChars="200"/>
        <w:rPr>
          <w:rFonts w:ascii="宋体" w:hAnsi="宋体" w:eastAsia="宋体" w:cs="仿宋"/>
        </w:rPr>
      </w:pPr>
      <w:r>
        <w:rPr>
          <w:rFonts w:hint="eastAsia" w:ascii="宋体" w:hAnsi="宋体" w:eastAsia="宋体" w:cs="仿宋"/>
        </w:rPr>
        <w:t>6.4工程竣工后，乙方应通知甲方验收，甲方自接到验收通知五日内组织验收，并办理验收、移交手续。如甲方在规定时间内未能组织验收，需及时通知乙方，另定验收日期。但甲方应承认竣工日期，并承担乙方的看管费用和相关费用。</w:t>
      </w:r>
    </w:p>
    <w:p w14:paraId="4AD6EBE7">
      <w:pPr>
        <w:snapToGrid w:val="0"/>
        <w:spacing w:line="360" w:lineRule="auto"/>
        <w:ind w:firstLine="480" w:firstLineChars="200"/>
        <w:rPr>
          <w:rFonts w:ascii="宋体" w:hAnsi="宋体" w:eastAsia="宋体" w:cs="仿宋"/>
          <w:b/>
          <w:bCs/>
        </w:rPr>
      </w:pPr>
      <w:r>
        <w:rPr>
          <w:rFonts w:hint="eastAsia" w:ascii="宋体" w:hAnsi="宋体" w:eastAsia="宋体" w:cs="仿宋"/>
          <w:b/>
          <w:bCs/>
        </w:rPr>
        <w:t>第7条 关于工程价款及结算的约定</w:t>
      </w:r>
    </w:p>
    <w:p w14:paraId="3224EC90">
      <w:pPr>
        <w:snapToGrid w:val="0"/>
        <w:spacing w:line="360" w:lineRule="auto"/>
        <w:ind w:firstLine="480" w:firstLineChars="200"/>
        <w:rPr>
          <w:rFonts w:ascii="宋体" w:hAnsi="宋体" w:eastAsia="宋体" w:cs="仿宋"/>
        </w:rPr>
      </w:pPr>
      <w:r>
        <w:rPr>
          <w:rFonts w:hint="eastAsia" w:ascii="宋体" w:hAnsi="宋体" w:eastAsia="宋体" w:cs="仿宋"/>
        </w:rPr>
        <w:t>7.1合同签订后，10个工作日内支付合同金额的40%预付款；工程施工竣工验收合格，乙方按甲方需求提供竣工图纸并编制结算书，甲乙双方共同确认的结算金额后，甲方收到乙方正式发票，支付至结算金额的100%。</w:t>
      </w:r>
      <w:r>
        <w:rPr>
          <w:rFonts w:ascii="宋体" w:hAnsi="宋体" w:eastAsia="宋体" w:cs="仿宋"/>
        </w:rPr>
        <w:cr/>
      </w:r>
      <w:r>
        <w:rPr>
          <w:rFonts w:ascii="宋体" w:hAnsi="宋体" w:eastAsia="宋体" w:cs="仿宋"/>
        </w:rPr>
        <w:t xml:space="preserve">    </w:t>
      </w:r>
      <w:r>
        <w:rPr>
          <w:rFonts w:hint="eastAsia" w:ascii="宋体" w:hAnsi="宋体" w:eastAsia="宋体" w:cs="仿宋"/>
        </w:rPr>
        <w:t>7.2甲方每次付款前，由乙方出具真实、合法、有效且符合甲方财务要求的、与待付支付款项等额的税率为</w:t>
      </w:r>
      <w:r>
        <w:rPr>
          <w:rFonts w:hint="eastAsia" w:ascii="宋体" w:hAnsi="宋体" w:eastAsia="宋体" w:cs="仿宋"/>
          <w:b/>
          <w:u w:val="single"/>
        </w:rPr>
        <w:t xml:space="preserve">    </w:t>
      </w:r>
      <w:r>
        <w:rPr>
          <w:rFonts w:hint="eastAsia" w:ascii="宋体" w:hAnsi="宋体" w:eastAsia="宋体" w:cs="仿宋"/>
        </w:rPr>
        <w:t xml:space="preserve"> %增值税专用发票。若乙方怠于履行以上开票义务或涉嫌开具虚假发票的，甲方可拒绝支付相应款项，且不视为违约。乙方不得因此停止履行或不完全履行合同。若乙方据此停止履行或不完全履行合同给甲方造成损失的，乙方须赔偿甲方因此遭受的全部损失（包括实际损失和预期利益损失）。甲方有权拒绝向除本合同约定的乙方指定收款账户外的任何账户付款。乙方所提供的发票票面信息必须完整、准确并加盖乙方发票专用章。</w:t>
      </w:r>
    </w:p>
    <w:p w14:paraId="4D941C84">
      <w:pPr>
        <w:snapToGrid w:val="0"/>
        <w:spacing w:line="360" w:lineRule="auto"/>
        <w:ind w:firstLine="480" w:firstLineChars="200"/>
        <w:rPr>
          <w:rFonts w:ascii="宋体" w:hAnsi="宋体" w:eastAsia="宋体" w:cs="仿宋"/>
        </w:rPr>
      </w:pPr>
      <w:r>
        <w:rPr>
          <w:rFonts w:hint="eastAsia" w:ascii="宋体" w:hAnsi="宋体" w:eastAsia="宋体" w:cs="仿宋"/>
        </w:rPr>
        <w:t>乙方指定收款账户：</w:t>
      </w:r>
    </w:p>
    <w:p w14:paraId="4616C361">
      <w:pPr>
        <w:snapToGrid w:val="0"/>
        <w:spacing w:line="360" w:lineRule="auto"/>
        <w:ind w:firstLine="480" w:firstLineChars="200"/>
        <w:rPr>
          <w:rFonts w:ascii="宋体" w:hAnsi="宋体" w:eastAsia="宋体" w:cs="仿宋"/>
        </w:rPr>
      </w:pPr>
      <w:r>
        <w:rPr>
          <w:rFonts w:hint="eastAsia" w:ascii="宋体" w:hAnsi="宋体" w:eastAsia="宋体" w:cs="仿宋"/>
        </w:rPr>
        <w:t>名称：</w:t>
      </w:r>
      <w:r>
        <w:rPr>
          <w:rFonts w:hint="eastAsia" w:ascii="宋体" w:hAnsi="宋体" w:eastAsia="宋体" w:cs="仿宋"/>
          <w:b/>
          <w:u w:val="single"/>
        </w:rPr>
        <w:t xml:space="preserve">                    </w:t>
      </w:r>
      <w:r>
        <w:rPr>
          <w:rFonts w:hint="eastAsia" w:ascii="宋体" w:hAnsi="宋体" w:eastAsia="宋体" w:cs="仿宋"/>
        </w:rPr>
        <w:t xml:space="preserve">        </w:t>
      </w:r>
    </w:p>
    <w:p w14:paraId="72522864">
      <w:pPr>
        <w:snapToGrid w:val="0"/>
        <w:spacing w:line="360" w:lineRule="auto"/>
        <w:ind w:firstLine="480" w:firstLineChars="200"/>
        <w:rPr>
          <w:rFonts w:ascii="宋体" w:hAnsi="宋体" w:eastAsia="宋体" w:cs="仿宋"/>
        </w:rPr>
      </w:pPr>
      <w:r>
        <w:rPr>
          <w:rFonts w:hint="eastAsia" w:ascii="宋体" w:hAnsi="宋体" w:eastAsia="宋体" w:cs="仿宋"/>
        </w:rPr>
        <w:t>开户行：</w:t>
      </w:r>
      <w:r>
        <w:rPr>
          <w:rFonts w:hint="eastAsia" w:ascii="宋体" w:hAnsi="宋体" w:eastAsia="宋体" w:cs="仿宋"/>
          <w:b/>
          <w:u w:val="single"/>
        </w:rPr>
        <w:t xml:space="preserve">                  </w:t>
      </w:r>
    </w:p>
    <w:p w14:paraId="54E48175">
      <w:pPr>
        <w:snapToGrid w:val="0"/>
        <w:spacing w:line="360" w:lineRule="auto"/>
        <w:ind w:firstLine="480" w:firstLineChars="200"/>
        <w:rPr>
          <w:rFonts w:ascii="宋体" w:hAnsi="宋体" w:eastAsia="宋体" w:cs="仿宋"/>
        </w:rPr>
      </w:pPr>
      <w:r>
        <w:rPr>
          <w:rFonts w:hint="eastAsia" w:ascii="宋体" w:hAnsi="宋体" w:eastAsia="宋体" w:cs="仿宋"/>
        </w:rPr>
        <w:t xml:space="preserve">账号：  </w:t>
      </w:r>
      <w:r>
        <w:rPr>
          <w:rFonts w:hint="eastAsia" w:ascii="宋体" w:hAnsi="宋体" w:eastAsia="宋体" w:cs="仿宋"/>
          <w:b/>
          <w:u w:val="single"/>
        </w:rPr>
        <w:t xml:space="preserve">               </w:t>
      </w:r>
      <w:r>
        <w:rPr>
          <w:rFonts w:ascii="宋体" w:hAnsi="宋体" w:eastAsia="宋体" w:cs="仿宋"/>
          <w:b/>
          <w:u w:val="single"/>
        </w:rPr>
        <w:t xml:space="preserve">  </w:t>
      </w:r>
      <w:r>
        <w:rPr>
          <w:rFonts w:hint="eastAsia" w:ascii="宋体" w:hAnsi="宋体" w:eastAsia="宋体" w:cs="仿宋"/>
          <w:b/>
          <w:u w:val="single"/>
        </w:rPr>
        <w:t xml:space="preserve"> </w:t>
      </w:r>
    </w:p>
    <w:p w14:paraId="5D474C87">
      <w:pPr>
        <w:snapToGrid w:val="0"/>
        <w:spacing w:line="360" w:lineRule="auto"/>
        <w:ind w:firstLine="480" w:firstLineChars="200"/>
        <w:rPr>
          <w:rFonts w:ascii="宋体" w:hAnsi="宋体" w:eastAsia="宋体" w:cs="仿宋"/>
          <w:b/>
          <w:bCs/>
        </w:rPr>
      </w:pPr>
      <w:r>
        <w:rPr>
          <w:rFonts w:hint="eastAsia" w:ascii="宋体" w:hAnsi="宋体" w:eastAsia="宋体" w:cs="仿宋"/>
          <w:b/>
          <w:bCs/>
        </w:rPr>
        <w:t>第8条 关于材料供应的约定</w:t>
      </w:r>
    </w:p>
    <w:p w14:paraId="134FCDE2">
      <w:pPr>
        <w:snapToGrid w:val="0"/>
        <w:spacing w:line="360" w:lineRule="auto"/>
        <w:ind w:firstLine="480" w:firstLineChars="200"/>
        <w:rPr>
          <w:rFonts w:ascii="宋体" w:hAnsi="宋体" w:eastAsia="宋体" w:cs="仿宋"/>
        </w:rPr>
      </w:pPr>
      <w:r>
        <w:rPr>
          <w:rFonts w:hint="eastAsia" w:ascii="宋体" w:hAnsi="宋体" w:eastAsia="宋体" w:cs="仿宋"/>
        </w:rPr>
        <w:t>8.1乙方负责采购的材料、设备，且均应为符合国家标准和设计要求的合格产品，并因按时供应到现场。</w:t>
      </w:r>
    </w:p>
    <w:p w14:paraId="779A0DB9">
      <w:pPr>
        <w:snapToGrid w:val="0"/>
        <w:spacing w:line="360" w:lineRule="auto"/>
        <w:ind w:firstLine="480" w:firstLineChars="200"/>
        <w:rPr>
          <w:rFonts w:ascii="宋体" w:hAnsi="宋体" w:eastAsia="宋体" w:cs="仿宋"/>
          <w:b/>
          <w:bCs/>
        </w:rPr>
      </w:pPr>
      <w:r>
        <w:rPr>
          <w:rFonts w:hint="eastAsia" w:ascii="宋体" w:hAnsi="宋体" w:eastAsia="宋体" w:cs="仿宋"/>
          <w:b/>
          <w:bCs/>
        </w:rPr>
        <w:t>第9条  有关安全生产和防火的约定</w:t>
      </w:r>
    </w:p>
    <w:p w14:paraId="6C0D5C01">
      <w:pPr>
        <w:snapToGrid w:val="0"/>
        <w:spacing w:line="360" w:lineRule="auto"/>
        <w:ind w:firstLine="480" w:firstLineChars="200"/>
        <w:rPr>
          <w:rFonts w:ascii="宋体" w:hAnsi="宋体" w:eastAsia="宋体" w:cs="仿宋"/>
        </w:rPr>
      </w:pPr>
      <w:r>
        <w:rPr>
          <w:rFonts w:hint="eastAsia" w:ascii="宋体" w:hAnsi="宋体" w:eastAsia="宋体" w:cs="仿宋"/>
        </w:rPr>
        <w:t>9.1乙方在施工期间应严格遵守包括但不限于《建筑安装工程安全技术规程》、《建筑安装工人安全操作规程》、《中华人民共和国消防条例》和其它相关的法规、规范。</w:t>
      </w:r>
    </w:p>
    <w:p w14:paraId="578F7E7C">
      <w:pPr>
        <w:snapToGrid w:val="0"/>
        <w:spacing w:line="360" w:lineRule="auto"/>
        <w:ind w:firstLine="480" w:firstLineChars="200"/>
        <w:rPr>
          <w:rFonts w:ascii="宋体" w:hAnsi="宋体" w:eastAsia="宋体" w:cs="仿宋"/>
        </w:rPr>
      </w:pPr>
      <w:r>
        <w:rPr>
          <w:rFonts w:hint="eastAsia" w:ascii="宋体" w:hAnsi="宋体" w:eastAsia="宋体" w:cs="仿宋"/>
        </w:rPr>
        <w:t>9.2由于乙方在施工生产过程中违反有关安全操作规程、消防条例，导致发生安全或火灾事故，乙方应承担由此引发的一切经济损失。</w:t>
      </w:r>
    </w:p>
    <w:p w14:paraId="36F43915">
      <w:pPr>
        <w:snapToGrid w:val="0"/>
        <w:spacing w:line="360" w:lineRule="auto"/>
        <w:ind w:firstLine="480" w:firstLineChars="200"/>
        <w:rPr>
          <w:rFonts w:ascii="宋体" w:hAnsi="宋体" w:eastAsia="宋体" w:cs="仿宋"/>
          <w:b/>
          <w:bCs/>
        </w:rPr>
      </w:pPr>
      <w:r>
        <w:rPr>
          <w:rFonts w:hint="eastAsia" w:ascii="宋体" w:hAnsi="宋体" w:eastAsia="宋体" w:cs="仿宋"/>
          <w:b/>
          <w:bCs/>
        </w:rPr>
        <w:t>第10条 工程停建或缓建</w:t>
      </w:r>
    </w:p>
    <w:p w14:paraId="523EB2E5">
      <w:pPr>
        <w:snapToGrid w:val="0"/>
        <w:spacing w:line="360" w:lineRule="auto"/>
        <w:ind w:firstLine="480" w:firstLineChars="200"/>
        <w:rPr>
          <w:rFonts w:ascii="宋体" w:hAnsi="宋体" w:eastAsia="宋体" w:cs="仿宋"/>
        </w:rPr>
      </w:pPr>
      <w:r>
        <w:rPr>
          <w:rFonts w:hint="eastAsia" w:ascii="宋体" w:hAnsi="宋体" w:eastAsia="宋体" w:cs="仿宋"/>
        </w:rPr>
        <w:t>10.1由于不可抗力及其它甲乙双方之外原因导致工程停建或缓建，使合同不能继续履行，乙方应妥善做好已完工程和已购材料、设备的保护和移交工作，按甲方要求将自有机构设备和人员撤出施工现场。</w:t>
      </w:r>
    </w:p>
    <w:p w14:paraId="4A61D3FB">
      <w:pPr>
        <w:snapToGrid w:val="0"/>
        <w:spacing w:line="360" w:lineRule="auto"/>
        <w:ind w:firstLine="480" w:firstLineChars="200"/>
        <w:rPr>
          <w:rFonts w:ascii="宋体" w:hAnsi="宋体" w:eastAsia="宋体" w:cs="仿宋"/>
        </w:rPr>
      </w:pPr>
      <w:r>
        <w:rPr>
          <w:rFonts w:hint="eastAsia" w:ascii="宋体" w:hAnsi="宋体" w:eastAsia="宋体" w:cs="仿宋"/>
        </w:rPr>
        <w:t>10.2 甲方应为乙方撤出提供必要条件，支付以上的费用，并按合同规定支付已完工程价款。</w:t>
      </w:r>
    </w:p>
    <w:p w14:paraId="260E2764">
      <w:pPr>
        <w:snapToGrid w:val="0"/>
        <w:spacing w:line="360" w:lineRule="auto"/>
        <w:ind w:firstLine="480" w:firstLineChars="200"/>
        <w:rPr>
          <w:rFonts w:ascii="宋体" w:hAnsi="宋体" w:eastAsia="宋体" w:cs="仿宋"/>
        </w:rPr>
      </w:pPr>
      <w:r>
        <w:rPr>
          <w:rFonts w:hint="eastAsia" w:ascii="宋体" w:hAnsi="宋体" w:eastAsia="宋体" w:cs="仿宋"/>
        </w:rPr>
        <w:t>10.3已经定货的材料、设备由定货方负责退货，不能退还的货款和退货发生的费用，由双方协商确定。</w:t>
      </w:r>
    </w:p>
    <w:p w14:paraId="0809EDB1">
      <w:pPr>
        <w:snapToGrid w:val="0"/>
        <w:spacing w:line="360" w:lineRule="auto"/>
        <w:ind w:firstLine="480" w:firstLineChars="200"/>
        <w:rPr>
          <w:rFonts w:ascii="宋体" w:hAnsi="宋体" w:eastAsia="宋体" w:cs="仿宋"/>
        </w:rPr>
      </w:pPr>
      <w:r>
        <w:rPr>
          <w:rFonts w:hint="eastAsia" w:ascii="宋体" w:hAnsi="宋体" w:eastAsia="宋体" w:cs="仿宋"/>
        </w:rPr>
        <w:t>10.4因甲方或乙方其他情况的需延期开工、停建或缓建由双方协商确定。</w:t>
      </w:r>
    </w:p>
    <w:p w14:paraId="7FF041EA">
      <w:pPr>
        <w:snapToGrid w:val="0"/>
        <w:spacing w:line="360" w:lineRule="auto"/>
        <w:ind w:firstLine="480" w:firstLineChars="200"/>
        <w:rPr>
          <w:rFonts w:ascii="宋体" w:hAnsi="宋体" w:eastAsia="宋体" w:cs="仿宋"/>
          <w:b/>
          <w:bCs/>
        </w:rPr>
      </w:pPr>
      <w:r>
        <w:rPr>
          <w:rFonts w:hint="eastAsia" w:ascii="宋体" w:hAnsi="宋体" w:eastAsia="宋体" w:cs="仿宋"/>
          <w:b/>
          <w:bCs/>
        </w:rPr>
        <w:t>第11条 保修</w:t>
      </w:r>
    </w:p>
    <w:p w14:paraId="3F1DAB10">
      <w:pPr>
        <w:snapToGrid w:val="0"/>
        <w:spacing w:line="360" w:lineRule="auto"/>
        <w:ind w:firstLine="480" w:firstLineChars="200"/>
        <w:rPr>
          <w:rFonts w:ascii="宋体" w:hAnsi="宋体" w:eastAsia="宋体" w:cs="仿宋"/>
        </w:rPr>
      </w:pPr>
      <w:r>
        <w:rPr>
          <w:rFonts w:hint="eastAsia" w:ascii="宋体" w:hAnsi="宋体" w:eastAsia="宋体" w:cs="仿宋"/>
        </w:rPr>
        <w:t>11.1本合同保修期为竣工验收合格之日算起，为期 24个月。保修范围为本合同中规定的乙方承包的项目及内容。</w:t>
      </w:r>
    </w:p>
    <w:p w14:paraId="703864CB">
      <w:pPr>
        <w:snapToGrid w:val="0"/>
        <w:spacing w:line="360" w:lineRule="auto"/>
        <w:ind w:firstLine="480" w:firstLineChars="200"/>
        <w:rPr>
          <w:rFonts w:ascii="宋体" w:hAnsi="宋体" w:eastAsia="宋体" w:cs="仿宋"/>
        </w:rPr>
      </w:pPr>
      <w:r>
        <w:rPr>
          <w:rFonts w:hint="eastAsia" w:ascii="宋体" w:hAnsi="宋体" w:eastAsia="宋体" w:cs="仿宋"/>
        </w:rPr>
        <w:t>11.2保修期内，乙方应在接到修理通知之后1天内响应，三天内派人修理，否则甲方可委托其他单位或人员修理。由此产生的费用由乙方承担。因乙方原因造成返修的费用，由乙方支付。因乙方外原因造成返修费用，由责任方承担。</w:t>
      </w:r>
    </w:p>
    <w:p w14:paraId="3E7FB3BC">
      <w:pPr>
        <w:snapToGrid w:val="0"/>
        <w:spacing w:line="360" w:lineRule="auto"/>
        <w:ind w:firstLine="480" w:firstLineChars="200"/>
        <w:rPr>
          <w:rFonts w:ascii="宋体" w:hAnsi="宋体" w:eastAsia="宋体" w:cs="仿宋"/>
        </w:rPr>
      </w:pPr>
      <w:r>
        <w:rPr>
          <w:rFonts w:hint="eastAsia" w:ascii="宋体" w:hAnsi="宋体" w:eastAsia="宋体" w:cs="仿宋"/>
        </w:rPr>
        <w:t>11.3因不可抗力，人为损坏及使用期自然折旧等原因，不包含在保修范围内。</w:t>
      </w:r>
    </w:p>
    <w:p w14:paraId="441F1408">
      <w:pPr>
        <w:snapToGrid w:val="0"/>
        <w:spacing w:line="360" w:lineRule="auto"/>
        <w:ind w:firstLine="480" w:firstLineChars="200"/>
        <w:rPr>
          <w:rFonts w:ascii="宋体" w:hAnsi="宋体" w:eastAsia="宋体" w:cs="仿宋"/>
          <w:b/>
          <w:bCs/>
        </w:rPr>
      </w:pPr>
      <w:r>
        <w:rPr>
          <w:rFonts w:hint="eastAsia" w:ascii="宋体" w:hAnsi="宋体" w:eastAsia="宋体" w:cs="仿宋"/>
          <w:b/>
          <w:bCs/>
        </w:rPr>
        <w:t>第12条 违约责任</w:t>
      </w:r>
    </w:p>
    <w:p w14:paraId="77503D7C">
      <w:pPr>
        <w:snapToGrid w:val="0"/>
        <w:spacing w:line="360" w:lineRule="auto"/>
        <w:ind w:firstLine="480" w:firstLineChars="200"/>
        <w:rPr>
          <w:rFonts w:ascii="宋体" w:hAnsi="宋体" w:eastAsia="宋体" w:cs="仿宋"/>
        </w:rPr>
      </w:pPr>
      <w:r>
        <w:rPr>
          <w:rFonts w:ascii="宋体" w:hAnsi="宋体" w:eastAsia="宋体" w:cs="仿宋"/>
        </w:rPr>
        <w:t>12.1</w:t>
      </w:r>
      <w:r>
        <w:rPr>
          <w:rFonts w:hint="eastAsia" w:ascii="宋体" w:hAnsi="宋体" w:eastAsia="宋体" w:cs="仿宋"/>
        </w:rPr>
        <w:t>甲方无故不能按合同规定支付工程款，每逾期一天，每日按应付款的万分之五向乙方支付违约金。违约金累计计算，直至支付之日。</w:t>
      </w:r>
    </w:p>
    <w:p w14:paraId="5C53C24B">
      <w:pPr>
        <w:snapToGrid w:val="0"/>
        <w:spacing w:line="360" w:lineRule="auto"/>
        <w:ind w:firstLine="480" w:firstLineChars="200"/>
        <w:rPr>
          <w:rFonts w:ascii="宋体" w:hAnsi="宋体" w:eastAsia="宋体" w:cs="仿宋"/>
        </w:rPr>
      </w:pPr>
      <w:r>
        <w:rPr>
          <w:rFonts w:ascii="宋体" w:hAnsi="宋体" w:eastAsia="宋体" w:cs="仿宋"/>
        </w:rPr>
        <w:t>12.2</w:t>
      </w:r>
      <w:r>
        <w:rPr>
          <w:rFonts w:hint="eastAsia" w:ascii="宋体" w:hAnsi="宋体" w:eastAsia="宋体" w:cs="仿宋"/>
        </w:rPr>
        <w:t>乙方不能按照合同书约定的日期开工、竣工的，每逾期一天，每日按合同预算暂定总价款的万分之五向甲方支付违约金，逾期达 2 日以上的，甲方有权单方解除本合同，解除通知自送达乙方之日生效。甲方有权不支付乙方任何费用，已经支付的，乙方应退还甲方，同时乙方应向甲方支付违约金 5万元，并赔偿由此给甲方造成的损失。</w:t>
      </w:r>
    </w:p>
    <w:p w14:paraId="1451A804">
      <w:pPr>
        <w:snapToGrid w:val="0"/>
        <w:spacing w:line="360" w:lineRule="auto"/>
        <w:ind w:firstLine="480" w:firstLineChars="200"/>
        <w:rPr>
          <w:rFonts w:ascii="宋体" w:hAnsi="宋体" w:eastAsia="宋体" w:cs="仿宋"/>
        </w:rPr>
      </w:pPr>
      <w:r>
        <w:rPr>
          <w:rFonts w:ascii="宋体" w:hAnsi="宋体" w:eastAsia="宋体" w:cs="仿宋"/>
        </w:rPr>
        <w:t>12.3</w:t>
      </w:r>
      <w:r>
        <w:rPr>
          <w:rFonts w:hint="eastAsia" w:ascii="宋体" w:hAnsi="宋体" w:eastAsia="宋体" w:cs="仿宋"/>
        </w:rPr>
        <w:t>工程质量（包括材质、工艺）达不到合同约定的合格标准，甲方有权拒绝接收，导致工期延误的按照本条第二款的规定处理。</w:t>
      </w:r>
    </w:p>
    <w:p w14:paraId="1BA76318">
      <w:pPr>
        <w:snapToGrid w:val="0"/>
        <w:spacing w:line="360" w:lineRule="auto"/>
        <w:ind w:firstLine="480" w:firstLineChars="200"/>
        <w:rPr>
          <w:rFonts w:ascii="宋体" w:hAnsi="宋体" w:eastAsia="宋体" w:cs="仿宋"/>
        </w:rPr>
      </w:pPr>
      <w:r>
        <w:rPr>
          <w:rFonts w:ascii="宋体" w:hAnsi="宋体" w:eastAsia="宋体" w:cs="仿宋"/>
        </w:rPr>
        <w:t>12.4</w:t>
      </w:r>
      <w:r>
        <w:rPr>
          <w:rFonts w:hint="eastAsia" w:ascii="宋体" w:hAnsi="宋体" w:eastAsia="宋体" w:cs="仿宋"/>
        </w:rPr>
        <w:t>乙方如未经甲方书面同意私自更换附件中所列材料的名称、质量等级、型号、数量进行施工的，应向甲方支付违约金 2万元 ，并且在收到甲方返工通知之日起 2 内返工及承担由此发生的费用；如乙方私自更换之材料价款达本维修工程预算暂定价的10 %，甲方有权单方解除本合同，解除通知自送达乙方之日生效。甲方有权不支付乙方任何费用，已经支付的，乙方应退还甲方，同时乙方应向甲方支付违约金10万元，并赔偿由此给甲方造成的损失。</w:t>
      </w:r>
    </w:p>
    <w:p w14:paraId="7F9147B0">
      <w:pPr>
        <w:snapToGrid w:val="0"/>
        <w:spacing w:line="360" w:lineRule="auto"/>
        <w:ind w:firstLine="480" w:firstLineChars="200"/>
        <w:rPr>
          <w:rFonts w:ascii="宋体" w:hAnsi="宋体" w:eastAsia="宋体" w:cs="仿宋"/>
        </w:rPr>
      </w:pPr>
      <w:r>
        <w:rPr>
          <w:rFonts w:ascii="宋体" w:hAnsi="宋体" w:eastAsia="宋体" w:cs="仿宋"/>
        </w:rPr>
        <w:t>12.5</w:t>
      </w:r>
      <w:r>
        <w:rPr>
          <w:rFonts w:hint="eastAsia" w:ascii="宋体" w:hAnsi="宋体" w:eastAsia="宋体" w:cs="仿宋"/>
        </w:rPr>
        <w:t>如因乙方违约而导致甲方解除本合同的，在本合同中约定的有关乙方向甲方交付有关资料的义务不能免除，乙方应自甲方解除合同之日起 2 日内将至合同解除之时与工程有关的全部资料交付于甲方，并应于整体工程竣工验收时配合甲方，否则，应向甲方支付违约金人民币 5万元，并承担由此给甲方造成的损失。</w:t>
      </w:r>
    </w:p>
    <w:p w14:paraId="03781F15">
      <w:pPr>
        <w:snapToGrid w:val="0"/>
        <w:spacing w:line="360" w:lineRule="auto"/>
        <w:ind w:firstLine="480" w:firstLineChars="200"/>
        <w:rPr>
          <w:rFonts w:ascii="宋体" w:hAnsi="宋体" w:eastAsia="宋体" w:cs="仿宋"/>
        </w:rPr>
      </w:pPr>
      <w:r>
        <w:rPr>
          <w:rFonts w:ascii="宋体" w:hAnsi="宋体" w:eastAsia="宋体" w:cs="仿宋"/>
        </w:rPr>
        <w:t>12.6</w:t>
      </w:r>
      <w:r>
        <w:rPr>
          <w:rFonts w:hint="eastAsia" w:ascii="宋体" w:hAnsi="宋体" w:eastAsia="宋体" w:cs="仿宋"/>
        </w:rPr>
        <w:t>除本合同另有约定外，乙方不按本合同履行其义务的，从甲方向其发出书面改正意见之日起 2日内，乙方未实施改进措施或改进措施不见成效的，甲方有权单方解除本合同，解除通知自送达乙方之日生效。甲方有权不支付乙方任何费用，已经支付的，乙方应退还甲方，同时乙方应向甲方支付违约金 5万元，并赔偿由此给甲方造成的损失。</w:t>
      </w:r>
    </w:p>
    <w:p w14:paraId="324D0AB9">
      <w:pPr>
        <w:snapToGrid w:val="0"/>
        <w:spacing w:line="360" w:lineRule="auto"/>
        <w:ind w:firstLine="480" w:firstLineChars="200"/>
        <w:rPr>
          <w:rFonts w:ascii="宋体" w:hAnsi="宋体" w:eastAsia="宋体" w:cs="仿宋"/>
          <w:b/>
          <w:bCs/>
        </w:rPr>
      </w:pPr>
      <w:r>
        <w:rPr>
          <w:rFonts w:hint="eastAsia" w:ascii="宋体" w:hAnsi="宋体" w:eastAsia="宋体" w:cs="仿宋"/>
          <w:b/>
          <w:bCs/>
        </w:rPr>
        <w:t>第13条 合同的终止和解除</w:t>
      </w:r>
    </w:p>
    <w:p w14:paraId="50A1277C">
      <w:pPr>
        <w:snapToGrid w:val="0"/>
        <w:spacing w:line="360" w:lineRule="auto"/>
        <w:ind w:firstLine="480" w:firstLineChars="200"/>
        <w:rPr>
          <w:rFonts w:ascii="宋体" w:hAnsi="宋体" w:eastAsia="宋体" w:cs="仿宋"/>
        </w:rPr>
      </w:pPr>
      <w:r>
        <w:rPr>
          <w:rFonts w:hint="eastAsia" w:ascii="宋体" w:hAnsi="宋体" w:eastAsia="宋体" w:cs="仿宋"/>
        </w:rPr>
        <w:t>13.1本合同期限内，经甲乙双方协商一致可以解除本合同，解除合同须双方签订书面的解除合同，本合同自解除合同生效之日解除。</w:t>
      </w:r>
    </w:p>
    <w:p w14:paraId="51749670">
      <w:pPr>
        <w:snapToGrid w:val="0"/>
        <w:spacing w:line="360" w:lineRule="auto"/>
        <w:ind w:firstLine="480" w:firstLineChars="200"/>
        <w:rPr>
          <w:rFonts w:ascii="宋体" w:hAnsi="宋体" w:eastAsia="宋体" w:cs="仿宋"/>
        </w:rPr>
      </w:pPr>
      <w:r>
        <w:rPr>
          <w:rFonts w:hint="eastAsia" w:ascii="宋体" w:hAnsi="宋体" w:eastAsia="宋体" w:cs="仿宋"/>
        </w:rPr>
        <w:t>13.2发生以下情形之一时，甲方有权单方解除本合同，本合同自解除通知到达乙方时解除：</w:t>
      </w:r>
    </w:p>
    <w:p w14:paraId="00BC3117">
      <w:pPr>
        <w:snapToGrid w:val="0"/>
        <w:spacing w:line="360" w:lineRule="auto"/>
        <w:ind w:firstLine="480" w:firstLineChars="200"/>
        <w:rPr>
          <w:rFonts w:ascii="宋体" w:hAnsi="宋体" w:eastAsia="宋体" w:cs="仿宋"/>
        </w:rPr>
      </w:pPr>
      <w:r>
        <w:rPr>
          <w:rFonts w:hint="eastAsia" w:ascii="宋体" w:hAnsi="宋体" w:eastAsia="宋体" w:cs="仿宋"/>
        </w:rPr>
        <w:t>（1）乙方工作完成情况不能达到甲方标准，甲方向乙方提出限期整改要求，乙方未进行限期整改或整改后仍然不符合甲方要求的；</w:t>
      </w:r>
    </w:p>
    <w:p w14:paraId="4EB3F022">
      <w:pPr>
        <w:snapToGrid w:val="0"/>
        <w:spacing w:line="360" w:lineRule="auto"/>
        <w:ind w:firstLine="480" w:firstLineChars="200"/>
        <w:rPr>
          <w:rFonts w:ascii="宋体" w:hAnsi="宋体" w:eastAsia="宋体" w:cs="仿宋"/>
        </w:rPr>
      </w:pPr>
      <w:r>
        <w:rPr>
          <w:rFonts w:hint="eastAsia" w:ascii="宋体" w:hAnsi="宋体" w:eastAsia="宋体" w:cs="仿宋"/>
        </w:rPr>
        <w:t>（2）未经甲方事先书面同意，乙方擅自将本合同项下的全部或部分内容转包、分包或转让或开具虚假发票的；</w:t>
      </w:r>
    </w:p>
    <w:p w14:paraId="68102BB5">
      <w:pPr>
        <w:snapToGrid w:val="0"/>
        <w:spacing w:line="360" w:lineRule="auto"/>
        <w:ind w:firstLine="480" w:firstLineChars="200"/>
        <w:rPr>
          <w:rFonts w:ascii="宋体" w:hAnsi="宋体" w:eastAsia="宋体" w:cs="仿宋"/>
        </w:rPr>
      </w:pPr>
      <w:r>
        <w:rPr>
          <w:rFonts w:hint="eastAsia" w:ascii="宋体" w:hAnsi="宋体" w:eastAsia="宋体" w:cs="仿宋"/>
        </w:rPr>
        <w:t>（3）因可归咎于乙方或乙方工作人员的原因，造成甲方重大损失的，或发生其他事故的，或导致本合同难以继续履行的；</w:t>
      </w:r>
    </w:p>
    <w:p w14:paraId="4F699E83">
      <w:pPr>
        <w:snapToGrid w:val="0"/>
        <w:spacing w:line="360" w:lineRule="auto"/>
        <w:ind w:firstLine="480" w:firstLineChars="200"/>
        <w:rPr>
          <w:rFonts w:ascii="宋体" w:hAnsi="宋体" w:eastAsia="宋体" w:cs="仿宋"/>
        </w:rPr>
      </w:pPr>
      <w:r>
        <w:rPr>
          <w:rFonts w:hint="eastAsia" w:ascii="宋体" w:hAnsi="宋体" w:eastAsia="宋体" w:cs="仿宋"/>
        </w:rPr>
        <w:t>（4）乙方发生其他重大违法违约情形。</w:t>
      </w:r>
    </w:p>
    <w:p w14:paraId="21F2E6AD">
      <w:pPr>
        <w:snapToGrid w:val="0"/>
        <w:spacing w:line="360" w:lineRule="auto"/>
        <w:ind w:firstLine="480" w:firstLineChars="200"/>
        <w:rPr>
          <w:rFonts w:ascii="宋体" w:hAnsi="宋体" w:eastAsia="宋体" w:cs="仿宋"/>
          <w:b/>
          <w:bCs/>
        </w:rPr>
      </w:pPr>
      <w:r>
        <w:rPr>
          <w:rFonts w:hint="eastAsia" w:ascii="宋体" w:hAnsi="宋体" w:eastAsia="宋体" w:cs="仿宋"/>
          <w:b/>
          <w:bCs/>
        </w:rPr>
        <w:t>第14条 争议或纠纷处理</w:t>
      </w:r>
    </w:p>
    <w:p w14:paraId="7E884194">
      <w:pPr>
        <w:snapToGrid w:val="0"/>
        <w:spacing w:line="360" w:lineRule="auto"/>
        <w:ind w:firstLine="480" w:firstLineChars="200"/>
        <w:rPr>
          <w:rFonts w:ascii="宋体" w:hAnsi="宋体" w:eastAsia="宋体" w:cs="仿宋"/>
        </w:rPr>
      </w:pPr>
      <w:r>
        <w:rPr>
          <w:rFonts w:hint="eastAsia" w:ascii="宋体" w:hAnsi="宋体" w:eastAsia="宋体" w:cs="仿宋"/>
        </w:rPr>
        <w:t>14.1本合同在履行期间，双方发生争议时，在不影响工程进度的前提下，双方可采取协商解决或请有关部门进行调解。</w:t>
      </w:r>
    </w:p>
    <w:p w14:paraId="4C48B696">
      <w:pPr>
        <w:snapToGrid w:val="0"/>
        <w:spacing w:line="360" w:lineRule="auto"/>
        <w:ind w:firstLine="480" w:firstLineChars="200"/>
        <w:rPr>
          <w:rFonts w:ascii="宋体" w:hAnsi="宋体" w:eastAsia="宋体" w:cs="仿宋"/>
        </w:rPr>
      </w:pPr>
      <w:r>
        <w:rPr>
          <w:rFonts w:hint="eastAsia" w:ascii="宋体" w:hAnsi="宋体" w:eastAsia="宋体" w:cs="仿宋"/>
        </w:rPr>
        <w:t>14.2当事人不愿意通过协商、调解解决或者协商调解不成的，本合同在执行中发生的争议双方以向西安仲裁委员会提出仲裁申请解决为宜。</w:t>
      </w:r>
    </w:p>
    <w:p w14:paraId="1C918105">
      <w:pPr>
        <w:snapToGrid w:val="0"/>
        <w:spacing w:line="360" w:lineRule="auto"/>
        <w:ind w:firstLine="480" w:firstLineChars="200"/>
        <w:rPr>
          <w:rFonts w:ascii="宋体" w:hAnsi="宋体" w:eastAsia="宋体" w:cs="仿宋"/>
        </w:rPr>
      </w:pPr>
      <w:r>
        <w:rPr>
          <w:rFonts w:hint="eastAsia" w:ascii="宋体" w:hAnsi="宋体" w:eastAsia="宋体" w:cs="仿宋"/>
        </w:rPr>
        <w:t>14.3本合同约定的双方地址适用于双方各类通知、合同等文件以及就合同发生纠纷时相关文件和法律文书的送达地址，同时包括在争议进入仲裁、民事诉讼程序后的一审、二审、再审和执行程序。</w:t>
      </w:r>
    </w:p>
    <w:p w14:paraId="150F5F35">
      <w:pPr>
        <w:snapToGrid w:val="0"/>
        <w:spacing w:line="360" w:lineRule="auto"/>
        <w:ind w:firstLine="480" w:firstLineChars="200"/>
        <w:rPr>
          <w:rFonts w:ascii="宋体" w:hAnsi="宋体" w:eastAsia="宋体" w:cs="仿宋"/>
          <w:b/>
          <w:bCs/>
        </w:rPr>
      </w:pPr>
      <w:r>
        <w:rPr>
          <w:rFonts w:hint="eastAsia" w:ascii="宋体" w:hAnsi="宋体" w:eastAsia="宋体" w:cs="仿宋"/>
          <w:b/>
          <w:bCs/>
        </w:rPr>
        <w:t>第15条 其他约定</w:t>
      </w:r>
    </w:p>
    <w:p w14:paraId="09C42530">
      <w:pPr>
        <w:snapToGrid w:val="0"/>
        <w:spacing w:line="360" w:lineRule="auto"/>
        <w:ind w:firstLine="480" w:firstLineChars="200"/>
        <w:rPr>
          <w:rFonts w:ascii="宋体" w:hAnsi="宋体" w:eastAsia="宋体" w:cs="仿宋"/>
        </w:rPr>
      </w:pPr>
      <w:r>
        <w:rPr>
          <w:rFonts w:hint="eastAsia" w:ascii="宋体" w:hAnsi="宋体" w:eastAsia="宋体" w:cs="仿宋"/>
        </w:rPr>
        <w:t>本合同所含施工项目为施工设计图及工程量清单范围内包含的所有内容，清单内未计费部分视为该项费用已包括在其他价款的单价或合价内。</w:t>
      </w:r>
    </w:p>
    <w:p w14:paraId="44D34701">
      <w:pPr>
        <w:snapToGrid w:val="0"/>
        <w:spacing w:line="360" w:lineRule="auto"/>
        <w:ind w:firstLine="480" w:firstLineChars="200"/>
        <w:rPr>
          <w:rFonts w:ascii="宋体" w:hAnsi="宋体" w:eastAsia="宋体" w:cs="仿宋"/>
          <w:b/>
          <w:bCs/>
        </w:rPr>
      </w:pPr>
      <w:r>
        <w:rPr>
          <w:rFonts w:hint="eastAsia" w:ascii="宋体" w:hAnsi="宋体" w:eastAsia="宋体" w:cs="仿宋"/>
          <w:b/>
          <w:bCs/>
        </w:rPr>
        <w:t>第16条 合同文件及解释顺序</w:t>
      </w:r>
    </w:p>
    <w:p w14:paraId="7857BD6A">
      <w:pPr>
        <w:snapToGrid w:val="0"/>
        <w:spacing w:line="360" w:lineRule="auto"/>
        <w:ind w:firstLine="480" w:firstLineChars="200"/>
        <w:rPr>
          <w:rFonts w:ascii="宋体" w:hAnsi="宋体" w:eastAsia="宋体" w:cs="仿宋"/>
        </w:rPr>
      </w:pPr>
      <w:r>
        <w:rPr>
          <w:rFonts w:hint="eastAsia" w:ascii="宋体" w:hAnsi="宋体" w:eastAsia="宋体" w:cs="仿宋"/>
        </w:rPr>
        <w:t>16.1合同条款；</w:t>
      </w:r>
    </w:p>
    <w:p w14:paraId="590A735B">
      <w:pPr>
        <w:snapToGrid w:val="0"/>
        <w:spacing w:line="360" w:lineRule="auto"/>
        <w:ind w:firstLine="480" w:firstLineChars="200"/>
        <w:rPr>
          <w:rFonts w:ascii="宋体" w:hAnsi="宋体" w:eastAsia="宋体" w:cs="仿宋"/>
        </w:rPr>
      </w:pPr>
      <w:r>
        <w:rPr>
          <w:rFonts w:hint="eastAsia" w:ascii="宋体" w:hAnsi="宋体" w:eastAsia="宋体" w:cs="仿宋"/>
        </w:rPr>
        <w:t>16.2工程量清单；</w:t>
      </w:r>
    </w:p>
    <w:p w14:paraId="00F860F9">
      <w:pPr>
        <w:snapToGrid w:val="0"/>
        <w:spacing w:line="360" w:lineRule="auto"/>
        <w:ind w:firstLine="480" w:firstLineChars="200"/>
        <w:rPr>
          <w:rFonts w:ascii="宋体" w:hAnsi="宋体" w:eastAsia="宋体" w:cs="仿宋"/>
        </w:rPr>
      </w:pPr>
      <w:r>
        <w:rPr>
          <w:rFonts w:hint="eastAsia" w:ascii="宋体" w:hAnsi="宋体" w:eastAsia="宋体" w:cs="仿宋"/>
        </w:rPr>
        <w:t>16.3施工图。</w:t>
      </w:r>
    </w:p>
    <w:p w14:paraId="53ACEE0C">
      <w:pPr>
        <w:snapToGrid w:val="0"/>
        <w:spacing w:line="360" w:lineRule="auto"/>
        <w:ind w:firstLine="480" w:firstLineChars="200"/>
        <w:rPr>
          <w:rFonts w:ascii="宋体" w:hAnsi="宋体" w:eastAsia="宋体" w:cs="仿宋"/>
          <w:b/>
          <w:bCs/>
        </w:rPr>
      </w:pPr>
      <w:r>
        <w:rPr>
          <w:rFonts w:hint="eastAsia" w:ascii="宋体" w:hAnsi="宋体" w:eastAsia="宋体" w:cs="仿宋"/>
          <w:b/>
          <w:bCs/>
        </w:rPr>
        <w:t>第17条 附则</w:t>
      </w:r>
    </w:p>
    <w:p w14:paraId="2C35280A">
      <w:pPr>
        <w:snapToGrid w:val="0"/>
        <w:spacing w:line="360" w:lineRule="auto"/>
        <w:ind w:firstLine="480" w:firstLineChars="200"/>
        <w:rPr>
          <w:rFonts w:ascii="宋体" w:hAnsi="宋体" w:eastAsia="宋体" w:cs="仿宋"/>
        </w:rPr>
      </w:pPr>
      <w:r>
        <w:rPr>
          <w:rFonts w:hint="eastAsia" w:ascii="宋体" w:hAnsi="宋体" w:eastAsia="宋体" w:cs="仿宋"/>
        </w:rPr>
        <w:t>17.1本合同一式陆份，双方各执叁份，具有同等法律效力。</w:t>
      </w:r>
    </w:p>
    <w:p w14:paraId="0E4DD93C">
      <w:pPr>
        <w:snapToGrid w:val="0"/>
        <w:spacing w:line="360" w:lineRule="auto"/>
        <w:ind w:firstLine="480" w:firstLineChars="200"/>
        <w:rPr>
          <w:rFonts w:ascii="宋体" w:hAnsi="宋体" w:eastAsia="宋体" w:cs="仿宋"/>
        </w:rPr>
      </w:pPr>
      <w:r>
        <w:rPr>
          <w:rFonts w:hint="eastAsia" w:ascii="宋体" w:hAnsi="宋体" w:eastAsia="宋体" w:cs="仿宋"/>
        </w:rPr>
        <w:t>17.2本合同履行完成后自动终止。</w:t>
      </w:r>
    </w:p>
    <w:p w14:paraId="5B937EDA">
      <w:pPr>
        <w:snapToGrid w:val="0"/>
        <w:spacing w:line="360" w:lineRule="auto"/>
        <w:ind w:firstLine="480" w:firstLineChars="200"/>
        <w:rPr>
          <w:rFonts w:ascii="宋体" w:hAnsi="宋体" w:eastAsia="宋体" w:cs="仿宋"/>
        </w:rPr>
      </w:pPr>
      <w:r>
        <w:rPr>
          <w:rFonts w:hint="eastAsia" w:ascii="宋体" w:hAnsi="宋体" w:eastAsia="宋体" w:cs="仿宋"/>
        </w:rPr>
        <w:t>17.3本合同经双方法定代表人或委托代理人（须持授权委托书）签字并加盖公章或合同专用章后生效。</w:t>
      </w:r>
    </w:p>
    <w:p w14:paraId="447669E8">
      <w:pPr>
        <w:snapToGrid w:val="0"/>
        <w:spacing w:line="360" w:lineRule="auto"/>
        <w:ind w:firstLine="480" w:firstLineChars="200"/>
        <w:rPr>
          <w:rFonts w:ascii="宋体" w:hAnsi="宋体" w:eastAsia="宋体" w:cs="仿宋"/>
        </w:rPr>
      </w:pPr>
      <w:r>
        <w:rPr>
          <w:rFonts w:hint="eastAsia" w:ascii="宋体" w:hAnsi="宋体" w:eastAsia="宋体" w:cs="仿宋"/>
        </w:rPr>
        <w:t>17.4本合同未尽事宜及任何与本合同有关内容、费用的变更等事宜，需由双方另行协商并形成书面补充合同，补充合同与本合同具有同等法律效力。</w:t>
      </w:r>
    </w:p>
    <w:p w14:paraId="0DC9B4AA">
      <w:pPr>
        <w:snapToGrid w:val="0"/>
        <w:spacing w:line="360" w:lineRule="auto"/>
        <w:ind w:firstLine="480" w:firstLineChars="200"/>
        <w:rPr>
          <w:rFonts w:ascii="宋体" w:hAnsi="宋体" w:eastAsia="宋体" w:cs="仿宋"/>
        </w:rPr>
      </w:pPr>
      <w:r>
        <w:rPr>
          <w:rFonts w:hint="eastAsia" w:ascii="宋体" w:hAnsi="宋体" w:eastAsia="宋体" w:cs="仿宋"/>
        </w:rPr>
        <w:t>17.5为保证服务质量，执行本合同相关的所有通知、函件、及执行细节等，均应通过如下联系人及联系方式进行沟通：</w:t>
      </w:r>
    </w:p>
    <w:p w14:paraId="0E2486E6">
      <w:pPr>
        <w:snapToGrid w:val="0"/>
        <w:spacing w:line="360" w:lineRule="auto"/>
        <w:ind w:firstLine="480" w:firstLineChars="200"/>
        <w:rPr>
          <w:rFonts w:ascii="宋体" w:hAnsi="宋体" w:eastAsia="宋体" w:cs="仿宋"/>
        </w:rPr>
      </w:pPr>
    </w:p>
    <w:p w14:paraId="2A57CE51">
      <w:pPr>
        <w:snapToGrid w:val="0"/>
        <w:spacing w:line="360" w:lineRule="auto"/>
        <w:ind w:firstLine="480" w:firstLineChars="200"/>
        <w:rPr>
          <w:rFonts w:ascii="宋体" w:hAnsi="宋体" w:eastAsia="宋体" w:cs="仿宋"/>
        </w:rPr>
      </w:pPr>
      <w:r>
        <w:rPr>
          <w:rFonts w:hint="eastAsia" w:ascii="宋体" w:hAnsi="宋体" w:eastAsia="宋体" w:cs="仿宋"/>
        </w:rPr>
        <w:t xml:space="preserve">甲方联系人：           联系方式：                 </w:t>
      </w:r>
    </w:p>
    <w:p w14:paraId="0592CC13">
      <w:pPr>
        <w:snapToGrid w:val="0"/>
        <w:spacing w:line="360" w:lineRule="auto"/>
        <w:ind w:firstLine="480" w:firstLineChars="200"/>
        <w:rPr>
          <w:rFonts w:ascii="宋体" w:hAnsi="宋体" w:eastAsia="宋体" w:cs="仿宋"/>
        </w:rPr>
      </w:pPr>
      <w:r>
        <w:rPr>
          <w:rFonts w:hint="eastAsia" w:ascii="宋体" w:hAnsi="宋体" w:eastAsia="宋体" w:cs="仿宋"/>
        </w:rPr>
        <w:t xml:space="preserve">乙方联系人：           联系方式：               </w:t>
      </w:r>
    </w:p>
    <w:p w14:paraId="6BABB5CA">
      <w:pPr>
        <w:snapToGrid w:val="0"/>
        <w:spacing w:line="360" w:lineRule="auto"/>
        <w:ind w:firstLine="480" w:firstLineChars="200"/>
        <w:rPr>
          <w:rFonts w:ascii="宋体" w:hAnsi="宋体" w:eastAsia="宋体" w:cs="仿宋"/>
        </w:rPr>
      </w:pPr>
      <w:r>
        <w:rPr>
          <w:rFonts w:hint="eastAsia" w:ascii="宋体" w:hAnsi="宋体" w:eastAsia="宋体" w:cs="仿宋"/>
        </w:rPr>
        <w:t>如任意一方需要变更上述联系人的，应当于变更前3个工作日内通知对方，如因未及时通知对方导致核对迟延的，由迟延通知方承担责任。</w:t>
      </w:r>
    </w:p>
    <w:p w14:paraId="3569EBC3">
      <w:pPr>
        <w:snapToGrid w:val="0"/>
        <w:spacing w:line="360" w:lineRule="auto"/>
        <w:ind w:firstLine="480" w:firstLineChars="200"/>
        <w:rPr>
          <w:rFonts w:ascii="宋体" w:hAnsi="宋体" w:eastAsia="宋体" w:cs="仿宋"/>
        </w:rPr>
      </w:pPr>
    </w:p>
    <w:p w14:paraId="3B86688A">
      <w:pPr>
        <w:snapToGrid w:val="0"/>
        <w:spacing w:line="360" w:lineRule="auto"/>
        <w:ind w:firstLine="480" w:firstLineChars="200"/>
        <w:rPr>
          <w:rFonts w:ascii="宋体" w:hAnsi="宋体" w:eastAsia="宋体" w:cs="仿宋"/>
        </w:rPr>
      </w:pPr>
      <w:r>
        <w:rPr>
          <w:rFonts w:hint="eastAsia" w:ascii="宋体" w:hAnsi="宋体" w:eastAsia="宋体" w:cs="仿宋"/>
        </w:rPr>
        <w:t xml:space="preserve">甲方（盖章）：                       乙方（盖章）      </w:t>
      </w:r>
    </w:p>
    <w:p w14:paraId="2E6541A9">
      <w:pPr>
        <w:snapToGrid w:val="0"/>
        <w:spacing w:line="360" w:lineRule="auto"/>
        <w:ind w:firstLine="480" w:firstLineChars="200"/>
        <w:rPr>
          <w:rFonts w:ascii="宋体" w:hAnsi="宋体" w:eastAsia="宋体" w:cs="仿宋"/>
        </w:rPr>
      </w:pPr>
      <w:r>
        <w:rPr>
          <w:rFonts w:hint="eastAsia" w:ascii="宋体" w:hAnsi="宋体" w:eastAsia="宋体" w:cs="仿宋"/>
        </w:rPr>
        <w:t>授权代表（签字）：                   授权代表（签字）：</w:t>
      </w:r>
    </w:p>
    <w:p w14:paraId="7D94CDD4">
      <w:pPr>
        <w:snapToGrid w:val="0"/>
        <w:spacing w:line="360" w:lineRule="auto"/>
        <w:ind w:firstLine="480" w:firstLineChars="200"/>
        <w:rPr>
          <w:rFonts w:ascii="宋体" w:hAnsi="宋体" w:eastAsia="宋体" w:cs="仿宋"/>
        </w:rPr>
      </w:pPr>
      <w:r>
        <w:rPr>
          <w:rFonts w:hint="eastAsia" w:ascii="宋体" w:hAnsi="宋体" w:eastAsia="宋体" w:cs="仿宋"/>
        </w:rPr>
        <w:t>电话：                                  电话：</w:t>
      </w:r>
    </w:p>
    <w:p w14:paraId="50A92B43">
      <w:pPr>
        <w:snapToGrid w:val="0"/>
        <w:spacing w:line="360" w:lineRule="auto"/>
        <w:ind w:firstLine="480" w:firstLineChars="200"/>
        <w:rPr>
          <w:rFonts w:ascii="宋体" w:hAnsi="宋体" w:eastAsia="宋体" w:cs="仿宋"/>
        </w:rPr>
      </w:pPr>
      <w:r>
        <w:rPr>
          <w:rFonts w:hint="eastAsia" w:ascii="宋体" w:hAnsi="宋体" w:eastAsia="宋体" w:cs="仿宋"/>
        </w:rPr>
        <w:t>年     月     日                         年     月     日</w:t>
      </w:r>
    </w:p>
    <w:p w14:paraId="04ED7CE4">
      <w:pPr>
        <w:pStyle w:val="40"/>
        <w:spacing w:line="240" w:lineRule="auto"/>
        <w:jc w:val="both"/>
        <w:rPr>
          <w:rFonts w:asciiTheme="minorHAnsi" w:hAnsiTheme="minorHAnsi" w:eastAsiaTheme="minorEastAsia"/>
          <w:color w:val="7030A0"/>
          <w:sz w:val="24"/>
          <w:szCs w:val="24"/>
        </w:rPr>
      </w:pPr>
      <w:r>
        <w:br w:type="page"/>
      </w:r>
    </w:p>
    <w:bookmarkEnd w:id="25"/>
    <w:bookmarkEnd w:id="26"/>
    <w:p w14:paraId="066AACEE">
      <w:pPr>
        <w:pStyle w:val="2"/>
        <w:spacing w:before="230" w:after="230"/>
      </w:pPr>
      <w:r>
        <w:rPr>
          <w:rFonts w:hint="eastAsia"/>
        </w:rPr>
        <w:t>第五章　响应文件构成及格式</w:t>
      </w:r>
      <w:bookmarkEnd w:id="33"/>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bookmarkStart w:id="36" w:name="OLE_LINK26"/>
      <w:bookmarkStart w:id="37" w:name="OLE_LINK25"/>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bookmarkEnd w:id="36"/>
    <w:bookmarkEnd w:id="37"/>
    <w:p w14:paraId="24D5D977">
      <w:pPr>
        <w:jc w:val="center"/>
        <w:outlineLvl w:val="2"/>
        <w:rPr>
          <w:rFonts w:ascii="Calibri" w:hAnsi="Calibri" w:eastAsia="黑体"/>
          <w:kern w:val="32"/>
          <w:sz w:val="32"/>
        </w:rPr>
      </w:pPr>
      <w:r>
        <w:rPr>
          <w:rFonts w:ascii="Calibri" w:hAnsi="Calibri" w:eastAsia="黑体"/>
          <w:kern w:val="32"/>
          <w:sz w:val="32"/>
        </w:rPr>
        <w:t>第一次报价表</w:t>
      </w:r>
    </w:p>
    <w:p w14:paraId="3B0473E3">
      <w:pPr>
        <w:jc w:val="center"/>
        <w:rPr>
          <w:kern w:val="24"/>
        </w:rPr>
      </w:pPr>
    </w:p>
    <w:tbl>
      <w:tblPr>
        <w:tblStyle w:val="24"/>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2126"/>
        <w:gridCol w:w="2127"/>
        <w:gridCol w:w="2127"/>
      </w:tblGrid>
      <w:tr w14:paraId="366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715" w:type="dxa"/>
            <w:vMerge w:val="restart"/>
            <w:tcBorders>
              <w:top w:val="single" w:color="auto" w:sz="2" w:space="0"/>
              <w:left w:val="single" w:color="auto" w:sz="2" w:space="0"/>
              <w:bottom w:val="single" w:color="auto" w:sz="2" w:space="0"/>
              <w:right w:val="single" w:color="auto" w:sz="2" w:space="0"/>
              <w:tl2br w:val="single" w:color="auto" w:sz="2" w:space="0"/>
            </w:tcBorders>
          </w:tcPr>
          <w:p w14:paraId="59E6309F">
            <w:pPr>
              <w:spacing w:line="440" w:lineRule="exact"/>
              <w:ind w:right="280"/>
              <w:jc w:val="right"/>
              <w:rPr>
                <w:rFonts w:cstheme="minorHAnsi"/>
                <w:b/>
                <w:color w:val="000000"/>
              </w:rPr>
            </w:pPr>
            <w:r>
              <w:rPr>
                <w:rFonts w:cstheme="minorHAnsi"/>
                <w:b/>
                <w:color w:val="000000"/>
              </w:rPr>
              <w:t>报价内容</w:t>
            </w:r>
          </w:p>
          <w:p w14:paraId="6EE43427">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126"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3B1A7B1">
            <w:pPr>
              <w:jc w:val="center"/>
              <w:rPr>
                <w:rFonts w:cstheme="minorHAnsi"/>
                <w:b/>
              </w:rPr>
            </w:pPr>
            <w:r>
              <w:rPr>
                <w:rFonts w:cstheme="minorHAnsi"/>
                <w:b/>
              </w:rPr>
              <w:t>A</w:t>
            </w:r>
          </w:p>
        </w:tc>
        <w:tc>
          <w:tcPr>
            <w:tcW w:w="2127" w:type="dxa"/>
            <w:tcBorders>
              <w:top w:val="single" w:color="auto" w:sz="2" w:space="0"/>
              <w:left w:val="single" w:color="auto" w:sz="2" w:space="0"/>
              <w:bottom w:val="single" w:color="auto" w:sz="2" w:space="0"/>
              <w:right w:val="single" w:color="auto" w:sz="2" w:space="0"/>
            </w:tcBorders>
            <w:shd w:val="clear" w:color="auto" w:fill="F1F1F1" w:themeFill="background1" w:themeFillShade="F2"/>
          </w:tcPr>
          <w:p w14:paraId="3DBC9BB7">
            <w:pPr>
              <w:jc w:val="center"/>
              <w:rPr>
                <w:rFonts w:cstheme="minorHAnsi"/>
                <w:b/>
              </w:rPr>
            </w:pPr>
            <w:r>
              <w:rPr>
                <w:rFonts w:cstheme="minorHAnsi"/>
                <w:b/>
              </w:rPr>
              <w:t>B</w:t>
            </w:r>
          </w:p>
        </w:tc>
        <w:tc>
          <w:tcPr>
            <w:tcW w:w="2127"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117AFDF5">
            <w:pPr>
              <w:jc w:val="center"/>
              <w:rPr>
                <w:rFonts w:cstheme="minorHAnsi"/>
                <w:b/>
              </w:rPr>
            </w:pPr>
            <w:r>
              <w:rPr>
                <w:rFonts w:cstheme="minorHAnsi"/>
                <w:b/>
              </w:rPr>
              <w:t>C</w:t>
            </w:r>
          </w:p>
        </w:tc>
      </w:tr>
      <w:tr w14:paraId="589D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715" w:type="dxa"/>
            <w:vMerge w:val="continue"/>
            <w:tcBorders>
              <w:top w:val="single" w:color="auto" w:sz="2" w:space="0"/>
              <w:left w:val="single" w:color="auto" w:sz="2" w:space="0"/>
              <w:bottom w:val="single" w:color="auto" w:sz="2" w:space="0"/>
              <w:right w:val="single" w:color="auto" w:sz="2" w:space="0"/>
              <w:tl2br w:val="single" w:color="auto" w:sz="2" w:space="0"/>
            </w:tcBorders>
          </w:tcPr>
          <w:p w14:paraId="1A1D1363">
            <w:pPr>
              <w:spacing w:line="440" w:lineRule="exact"/>
              <w:ind w:right="280"/>
              <w:jc w:val="right"/>
              <w:rPr>
                <w:rFonts w:cstheme="minorHAnsi"/>
                <w:b/>
                <w:color w:val="000000"/>
              </w:rPr>
            </w:pPr>
          </w:p>
        </w:tc>
        <w:tc>
          <w:tcPr>
            <w:tcW w:w="2126" w:type="dxa"/>
            <w:tcBorders>
              <w:top w:val="single" w:color="auto" w:sz="2" w:space="0"/>
              <w:left w:val="single" w:color="auto" w:sz="2" w:space="0"/>
              <w:bottom w:val="single" w:color="auto" w:sz="2" w:space="0"/>
              <w:right w:val="single" w:color="auto" w:sz="2" w:space="0"/>
            </w:tcBorders>
            <w:vAlign w:val="center"/>
          </w:tcPr>
          <w:p w14:paraId="687D6F9D">
            <w:pPr>
              <w:spacing w:line="440" w:lineRule="exact"/>
              <w:jc w:val="center"/>
              <w:rPr>
                <w:b/>
              </w:rPr>
            </w:pPr>
            <w:r>
              <w:rPr>
                <w:rFonts w:hint="eastAsia"/>
                <w:b/>
              </w:rPr>
              <w:t>磋商报价</w:t>
            </w:r>
            <w:r>
              <w:rPr>
                <w:b/>
              </w:rPr>
              <w:t>（元）</w:t>
            </w:r>
          </w:p>
        </w:tc>
        <w:tc>
          <w:tcPr>
            <w:tcW w:w="2127" w:type="dxa"/>
            <w:tcBorders>
              <w:top w:val="single" w:color="auto" w:sz="2" w:space="0"/>
              <w:left w:val="single" w:color="auto" w:sz="2" w:space="0"/>
              <w:bottom w:val="single" w:color="auto" w:sz="2" w:space="0"/>
              <w:right w:val="single" w:color="auto" w:sz="2" w:space="0"/>
            </w:tcBorders>
            <w:vAlign w:val="center"/>
          </w:tcPr>
          <w:p w14:paraId="51A2E571">
            <w:pPr>
              <w:jc w:val="center"/>
              <w:rPr>
                <w:b/>
              </w:rPr>
            </w:pPr>
            <w:r>
              <w:rPr>
                <w:rFonts w:hint="eastAsia"/>
                <w:b/>
              </w:rPr>
              <w:t>工程</w:t>
            </w:r>
            <w:r>
              <w:rPr>
                <w:b/>
              </w:rPr>
              <w:t>质量等级</w:t>
            </w:r>
          </w:p>
        </w:tc>
        <w:tc>
          <w:tcPr>
            <w:tcW w:w="2127" w:type="dxa"/>
            <w:tcBorders>
              <w:top w:val="single" w:color="auto" w:sz="2" w:space="0"/>
              <w:left w:val="single" w:color="auto" w:sz="2" w:space="0"/>
              <w:bottom w:val="single" w:color="auto" w:sz="2" w:space="0"/>
              <w:right w:val="single" w:color="auto" w:sz="2" w:space="0"/>
            </w:tcBorders>
            <w:vAlign w:val="center"/>
          </w:tcPr>
          <w:p w14:paraId="2F2FD226">
            <w:pPr>
              <w:jc w:val="center"/>
              <w:rPr>
                <w:b/>
              </w:rPr>
            </w:pPr>
            <w:r>
              <w:rPr>
                <w:rFonts w:hint="eastAsia"/>
                <w:b/>
              </w:rPr>
              <w:t>工期</w:t>
            </w:r>
          </w:p>
        </w:tc>
      </w:tr>
      <w:tr w14:paraId="39C3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715" w:type="dxa"/>
            <w:tcBorders>
              <w:top w:val="single" w:color="auto" w:sz="2" w:space="0"/>
              <w:left w:val="single" w:color="auto" w:sz="2" w:space="0"/>
              <w:bottom w:val="single" w:color="auto" w:sz="2" w:space="0"/>
              <w:right w:val="single" w:color="auto" w:sz="2" w:space="0"/>
            </w:tcBorders>
            <w:vAlign w:val="center"/>
          </w:tcPr>
          <w:p w14:paraId="35544394">
            <w:pPr>
              <w:spacing w:line="440" w:lineRule="exact"/>
              <w:jc w:val="center"/>
              <w:rPr>
                <w:rFonts w:cstheme="minorHAnsi"/>
                <w:color w:val="C00000"/>
                <w:sz w:val="21"/>
                <w:szCs w:val="21"/>
              </w:rPr>
            </w:pPr>
            <w:r>
              <w:rPr>
                <w:rFonts w:cstheme="minorHAnsi"/>
                <w:color w:val="C00000"/>
                <w:sz w:val="21"/>
                <w:szCs w:val="21"/>
              </w:rPr>
              <w:t>［项目名称］</w:t>
            </w:r>
          </w:p>
          <w:p w14:paraId="7CB150E4">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126" w:type="dxa"/>
            <w:tcBorders>
              <w:top w:val="single" w:color="auto" w:sz="2" w:space="0"/>
              <w:left w:val="single" w:color="auto" w:sz="2" w:space="0"/>
              <w:bottom w:val="single" w:color="auto" w:sz="2" w:space="0"/>
              <w:right w:val="single" w:color="auto" w:sz="2" w:space="0"/>
            </w:tcBorders>
            <w:vAlign w:val="center"/>
          </w:tcPr>
          <w:p w14:paraId="397929A6">
            <w:pPr>
              <w:spacing w:line="440" w:lineRule="exact"/>
              <w:jc w:val="center"/>
              <w:rPr>
                <w:rFonts w:cstheme="minorHAnsi"/>
                <w:color w:val="000000"/>
              </w:rPr>
            </w:pPr>
          </w:p>
        </w:tc>
        <w:tc>
          <w:tcPr>
            <w:tcW w:w="2127" w:type="dxa"/>
            <w:tcBorders>
              <w:top w:val="single" w:color="auto" w:sz="2" w:space="0"/>
              <w:left w:val="single" w:color="auto" w:sz="2" w:space="0"/>
              <w:bottom w:val="single" w:color="auto" w:sz="2" w:space="0"/>
              <w:right w:val="single" w:color="auto" w:sz="2" w:space="0"/>
            </w:tcBorders>
          </w:tcPr>
          <w:p w14:paraId="16E3FA4C">
            <w:pPr>
              <w:spacing w:line="440" w:lineRule="exact"/>
              <w:jc w:val="center"/>
              <w:rPr>
                <w:rFonts w:cstheme="minorHAnsi"/>
                <w:color w:val="000000"/>
              </w:rPr>
            </w:pPr>
          </w:p>
        </w:tc>
        <w:tc>
          <w:tcPr>
            <w:tcW w:w="2127" w:type="dxa"/>
            <w:tcBorders>
              <w:top w:val="single" w:color="auto" w:sz="2" w:space="0"/>
              <w:left w:val="single" w:color="auto" w:sz="2" w:space="0"/>
              <w:bottom w:val="single" w:color="auto" w:sz="2" w:space="0"/>
              <w:right w:val="single" w:color="auto" w:sz="2" w:space="0"/>
            </w:tcBorders>
            <w:vAlign w:val="center"/>
          </w:tcPr>
          <w:p w14:paraId="783F91A7">
            <w:pPr>
              <w:spacing w:line="440" w:lineRule="exact"/>
              <w:jc w:val="center"/>
              <w:rPr>
                <w:rFonts w:cstheme="minorHAnsi"/>
                <w:color w:val="000000"/>
              </w:rPr>
            </w:pPr>
          </w:p>
        </w:tc>
      </w:tr>
    </w:tbl>
    <w:p w14:paraId="245F5DC2">
      <w:r>
        <w:rPr>
          <w:rFonts w:cstheme="minorHAnsi"/>
          <w:color w:val="000000"/>
        </w:rPr>
        <w:t>供应商：（</w:t>
      </w:r>
      <w:r>
        <w:rPr>
          <w:rFonts w:cstheme="minorHAnsi"/>
          <w:i/>
          <w:color w:val="7030A0"/>
        </w:rPr>
        <w:t>供应商全称并加盖公章</w:t>
      </w:r>
      <w:r>
        <w:rPr>
          <w:rFonts w:cstheme="minorHAnsi"/>
          <w:color w:val="000000"/>
        </w:rPr>
        <w:t>）</w:t>
      </w:r>
    </w:p>
    <w:p w14:paraId="799C9A90">
      <w:pPr>
        <w:spacing w:before="230" w:beforeLines="50"/>
        <w:jc w:val="both"/>
        <w:rPr>
          <w:kern w:val="24"/>
        </w:rPr>
      </w:pPr>
    </w:p>
    <w:p w14:paraId="07E28445">
      <w:pPr>
        <w:jc w:val="both"/>
        <w:rPr>
          <w:kern w:val="24"/>
        </w:rPr>
      </w:pPr>
      <w:r>
        <w:rPr>
          <w:kern w:val="24"/>
        </w:rPr>
        <w:t>〖注〗以下情况按无效响应处理：</w:t>
      </w:r>
    </w:p>
    <w:p w14:paraId="17F90B95">
      <w:pPr>
        <w:ind w:firstLine="480" w:firstLineChars="200"/>
        <w:jc w:val="both"/>
        <w:rPr>
          <w:kern w:val="24"/>
        </w:rPr>
      </w:pPr>
      <w:r>
        <w:rPr>
          <w:kern w:val="24"/>
        </w:rPr>
        <w:t>1．A栏未按阿拉伯小写金额样式填写，B栏未填写</w:t>
      </w:r>
      <w:r>
        <w:rPr>
          <w:rFonts w:hint="eastAsia"/>
          <w:kern w:val="24"/>
        </w:rPr>
        <w:t>工程质量等级，</w:t>
      </w:r>
      <w:r>
        <w:rPr>
          <w:kern w:val="24"/>
        </w:rPr>
        <w:t>C栏未填写交付期。</w:t>
      </w:r>
    </w:p>
    <w:p w14:paraId="10D1FFFD">
      <w:pPr>
        <w:ind w:firstLine="480" w:firstLineChars="200"/>
        <w:jc w:val="both"/>
        <w:rPr>
          <w:kern w:val="24"/>
        </w:rPr>
      </w:pPr>
      <w:r>
        <w:rPr>
          <w:kern w:val="24"/>
        </w:rPr>
        <w:t>2．</w:t>
      </w:r>
      <w:r>
        <w:rPr>
          <w:rFonts w:hint="eastAsia"/>
          <w:kern w:val="24"/>
        </w:rPr>
        <w:t>磋商报价</w:t>
      </w:r>
      <w:r>
        <w:rPr>
          <w:kern w:val="24"/>
        </w:rPr>
        <w:t>超过本</w:t>
      </w:r>
      <w:r>
        <w:rPr>
          <w:rFonts w:hint="eastAsia"/>
          <w:kern w:val="24"/>
        </w:rPr>
        <w:t>项目</w:t>
      </w:r>
      <w:r>
        <w:rPr>
          <w:kern w:val="24"/>
        </w:rPr>
        <w:t>预算的。</w:t>
      </w:r>
    </w:p>
    <w:p w14:paraId="6CC92968">
      <w:pPr>
        <w:rPr>
          <w:rFonts w:ascii="黑体" w:hAnsi="黑体" w:eastAsia="黑体" w:cs="Calibri Light"/>
          <w:color w:val="1F4E79"/>
          <w:sz w:val="32"/>
          <w:szCs w:val="36"/>
        </w:rPr>
      </w:pPr>
      <w:r>
        <w:rPr>
          <w:rFonts w:ascii="黑体" w:hAnsi="黑体" w:eastAsia="黑体" w:cs="Calibri Light"/>
          <w:color w:val="1F4E79"/>
          <w:sz w:val="32"/>
          <w:szCs w:val="36"/>
        </w:rPr>
        <w:br w:type="page"/>
      </w:r>
    </w:p>
    <w:p w14:paraId="70336D8E">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已标价</w:t>
      </w:r>
      <w:r>
        <w:rPr>
          <w:rFonts w:ascii="黑体" w:hAnsi="黑体" w:eastAsia="黑体" w:cs="Calibri Light"/>
          <w:color w:val="1F4E79"/>
          <w:sz w:val="32"/>
          <w:szCs w:val="36"/>
        </w:rPr>
        <w:t>的工程量清单</w:t>
      </w:r>
    </w:p>
    <w:p w14:paraId="699BF63F">
      <w:pPr>
        <w:outlineLvl w:val="2"/>
        <w:rPr>
          <w:rFonts w:ascii="黑体" w:hAnsi="黑体" w:eastAsia="黑体" w:cs="Calibri Light"/>
          <w:color w:val="1F4E79"/>
          <w:sz w:val="32"/>
          <w:szCs w:val="36"/>
        </w:rPr>
      </w:pPr>
    </w:p>
    <w:p w14:paraId="2D4F2EEF">
      <w:pPr>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21E4CA65">
      <w:pPr>
        <w:tabs>
          <w:tab w:val="left" w:pos="5670"/>
        </w:tabs>
        <w:ind w:firstLine="480" w:firstLineChars="200"/>
        <w:jc w:val="both"/>
        <w:rPr>
          <w:rFonts w:asciiTheme="minorEastAsia" w:hAnsiTheme="minorEastAsia" w:cstheme="minorHAnsi"/>
          <w:b/>
          <w:color w:val="C00000"/>
        </w:rPr>
      </w:pPr>
    </w:p>
    <w:p w14:paraId="71BB681B">
      <w:pPr>
        <w:tabs>
          <w:tab w:val="left" w:pos="5670"/>
        </w:tabs>
        <w:jc w:val="center"/>
        <w:rPr>
          <w:rFonts w:cs="Calibri Light"/>
          <w:b/>
          <w:color w:val="000000"/>
        </w:rPr>
      </w:pPr>
      <w:r>
        <w:rPr>
          <w:rFonts w:cs="Calibri Light"/>
          <w:b/>
          <w:color w:val="1F4E79"/>
          <w:sz w:val="28"/>
          <w:szCs w:val="36"/>
        </w:rPr>
        <w:t>『中小企业声明函』（工程类格式）</w:t>
      </w:r>
    </w:p>
    <w:p w14:paraId="3D95C819">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的采购活动，工程的施工单位全部为符合政策要求的中小企业。相关企业（含联合体中的中小企业、签订分包意向协议的中小企业）的具体情况如下：</w:t>
      </w:r>
    </w:p>
    <w:p w14:paraId="362A3D5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；承建企业为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D7F759E">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；承建企业为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DCFE76B">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5BEDD67A">
      <w:pPr>
        <w:ind w:firstLine="480" w:firstLineChars="200"/>
        <w:jc w:val="both"/>
      </w:pPr>
      <w:r>
        <w:t>以上企业，不属于大企业的分支机构，不存在控股股东为大企业的情形，也不存在与大企业的负责人为同一人的情形。</w:t>
      </w:r>
    </w:p>
    <w:p w14:paraId="4E49E1A8">
      <w:pPr>
        <w:ind w:firstLine="480" w:firstLineChars="200"/>
        <w:jc w:val="both"/>
      </w:pPr>
      <w:r>
        <w:t>本企业对上述声明内容的真实性负责。如有虚假，将依法承担相应责任。</w:t>
      </w:r>
    </w:p>
    <w:p w14:paraId="0362D3FC">
      <w:pPr>
        <w:ind w:firstLine="480" w:firstLineChars="200"/>
        <w:jc w:val="both"/>
      </w:pPr>
    </w:p>
    <w:p w14:paraId="016B17E2">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047FE876">
      <w:pPr>
        <w:tabs>
          <w:tab w:val="left" w:pos="5670"/>
        </w:tabs>
        <w:ind w:firstLine="480" w:firstLineChars="200"/>
        <w:jc w:val="both"/>
        <w:rPr>
          <w:rFonts w:cstheme="minorHAnsi"/>
          <w:color w:val="7030A0"/>
        </w:rPr>
      </w:pPr>
      <w:r>
        <w:rPr>
          <w:rFonts w:cs="Calibri Light"/>
          <w:color w:val="000000"/>
        </w:rPr>
        <w:t>日　期：　　年　月　日</w:t>
      </w:r>
    </w:p>
    <w:p w14:paraId="3FF906A3">
      <w:pPr>
        <w:tabs>
          <w:tab w:val="left" w:pos="5670"/>
        </w:tabs>
        <w:ind w:firstLine="480" w:firstLineChars="200"/>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hAnsi="Calibri" w:eastAsia="黑体"/>
          <w:kern w:val="28"/>
          <w:sz w:val="28"/>
        </w:rP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3B2C5C72">
      <w:pPr>
        <w:spacing w:before="460" w:beforeLines="100" w:after="460" w:afterLines="100"/>
        <w:jc w:val="center"/>
        <w:rPr>
          <w:rFonts w:ascii="黑体" w:hAnsi="宋体" w:eastAsia="黑体"/>
          <w:sz w:val="28"/>
          <w:szCs w:val="28"/>
        </w:rPr>
      </w:pPr>
      <w:r>
        <w:rPr>
          <w:rFonts w:hint="eastAsia" w:ascii="黑体" w:hAnsi="宋体" w:eastAsia="黑体"/>
          <w:sz w:val="28"/>
          <w:szCs w:val="28"/>
        </w:rPr>
        <w:t>承诺书</w:t>
      </w:r>
    </w:p>
    <w:p w14:paraId="3F8FA587">
      <w:pPr>
        <w:spacing w:line="440" w:lineRule="exact"/>
        <w:ind w:firstLine="480" w:firstLineChars="200"/>
        <w:rPr>
          <w:rFonts w:asciiTheme="minorEastAsia" w:hAnsiTheme="minorEastAsia"/>
        </w:rPr>
      </w:pPr>
      <w:r>
        <w:rPr>
          <w:rFonts w:hint="eastAsia" w:asciiTheme="minorEastAsia" w:hAnsiTheme="minorEastAsia"/>
        </w:rPr>
        <w:t>我方在此声明，我方拟派往</w:t>
      </w:r>
      <w:r>
        <w:rPr>
          <w:rFonts w:asciiTheme="minorEastAsia" w:hAnsiTheme="minorEastAsia" w:cstheme="minorHAnsi"/>
          <w:color w:val="C00000"/>
        </w:rPr>
        <w:t>［</w:t>
      </w:r>
      <w:r>
        <w:rPr>
          <w:rFonts w:asciiTheme="minorEastAsia" w:hAnsiTheme="minorEastAsia" w:cstheme="minorHAnsi"/>
          <w:color w:val="C00000"/>
          <w:u w:val="single"/>
        </w:rPr>
        <w:t>项目名称</w:t>
      </w:r>
      <w:r>
        <w:rPr>
          <w:rFonts w:asciiTheme="minorEastAsia" w:hAnsiTheme="minorEastAsia" w:cstheme="minorHAnsi"/>
          <w:color w:val="C00000"/>
        </w:rPr>
        <w:t>］</w:t>
      </w:r>
      <w:r>
        <w:rPr>
          <w:rFonts w:asciiTheme="minorEastAsia" w:hAnsiTheme="minorEastAsia" w:cstheme="minorHAnsi"/>
        </w:rPr>
        <w:t>（项目编号：</w:t>
      </w:r>
      <w:r>
        <w:rPr>
          <w:rFonts w:asciiTheme="minorEastAsia" w:hAnsiTheme="minorEastAsia" w:cstheme="minorHAnsi"/>
          <w:color w:val="C00000"/>
        </w:rPr>
        <w:t>［</w:t>
      </w:r>
      <w:r>
        <w:rPr>
          <w:rFonts w:asciiTheme="minorEastAsia" w:hAnsiTheme="minorEastAsia" w:cstheme="minorHAnsi"/>
          <w:color w:val="C00000"/>
          <w:u w:val="single"/>
        </w:rPr>
        <w:t>项目编号</w:t>
      </w:r>
      <w:r>
        <w:rPr>
          <w:rFonts w:asciiTheme="minorEastAsia" w:hAnsiTheme="minorEastAsia" w:cstheme="minorHAnsi"/>
          <w:color w:val="C00000"/>
        </w:rPr>
        <w:t>］</w:t>
      </w:r>
      <w:r>
        <w:rPr>
          <w:rFonts w:asciiTheme="minorEastAsia" w:hAnsiTheme="minorEastAsia" w:cstheme="minorHAnsi"/>
        </w:rPr>
        <w:t>）</w:t>
      </w:r>
      <w:r>
        <w:rPr>
          <w:rFonts w:hint="eastAsia" w:asciiTheme="minorEastAsia" w:hAnsiTheme="minorEastAsia" w:cstheme="minorHAnsi"/>
          <w:color w:val="C00000"/>
        </w:rPr>
        <w:t>采购包</w:t>
      </w:r>
      <w:r>
        <w:rPr>
          <w:rFonts w:asciiTheme="minorEastAsia" w:hAnsiTheme="minorEastAsia" w:cstheme="minorHAnsi"/>
          <w:color w:val="C00000"/>
        </w:rPr>
        <w:t>［___］</w:t>
      </w:r>
      <w:r>
        <w:rPr>
          <w:rFonts w:hint="eastAsia" w:asciiTheme="minorEastAsia" w:hAnsiTheme="minorEastAsia"/>
        </w:rPr>
        <w:t>的项目经理</w:t>
      </w:r>
      <w:r>
        <w:rPr>
          <w:rFonts w:hint="eastAsia" w:asciiTheme="minorEastAsia" w:hAnsiTheme="minorEastAsia"/>
          <w:u w:val="single"/>
        </w:rPr>
        <w:t xml:space="preserve">           </w:t>
      </w:r>
      <w:r>
        <w:rPr>
          <w:rFonts w:hint="eastAsia" w:asciiTheme="minorEastAsia" w:hAnsiTheme="minorEastAsia"/>
        </w:rPr>
        <w:t>（项目经理姓名）现阶段没有担任任何在施建设工程项目的项目经理。</w:t>
      </w:r>
    </w:p>
    <w:p w14:paraId="04CE0609">
      <w:pPr>
        <w:spacing w:line="440" w:lineRule="exact"/>
        <w:ind w:firstLine="480" w:firstLineChars="200"/>
        <w:rPr>
          <w:rFonts w:asciiTheme="minorEastAsia" w:hAnsiTheme="minorEastAsia"/>
        </w:rPr>
      </w:pPr>
      <w:r>
        <w:rPr>
          <w:rFonts w:hint="eastAsia" w:asciiTheme="minorEastAsia" w:hAnsiTheme="minorEastAsia"/>
        </w:rPr>
        <w:t>我方保证上述信息的真实和准确，并愿意承担因我方就此弄虚作假所引起的一切法律后果。</w:t>
      </w:r>
    </w:p>
    <w:p w14:paraId="6ECA4083">
      <w:pPr>
        <w:spacing w:line="440" w:lineRule="exact"/>
        <w:ind w:firstLine="480" w:firstLineChars="200"/>
        <w:rPr>
          <w:rFonts w:asciiTheme="minorEastAsia" w:hAnsiTheme="minorEastAsia"/>
        </w:rPr>
      </w:pPr>
    </w:p>
    <w:p w14:paraId="6019D919">
      <w:pPr>
        <w:spacing w:line="440" w:lineRule="exact"/>
        <w:ind w:firstLine="480" w:firstLineChars="200"/>
        <w:rPr>
          <w:rFonts w:asciiTheme="minorEastAsia" w:hAnsiTheme="minorEastAsia"/>
        </w:rPr>
      </w:pPr>
    </w:p>
    <w:p w14:paraId="5AAA897E">
      <w:pPr>
        <w:spacing w:line="440" w:lineRule="exact"/>
        <w:ind w:firstLine="480" w:firstLineChars="200"/>
        <w:rPr>
          <w:rFonts w:asciiTheme="minorEastAsia" w:hAnsiTheme="minorEastAsia"/>
        </w:rPr>
      </w:pPr>
      <w:r>
        <w:rPr>
          <w:rFonts w:hint="eastAsia" w:asciiTheme="minorEastAsia" w:hAnsiTheme="minorEastAsia"/>
        </w:rPr>
        <w:t>特此承诺</w:t>
      </w:r>
    </w:p>
    <w:p w14:paraId="5B6998D0">
      <w:pPr>
        <w:spacing w:line="440" w:lineRule="exact"/>
        <w:ind w:firstLine="480" w:firstLineChars="200"/>
        <w:rPr>
          <w:rFonts w:asciiTheme="minorEastAsia" w:hAnsiTheme="minorEastAsia"/>
        </w:rPr>
      </w:pPr>
    </w:p>
    <w:p w14:paraId="7D184EEE">
      <w:pPr>
        <w:spacing w:line="440" w:lineRule="exact"/>
        <w:ind w:firstLine="480" w:firstLineChars="200"/>
        <w:rPr>
          <w:rFonts w:asciiTheme="minorEastAsia" w:hAnsiTheme="minorEastAsia"/>
        </w:rPr>
      </w:pPr>
    </w:p>
    <w:p w14:paraId="28990BD4">
      <w:pPr>
        <w:tabs>
          <w:tab w:val="left" w:pos="5670"/>
        </w:tabs>
        <w:ind w:firstLine="480" w:firstLineChars="200"/>
        <w:rPr>
          <w:rFonts w:cs="Calibri Light" w:asciiTheme="minorEastAsia" w:hAnsiTheme="minorEastAsia"/>
          <w:color w:val="000000"/>
        </w:rPr>
      </w:pPr>
      <w:r>
        <w:rPr>
          <w:rFonts w:asciiTheme="minorEastAsia" w:hAnsiTheme="minorEastAsia"/>
          <w:color w:val="000000"/>
        </w:rPr>
        <w:t>供应商：（</w:t>
      </w:r>
      <w:r>
        <w:rPr>
          <w:rFonts w:asciiTheme="minorEastAsia" w:hAnsiTheme="minorEastAsia"/>
          <w:i/>
          <w:color w:val="7030A0"/>
        </w:rPr>
        <w:t>供应商全称并加盖公章</w:t>
      </w:r>
      <w:r>
        <w:rPr>
          <w:rFonts w:asciiTheme="minorEastAsia" w:hAnsiTheme="minorEastAsia"/>
          <w:color w:val="000000"/>
        </w:rPr>
        <w:t>）</w:t>
      </w:r>
    </w:p>
    <w:p w14:paraId="1267982A">
      <w:pPr>
        <w:tabs>
          <w:tab w:val="left" w:pos="5670"/>
        </w:tabs>
        <w:ind w:firstLine="480" w:firstLineChars="200"/>
        <w:rPr>
          <w:rFonts w:cs="Calibri Light" w:asciiTheme="minorEastAsia" w:hAnsiTheme="minorEastAsia"/>
          <w:color w:val="000000"/>
        </w:rPr>
      </w:pPr>
      <w:r>
        <w:rPr>
          <w:rFonts w:cs="Calibri Light" w:asciiTheme="minorEastAsia" w:hAnsiTheme="minorEastAsia"/>
          <w:color w:val="000000"/>
        </w:rPr>
        <w:t>日　期：　　年　月　日</w:t>
      </w:r>
    </w:p>
    <w:p w14:paraId="770AED3A">
      <w:pPr>
        <w:jc w:val="both"/>
        <w:rPr>
          <w:rFonts w:ascii="Calibri" w:hAnsi="Calibri" w:eastAsia="黑体"/>
          <w:kern w:val="28"/>
          <w:sz w:val="28"/>
        </w:rPr>
      </w:pPr>
    </w:p>
    <w:p w14:paraId="7C0D6F00">
      <w:pPr>
        <w:jc w:val="both"/>
        <w:rPr>
          <w:rFonts w:ascii="Calibri" w:hAnsi="Calibri" w:eastAsia="黑体"/>
          <w:kern w:val="28"/>
          <w:sz w:val="28"/>
        </w:rPr>
      </w:pPr>
    </w:p>
    <w:p w14:paraId="7E7DCCF2">
      <w:pPr>
        <w:jc w:val="both"/>
        <w:rPr>
          <w:rFonts w:ascii="Calibri" w:hAnsi="Calibri" w:eastAsia="黑体"/>
          <w:kern w:val="28"/>
          <w:sz w:val="28"/>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黑体" w:hAnsi="黑体" w:eastAsia="黑体"/>
          <w:sz w:val="28"/>
          <w:szCs w:val="28"/>
        </w:rPr>
      </w:pPr>
      <w:r>
        <w:rPr>
          <w:rFonts w:ascii="黑体" w:hAnsi="黑体" w:eastAsia="黑体"/>
          <w:sz w:val="28"/>
          <w:szCs w:val="28"/>
        </w:rPr>
        <w:t>（一）技术（服务）条款响应</w:t>
      </w:r>
    </w:p>
    <w:p w14:paraId="6A34FB30">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77EAE1D6">
      <w:pPr>
        <w:jc w:val="center"/>
        <w:rPr>
          <w:rFonts w:cstheme="minorHAnsi"/>
          <w:b/>
        </w:rPr>
      </w:pPr>
      <w:r>
        <w:rPr>
          <w:rFonts w:cstheme="minorHAnsi"/>
          <w:b/>
        </w:rPr>
        <w:t>2</w:t>
      </w:r>
      <w:r>
        <w:rPr>
          <w:rFonts w:hint="eastAsia" w:cstheme="minorHAnsi"/>
          <w:b/>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4C820B02">
      <w:pPr>
        <w:rPr>
          <w:rFonts w:asciiTheme="minorEastAsia" w:hAnsiTheme="minorEastAsia"/>
        </w:rPr>
      </w:pPr>
      <w:r>
        <w:rPr>
          <w:rFonts w:hint="eastAsia" w:asciiTheme="minorEastAsia" w:hAnsiTheme="minorEastAsia"/>
        </w:rPr>
        <w:t>1．施工组织方案</w:t>
      </w:r>
    </w:p>
    <w:p w14:paraId="33ED1A67">
      <w:pPr>
        <w:rPr>
          <w:rFonts w:asciiTheme="minorEastAsia" w:hAnsiTheme="minorEastAsia"/>
        </w:rPr>
      </w:pPr>
    </w:p>
    <w:p w14:paraId="2A1AB09E">
      <w:pPr>
        <w:rPr>
          <w:rFonts w:asciiTheme="minorEastAsia" w:hAnsiTheme="minorEastAsia"/>
        </w:rPr>
      </w:pPr>
      <w:r>
        <w:rPr>
          <w:rFonts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24D19D26">
      <w:pPr>
        <w:rPr>
          <w:rFonts w:asciiTheme="minorEastAsia" w:hAnsiTheme="minorEastAsia" w:cstheme="minorHAnsi"/>
          <w:b/>
          <w:color w:val="000000"/>
          <w:kern w:val="24"/>
        </w:rPr>
      </w:pPr>
    </w:p>
    <w:p w14:paraId="18867062">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．主材性能</w:t>
      </w:r>
    </w:p>
    <w:p w14:paraId="78920E34">
      <w:pPr>
        <w:rPr>
          <w:rFonts w:asciiTheme="minorEastAsia" w:hAnsiTheme="minorEastAsia" w:cstheme="minorHAnsi"/>
          <w:b/>
          <w:color w:val="000000"/>
          <w:kern w:val="24"/>
        </w:rPr>
      </w:pPr>
    </w:p>
    <w:p w14:paraId="1637E059">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．验收与售后</w:t>
      </w:r>
    </w:p>
    <w:p w14:paraId="78A668C1">
      <w:pPr>
        <w:rPr>
          <w:rFonts w:asciiTheme="minorEastAsia" w:hAnsiTheme="minorEastAsia" w:cstheme="minorHAnsi"/>
          <w:b/>
          <w:color w:val="000000"/>
          <w:kern w:val="24"/>
        </w:rPr>
      </w:pPr>
    </w:p>
    <w:p w14:paraId="230DBDAF">
      <w:pPr>
        <w:rPr>
          <w:rFonts w:asciiTheme="minorEastAsia" w:hAnsiTheme="minorEastAsia" w:cstheme="minorHAnsi"/>
          <w:b/>
          <w:color w:val="000000"/>
          <w:kern w:val="24"/>
        </w:rPr>
      </w:pPr>
      <w:r>
        <w:rPr>
          <w:rFonts w:asciiTheme="minorEastAsia" w:hAnsiTheme="minorEastAsia" w:cstheme="minorHAnsi"/>
          <w:b/>
          <w:color w:val="000000"/>
          <w:kern w:val="24"/>
        </w:rPr>
        <w:t>……</w:t>
      </w: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bookmarkStart w:id="38" w:name="OLE_LINK27"/>
      <w:bookmarkStart w:id="39" w:name="OLE_LINK28"/>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48D38801">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bookmarkEnd w:id="38"/>
    <w:bookmarkEnd w:id="39"/>
    <w:p w14:paraId="7880822C"/>
    <w:sectPr>
      <w:footerReference r:id="rId27" w:type="default"/>
      <w:footerReference r:id="rId28"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D51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899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641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ED8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D5C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F35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61DE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9B9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C63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B94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B271">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1331">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385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00C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08A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377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35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254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34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F08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西安市消防救援支队鄠邑大队振兴北路消防救援站围墙修缮采购项目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西安市消防救援支队鄠邑大队振兴北路消防救援站围墙修缮采购项目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西安市消防救援支队鄠邑大队振兴北路消防救援站围墙修缮采购项目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常巧利">
    <w15:presenceInfo w15:providerId="WPS Office" w15:userId="315832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trackRevisions w:val="1"/>
  <w:documentProtection w:edit="trackedChanges" w:enforcement="1" w:cryptProviderType="rsaAES" w:cryptAlgorithmClass="hash" w:cryptAlgorithmType="typeAny" w:cryptAlgorithmSid="14" w:cryptSpinCount="100000" w:hash="Fwjl67fXOcOAcKXbd+zC4k5MT69elH6c9NrpFV/Myk6rt/BoLKECkiJ1faoxg8+p6cVDOIaZSEyCuFhKbigLUA==" w:salt="3QmIkqwlwQVaG5njhHguOA=="/>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653"/>
    <w:rsid w:val="0001474C"/>
    <w:rsid w:val="00014DAF"/>
    <w:rsid w:val="00015802"/>
    <w:rsid w:val="00016042"/>
    <w:rsid w:val="000162A2"/>
    <w:rsid w:val="00017463"/>
    <w:rsid w:val="00017CC4"/>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6B8"/>
    <w:rsid w:val="00032BB4"/>
    <w:rsid w:val="00032CC1"/>
    <w:rsid w:val="00033096"/>
    <w:rsid w:val="00033377"/>
    <w:rsid w:val="00033B5A"/>
    <w:rsid w:val="00035CCD"/>
    <w:rsid w:val="00037B29"/>
    <w:rsid w:val="00037D01"/>
    <w:rsid w:val="00037F2F"/>
    <w:rsid w:val="00037FD3"/>
    <w:rsid w:val="000403A2"/>
    <w:rsid w:val="00040799"/>
    <w:rsid w:val="00040973"/>
    <w:rsid w:val="0004333D"/>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3DD"/>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EE7"/>
    <w:rsid w:val="0012507B"/>
    <w:rsid w:val="001257D4"/>
    <w:rsid w:val="0013005B"/>
    <w:rsid w:val="0013015E"/>
    <w:rsid w:val="0013081C"/>
    <w:rsid w:val="00131904"/>
    <w:rsid w:val="0013342E"/>
    <w:rsid w:val="001338D9"/>
    <w:rsid w:val="00133ADB"/>
    <w:rsid w:val="00133D92"/>
    <w:rsid w:val="00134EE2"/>
    <w:rsid w:val="001351E3"/>
    <w:rsid w:val="00135AA2"/>
    <w:rsid w:val="00135F6F"/>
    <w:rsid w:val="00136D4A"/>
    <w:rsid w:val="0013712F"/>
    <w:rsid w:val="00137CD5"/>
    <w:rsid w:val="00137E7B"/>
    <w:rsid w:val="00140177"/>
    <w:rsid w:val="00142244"/>
    <w:rsid w:val="00144DA5"/>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25A"/>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25F"/>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17A9"/>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27061"/>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589"/>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043"/>
    <w:rsid w:val="003E1503"/>
    <w:rsid w:val="003E1D0C"/>
    <w:rsid w:val="003E1D81"/>
    <w:rsid w:val="003E2F34"/>
    <w:rsid w:val="003E495F"/>
    <w:rsid w:val="003E5BF5"/>
    <w:rsid w:val="003E5CDB"/>
    <w:rsid w:val="003E5CFF"/>
    <w:rsid w:val="003E7874"/>
    <w:rsid w:val="003E7DCF"/>
    <w:rsid w:val="003F0A2D"/>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2E"/>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08B2"/>
    <w:rsid w:val="0043159B"/>
    <w:rsid w:val="004317AB"/>
    <w:rsid w:val="00431DBF"/>
    <w:rsid w:val="00431DD7"/>
    <w:rsid w:val="00433512"/>
    <w:rsid w:val="0043432D"/>
    <w:rsid w:val="00437842"/>
    <w:rsid w:val="0044006C"/>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02F8"/>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D93"/>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076"/>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12F3"/>
    <w:rsid w:val="005220F8"/>
    <w:rsid w:val="00522932"/>
    <w:rsid w:val="0052539A"/>
    <w:rsid w:val="00527C5B"/>
    <w:rsid w:val="005309DD"/>
    <w:rsid w:val="005330CB"/>
    <w:rsid w:val="0053320F"/>
    <w:rsid w:val="005340C0"/>
    <w:rsid w:val="00534E45"/>
    <w:rsid w:val="00534E48"/>
    <w:rsid w:val="00535F18"/>
    <w:rsid w:val="005366FE"/>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63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445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3906"/>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74B"/>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144"/>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161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8CF"/>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1C8"/>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E8C"/>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44C"/>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C6"/>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5710A"/>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5861"/>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DA"/>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16461"/>
    <w:rsid w:val="00B2012B"/>
    <w:rsid w:val="00B204EF"/>
    <w:rsid w:val="00B20B29"/>
    <w:rsid w:val="00B20CB9"/>
    <w:rsid w:val="00B20D52"/>
    <w:rsid w:val="00B2167C"/>
    <w:rsid w:val="00B22598"/>
    <w:rsid w:val="00B24691"/>
    <w:rsid w:val="00B246D3"/>
    <w:rsid w:val="00B24DB4"/>
    <w:rsid w:val="00B25171"/>
    <w:rsid w:val="00B256EC"/>
    <w:rsid w:val="00B262C9"/>
    <w:rsid w:val="00B269D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1B85"/>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4D61"/>
    <w:rsid w:val="00C074A8"/>
    <w:rsid w:val="00C076EF"/>
    <w:rsid w:val="00C1262A"/>
    <w:rsid w:val="00C1444A"/>
    <w:rsid w:val="00C144BA"/>
    <w:rsid w:val="00C15E59"/>
    <w:rsid w:val="00C15E84"/>
    <w:rsid w:val="00C16C84"/>
    <w:rsid w:val="00C17537"/>
    <w:rsid w:val="00C20D1A"/>
    <w:rsid w:val="00C2170A"/>
    <w:rsid w:val="00C21DB4"/>
    <w:rsid w:val="00C224CD"/>
    <w:rsid w:val="00C2391D"/>
    <w:rsid w:val="00C25539"/>
    <w:rsid w:val="00C25B4A"/>
    <w:rsid w:val="00C25C2B"/>
    <w:rsid w:val="00C264E6"/>
    <w:rsid w:val="00C2744F"/>
    <w:rsid w:val="00C32DC6"/>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567B"/>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75E"/>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0D76"/>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29E"/>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85E98"/>
    <w:rsid w:val="00D90438"/>
    <w:rsid w:val="00D90F7C"/>
    <w:rsid w:val="00D91BBB"/>
    <w:rsid w:val="00D92026"/>
    <w:rsid w:val="00D93737"/>
    <w:rsid w:val="00D93BBB"/>
    <w:rsid w:val="00D9483F"/>
    <w:rsid w:val="00D957E5"/>
    <w:rsid w:val="00D9612C"/>
    <w:rsid w:val="00D963A4"/>
    <w:rsid w:val="00D96B41"/>
    <w:rsid w:val="00D97E0B"/>
    <w:rsid w:val="00DA02CE"/>
    <w:rsid w:val="00DA0A9B"/>
    <w:rsid w:val="00DA0DFD"/>
    <w:rsid w:val="00DA26D1"/>
    <w:rsid w:val="00DA7EC9"/>
    <w:rsid w:val="00DB0ABD"/>
    <w:rsid w:val="00DB18FC"/>
    <w:rsid w:val="00DB1DFA"/>
    <w:rsid w:val="00DB240D"/>
    <w:rsid w:val="00DB2769"/>
    <w:rsid w:val="00DB36BE"/>
    <w:rsid w:val="00DB4762"/>
    <w:rsid w:val="00DB51D0"/>
    <w:rsid w:val="00DB630A"/>
    <w:rsid w:val="00DB6473"/>
    <w:rsid w:val="00DB6705"/>
    <w:rsid w:val="00DC1FC6"/>
    <w:rsid w:val="00DC3ED2"/>
    <w:rsid w:val="00DC42FC"/>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5BDE"/>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5EC"/>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535"/>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2EB3"/>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0B9"/>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72D"/>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13C"/>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A8D"/>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775AA"/>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54DE"/>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613E"/>
    <w:rsid w:val="00FD6720"/>
    <w:rsid w:val="00FD6F4D"/>
    <w:rsid w:val="00FD728F"/>
    <w:rsid w:val="00FD7324"/>
    <w:rsid w:val="00FE0559"/>
    <w:rsid w:val="00FE05A0"/>
    <w:rsid w:val="00FE0604"/>
    <w:rsid w:val="00FE0B7D"/>
    <w:rsid w:val="00FE12FC"/>
    <w:rsid w:val="00FE3884"/>
    <w:rsid w:val="00FE3FCF"/>
    <w:rsid w:val="00FE7494"/>
    <w:rsid w:val="00FF025A"/>
    <w:rsid w:val="00FF2C7E"/>
    <w:rsid w:val="00FF2E19"/>
    <w:rsid w:val="00FF568F"/>
    <w:rsid w:val="00FF7091"/>
    <w:rsid w:val="00FF70B6"/>
    <w:rsid w:val="00FF756F"/>
    <w:rsid w:val="07535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Table Text"/>
    <w:basedOn w:val="1"/>
    <w:semiHidden/>
    <w:qFormat/>
    <w:uiPriority w:val="0"/>
    <w:pPr>
      <w:widowControl w:val="0"/>
      <w:jc w:val="both"/>
    </w:pPr>
    <w:rPr>
      <w:rFonts w:ascii="Arial" w:hAnsi="Arial" w:eastAsia="Arial" w:cs="Arial"/>
      <w:kern w:val="2"/>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1E07-8F0F-486A-B5E3-6654797653DC}">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64</Pages>
  <Words>4416</Words>
  <Characters>4982</Characters>
  <Lines>1108</Lines>
  <Paragraphs>1190</Paragraphs>
  <TotalTime>1808</TotalTime>
  <ScaleCrop>false</ScaleCrop>
  <LinksUpToDate>false</LinksUpToDate>
  <CharactersWithSpaces>5051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常巧利</cp:lastModifiedBy>
  <cp:lastPrinted>2025-12-05T03:39:00Z</cp:lastPrinted>
  <dcterms:modified xsi:type="dcterms:W3CDTF">2025-12-30T09:20:50Z</dcterms:modified>
  <cp:revision>603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89722FA1EACC458E9C9F71B724420B8B_13</vt:lpwstr>
  </property>
</Properties>
</file>