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36D8">
      <w:pPr>
        <w:numPr>
          <w:ilvl w:val="0"/>
          <w:numId w:val="1"/>
        </w:numPr>
        <w:tabs>
          <w:tab w:val="left" w:pos="5954"/>
        </w:tabs>
        <w:spacing w:line="360" w:lineRule="auto"/>
        <w:jc w:val="center"/>
        <w:outlineLvl w:val="0"/>
        <w:rPr>
          <w:sz w:val="30"/>
          <w:szCs w:val="44"/>
        </w:rPr>
      </w:pPr>
      <w:bookmarkStart w:id="0" w:name="_Toc175068197"/>
      <w:bookmarkStart w:id="1" w:name="_Toc99719384"/>
      <w:bookmarkStart w:id="2" w:name="_Toc29944"/>
      <w:r>
        <w:rPr>
          <w:rFonts w:hint="eastAsia"/>
          <w:b/>
          <w:bCs/>
          <w:kern w:val="44"/>
          <w:sz w:val="30"/>
          <w:szCs w:val="44"/>
        </w:rPr>
        <w:t>技术参数及要求</w:t>
      </w:r>
      <w:bookmarkEnd w:id="0"/>
      <w:bookmarkEnd w:id="1"/>
      <w:bookmarkEnd w:id="2"/>
    </w:p>
    <w:p w14:paraId="60763A29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14767229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一、维修方案</w:t>
      </w:r>
    </w:p>
    <w:p w14:paraId="1384DAF3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总体方案是在原屋面面层上做2层SBS防水卷材，上翻500mm，设备基础全包。屋面防水维修做法:(面积约为1400m</w:t>
      </w:r>
      <w:r>
        <w:rPr>
          <w:rFonts w:hint="eastAsia" w:ascii="宋体" w:hAnsi="宋体" w:cs="宋体"/>
          <w:b w:val="0"/>
          <w:bCs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)</w:t>
      </w:r>
    </w:p>
    <w:p w14:paraId="73125CF3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(1)拆除原屋面防水卷材，基层清理;</w:t>
      </w:r>
    </w:p>
    <w:p w14:paraId="4F9170FC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(2)局部拆除原基层空鼓脱落或者面层不平整部分水泥砂浆找平层，20mm厚1:2.5水泥砂浆基层修补，面积预估为500m</w:t>
      </w:r>
      <w:r>
        <w:rPr>
          <w:rFonts w:hint="eastAsia" w:ascii="宋体" w:hAnsi="宋体" w:cs="宋体"/>
          <w:b w:val="0"/>
          <w:bCs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;</w:t>
      </w:r>
    </w:p>
    <w:p w14:paraId="7FE86DCD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(3)涂刷冷底子油两遍，铺贴3mm厚SBS改性沥青防水卷材(-20℃)两道;</w:t>
      </w:r>
    </w:p>
    <w:p w14:paraId="4248AD1C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(4)更换原直式水落口并做加强防水，详细做法详见陕02J02图集第11页，7个;</w:t>
      </w:r>
    </w:p>
    <w:p w14:paraId="5D9F7BA3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(5)更换原横式铸铁水落口并做加强防水，详细做法详见陕02J02图集第8页，6个;</w:t>
      </w:r>
    </w:p>
    <w:p w14:paraId="738BD35A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(6)泛水做法详见陕02J02图集第7页;</w:t>
      </w:r>
    </w:p>
    <w:p w14:paraId="4D4DE85A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(7)垃圾清理及外运(含垃圾清理，运输，垃圾消纳，校内道路实时打扫清理，安全警戒防护标牌和警戒线、人员防护值守等，相关手续办理、扬尘治理措施等实施内容和全部费用)，1项。</w:t>
      </w:r>
    </w:p>
    <w:p w14:paraId="44C4FBB0">
      <w:pPr>
        <w:spacing w:line="360" w:lineRule="auto"/>
        <w:ind w:firstLine="482" w:firstLineChars="200"/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二、其他详见工程量清单</w:t>
      </w:r>
    </w:p>
    <w:p w14:paraId="2285A4B7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3"/>
      <w:numFmt w:val="chineseCounting"/>
      <w:suff w:val="space"/>
      <w:lvlText w:val="第%1部分"/>
      <w:lvlJc w:val="left"/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5417C"/>
    <w:rsid w:val="3585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color w:val="993300"/>
      <w:sz w:val="24"/>
    </w:rPr>
  </w:style>
  <w:style w:type="paragraph" w:styleId="3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 w:line="324" w:lineRule="auto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2026-01-06T02:17:00Z</dcterms:created>
  <dc:creator>张娜</dc:creator>
  <cp:lastModifiedBy>张娜</cp:lastModifiedBy>
  <dcterms:modified xsi:type="dcterms:W3CDTF">2026-01-06T02:17:34Z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C3B3F7B7E8724E0E85D1A1DC8404E11C_11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