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DFD58">
      <w:pPr>
        <w:pStyle w:val="2"/>
        <w:numPr>
          <w:ilvl w:val="0"/>
          <w:numId w:val="0"/>
        </w:numPr>
        <w:ind w:leftChars="0"/>
        <w:jc w:val="center"/>
        <w:rPr>
          <w:rFonts w:hint="default"/>
          <w:b/>
          <w:sz w:val="28"/>
          <w:szCs w:val="28"/>
          <w:lang w:val="en-US"/>
        </w:rPr>
      </w:pPr>
      <w:r>
        <w:rPr>
          <w:rFonts w:hint="eastAsia" w:ascii="黑体" w:hAnsi="黑体" w:eastAsia="黑体" w:cs="黑体"/>
          <w:b w:val="0"/>
          <w:bCs/>
          <w:color w:val="000000" w:themeColor="text1"/>
          <w:sz w:val="32"/>
          <w:szCs w:val="40"/>
          <w:lang w:val="en-US" w:eastAsia="zh-CN"/>
          <w14:textFill>
            <w14:solidFill>
              <w14:schemeClr w14:val="tx1"/>
            </w14:solidFill>
          </w14:textFill>
        </w:rPr>
        <w:t>采购需求</w:t>
      </w:r>
      <w:bookmarkStart w:id="0" w:name="_GoBack"/>
      <w:bookmarkEnd w:id="0"/>
    </w:p>
    <w:tbl>
      <w:tblPr>
        <w:tblStyle w:val="4"/>
        <w:tblpPr w:leftFromText="180" w:rightFromText="180" w:vertAnchor="text" w:horzAnchor="margin" w:tblpY="216"/>
        <w:tblW w:w="94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1706"/>
        <w:gridCol w:w="5468"/>
        <w:gridCol w:w="1189"/>
      </w:tblGrid>
      <w:tr w14:paraId="2F213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60" w:type="dxa"/>
            <w:vAlign w:val="center"/>
          </w:tcPr>
          <w:p w14:paraId="15EE7CEE">
            <w:pPr>
              <w:widowControl w:val="0"/>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序号</w:t>
            </w:r>
          </w:p>
        </w:tc>
        <w:tc>
          <w:tcPr>
            <w:tcW w:w="1706" w:type="dxa"/>
            <w:vAlign w:val="center"/>
          </w:tcPr>
          <w:p w14:paraId="793B758C">
            <w:pPr>
              <w:widowControl w:val="0"/>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名称</w:t>
            </w:r>
          </w:p>
        </w:tc>
        <w:tc>
          <w:tcPr>
            <w:tcW w:w="5468" w:type="dxa"/>
            <w:vAlign w:val="center"/>
          </w:tcPr>
          <w:p w14:paraId="791979D0">
            <w:pPr>
              <w:widowControl w:val="0"/>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参数</w:t>
            </w:r>
          </w:p>
        </w:tc>
        <w:tc>
          <w:tcPr>
            <w:tcW w:w="1189" w:type="dxa"/>
            <w:vAlign w:val="center"/>
          </w:tcPr>
          <w:p w14:paraId="61630770">
            <w:pPr>
              <w:widowControl w:val="0"/>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数量</w:t>
            </w:r>
          </w:p>
        </w:tc>
      </w:tr>
      <w:tr w14:paraId="35FA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1060" w:type="dxa"/>
            <w:vAlign w:val="center"/>
          </w:tcPr>
          <w:p w14:paraId="29210B98">
            <w:pPr>
              <w:widowControl w:val="0"/>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1706" w:type="dxa"/>
            <w:vAlign w:val="center"/>
          </w:tcPr>
          <w:p w14:paraId="73C684C8">
            <w:pPr>
              <w:widowControl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超融合服务器</w:t>
            </w:r>
          </w:p>
        </w:tc>
        <w:tc>
          <w:tcPr>
            <w:tcW w:w="5468" w:type="dxa"/>
            <w:vAlign w:val="center"/>
          </w:tcPr>
          <w:p w14:paraId="3DFFB83D">
            <w:pPr>
              <w:widowControl w:val="0"/>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单服务器硬件要求：</w:t>
            </w:r>
          </w:p>
          <w:p w14:paraId="3FB067AB">
            <w:pPr>
              <w:widowControl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1、处理器：C86架构国产化芯片，单台服务器配置≥2颗处理器。单颗处理器主频≥2.5GHz，核数≥32core；</w:t>
            </w:r>
          </w:p>
          <w:p w14:paraId="6D85EC13">
            <w:pPr>
              <w:widowControl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2、内存：配置≥8*32GB (DDR5)内存；</w:t>
            </w:r>
          </w:p>
          <w:p w14:paraId="45BE96C1">
            <w:pPr>
              <w:widowControl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3、网卡：配置≥2千兆电口+4万兆光口；</w:t>
            </w:r>
          </w:p>
          <w:p w14:paraId="3BAA3BB6">
            <w:pPr>
              <w:widowControl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4、系统盘：配置≥2*480GB SSD；</w:t>
            </w:r>
          </w:p>
          <w:p w14:paraId="0CC1878B">
            <w:pPr>
              <w:widowControl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5、缓存盘：配置≥2*1.9TB；</w:t>
            </w:r>
          </w:p>
          <w:p w14:paraId="473D26B9">
            <w:pPr>
              <w:widowControl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6、数据盘：配置≥6*8T机械硬盘；</w:t>
            </w:r>
          </w:p>
          <w:p w14:paraId="5C5DB977">
            <w:pPr>
              <w:widowControl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7、电源：冗余电源；</w:t>
            </w:r>
          </w:p>
          <w:p w14:paraId="199828BA">
            <w:pPr>
              <w:widowControl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8、硬件质保3年；</w:t>
            </w:r>
          </w:p>
          <w:p w14:paraId="21E0E033">
            <w:pPr>
              <w:widowControl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9、提供配套光模块及光纤线等辅材。</w:t>
            </w:r>
          </w:p>
        </w:tc>
        <w:tc>
          <w:tcPr>
            <w:tcW w:w="1189" w:type="dxa"/>
            <w:vAlign w:val="center"/>
          </w:tcPr>
          <w:p w14:paraId="4B05BB99">
            <w:pPr>
              <w:widowControl w:val="0"/>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3台</w:t>
            </w:r>
          </w:p>
        </w:tc>
      </w:tr>
      <w:tr w14:paraId="43EF2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060" w:type="dxa"/>
            <w:vAlign w:val="center"/>
          </w:tcPr>
          <w:p w14:paraId="3E2ED98F">
            <w:pPr>
              <w:widowControl w:val="0"/>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1706" w:type="dxa"/>
            <w:vAlign w:val="center"/>
          </w:tcPr>
          <w:p w14:paraId="265D06E9">
            <w:pPr>
              <w:widowControl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超融合管理平台</w:t>
            </w:r>
          </w:p>
        </w:tc>
        <w:tc>
          <w:tcPr>
            <w:tcW w:w="5468" w:type="dxa"/>
            <w:vAlign w:val="center"/>
          </w:tcPr>
          <w:p w14:paraId="00EEDE94">
            <w:pPr>
              <w:widowControl w:val="0"/>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软件要求：</w:t>
            </w:r>
          </w:p>
          <w:p w14:paraId="04C0FCFB">
            <w:pPr>
              <w:widowControl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1、所建设平台能够实现自主可控，要求国产品牌，要求超融合产品的计算虚拟化软件、存储虚拟化软件、网络虚拟化、管理平台软件完全自主研发；（需提供承诺函等有效证明材料并加盖</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投标企业</w:t>
            </w:r>
            <w:r>
              <w:rPr>
                <w:rFonts w:hint="eastAsia" w:ascii="仿宋_GB2312" w:hAnsi="仿宋_GB2312" w:eastAsia="仿宋_GB2312" w:cs="仿宋_GB2312"/>
                <w:color w:val="000000" w:themeColor="text1"/>
                <w:sz w:val="28"/>
                <w:szCs w:val="28"/>
                <w14:textFill>
                  <w14:solidFill>
                    <w14:schemeClr w14:val="tx1"/>
                  </w14:solidFill>
                </w14:textFill>
              </w:rPr>
              <w:t>公章，所有印证材料应清晰可见）</w:t>
            </w:r>
          </w:p>
          <w:p w14:paraId="364A6518">
            <w:pPr>
              <w:widowControl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2、超融合平台需要支持虚拟机启用GPU预留机制，能够动态保障高优先级业务虚拟机需要资源时可以优先获取，支持批量修改虚拟机的配置参数；（需提供产品功能界面截图等有效证明材料并加盖</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投标企业</w:t>
            </w:r>
            <w:r>
              <w:rPr>
                <w:rFonts w:hint="eastAsia" w:ascii="仿宋_GB2312" w:hAnsi="仿宋_GB2312" w:eastAsia="仿宋_GB2312" w:cs="仿宋_GB2312"/>
                <w:color w:val="000000" w:themeColor="text1"/>
                <w:sz w:val="28"/>
                <w:szCs w:val="28"/>
                <w14:textFill>
                  <w14:solidFill>
                    <w14:schemeClr w14:val="tx1"/>
                  </w14:solidFill>
                </w14:textFill>
              </w:rPr>
              <w:t>公章）</w:t>
            </w:r>
          </w:p>
          <w:p w14:paraId="04FD538A">
            <w:pPr>
              <w:widowControl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超融合平台需要支持检测虚拟机镜像文件损坏、备份失败、虚拟机与外部网络不通的监控告警，用户可自定义告警项并支持通过邮件和短信进行告警。平台支持对故障问题进行隔离、定位及处置；（需提供产品功能界面截图等有效证明材料并加盖</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投标企业</w:t>
            </w:r>
            <w:r>
              <w:rPr>
                <w:rFonts w:hint="eastAsia" w:ascii="仿宋_GB2312" w:hAnsi="仿宋_GB2312" w:eastAsia="仿宋_GB2312" w:cs="仿宋_GB2312"/>
                <w:color w:val="000000" w:themeColor="text1"/>
                <w:sz w:val="28"/>
                <w:szCs w:val="28"/>
                <w14:textFill>
                  <w14:solidFill>
                    <w14:schemeClr w14:val="tx1"/>
                  </w14:solidFill>
                </w14:textFill>
              </w:rPr>
              <w:t>公章，所有印证材料应清晰可见）</w:t>
            </w:r>
          </w:p>
          <w:p w14:paraId="61050DC4">
            <w:pPr>
              <w:widowControl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支持巡检功能，用于快速查看超融合系统健康情况。包括：总体状况、集群状况、存储状况、网络状况、告警信息状况和其它配置信息，可自定义检测项。推送补丁及升级信息，并支持补丁管理、更新、回滚。</w:t>
            </w:r>
          </w:p>
          <w:p w14:paraId="21DE0D5E">
            <w:pPr>
              <w:widowControl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5、平台支持虚拟机定期全量备份、增量备份。支持按月、周、按天、按小时的备份策略；（需提供产品功能界面截图等有效证明材料并加盖</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投标企业</w:t>
            </w:r>
            <w:r>
              <w:rPr>
                <w:rFonts w:hint="eastAsia" w:ascii="仿宋_GB2312" w:hAnsi="仿宋_GB2312" w:eastAsia="仿宋_GB2312" w:cs="仿宋_GB2312"/>
                <w:color w:val="000000" w:themeColor="text1"/>
                <w:sz w:val="28"/>
                <w:szCs w:val="28"/>
                <w14:textFill>
                  <w14:solidFill>
                    <w14:schemeClr w14:val="tx1"/>
                  </w14:solidFill>
                </w14:textFill>
              </w:rPr>
              <w:t>公章，所有印证材料应清晰可见）</w:t>
            </w:r>
          </w:p>
          <w:p w14:paraId="1C5113AD">
            <w:pPr>
              <w:widowControl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在管理平台上可以通过拖拽虚拟设备图标和连线就能完成网络拓扑的构建，快速的实现整个业务逻辑，并且可以连接、开启、关闭虚拟网络设备，支持对整个平台虚拟设备实现统一的管理，提升运维管理的工作效率；（需提供产品功能界面截图等有效证明材料并加盖</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投标企业</w:t>
            </w:r>
            <w:r>
              <w:rPr>
                <w:rFonts w:hint="eastAsia" w:ascii="仿宋_GB2312" w:hAnsi="仿宋_GB2312" w:eastAsia="仿宋_GB2312" w:cs="仿宋_GB2312"/>
                <w:color w:val="000000" w:themeColor="text1"/>
                <w:sz w:val="28"/>
                <w:szCs w:val="28"/>
                <w14:textFill>
                  <w14:solidFill>
                    <w14:schemeClr w14:val="tx1"/>
                  </w14:solidFill>
                </w14:textFill>
              </w:rPr>
              <w:t>公章，所有印证材料应清晰可见）</w:t>
            </w:r>
          </w:p>
          <w:p w14:paraId="07DA5630">
            <w:pPr>
              <w:widowControl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7、在管理平台界面上提供虚拟机删除、开关机、挂起、重启、关闭、关闭电源、克隆、迁移、备份、快照、标签管理等功能，支持批量操作；（需提供产品功能界面截图等有效证明材料并加盖</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投标企业</w:t>
            </w:r>
            <w:r>
              <w:rPr>
                <w:rFonts w:hint="eastAsia" w:ascii="仿宋_GB2312" w:hAnsi="仿宋_GB2312" w:eastAsia="仿宋_GB2312" w:cs="仿宋_GB2312"/>
                <w:color w:val="000000" w:themeColor="text1"/>
                <w:sz w:val="28"/>
                <w:szCs w:val="28"/>
                <w14:textFill>
                  <w14:solidFill>
                    <w14:schemeClr w14:val="tx1"/>
                  </w14:solidFill>
                </w14:textFill>
              </w:rPr>
              <w:t>公章，所有印证材料应清晰可见）</w:t>
            </w:r>
          </w:p>
          <w:p w14:paraId="59DEE8D1">
            <w:pPr>
              <w:widowControl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8、3年软件免费升级。</w:t>
            </w:r>
          </w:p>
        </w:tc>
        <w:tc>
          <w:tcPr>
            <w:tcW w:w="1189" w:type="dxa"/>
            <w:vAlign w:val="center"/>
          </w:tcPr>
          <w:p w14:paraId="57968167">
            <w:pPr>
              <w:widowControl w:val="0"/>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1套</w:t>
            </w:r>
          </w:p>
        </w:tc>
      </w:tr>
      <w:tr w14:paraId="4BE9D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060" w:type="dxa"/>
            <w:vAlign w:val="center"/>
          </w:tcPr>
          <w:p w14:paraId="3A52E902">
            <w:pPr>
              <w:widowControl w:val="0"/>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p>
        </w:tc>
        <w:tc>
          <w:tcPr>
            <w:tcW w:w="1706" w:type="dxa"/>
            <w:vAlign w:val="center"/>
          </w:tcPr>
          <w:p w14:paraId="19C1CB6B">
            <w:pPr>
              <w:widowControl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云桌面管理平台</w:t>
            </w:r>
          </w:p>
        </w:tc>
        <w:tc>
          <w:tcPr>
            <w:tcW w:w="5468" w:type="dxa"/>
            <w:vAlign w:val="center"/>
          </w:tcPr>
          <w:p w14:paraId="304E20D6">
            <w:pPr>
              <w:widowControl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1、系统支持桌面版银河麒麟操作系统、WINDOWS操作系统和LINUX操作系统等主流系统发布；</w:t>
            </w:r>
          </w:p>
          <w:p w14:paraId="404E7B22">
            <w:pPr>
              <w:widowControl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2、支持龙芯、兆芯、飞腾、鲲鹏、海光等主流国产CPU；支持主流国产办公软件；（需提供有效证明材料并加盖</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投标企业</w:t>
            </w:r>
            <w:r>
              <w:rPr>
                <w:rFonts w:hint="eastAsia" w:ascii="仿宋_GB2312" w:hAnsi="仿宋_GB2312" w:eastAsia="仿宋_GB2312" w:cs="仿宋_GB2312"/>
                <w:color w:val="000000" w:themeColor="text1"/>
                <w:sz w:val="28"/>
                <w:szCs w:val="28"/>
                <w14:textFill>
                  <w14:solidFill>
                    <w14:schemeClr w14:val="tx1"/>
                  </w14:solidFill>
                </w14:textFill>
              </w:rPr>
              <w:t>公章，所有印证材料应清晰可见）</w:t>
            </w:r>
          </w:p>
          <w:p w14:paraId="1DD6B131">
            <w:pPr>
              <w:widowControl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3、支持通过打印机配置上传、复用等功能，解决打印机快速部署的问题，减少部署工作量；（需提供产品功能界面截图等有效证明材料并加盖</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投标企业</w:t>
            </w:r>
            <w:r>
              <w:rPr>
                <w:rFonts w:hint="eastAsia" w:ascii="仿宋_GB2312" w:hAnsi="仿宋_GB2312" w:eastAsia="仿宋_GB2312" w:cs="仿宋_GB2312"/>
                <w:color w:val="000000" w:themeColor="text1"/>
                <w:sz w:val="28"/>
                <w:szCs w:val="28"/>
                <w14:textFill>
                  <w14:solidFill>
                    <w14:schemeClr w14:val="tx1"/>
                  </w14:solidFill>
                </w14:textFill>
              </w:rPr>
              <w:t>公章，所有印证材料应清晰可见）</w:t>
            </w:r>
          </w:p>
          <w:p w14:paraId="36381B84">
            <w:pPr>
              <w:widowControl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支持用户可自助申请虚拟机配置变更，由管理员审核，管理员可以选择审批通过、修改申请配置后申请通过、驳回操作，审核通过资源自动加到用户虚拟机上；（需提供产品功能界面截图等有效证明材料并加盖</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投标企业</w:t>
            </w:r>
            <w:r>
              <w:rPr>
                <w:rFonts w:hint="eastAsia" w:ascii="仿宋_GB2312" w:hAnsi="仿宋_GB2312" w:eastAsia="仿宋_GB2312" w:cs="仿宋_GB2312"/>
                <w:color w:val="000000" w:themeColor="text1"/>
                <w:sz w:val="28"/>
                <w:szCs w:val="28"/>
                <w14:textFill>
                  <w14:solidFill>
                    <w14:schemeClr w14:val="tx1"/>
                  </w14:solidFill>
                </w14:textFill>
              </w:rPr>
              <w:t>公章，所有印证材料应清晰可见）</w:t>
            </w:r>
          </w:p>
          <w:p w14:paraId="3240D19C">
            <w:pPr>
              <w:widowControl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5、考虑到兼容性，云桌面管理平台与超融合管理平台、云终端需统一品牌；</w:t>
            </w:r>
          </w:p>
          <w:p w14:paraId="3AA58B9B">
            <w:pPr>
              <w:widowControl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6、3年软件免费升级。</w:t>
            </w:r>
          </w:p>
        </w:tc>
        <w:tc>
          <w:tcPr>
            <w:tcW w:w="1189" w:type="dxa"/>
            <w:vAlign w:val="center"/>
          </w:tcPr>
          <w:p w14:paraId="7BE99AF0">
            <w:pPr>
              <w:widowControl w:val="0"/>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1套</w:t>
            </w:r>
          </w:p>
        </w:tc>
      </w:tr>
      <w:tr w14:paraId="2A6CE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1060" w:type="dxa"/>
            <w:vAlign w:val="center"/>
          </w:tcPr>
          <w:p w14:paraId="01A100CD">
            <w:pPr>
              <w:widowControl w:val="0"/>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w:t>
            </w:r>
          </w:p>
        </w:tc>
        <w:tc>
          <w:tcPr>
            <w:tcW w:w="1706" w:type="dxa"/>
            <w:vAlign w:val="center"/>
          </w:tcPr>
          <w:p w14:paraId="18A86B5A">
            <w:pPr>
              <w:widowControl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云终端</w:t>
            </w:r>
          </w:p>
        </w:tc>
        <w:tc>
          <w:tcPr>
            <w:tcW w:w="5468" w:type="dxa"/>
            <w:vAlign w:val="center"/>
          </w:tcPr>
          <w:p w14:paraId="2830FD86">
            <w:pPr>
              <w:widowControl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1、国产高性能ARM架构四核处理器，主频≥ 2.0GHz；</w:t>
            </w:r>
          </w:p>
          <w:p w14:paraId="7A7AC528">
            <w:pPr>
              <w:widowControl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2、内存≥2GB；</w:t>
            </w:r>
          </w:p>
          <w:p w14:paraId="52EA9AAC">
            <w:pPr>
              <w:widowControl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3、硬盘容量≥8GB；</w:t>
            </w:r>
          </w:p>
          <w:p w14:paraId="0D3C9E2A">
            <w:pPr>
              <w:widowControl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4、接口≥1千兆电口；</w:t>
            </w:r>
          </w:p>
          <w:p w14:paraId="698C7763">
            <w:pPr>
              <w:widowControl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5、支持HDMI和VGA接入；</w:t>
            </w:r>
          </w:p>
          <w:p w14:paraId="4CCD11C4">
            <w:pPr>
              <w:widowControl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6、USB≥4个；</w:t>
            </w:r>
          </w:p>
          <w:p w14:paraId="20CC15C3">
            <w:pPr>
              <w:widowControl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7、硬件、软件质保三年；</w:t>
            </w:r>
          </w:p>
          <w:p w14:paraId="102B1BFD">
            <w:pPr>
              <w:widowControl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8、提供安装实施服务。</w:t>
            </w:r>
          </w:p>
        </w:tc>
        <w:tc>
          <w:tcPr>
            <w:tcW w:w="1189" w:type="dxa"/>
            <w:vAlign w:val="center"/>
          </w:tcPr>
          <w:p w14:paraId="60DD720B">
            <w:pPr>
              <w:widowControl w:val="0"/>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15台</w:t>
            </w:r>
          </w:p>
        </w:tc>
      </w:tr>
      <w:tr w14:paraId="5A32E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1060" w:type="dxa"/>
            <w:vAlign w:val="center"/>
          </w:tcPr>
          <w:p w14:paraId="19AB2B0D">
            <w:pPr>
              <w:widowControl w:val="0"/>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w:t>
            </w:r>
          </w:p>
        </w:tc>
        <w:tc>
          <w:tcPr>
            <w:tcW w:w="1706" w:type="dxa"/>
            <w:vAlign w:val="center"/>
          </w:tcPr>
          <w:p w14:paraId="569F5C46">
            <w:pPr>
              <w:widowControl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集成服务</w:t>
            </w:r>
          </w:p>
        </w:tc>
        <w:tc>
          <w:tcPr>
            <w:tcW w:w="5468" w:type="dxa"/>
            <w:vAlign w:val="top"/>
          </w:tcPr>
          <w:p w14:paraId="5D3A98B6">
            <w:pPr>
              <w:widowControl w:val="0"/>
              <w:spacing w:line="500" w:lineRule="exact"/>
              <w:jc w:val="both"/>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1、虚拟机迁移服务要求：</w:t>
            </w:r>
          </w:p>
          <w:p w14:paraId="659F6962">
            <w:pPr>
              <w:widowControl w:val="0"/>
              <w:spacing w:line="500" w:lineRule="exact"/>
              <w:jc w:val="both"/>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将指定的25台外网DMZ区业务虚拟机，完整地迁移至甲方新采购的超融合平台上。实现业务无感知迁移；保证迁移过程中数据的完整性与一致性，实现数据零丢失。迁移完成后，需提供数据校验报告。</w:t>
            </w:r>
          </w:p>
          <w:p w14:paraId="604119A9">
            <w:pPr>
              <w:widowControl w:val="0"/>
              <w:spacing w:line="500" w:lineRule="exact"/>
              <w:jc w:val="both"/>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2、原超融合平台整合要求：</w:t>
            </w:r>
          </w:p>
          <w:p w14:paraId="3AA3DF5E">
            <w:pPr>
              <w:widowControl w:val="0"/>
              <w:spacing w:line="500" w:lineRule="exact"/>
              <w:jc w:val="both"/>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在全部虚拟机迁出后，需对原DMZ区超融合平台进行数据安全擦除，确保无任何残留数据，并出具净化报告。将该平台重置并将其作为新增节点并入现有内网超融合资源池。整合完成后，需通过甲方测试，证明该平台可正常为内网业务系统提供计算、存储资源分配，性能稳定，满足扩容需求。</w:t>
            </w:r>
          </w:p>
        </w:tc>
        <w:tc>
          <w:tcPr>
            <w:tcW w:w="1189" w:type="dxa"/>
            <w:vAlign w:val="center"/>
          </w:tcPr>
          <w:p w14:paraId="3BBCEF3E">
            <w:pPr>
              <w:widowControl w:val="0"/>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1项</w:t>
            </w:r>
          </w:p>
        </w:tc>
      </w:tr>
      <w:tr w14:paraId="2C4BE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2766" w:type="dxa"/>
            <w:gridSpan w:val="2"/>
            <w:vAlign w:val="center"/>
          </w:tcPr>
          <w:p w14:paraId="688AFD07">
            <w:pPr>
              <w:widowControl w:val="0"/>
              <w:spacing w:line="500" w:lineRule="exact"/>
              <w:ind w:firstLine="560" w:firstLineChars="200"/>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核心设备</w:t>
            </w:r>
          </w:p>
        </w:tc>
        <w:tc>
          <w:tcPr>
            <w:tcW w:w="6657" w:type="dxa"/>
            <w:gridSpan w:val="2"/>
            <w:vAlign w:val="center"/>
          </w:tcPr>
          <w:p w14:paraId="229F7838">
            <w:pPr>
              <w:widowControl w:val="0"/>
              <w:spacing w:line="500" w:lineRule="exact"/>
              <w:ind w:firstLine="560" w:firstLineChars="200"/>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超融合服务器</w:t>
            </w:r>
          </w:p>
        </w:tc>
      </w:tr>
    </w:tbl>
    <w:p w14:paraId="7A5118CC"/>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680E85"/>
    <w:rsid w:val="22680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2">
    <w:name w:val="heading 1"/>
    <w:basedOn w:val="1"/>
    <w:next w:val="1"/>
    <w:qFormat/>
    <w:uiPriority w:val="9"/>
    <w:pPr>
      <w:keepNext/>
      <w:keepLines/>
      <w:spacing w:line="240" w:lineRule="auto"/>
      <w:jc w:val="center"/>
      <w:outlineLvl w:val="0"/>
    </w:pPr>
    <w:rPr>
      <w:rFonts w:eastAsia="仿宋"/>
      <w:b/>
      <w:color w:val="000000"/>
      <w:kern w:val="44"/>
      <w:sz w:val="36"/>
      <w:szCs w:val="44"/>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2025-12-08T06:35:00Z</dcterms:created>
  <dc:creator>善良</dc:creator>
  <cp:lastModifiedBy>善良</cp:lastModifiedBy>
  <dcterms:modified xsi:type="dcterms:W3CDTF">2025-12-08T06:36:11Z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B8DFEFD753FD4FCF9390A6D7809EDF0D_11</vt:lpwstr>
  </property>
  <property fmtid="{D5CDD505-2E9C-101B-9397-08002B2CF9AE}" pid="4" name="KSOTemplateDocerSaveRecord">
    <vt:lpwstr>eyJoZGlkIjoiNDI4YTQxZjE2N2EwMGY2MTM1M2M4ZDRiNzM1MjljOTYiLCJ1c2VySWQiOiI0NzgyNjExNDQifQ==</vt:lpwstr>
  </property>
</Properties>
</file>